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4"/>
          <w:szCs w:val="24"/>
          <w:color w:val="auto"/>
        </w:rPr>
      </w:pPr>
    </w:p>
    <w:p>
      <w:pPr>
        <w:ind w:left="3480"/>
        <w:spacing w:after="0"/>
        <w:rPr>
          <w:sz w:val="20"/>
          <w:szCs w:val="20"/>
          <w:color w:val="auto"/>
        </w:rPr>
      </w:pPr>
      <w:r>
        <w:rPr>
          <w:rFonts w:ascii="Arial" w:cs="Arial" w:eastAsia="Arial" w:hAnsi="Arial"/>
          <w:sz w:val="13"/>
          <w:szCs w:val="13"/>
          <w:b w:val="1"/>
          <w:bCs w:val="1"/>
          <w:color w:val="auto"/>
        </w:rPr>
        <w:t>As filed with the Securities and Exchange Commission on April 6, 2021.</w:t>
      </w:r>
    </w:p>
    <w:p>
      <w:pPr>
        <w:spacing w:after="0" w:line="40" w:lineRule="exact"/>
        <w:rPr>
          <w:sz w:val="24"/>
          <w:szCs w:val="24"/>
          <w:color w:val="auto"/>
        </w:rPr>
      </w:pPr>
    </w:p>
    <w:p>
      <w:pPr>
        <w:ind w:left="876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507365</wp:posOffset>
            </wp:positionH>
            <wp:positionV relativeFrom="paragraph">
              <wp:posOffset>47625</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85090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pacing w:after="0" w:line="135"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UNITED STATES</w:t>
      </w:r>
    </w:p>
    <w:p>
      <w:pPr>
        <w:spacing w:after="0" w:line="35"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SECURITIES AND EXCHANGE COMMISSION</w:t>
      </w:r>
    </w:p>
    <w:p>
      <w:pPr>
        <w:spacing w:after="0" w:line="5"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93980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60"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FORM S-1</w:t>
      </w:r>
    </w:p>
    <w:p>
      <w:pPr>
        <w:spacing w:after="0" w:line="35"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REGISTRATION STATEMENT</w:t>
      </w:r>
    </w:p>
    <w:p>
      <w:pPr>
        <w:jc w:val="center"/>
        <w:ind w:right="-799"/>
        <w:spacing w:after="0" w:line="238" w:lineRule="auto"/>
        <w:rPr>
          <w:sz w:val="20"/>
          <w:szCs w:val="20"/>
          <w:color w:val="auto"/>
        </w:rPr>
      </w:pPr>
      <w:r>
        <w:rPr>
          <w:rFonts w:ascii="Arial" w:cs="Arial" w:eastAsia="Arial" w:hAnsi="Arial"/>
          <w:sz w:val="16"/>
          <w:szCs w:val="16"/>
          <w:b w:val="1"/>
          <w:bCs w:val="1"/>
          <w:i w:val="1"/>
          <w:iCs w:val="1"/>
          <w:color w:val="auto"/>
        </w:rPr>
        <w:t>UNDER</w:t>
      </w:r>
    </w:p>
    <w:p>
      <w:pPr>
        <w:jc w:val="center"/>
        <w:ind w:right="-7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93980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51"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Upstart Holdings, Inc.</w:t>
      </w:r>
    </w:p>
    <w:p>
      <w:pPr>
        <w:spacing w:after="0" w:line="48"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97790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2" w:lineRule="exact"/>
        <w:rPr>
          <w:sz w:val="24"/>
          <w:szCs w:val="24"/>
          <w:color w:val="auto"/>
        </w:rPr>
      </w:pPr>
    </w:p>
    <w:tbl>
      <w:tblPr>
        <w:tblLayout w:type="fixed"/>
        <w:tblInd w:w="1260" w:type="dxa"/>
        <w:tblCellMar>
          <w:top w:w="0" w:type="dxa"/>
          <w:left w:w="0" w:type="dxa"/>
          <w:bottom w:w="0" w:type="dxa"/>
          <w:right w:w="0" w:type="dxa"/>
        </w:tblCellMar>
      </w:tblPr>
      <w:tr>
        <w:trPr>
          <w:trHeight w:val="149"/>
        </w:trPr>
        <w:tc>
          <w:tcPr>
            <w:tcW w:w="2440" w:type="dxa"/>
            <w:vAlign w:val="bottom"/>
          </w:tcPr>
          <w:p>
            <w:pPr>
              <w:jc w:val="center"/>
              <w:ind w:right="19"/>
              <w:spacing w:after="0"/>
              <w:rPr>
                <w:sz w:val="20"/>
                <w:szCs w:val="20"/>
                <w:color w:val="auto"/>
              </w:rPr>
            </w:pPr>
            <w:r>
              <w:rPr>
                <w:rFonts w:ascii="Arial" w:cs="Arial" w:eastAsia="Arial" w:hAnsi="Arial"/>
                <w:sz w:val="13"/>
                <w:szCs w:val="13"/>
                <w:b w:val="1"/>
                <w:bCs w:val="1"/>
                <w:color w:val="auto"/>
                <w:w w:val="98"/>
              </w:rPr>
              <w:t>Delaware</w:t>
            </w:r>
          </w:p>
        </w:tc>
        <w:tc>
          <w:tcPr>
            <w:tcW w:w="2940" w:type="dxa"/>
            <w:vAlign w:val="bottom"/>
            <w:gridSpan w:val="2"/>
          </w:tcPr>
          <w:p>
            <w:pPr>
              <w:jc w:val="right"/>
              <w:ind w:right="718"/>
              <w:spacing w:after="0"/>
              <w:rPr>
                <w:sz w:val="20"/>
                <w:szCs w:val="20"/>
                <w:color w:val="auto"/>
              </w:rPr>
            </w:pPr>
            <w:r>
              <w:rPr>
                <w:rFonts w:ascii="Arial" w:cs="Arial" w:eastAsia="Arial" w:hAnsi="Arial"/>
                <w:sz w:val="13"/>
                <w:szCs w:val="13"/>
                <w:b w:val="1"/>
                <w:bCs w:val="1"/>
                <w:color w:val="auto"/>
              </w:rPr>
              <w:t>7389</w:t>
            </w:r>
          </w:p>
        </w:tc>
        <w:tc>
          <w:tcPr>
            <w:tcW w:w="1140" w:type="dxa"/>
            <w:vAlign w:val="bottom"/>
          </w:tcPr>
          <w:p>
            <w:pPr>
              <w:spacing w:after="0"/>
              <w:rPr>
                <w:sz w:val="13"/>
                <w:szCs w:val="13"/>
                <w:color w:val="auto"/>
              </w:rPr>
            </w:pPr>
          </w:p>
        </w:tc>
        <w:tc>
          <w:tcPr>
            <w:tcW w:w="1920" w:type="dxa"/>
            <w:vAlign w:val="bottom"/>
          </w:tcPr>
          <w:p>
            <w:pPr>
              <w:jc w:val="right"/>
              <w:ind w:right="399"/>
              <w:spacing w:after="0"/>
              <w:rPr>
                <w:sz w:val="20"/>
                <w:szCs w:val="20"/>
                <w:color w:val="auto"/>
              </w:rPr>
            </w:pPr>
            <w:r>
              <w:rPr>
                <w:rFonts w:ascii="Arial" w:cs="Arial" w:eastAsia="Arial" w:hAnsi="Arial"/>
                <w:sz w:val="13"/>
                <w:szCs w:val="13"/>
                <w:b w:val="1"/>
                <w:bCs w:val="1"/>
                <w:color w:val="auto"/>
              </w:rPr>
              <w:t>46-4332431</w:t>
            </w:r>
          </w:p>
        </w:tc>
      </w:tr>
      <w:tr>
        <w:trPr>
          <w:trHeight w:val="118"/>
        </w:trPr>
        <w:tc>
          <w:tcPr>
            <w:tcW w:w="2440" w:type="dxa"/>
            <w:vAlign w:val="bottom"/>
          </w:tcPr>
          <w:p>
            <w:pPr>
              <w:jc w:val="center"/>
              <w:ind w:right="19"/>
              <w:spacing w:after="0" w:line="119" w:lineRule="exact"/>
              <w:rPr>
                <w:sz w:val="20"/>
                <w:szCs w:val="20"/>
                <w:color w:val="auto"/>
              </w:rPr>
            </w:pPr>
            <w:r>
              <w:rPr>
                <w:rFonts w:ascii="Arial" w:cs="Arial" w:eastAsia="Arial" w:hAnsi="Arial"/>
                <w:sz w:val="11"/>
                <w:szCs w:val="11"/>
                <w:b w:val="1"/>
                <w:bCs w:val="1"/>
                <w:color w:val="auto"/>
              </w:rPr>
              <w:t>(State or other jurisdiction of</w:t>
            </w:r>
          </w:p>
        </w:tc>
        <w:tc>
          <w:tcPr>
            <w:tcW w:w="900" w:type="dxa"/>
            <w:vAlign w:val="bottom"/>
          </w:tcPr>
          <w:p>
            <w:pPr>
              <w:spacing w:after="0"/>
              <w:rPr>
                <w:sz w:val="10"/>
                <w:szCs w:val="10"/>
                <w:color w:val="auto"/>
              </w:rPr>
            </w:pPr>
          </w:p>
        </w:tc>
        <w:tc>
          <w:tcPr>
            <w:tcW w:w="3180" w:type="dxa"/>
            <w:vAlign w:val="bottom"/>
            <w:gridSpan w:val="2"/>
          </w:tcPr>
          <w:p>
            <w:pPr>
              <w:jc w:val="center"/>
              <w:ind w:right="940"/>
              <w:spacing w:after="0" w:line="119" w:lineRule="exact"/>
              <w:rPr>
                <w:sz w:val="20"/>
                <w:szCs w:val="20"/>
                <w:color w:val="auto"/>
              </w:rPr>
            </w:pPr>
            <w:r>
              <w:rPr>
                <w:rFonts w:ascii="Arial" w:cs="Arial" w:eastAsia="Arial" w:hAnsi="Arial"/>
                <w:sz w:val="11"/>
                <w:szCs w:val="11"/>
                <w:b w:val="1"/>
                <w:bCs w:val="1"/>
                <w:color w:val="auto"/>
              </w:rPr>
              <w:t>(Primary Standard Industrial</w:t>
            </w:r>
          </w:p>
        </w:tc>
        <w:tc>
          <w:tcPr>
            <w:tcW w:w="1920" w:type="dxa"/>
            <w:vAlign w:val="bottom"/>
          </w:tcPr>
          <w:p>
            <w:pPr>
              <w:jc w:val="center"/>
              <w:ind w:left="259"/>
              <w:spacing w:after="0" w:line="119" w:lineRule="exact"/>
              <w:rPr>
                <w:sz w:val="20"/>
                <w:szCs w:val="20"/>
                <w:color w:val="auto"/>
              </w:rPr>
            </w:pPr>
            <w:r>
              <w:rPr>
                <w:rFonts w:ascii="Arial" w:cs="Arial" w:eastAsia="Arial" w:hAnsi="Arial"/>
                <w:sz w:val="11"/>
                <w:szCs w:val="11"/>
                <w:b w:val="1"/>
                <w:bCs w:val="1"/>
                <w:color w:val="auto"/>
                <w:w w:val="99"/>
              </w:rPr>
              <w:t>(I.R.S. Employer</w:t>
            </w:r>
          </w:p>
        </w:tc>
      </w:tr>
      <w:tr>
        <w:trPr>
          <w:trHeight w:val="146"/>
        </w:trPr>
        <w:tc>
          <w:tcPr>
            <w:tcW w:w="2440" w:type="dxa"/>
            <w:vAlign w:val="bottom"/>
          </w:tcPr>
          <w:p>
            <w:pPr>
              <w:jc w:val="center"/>
              <w:ind w:right="39"/>
              <w:spacing w:after="0"/>
              <w:rPr>
                <w:sz w:val="20"/>
                <w:szCs w:val="20"/>
                <w:color w:val="auto"/>
              </w:rPr>
            </w:pPr>
            <w:r>
              <w:rPr>
                <w:rFonts w:ascii="Arial" w:cs="Arial" w:eastAsia="Arial" w:hAnsi="Arial"/>
                <w:sz w:val="11"/>
                <w:szCs w:val="11"/>
                <w:b w:val="1"/>
                <w:bCs w:val="1"/>
                <w:color w:val="auto"/>
              </w:rPr>
              <w:t>incorporation or organization)</w:t>
            </w:r>
          </w:p>
        </w:tc>
        <w:tc>
          <w:tcPr>
            <w:tcW w:w="900" w:type="dxa"/>
            <w:vAlign w:val="bottom"/>
          </w:tcPr>
          <w:p>
            <w:pPr>
              <w:spacing w:after="0"/>
              <w:rPr>
                <w:sz w:val="12"/>
                <w:szCs w:val="12"/>
                <w:color w:val="auto"/>
              </w:rPr>
            </w:pPr>
          </w:p>
        </w:tc>
        <w:tc>
          <w:tcPr>
            <w:tcW w:w="3180" w:type="dxa"/>
            <w:vAlign w:val="bottom"/>
            <w:gridSpan w:val="2"/>
          </w:tcPr>
          <w:p>
            <w:pPr>
              <w:jc w:val="center"/>
              <w:ind w:right="920"/>
              <w:spacing w:after="0"/>
              <w:rPr>
                <w:sz w:val="20"/>
                <w:szCs w:val="20"/>
                <w:color w:val="auto"/>
              </w:rPr>
            </w:pPr>
            <w:r>
              <w:rPr>
                <w:rFonts w:ascii="Arial" w:cs="Arial" w:eastAsia="Arial" w:hAnsi="Arial"/>
                <w:sz w:val="11"/>
                <w:szCs w:val="11"/>
                <w:b w:val="1"/>
                <w:bCs w:val="1"/>
                <w:color w:val="auto"/>
                <w:w w:val="99"/>
              </w:rPr>
              <w:t>Classification Code Number)</w:t>
            </w:r>
          </w:p>
        </w:tc>
        <w:tc>
          <w:tcPr>
            <w:tcW w:w="1920" w:type="dxa"/>
            <w:vAlign w:val="bottom"/>
          </w:tcPr>
          <w:p>
            <w:pPr>
              <w:jc w:val="center"/>
              <w:ind w:left="279"/>
              <w:spacing w:after="0"/>
              <w:rPr>
                <w:sz w:val="20"/>
                <w:szCs w:val="20"/>
                <w:color w:val="auto"/>
              </w:rPr>
            </w:pPr>
            <w:r>
              <w:rPr>
                <w:rFonts w:ascii="Arial" w:cs="Arial" w:eastAsia="Arial" w:hAnsi="Arial"/>
                <w:sz w:val="11"/>
                <w:szCs w:val="11"/>
                <w:b w:val="1"/>
                <w:bCs w:val="1"/>
                <w:color w:val="auto"/>
              </w:rPr>
              <w:t>Identification Number)</w:t>
            </w:r>
          </w:p>
        </w:tc>
      </w:tr>
      <w:tr>
        <w:trPr>
          <w:trHeight w:val="181"/>
        </w:trPr>
        <w:tc>
          <w:tcPr>
            <w:tcW w:w="2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6"/>
              </w:rPr>
              <w:t>Upstart Holdings, Inc.</w:t>
            </w:r>
          </w:p>
        </w:tc>
        <w:tc>
          <w:tcPr>
            <w:tcW w:w="1920" w:type="dxa"/>
            <w:vAlign w:val="bottom"/>
          </w:tcPr>
          <w:p>
            <w:pPr>
              <w:spacing w:after="0"/>
              <w:rPr>
                <w:sz w:val="15"/>
                <w:szCs w:val="15"/>
                <w:color w:val="auto"/>
              </w:rPr>
            </w:pPr>
          </w:p>
        </w:tc>
      </w:tr>
      <w:tr>
        <w:trPr>
          <w:trHeight w:val="142"/>
        </w:trPr>
        <w:tc>
          <w:tcPr>
            <w:tcW w:w="2440" w:type="dxa"/>
            <w:vAlign w:val="bottom"/>
          </w:tcPr>
          <w:p>
            <w:pPr>
              <w:spacing w:after="0"/>
              <w:rPr>
                <w:sz w:val="12"/>
                <w:szCs w:val="12"/>
                <w:color w:val="auto"/>
              </w:rPr>
            </w:pPr>
          </w:p>
        </w:tc>
        <w:tc>
          <w:tcPr>
            <w:tcW w:w="408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2950 S. Delaware Street, Suite 300</w:t>
            </w:r>
          </w:p>
        </w:tc>
        <w:tc>
          <w:tcPr>
            <w:tcW w:w="192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gridSpan w:val="2"/>
          </w:tcPr>
          <w:p>
            <w:pPr>
              <w:jc w:val="center"/>
              <w:ind w:right="1120"/>
              <w:spacing w:after="0" w:line="142" w:lineRule="exact"/>
              <w:rPr>
                <w:sz w:val="20"/>
                <w:szCs w:val="20"/>
                <w:color w:val="auto"/>
              </w:rPr>
            </w:pPr>
            <w:r>
              <w:rPr>
                <w:rFonts w:ascii="Arial" w:cs="Arial" w:eastAsia="Arial" w:hAnsi="Arial"/>
                <w:sz w:val="13"/>
                <w:szCs w:val="13"/>
                <w:b w:val="1"/>
                <w:bCs w:val="1"/>
                <w:color w:val="auto"/>
                <w:w w:val="96"/>
              </w:rPr>
              <w:t>San Mateo, California 94403</w:t>
            </w:r>
          </w:p>
        </w:tc>
        <w:tc>
          <w:tcPr>
            <w:tcW w:w="1920" w:type="dxa"/>
            <w:vAlign w:val="bottom"/>
          </w:tcPr>
          <w:p>
            <w:pPr>
              <w:spacing w:after="0"/>
              <w:rPr>
                <w:sz w:val="12"/>
                <w:szCs w:val="12"/>
                <w:color w:val="auto"/>
              </w:rPr>
            </w:pPr>
          </w:p>
        </w:tc>
      </w:tr>
      <w:tr>
        <w:trPr>
          <w:trHeight w:val="134"/>
        </w:trPr>
        <w:tc>
          <w:tcPr>
            <w:tcW w:w="2440" w:type="dxa"/>
            <w:vAlign w:val="bottom"/>
          </w:tcPr>
          <w:p>
            <w:pPr>
              <w:spacing w:after="0"/>
              <w:rPr>
                <w:sz w:val="11"/>
                <w:szCs w:val="11"/>
                <w:color w:val="auto"/>
              </w:rPr>
            </w:pPr>
          </w:p>
        </w:tc>
        <w:tc>
          <w:tcPr>
            <w:tcW w:w="2940" w:type="dxa"/>
            <w:vAlign w:val="bottom"/>
            <w:gridSpan w:val="2"/>
          </w:tcPr>
          <w:p>
            <w:pPr>
              <w:jc w:val="center"/>
              <w:ind w:left="860"/>
              <w:spacing w:after="0" w:line="134" w:lineRule="exact"/>
              <w:rPr>
                <w:sz w:val="20"/>
                <w:szCs w:val="20"/>
                <w:color w:val="auto"/>
              </w:rPr>
            </w:pPr>
            <w:r>
              <w:rPr>
                <w:rFonts w:ascii="Arial" w:cs="Arial" w:eastAsia="Arial" w:hAnsi="Arial"/>
                <w:sz w:val="13"/>
                <w:szCs w:val="13"/>
                <w:b w:val="1"/>
                <w:bCs w:val="1"/>
                <w:color w:val="auto"/>
                <w:w w:val="96"/>
              </w:rPr>
              <w:t>(650) 204-1000</w:t>
            </w: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18"/>
        </w:trPr>
        <w:tc>
          <w:tcPr>
            <w:tcW w:w="2440" w:type="dxa"/>
            <w:vAlign w:val="bottom"/>
          </w:tcPr>
          <w:p>
            <w:pPr>
              <w:spacing w:after="0"/>
              <w:rPr>
                <w:sz w:val="10"/>
                <w:szCs w:val="10"/>
                <w:color w:val="auto"/>
              </w:rPr>
            </w:pPr>
          </w:p>
        </w:tc>
        <w:tc>
          <w:tcPr>
            <w:tcW w:w="4080" w:type="dxa"/>
            <w:vAlign w:val="bottom"/>
            <w:gridSpan w:val="3"/>
          </w:tcPr>
          <w:p>
            <w:pPr>
              <w:jc w:val="center"/>
              <w:ind w:right="240"/>
              <w:spacing w:after="0" w:line="119" w:lineRule="exact"/>
              <w:rPr>
                <w:sz w:val="20"/>
                <w:szCs w:val="20"/>
                <w:color w:val="auto"/>
              </w:rPr>
            </w:pPr>
            <w:r>
              <w:rPr>
                <w:rFonts w:ascii="Arial" w:cs="Arial" w:eastAsia="Arial" w:hAnsi="Arial"/>
                <w:sz w:val="11"/>
                <w:szCs w:val="11"/>
                <w:b w:val="1"/>
                <w:bCs w:val="1"/>
                <w:color w:val="auto"/>
                <w:w w:val="99"/>
              </w:rPr>
              <w:t>(Address, including zip code, and telephone number, including</w:t>
            </w:r>
          </w:p>
        </w:tc>
        <w:tc>
          <w:tcPr>
            <w:tcW w:w="1920" w:type="dxa"/>
            <w:vAlign w:val="bottom"/>
          </w:tcPr>
          <w:p>
            <w:pPr>
              <w:spacing w:after="0"/>
              <w:rPr>
                <w:sz w:val="10"/>
                <w:szCs w:val="10"/>
                <w:color w:val="auto"/>
              </w:rPr>
            </w:pPr>
          </w:p>
        </w:tc>
      </w:tr>
      <w:tr>
        <w:trPr>
          <w:trHeight w:val="146"/>
        </w:trPr>
        <w:tc>
          <w:tcPr>
            <w:tcW w:w="2440" w:type="dxa"/>
            <w:vAlign w:val="bottom"/>
          </w:tcPr>
          <w:p>
            <w:pPr>
              <w:spacing w:after="0"/>
              <w:rPr>
                <w:sz w:val="12"/>
                <w:szCs w:val="12"/>
                <w:color w:val="auto"/>
              </w:rPr>
            </w:pPr>
          </w:p>
        </w:tc>
        <w:tc>
          <w:tcPr>
            <w:tcW w:w="40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rPr>
              <w:t>area code, of registrant’s principal executive offices)</w:t>
            </w:r>
          </w:p>
        </w:tc>
        <w:tc>
          <w:tcPr>
            <w:tcW w:w="1920" w:type="dxa"/>
            <w:vAlign w:val="bottom"/>
          </w:tcPr>
          <w:p>
            <w:pPr>
              <w:spacing w:after="0"/>
              <w:rPr>
                <w:sz w:val="12"/>
                <w:szCs w:val="12"/>
                <w:color w:val="auto"/>
              </w:rPr>
            </w:pPr>
          </w:p>
        </w:tc>
      </w:tr>
      <w:tr>
        <w:trPr>
          <w:trHeight w:val="157"/>
        </w:trPr>
        <w:tc>
          <w:tcPr>
            <w:tcW w:w="2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69"/>
        </w:trPr>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18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8"/>
              </w:rPr>
              <w:t>Dave Girouard</w:t>
            </w:r>
          </w:p>
        </w:tc>
        <w:tc>
          <w:tcPr>
            <w:tcW w:w="192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gridSpan w:val="2"/>
          </w:tcPr>
          <w:p>
            <w:pPr>
              <w:jc w:val="center"/>
              <w:ind w:right="1120"/>
              <w:spacing w:after="0" w:line="142" w:lineRule="exact"/>
              <w:rPr>
                <w:sz w:val="20"/>
                <w:szCs w:val="20"/>
                <w:color w:val="auto"/>
              </w:rPr>
            </w:pPr>
            <w:r>
              <w:rPr>
                <w:rFonts w:ascii="Arial" w:cs="Arial" w:eastAsia="Arial" w:hAnsi="Arial"/>
                <w:sz w:val="13"/>
                <w:szCs w:val="13"/>
                <w:b w:val="1"/>
                <w:bCs w:val="1"/>
                <w:color w:val="auto"/>
                <w:w w:val="96"/>
              </w:rPr>
              <w:t>Chief Executive Officer</w:t>
            </w:r>
          </w:p>
        </w:tc>
        <w:tc>
          <w:tcPr>
            <w:tcW w:w="192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gridSpan w:val="2"/>
          </w:tcPr>
          <w:p>
            <w:pPr>
              <w:jc w:val="center"/>
              <w:ind w:right="1120"/>
              <w:spacing w:after="0" w:line="142" w:lineRule="exact"/>
              <w:rPr>
                <w:sz w:val="20"/>
                <w:szCs w:val="20"/>
                <w:color w:val="auto"/>
              </w:rPr>
            </w:pPr>
            <w:r>
              <w:rPr>
                <w:rFonts w:ascii="Arial" w:cs="Arial" w:eastAsia="Arial" w:hAnsi="Arial"/>
                <w:sz w:val="13"/>
                <w:szCs w:val="13"/>
                <w:b w:val="1"/>
                <w:bCs w:val="1"/>
                <w:color w:val="auto"/>
                <w:w w:val="96"/>
              </w:rPr>
              <w:t>Upstart Holdings, Inc.</w:t>
            </w:r>
          </w:p>
        </w:tc>
        <w:tc>
          <w:tcPr>
            <w:tcW w:w="192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408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2950 S. Delaware Street, Suite 300</w:t>
            </w:r>
          </w:p>
        </w:tc>
        <w:tc>
          <w:tcPr>
            <w:tcW w:w="192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gridSpan w:val="2"/>
          </w:tcPr>
          <w:p>
            <w:pPr>
              <w:jc w:val="center"/>
              <w:ind w:right="1120"/>
              <w:spacing w:after="0" w:line="142" w:lineRule="exact"/>
              <w:rPr>
                <w:sz w:val="20"/>
                <w:szCs w:val="20"/>
                <w:color w:val="auto"/>
              </w:rPr>
            </w:pPr>
            <w:r>
              <w:rPr>
                <w:rFonts w:ascii="Arial" w:cs="Arial" w:eastAsia="Arial" w:hAnsi="Arial"/>
                <w:sz w:val="13"/>
                <w:szCs w:val="13"/>
                <w:b w:val="1"/>
                <w:bCs w:val="1"/>
                <w:color w:val="auto"/>
                <w:w w:val="96"/>
              </w:rPr>
              <w:t>San Mateo, California 94403</w:t>
            </w:r>
          </w:p>
        </w:tc>
        <w:tc>
          <w:tcPr>
            <w:tcW w:w="1920" w:type="dxa"/>
            <w:vAlign w:val="bottom"/>
          </w:tcPr>
          <w:p>
            <w:pPr>
              <w:spacing w:after="0"/>
              <w:rPr>
                <w:sz w:val="12"/>
                <w:szCs w:val="12"/>
                <w:color w:val="auto"/>
              </w:rPr>
            </w:pPr>
          </w:p>
        </w:tc>
      </w:tr>
      <w:tr>
        <w:trPr>
          <w:trHeight w:val="134"/>
        </w:trPr>
        <w:tc>
          <w:tcPr>
            <w:tcW w:w="2440" w:type="dxa"/>
            <w:vAlign w:val="bottom"/>
          </w:tcPr>
          <w:p>
            <w:pPr>
              <w:spacing w:after="0"/>
              <w:rPr>
                <w:sz w:val="11"/>
                <w:szCs w:val="11"/>
                <w:color w:val="auto"/>
              </w:rPr>
            </w:pPr>
          </w:p>
        </w:tc>
        <w:tc>
          <w:tcPr>
            <w:tcW w:w="2940" w:type="dxa"/>
            <w:vAlign w:val="bottom"/>
            <w:gridSpan w:val="2"/>
          </w:tcPr>
          <w:p>
            <w:pPr>
              <w:jc w:val="center"/>
              <w:ind w:left="860"/>
              <w:spacing w:after="0" w:line="134" w:lineRule="exact"/>
              <w:rPr>
                <w:sz w:val="20"/>
                <w:szCs w:val="20"/>
                <w:color w:val="auto"/>
              </w:rPr>
            </w:pPr>
            <w:r>
              <w:rPr>
                <w:rFonts w:ascii="Arial" w:cs="Arial" w:eastAsia="Arial" w:hAnsi="Arial"/>
                <w:sz w:val="13"/>
                <w:szCs w:val="13"/>
                <w:b w:val="1"/>
                <w:bCs w:val="1"/>
                <w:color w:val="auto"/>
                <w:w w:val="96"/>
              </w:rPr>
              <w:t>(650) 204-1000</w:t>
            </w:r>
          </w:p>
        </w:tc>
        <w:tc>
          <w:tcPr>
            <w:tcW w:w="1140" w:type="dxa"/>
            <w:vAlign w:val="bottom"/>
          </w:tcPr>
          <w:p>
            <w:pPr>
              <w:spacing w:after="0"/>
              <w:rPr>
                <w:sz w:val="11"/>
                <w:szCs w:val="11"/>
                <w:color w:val="auto"/>
              </w:rPr>
            </w:pPr>
          </w:p>
        </w:tc>
        <w:tc>
          <w:tcPr>
            <w:tcW w:w="1920" w:type="dxa"/>
            <w:vAlign w:val="bottom"/>
          </w:tcPr>
          <w:p>
            <w:pPr>
              <w:spacing w:after="0"/>
              <w:rPr>
                <w:sz w:val="11"/>
                <w:szCs w:val="11"/>
                <w:color w:val="auto"/>
              </w:rPr>
            </w:pPr>
          </w:p>
        </w:tc>
      </w:tr>
      <w:tr>
        <w:trPr>
          <w:trHeight w:val="118"/>
        </w:trPr>
        <w:tc>
          <w:tcPr>
            <w:tcW w:w="2440" w:type="dxa"/>
            <w:vAlign w:val="bottom"/>
          </w:tcPr>
          <w:p>
            <w:pPr>
              <w:spacing w:after="0"/>
              <w:rPr>
                <w:sz w:val="10"/>
                <w:szCs w:val="10"/>
                <w:color w:val="auto"/>
              </w:rPr>
            </w:pPr>
          </w:p>
        </w:tc>
        <w:tc>
          <w:tcPr>
            <w:tcW w:w="4080" w:type="dxa"/>
            <w:vAlign w:val="bottom"/>
            <w:gridSpan w:val="3"/>
          </w:tcPr>
          <w:p>
            <w:pPr>
              <w:jc w:val="center"/>
              <w:ind w:right="240"/>
              <w:spacing w:after="0" w:line="119" w:lineRule="exact"/>
              <w:rPr>
                <w:sz w:val="20"/>
                <w:szCs w:val="20"/>
                <w:color w:val="auto"/>
              </w:rPr>
            </w:pPr>
            <w:r>
              <w:rPr>
                <w:rFonts w:ascii="Arial" w:cs="Arial" w:eastAsia="Arial" w:hAnsi="Arial"/>
                <w:sz w:val="11"/>
                <w:szCs w:val="11"/>
                <w:b w:val="1"/>
                <w:bCs w:val="1"/>
                <w:color w:val="auto"/>
              </w:rPr>
              <w:t>(Name, address, including zip code, and telephone number, including</w:t>
            </w:r>
          </w:p>
        </w:tc>
        <w:tc>
          <w:tcPr>
            <w:tcW w:w="1920" w:type="dxa"/>
            <w:vAlign w:val="bottom"/>
          </w:tcPr>
          <w:p>
            <w:pPr>
              <w:spacing w:after="0"/>
              <w:rPr>
                <w:sz w:val="10"/>
                <w:szCs w:val="10"/>
                <w:color w:val="auto"/>
              </w:rPr>
            </w:pPr>
          </w:p>
        </w:tc>
      </w:tr>
      <w:tr>
        <w:trPr>
          <w:trHeight w:val="146"/>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180" w:type="dxa"/>
            <w:vAlign w:val="bottom"/>
            <w:gridSpan w:val="2"/>
          </w:tcPr>
          <w:p>
            <w:pPr>
              <w:jc w:val="center"/>
              <w:ind w:right="1140"/>
              <w:spacing w:after="0"/>
              <w:rPr>
                <w:sz w:val="20"/>
                <w:szCs w:val="20"/>
                <w:color w:val="auto"/>
              </w:rPr>
            </w:pPr>
            <w:r>
              <w:rPr>
                <w:rFonts w:ascii="Arial" w:cs="Arial" w:eastAsia="Arial" w:hAnsi="Arial"/>
                <w:sz w:val="11"/>
                <w:szCs w:val="11"/>
                <w:b w:val="1"/>
                <w:bCs w:val="1"/>
                <w:color w:val="auto"/>
              </w:rPr>
              <w:t>area code, of agent for service)</w:t>
            </w:r>
          </w:p>
        </w:tc>
        <w:tc>
          <w:tcPr>
            <w:tcW w:w="1920" w:type="dxa"/>
            <w:vAlign w:val="bottom"/>
          </w:tcPr>
          <w:p>
            <w:pPr>
              <w:spacing w:after="0"/>
              <w:rPr>
                <w:sz w:val="12"/>
                <w:szCs w:val="12"/>
                <w:color w:val="auto"/>
              </w:rPr>
            </w:pPr>
          </w:p>
        </w:tc>
      </w:tr>
      <w:tr>
        <w:trPr>
          <w:trHeight w:val="145"/>
        </w:trPr>
        <w:tc>
          <w:tcPr>
            <w:tcW w:w="2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95"/>
        </w:trPr>
        <w:tc>
          <w:tcPr>
            <w:tcW w:w="2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80" w:type="dxa"/>
            <w:vAlign w:val="bottom"/>
            <w:gridSpan w:val="2"/>
          </w:tcPr>
          <w:p>
            <w:pPr>
              <w:jc w:val="center"/>
              <w:ind w:right="1120"/>
              <w:spacing w:after="0"/>
              <w:rPr>
                <w:sz w:val="20"/>
                <w:szCs w:val="20"/>
                <w:color w:val="auto"/>
              </w:rPr>
            </w:pPr>
            <w:r>
              <w:rPr>
                <w:rFonts w:ascii="Arial" w:cs="Arial" w:eastAsia="Arial" w:hAnsi="Arial"/>
                <w:sz w:val="13"/>
                <w:szCs w:val="13"/>
                <w:b w:val="1"/>
                <w:bCs w:val="1"/>
                <w:i w:val="1"/>
                <w:iCs w:val="1"/>
                <w:color w:val="auto"/>
                <w:w w:val="97"/>
              </w:rPr>
              <w:t>Copies to:</w:t>
            </w:r>
          </w:p>
        </w:tc>
        <w:tc>
          <w:tcPr>
            <w:tcW w:w="1920" w:type="dxa"/>
            <w:vAlign w:val="bottom"/>
          </w:tcPr>
          <w:p>
            <w:pPr>
              <w:spacing w:after="0"/>
              <w:rPr>
                <w:sz w:val="16"/>
                <w:szCs w:val="16"/>
                <w:color w:val="auto"/>
              </w:rPr>
            </w:pPr>
          </w:p>
        </w:tc>
      </w:tr>
      <w:tr>
        <w:trPr>
          <w:trHeight w:val="175"/>
        </w:trPr>
        <w:tc>
          <w:tcPr>
            <w:tcW w:w="2440" w:type="dxa"/>
            <w:vAlign w:val="bottom"/>
          </w:tcPr>
          <w:p>
            <w:pPr>
              <w:jc w:val="center"/>
              <w:ind w:right="19"/>
              <w:spacing w:after="0"/>
              <w:rPr>
                <w:sz w:val="20"/>
                <w:szCs w:val="20"/>
                <w:color w:val="auto"/>
              </w:rPr>
            </w:pPr>
            <w:r>
              <w:rPr>
                <w:rFonts w:ascii="Arial" w:cs="Arial" w:eastAsia="Arial" w:hAnsi="Arial"/>
                <w:sz w:val="13"/>
                <w:szCs w:val="13"/>
                <w:b w:val="1"/>
                <w:bCs w:val="1"/>
                <w:color w:val="auto"/>
                <w:w w:val="96"/>
              </w:rPr>
              <w:t>Jeffrey D. Saper</w:t>
            </w:r>
          </w:p>
        </w:tc>
        <w:tc>
          <w:tcPr>
            <w:tcW w:w="900" w:type="dxa"/>
            <w:vAlign w:val="bottom"/>
          </w:tcPr>
          <w:p>
            <w:pPr>
              <w:spacing w:after="0"/>
              <w:rPr>
                <w:sz w:val="15"/>
                <w:szCs w:val="15"/>
                <w:color w:val="auto"/>
              </w:rPr>
            </w:pPr>
          </w:p>
        </w:tc>
        <w:tc>
          <w:tcPr>
            <w:tcW w:w="3180" w:type="dxa"/>
            <w:vAlign w:val="bottom"/>
            <w:gridSpan w:val="2"/>
          </w:tcPr>
          <w:p>
            <w:pPr>
              <w:jc w:val="center"/>
              <w:ind w:right="940"/>
              <w:spacing w:after="0"/>
              <w:rPr>
                <w:sz w:val="20"/>
                <w:szCs w:val="20"/>
                <w:color w:val="auto"/>
              </w:rPr>
            </w:pPr>
            <w:r>
              <w:rPr>
                <w:rFonts w:ascii="Arial" w:cs="Arial" w:eastAsia="Arial" w:hAnsi="Arial"/>
                <w:sz w:val="13"/>
                <w:szCs w:val="13"/>
                <w:b w:val="1"/>
                <w:bCs w:val="1"/>
                <w:color w:val="auto"/>
                <w:w w:val="96"/>
              </w:rPr>
              <w:t>Alison Nicoll</w:t>
            </w:r>
          </w:p>
        </w:tc>
        <w:tc>
          <w:tcPr>
            <w:tcW w:w="1920" w:type="dxa"/>
            <w:vAlign w:val="bottom"/>
          </w:tcPr>
          <w:p>
            <w:pPr>
              <w:jc w:val="center"/>
              <w:ind w:left="259"/>
              <w:spacing w:after="0"/>
              <w:rPr>
                <w:sz w:val="20"/>
                <w:szCs w:val="20"/>
                <w:color w:val="auto"/>
              </w:rPr>
            </w:pPr>
            <w:r>
              <w:rPr>
                <w:rFonts w:ascii="Arial" w:cs="Arial" w:eastAsia="Arial" w:hAnsi="Arial"/>
                <w:sz w:val="13"/>
                <w:szCs w:val="13"/>
                <w:b w:val="1"/>
                <w:bCs w:val="1"/>
                <w:color w:val="auto"/>
                <w:w w:val="96"/>
              </w:rPr>
              <w:t>John L. Savva</w:t>
            </w:r>
          </w:p>
        </w:tc>
      </w:tr>
      <w:tr>
        <w:trPr>
          <w:trHeight w:val="142"/>
        </w:trPr>
        <w:tc>
          <w:tcPr>
            <w:tcW w:w="2440" w:type="dxa"/>
            <w:vAlign w:val="bottom"/>
          </w:tcPr>
          <w:p>
            <w:pPr>
              <w:jc w:val="center"/>
              <w:ind w:right="19"/>
              <w:spacing w:after="0" w:line="142" w:lineRule="exact"/>
              <w:rPr>
                <w:sz w:val="20"/>
                <w:szCs w:val="20"/>
                <w:color w:val="auto"/>
              </w:rPr>
            </w:pPr>
            <w:r>
              <w:rPr>
                <w:rFonts w:ascii="Arial" w:cs="Arial" w:eastAsia="Arial" w:hAnsi="Arial"/>
                <w:sz w:val="13"/>
                <w:szCs w:val="13"/>
                <w:b w:val="1"/>
                <w:bCs w:val="1"/>
                <w:color w:val="auto"/>
                <w:w w:val="96"/>
              </w:rPr>
              <w:t>Allison B. Spinner</w:t>
            </w:r>
          </w:p>
        </w:tc>
        <w:tc>
          <w:tcPr>
            <w:tcW w:w="900" w:type="dxa"/>
            <w:vAlign w:val="bottom"/>
          </w:tcPr>
          <w:p>
            <w:pPr>
              <w:spacing w:after="0"/>
              <w:rPr>
                <w:sz w:val="12"/>
                <w:szCs w:val="12"/>
                <w:color w:val="auto"/>
              </w:rPr>
            </w:pPr>
          </w:p>
        </w:tc>
        <w:tc>
          <w:tcPr>
            <w:tcW w:w="3180" w:type="dxa"/>
            <w:vAlign w:val="bottom"/>
            <w:gridSpan w:val="2"/>
          </w:tcPr>
          <w:p>
            <w:pPr>
              <w:jc w:val="center"/>
              <w:ind w:right="920"/>
              <w:spacing w:after="0" w:line="142" w:lineRule="exact"/>
              <w:rPr>
                <w:sz w:val="20"/>
                <w:szCs w:val="20"/>
                <w:color w:val="auto"/>
              </w:rPr>
            </w:pPr>
            <w:r>
              <w:rPr>
                <w:rFonts w:ascii="Arial" w:cs="Arial" w:eastAsia="Arial" w:hAnsi="Arial"/>
                <w:sz w:val="13"/>
                <w:szCs w:val="13"/>
                <w:b w:val="1"/>
                <w:bCs w:val="1"/>
                <w:color w:val="auto"/>
                <w:w w:val="97"/>
              </w:rPr>
              <w:t>Christopher Ing</w:t>
            </w:r>
          </w:p>
        </w:tc>
        <w:tc>
          <w:tcPr>
            <w:tcW w:w="1920" w:type="dxa"/>
            <w:vAlign w:val="bottom"/>
          </w:tcPr>
          <w:p>
            <w:pPr>
              <w:jc w:val="center"/>
              <w:ind w:left="259"/>
              <w:spacing w:after="0" w:line="142" w:lineRule="exact"/>
              <w:rPr>
                <w:sz w:val="20"/>
                <w:szCs w:val="20"/>
                <w:color w:val="auto"/>
              </w:rPr>
            </w:pPr>
            <w:r>
              <w:rPr>
                <w:rFonts w:ascii="Arial" w:cs="Arial" w:eastAsia="Arial" w:hAnsi="Arial"/>
                <w:sz w:val="13"/>
                <w:szCs w:val="13"/>
                <w:b w:val="1"/>
                <w:bCs w:val="1"/>
                <w:color w:val="auto"/>
                <w:w w:val="96"/>
              </w:rPr>
              <w:t>Sullivan &amp; Cromwell LLP</w:t>
            </w:r>
          </w:p>
        </w:tc>
      </w:tr>
      <w:tr>
        <w:trPr>
          <w:trHeight w:val="142"/>
        </w:trPr>
        <w:tc>
          <w:tcPr>
            <w:tcW w:w="2440" w:type="dxa"/>
            <w:vAlign w:val="bottom"/>
          </w:tcPr>
          <w:p>
            <w:pPr>
              <w:jc w:val="center"/>
              <w:ind w:right="39"/>
              <w:spacing w:after="0" w:line="142" w:lineRule="exact"/>
              <w:rPr>
                <w:sz w:val="20"/>
                <w:szCs w:val="20"/>
                <w:color w:val="auto"/>
              </w:rPr>
            </w:pPr>
            <w:r>
              <w:rPr>
                <w:rFonts w:ascii="Arial" w:cs="Arial" w:eastAsia="Arial" w:hAnsi="Arial"/>
                <w:sz w:val="13"/>
                <w:szCs w:val="13"/>
                <w:b w:val="1"/>
                <w:bCs w:val="1"/>
                <w:color w:val="auto"/>
                <w:w w:val="96"/>
              </w:rPr>
              <w:t>Wilson Sonsini Goodrich &amp; Rosati, P.C.</w:t>
            </w:r>
          </w:p>
        </w:tc>
        <w:tc>
          <w:tcPr>
            <w:tcW w:w="900" w:type="dxa"/>
            <w:vAlign w:val="bottom"/>
          </w:tcPr>
          <w:p>
            <w:pPr>
              <w:spacing w:after="0"/>
              <w:rPr>
                <w:sz w:val="12"/>
                <w:szCs w:val="12"/>
                <w:color w:val="auto"/>
              </w:rPr>
            </w:pPr>
          </w:p>
        </w:tc>
        <w:tc>
          <w:tcPr>
            <w:tcW w:w="3180" w:type="dxa"/>
            <w:vAlign w:val="bottom"/>
            <w:gridSpan w:val="2"/>
          </w:tcPr>
          <w:p>
            <w:pPr>
              <w:jc w:val="center"/>
              <w:ind w:right="920"/>
              <w:spacing w:after="0" w:line="142" w:lineRule="exact"/>
              <w:rPr>
                <w:sz w:val="20"/>
                <w:szCs w:val="20"/>
                <w:color w:val="auto"/>
              </w:rPr>
            </w:pPr>
            <w:r>
              <w:rPr>
                <w:rFonts w:ascii="Arial" w:cs="Arial" w:eastAsia="Arial" w:hAnsi="Arial"/>
                <w:sz w:val="13"/>
                <w:szCs w:val="13"/>
                <w:b w:val="1"/>
                <w:bCs w:val="1"/>
                <w:color w:val="auto"/>
                <w:w w:val="96"/>
              </w:rPr>
              <w:t>Emily Sairafian</w:t>
            </w:r>
          </w:p>
        </w:tc>
        <w:tc>
          <w:tcPr>
            <w:tcW w:w="1920" w:type="dxa"/>
            <w:vAlign w:val="bottom"/>
          </w:tcPr>
          <w:p>
            <w:pPr>
              <w:jc w:val="center"/>
              <w:ind w:left="279"/>
              <w:spacing w:after="0" w:line="142" w:lineRule="exact"/>
              <w:rPr>
                <w:sz w:val="20"/>
                <w:szCs w:val="20"/>
                <w:color w:val="auto"/>
              </w:rPr>
            </w:pPr>
            <w:r>
              <w:rPr>
                <w:rFonts w:ascii="Arial" w:cs="Arial" w:eastAsia="Arial" w:hAnsi="Arial"/>
                <w:sz w:val="13"/>
                <w:szCs w:val="13"/>
                <w:b w:val="1"/>
                <w:bCs w:val="1"/>
                <w:color w:val="auto"/>
                <w:w w:val="96"/>
              </w:rPr>
              <w:t>1870 Embarcadero Road</w:t>
            </w:r>
          </w:p>
        </w:tc>
      </w:tr>
      <w:tr>
        <w:trPr>
          <w:trHeight w:val="142"/>
        </w:trPr>
        <w:tc>
          <w:tcPr>
            <w:tcW w:w="2440" w:type="dxa"/>
            <w:vAlign w:val="bottom"/>
          </w:tcPr>
          <w:p>
            <w:pPr>
              <w:jc w:val="center"/>
              <w:ind w:right="39"/>
              <w:spacing w:after="0" w:line="142" w:lineRule="exact"/>
              <w:rPr>
                <w:sz w:val="20"/>
                <w:szCs w:val="20"/>
                <w:color w:val="auto"/>
              </w:rPr>
            </w:pPr>
            <w:r>
              <w:rPr>
                <w:rFonts w:ascii="Arial" w:cs="Arial" w:eastAsia="Arial" w:hAnsi="Arial"/>
                <w:sz w:val="13"/>
                <w:szCs w:val="13"/>
                <w:b w:val="1"/>
                <w:bCs w:val="1"/>
                <w:color w:val="auto"/>
                <w:w w:val="96"/>
              </w:rPr>
              <w:t>650 Page Mill Road</w:t>
            </w:r>
          </w:p>
        </w:tc>
        <w:tc>
          <w:tcPr>
            <w:tcW w:w="900" w:type="dxa"/>
            <w:vAlign w:val="bottom"/>
          </w:tcPr>
          <w:p>
            <w:pPr>
              <w:spacing w:after="0"/>
              <w:rPr>
                <w:sz w:val="12"/>
                <w:szCs w:val="12"/>
                <w:color w:val="auto"/>
              </w:rPr>
            </w:pPr>
          </w:p>
        </w:tc>
        <w:tc>
          <w:tcPr>
            <w:tcW w:w="3180" w:type="dxa"/>
            <w:vAlign w:val="bottom"/>
            <w:gridSpan w:val="2"/>
          </w:tcPr>
          <w:p>
            <w:pPr>
              <w:jc w:val="center"/>
              <w:ind w:right="920"/>
              <w:spacing w:after="0" w:line="142" w:lineRule="exact"/>
              <w:rPr>
                <w:sz w:val="20"/>
                <w:szCs w:val="20"/>
                <w:color w:val="auto"/>
              </w:rPr>
            </w:pPr>
            <w:r>
              <w:rPr>
                <w:rFonts w:ascii="Arial" w:cs="Arial" w:eastAsia="Arial" w:hAnsi="Arial"/>
                <w:sz w:val="13"/>
                <w:szCs w:val="13"/>
                <w:b w:val="1"/>
                <w:bCs w:val="1"/>
                <w:color w:val="auto"/>
                <w:w w:val="96"/>
              </w:rPr>
              <w:t>Upstart Holdings, Inc.</w:t>
            </w:r>
          </w:p>
        </w:tc>
        <w:tc>
          <w:tcPr>
            <w:tcW w:w="1920" w:type="dxa"/>
            <w:vAlign w:val="bottom"/>
          </w:tcPr>
          <w:p>
            <w:pPr>
              <w:jc w:val="center"/>
              <w:ind w:left="279"/>
              <w:spacing w:after="0" w:line="142" w:lineRule="exact"/>
              <w:rPr>
                <w:sz w:val="20"/>
                <w:szCs w:val="20"/>
                <w:color w:val="auto"/>
              </w:rPr>
            </w:pPr>
            <w:r>
              <w:rPr>
                <w:rFonts w:ascii="Arial" w:cs="Arial" w:eastAsia="Arial" w:hAnsi="Arial"/>
                <w:sz w:val="13"/>
                <w:szCs w:val="13"/>
                <w:b w:val="1"/>
                <w:bCs w:val="1"/>
                <w:color w:val="auto"/>
                <w:w w:val="96"/>
              </w:rPr>
              <w:t>Palo Alto, California 94303</w:t>
            </w:r>
          </w:p>
        </w:tc>
      </w:tr>
      <w:tr>
        <w:trPr>
          <w:trHeight w:val="142"/>
        </w:trPr>
        <w:tc>
          <w:tcPr>
            <w:tcW w:w="2440" w:type="dxa"/>
            <w:vAlign w:val="bottom"/>
          </w:tcPr>
          <w:p>
            <w:pPr>
              <w:jc w:val="center"/>
              <w:ind w:right="39"/>
              <w:spacing w:after="0" w:line="142" w:lineRule="exact"/>
              <w:rPr>
                <w:sz w:val="20"/>
                <w:szCs w:val="20"/>
                <w:color w:val="auto"/>
              </w:rPr>
            </w:pPr>
            <w:r>
              <w:rPr>
                <w:rFonts w:ascii="Arial" w:cs="Arial" w:eastAsia="Arial" w:hAnsi="Arial"/>
                <w:sz w:val="13"/>
                <w:szCs w:val="13"/>
                <w:b w:val="1"/>
                <w:bCs w:val="1"/>
                <w:color w:val="auto"/>
                <w:w w:val="96"/>
              </w:rPr>
              <w:t>Palo Alto, California 94304</w:t>
            </w:r>
          </w:p>
        </w:tc>
        <w:tc>
          <w:tcPr>
            <w:tcW w:w="900" w:type="dxa"/>
            <w:vAlign w:val="bottom"/>
          </w:tcPr>
          <w:p>
            <w:pPr>
              <w:spacing w:after="0"/>
              <w:rPr>
                <w:sz w:val="12"/>
                <w:szCs w:val="12"/>
                <w:color w:val="auto"/>
              </w:rPr>
            </w:pPr>
          </w:p>
        </w:tc>
        <w:tc>
          <w:tcPr>
            <w:tcW w:w="3180" w:type="dxa"/>
            <w:vAlign w:val="bottom"/>
            <w:gridSpan w:val="2"/>
          </w:tcPr>
          <w:p>
            <w:pPr>
              <w:jc w:val="center"/>
              <w:ind w:right="940"/>
              <w:spacing w:after="0" w:line="142" w:lineRule="exact"/>
              <w:rPr>
                <w:sz w:val="20"/>
                <w:szCs w:val="20"/>
                <w:color w:val="auto"/>
              </w:rPr>
            </w:pPr>
            <w:r>
              <w:rPr>
                <w:rFonts w:ascii="Arial" w:cs="Arial" w:eastAsia="Arial" w:hAnsi="Arial"/>
                <w:sz w:val="13"/>
                <w:szCs w:val="13"/>
                <w:b w:val="1"/>
                <w:bCs w:val="1"/>
                <w:color w:val="auto"/>
                <w:w w:val="96"/>
              </w:rPr>
              <w:t>2950 S. Delaware Street, Suite 300</w:t>
            </w:r>
          </w:p>
        </w:tc>
        <w:tc>
          <w:tcPr>
            <w:tcW w:w="1920" w:type="dxa"/>
            <w:vAlign w:val="bottom"/>
          </w:tcPr>
          <w:p>
            <w:pPr>
              <w:jc w:val="right"/>
              <w:ind w:right="299"/>
              <w:spacing w:after="0" w:line="142" w:lineRule="exact"/>
              <w:rPr>
                <w:sz w:val="20"/>
                <w:szCs w:val="20"/>
                <w:color w:val="auto"/>
              </w:rPr>
            </w:pPr>
            <w:r>
              <w:rPr>
                <w:rFonts w:ascii="Arial" w:cs="Arial" w:eastAsia="Arial" w:hAnsi="Arial"/>
                <w:sz w:val="13"/>
                <w:szCs w:val="13"/>
                <w:b w:val="1"/>
                <w:bCs w:val="1"/>
                <w:color w:val="auto"/>
              </w:rPr>
              <w:t>(650) 461-5600</w:t>
            </w:r>
          </w:p>
        </w:tc>
      </w:tr>
      <w:tr>
        <w:trPr>
          <w:trHeight w:val="142"/>
        </w:trPr>
        <w:tc>
          <w:tcPr>
            <w:tcW w:w="2440" w:type="dxa"/>
            <w:vAlign w:val="bottom"/>
          </w:tcPr>
          <w:p>
            <w:pPr>
              <w:jc w:val="center"/>
              <w:ind w:right="39"/>
              <w:spacing w:after="0" w:line="142" w:lineRule="exact"/>
              <w:rPr>
                <w:sz w:val="20"/>
                <w:szCs w:val="20"/>
                <w:color w:val="auto"/>
              </w:rPr>
            </w:pPr>
            <w:r>
              <w:rPr>
                <w:rFonts w:ascii="Arial" w:cs="Arial" w:eastAsia="Arial" w:hAnsi="Arial"/>
                <w:sz w:val="13"/>
                <w:szCs w:val="13"/>
                <w:b w:val="1"/>
                <w:bCs w:val="1"/>
                <w:color w:val="auto"/>
                <w:w w:val="96"/>
              </w:rPr>
              <w:t>(650) 493-9300</w:t>
            </w:r>
          </w:p>
        </w:tc>
        <w:tc>
          <w:tcPr>
            <w:tcW w:w="900" w:type="dxa"/>
            <w:vAlign w:val="bottom"/>
          </w:tcPr>
          <w:p>
            <w:pPr>
              <w:spacing w:after="0"/>
              <w:rPr>
                <w:sz w:val="12"/>
                <w:szCs w:val="12"/>
                <w:color w:val="auto"/>
              </w:rPr>
            </w:pPr>
          </w:p>
        </w:tc>
        <w:tc>
          <w:tcPr>
            <w:tcW w:w="3180" w:type="dxa"/>
            <w:vAlign w:val="bottom"/>
            <w:gridSpan w:val="2"/>
          </w:tcPr>
          <w:p>
            <w:pPr>
              <w:jc w:val="center"/>
              <w:ind w:right="920"/>
              <w:spacing w:after="0" w:line="142" w:lineRule="exact"/>
              <w:rPr>
                <w:sz w:val="20"/>
                <w:szCs w:val="20"/>
                <w:color w:val="auto"/>
              </w:rPr>
            </w:pPr>
            <w:r>
              <w:rPr>
                <w:rFonts w:ascii="Arial" w:cs="Arial" w:eastAsia="Arial" w:hAnsi="Arial"/>
                <w:sz w:val="13"/>
                <w:szCs w:val="13"/>
                <w:b w:val="1"/>
                <w:bCs w:val="1"/>
                <w:color w:val="auto"/>
                <w:w w:val="96"/>
              </w:rPr>
              <w:t>San Mateo, California 94403</w:t>
            </w:r>
          </w:p>
        </w:tc>
        <w:tc>
          <w:tcPr>
            <w:tcW w:w="1920" w:type="dxa"/>
            <w:vAlign w:val="bottom"/>
          </w:tcPr>
          <w:p>
            <w:pPr>
              <w:spacing w:after="0"/>
              <w:rPr>
                <w:sz w:val="12"/>
                <w:szCs w:val="12"/>
                <w:color w:val="auto"/>
              </w:rPr>
            </w:pPr>
          </w:p>
        </w:tc>
      </w:tr>
      <w:tr>
        <w:trPr>
          <w:trHeight w:val="168"/>
        </w:trPr>
        <w:tc>
          <w:tcPr>
            <w:tcW w:w="2440" w:type="dxa"/>
            <w:vAlign w:val="bottom"/>
          </w:tcPr>
          <w:p>
            <w:pPr>
              <w:spacing w:after="0"/>
              <w:rPr>
                <w:sz w:val="14"/>
                <w:szCs w:val="14"/>
                <w:color w:val="auto"/>
              </w:rPr>
            </w:pPr>
          </w:p>
        </w:tc>
        <w:tc>
          <w:tcPr>
            <w:tcW w:w="2940" w:type="dxa"/>
            <w:vAlign w:val="bottom"/>
            <w:gridSpan w:val="2"/>
          </w:tcPr>
          <w:p>
            <w:pPr>
              <w:jc w:val="right"/>
              <w:ind w:right="418"/>
              <w:spacing w:after="0"/>
              <w:rPr>
                <w:sz w:val="20"/>
                <w:szCs w:val="20"/>
                <w:color w:val="auto"/>
              </w:rPr>
            </w:pPr>
            <w:r>
              <w:rPr>
                <w:rFonts w:ascii="Arial" w:cs="Arial" w:eastAsia="Arial" w:hAnsi="Arial"/>
                <w:sz w:val="13"/>
                <w:szCs w:val="13"/>
                <w:b w:val="1"/>
                <w:bCs w:val="1"/>
                <w:color w:val="auto"/>
              </w:rPr>
              <w:t>(650) 204-1000</w:t>
            </w:r>
          </w:p>
        </w:tc>
        <w:tc>
          <w:tcPr>
            <w:tcW w:w="1140" w:type="dxa"/>
            <w:vAlign w:val="bottom"/>
          </w:tcPr>
          <w:p>
            <w:pPr>
              <w:spacing w:after="0"/>
              <w:rPr>
                <w:sz w:val="14"/>
                <w:szCs w:val="14"/>
                <w:color w:val="auto"/>
              </w:rPr>
            </w:pPr>
          </w:p>
        </w:tc>
        <w:tc>
          <w:tcPr>
            <w:tcW w:w="19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95885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79"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8"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As soon as practicable after this registration statement becomes effective.</w:t>
      </w:r>
    </w:p>
    <w:p>
      <w:pPr>
        <w:spacing w:after="0" w:line="40" w:lineRule="exact"/>
        <w:rPr>
          <w:sz w:val="24"/>
          <w:szCs w:val="24"/>
          <w:color w:val="auto"/>
        </w:rPr>
      </w:pPr>
    </w:p>
    <w:p>
      <w:pPr>
        <w:ind w:left="800" w:right="40" w:firstLine="482"/>
        <w:spacing w:after="0" w:line="154"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5" w:lineRule="exact"/>
        <w:rPr>
          <w:sz w:val="24"/>
          <w:szCs w:val="24"/>
          <w:color w:val="auto"/>
        </w:rPr>
      </w:pPr>
    </w:p>
    <w:p>
      <w:pPr>
        <w:ind w:left="800" w:right="440" w:firstLine="482"/>
        <w:spacing w:after="0" w:line="154"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5" w:lineRule="exact"/>
        <w:rPr>
          <w:sz w:val="24"/>
          <w:szCs w:val="24"/>
          <w:color w:val="auto"/>
        </w:rPr>
      </w:pPr>
    </w:p>
    <w:p>
      <w:pPr>
        <w:ind w:left="800" w:right="340" w:firstLine="482"/>
        <w:spacing w:after="0" w:line="154"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5" w:lineRule="exact"/>
        <w:rPr>
          <w:sz w:val="24"/>
          <w:szCs w:val="24"/>
          <w:color w:val="auto"/>
        </w:rPr>
      </w:pPr>
    </w:p>
    <w:p>
      <w:pPr>
        <w:ind w:left="800" w:right="340" w:firstLine="482"/>
        <w:spacing w:after="0" w:line="15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5" w:lineRule="exact"/>
        <w:rPr>
          <w:sz w:val="24"/>
          <w:szCs w:val="24"/>
          <w:color w:val="auto"/>
        </w:rPr>
      </w:pPr>
    </w:p>
    <w:p>
      <w:pPr>
        <w:ind w:left="800" w:right="260" w:firstLine="482"/>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800" w:type="dxa"/>
        <w:tblCellMar>
          <w:top w:w="0" w:type="dxa"/>
          <w:left w:w="0" w:type="dxa"/>
          <w:bottom w:w="0" w:type="dxa"/>
          <w:right w:w="0" w:type="dxa"/>
        </w:tblCellMar>
      </w:tblPr>
      <w:tr>
        <w:trPr>
          <w:trHeight w:val="159"/>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tcPr>
          <w:p>
            <w:pPr>
              <w:ind w:left="2540"/>
              <w:spacing w:after="0"/>
              <w:rPr>
                <w:sz w:val="20"/>
                <w:szCs w:val="20"/>
                <w:color w:val="auto"/>
              </w:rPr>
            </w:pPr>
            <w:r>
              <w:rPr>
                <w:rFonts w:ascii="Arial" w:cs="Arial" w:eastAsia="Arial" w:hAnsi="Arial"/>
                <w:sz w:val="13"/>
                <w:szCs w:val="13"/>
                <w:color w:val="auto"/>
              </w:rPr>
              <w:t>Accelerated filer</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54"/>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29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tcPr>
          <w:p>
            <w:pPr>
              <w:ind w:left="2540"/>
              <w:spacing w:after="0"/>
              <w:rPr>
                <w:sz w:val="20"/>
                <w:szCs w:val="20"/>
                <w:color w:val="auto"/>
              </w:rPr>
            </w:pPr>
            <w:r>
              <w:rPr>
                <w:rFonts w:ascii="Arial" w:cs="Arial" w:eastAsia="Arial" w:hAnsi="Arial"/>
                <w:sz w:val="13"/>
                <w:szCs w:val="13"/>
                <w:color w:val="auto"/>
              </w:rPr>
              <w:t>Smaller reporting company</w:t>
            </w:r>
          </w:p>
        </w:tc>
        <w:tc>
          <w:tcPr>
            <w:tcW w:w="4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30" w:lineRule="exact"/>
        <w:rPr>
          <w:sz w:val="24"/>
          <w:szCs w:val="24"/>
          <w:color w:val="auto"/>
        </w:rPr>
      </w:pPr>
    </w:p>
    <w:p>
      <w:pPr>
        <w:jc w:val="both"/>
        <w:ind w:left="800" w:right="80" w:firstLine="482"/>
        <w:spacing w:after="0" w:line="15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9"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CALCULATION OF REGISTRATION FEE</w:t>
      </w:r>
    </w:p>
    <w:p>
      <w:pPr>
        <w:spacing w:after="0" w:line="43" w:lineRule="exact"/>
        <w:rPr>
          <w:sz w:val="24"/>
          <w:szCs w:val="24"/>
          <w:color w:val="auto"/>
        </w:rPr>
      </w:pPr>
    </w:p>
    <w:tbl>
      <w:tblPr>
        <w:tblLayout w:type="fixed"/>
        <w:tblInd w:w="800" w:type="dxa"/>
        <w:tblCellMar>
          <w:top w:w="0" w:type="dxa"/>
          <w:left w:w="0" w:type="dxa"/>
          <w:bottom w:w="0" w:type="dxa"/>
          <w:right w:w="0" w:type="dxa"/>
        </w:tblCellMar>
      </w:tblPr>
      <w:tr>
        <w:trPr>
          <w:trHeight w:val="40"/>
        </w:trPr>
        <w:tc>
          <w:tcPr>
            <w:tcW w:w="47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82"/>
        </w:trPr>
        <w:tc>
          <w:tcPr>
            <w:tcW w:w="47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jc w:val="center"/>
              <w:ind w:left="26"/>
              <w:spacing w:after="0" w:line="82" w:lineRule="exact"/>
              <w:rPr>
                <w:sz w:val="20"/>
                <w:szCs w:val="20"/>
                <w:color w:val="auto"/>
              </w:rPr>
            </w:pPr>
            <w:r>
              <w:rPr>
                <w:rFonts w:ascii="Arial" w:cs="Arial" w:eastAsia="Arial" w:hAnsi="Arial"/>
                <w:sz w:val="9"/>
                <w:szCs w:val="9"/>
                <w:b w:val="1"/>
                <w:bCs w:val="1"/>
                <w:color w:val="auto"/>
              </w:rPr>
              <w:t>Amount</w:t>
            </w:r>
          </w:p>
        </w:tc>
        <w:tc>
          <w:tcPr>
            <w:tcW w:w="1640" w:type="dxa"/>
            <w:vAlign w:val="bottom"/>
            <w:tcBorders>
              <w:right w:val="single" w:sz="8" w:color="auto"/>
            </w:tcBorders>
          </w:tcPr>
          <w:p>
            <w:pPr>
              <w:jc w:val="center"/>
              <w:ind w:left="6"/>
              <w:spacing w:after="0" w:line="82" w:lineRule="exact"/>
              <w:rPr>
                <w:sz w:val="20"/>
                <w:szCs w:val="20"/>
                <w:color w:val="auto"/>
              </w:rPr>
            </w:pPr>
            <w:r>
              <w:rPr>
                <w:rFonts w:ascii="Arial" w:cs="Arial" w:eastAsia="Arial" w:hAnsi="Arial"/>
                <w:sz w:val="9"/>
                <w:szCs w:val="9"/>
                <w:b w:val="1"/>
                <w:bCs w:val="1"/>
                <w:color w:val="auto"/>
              </w:rPr>
              <w:t>Proposed Maximum</w:t>
            </w:r>
          </w:p>
        </w:tc>
        <w:tc>
          <w:tcPr>
            <w:tcW w:w="1600" w:type="dxa"/>
            <w:vAlign w:val="bottom"/>
          </w:tcPr>
          <w:p>
            <w:pPr>
              <w:spacing w:after="0"/>
              <w:rPr>
                <w:sz w:val="7"/>
                <w:szCs w:val="7"/>
                <w:color w:val="auto"/>
              </w:rPr>
            </w:pPr>
          </w:p>
        </w:tc>
      </w:tr>
      <w:tr>
        <w:trPr>
          <w:trHeight w:val="118"/>
        </w:trPr>
        <w:tc>
          <w:tcPr>
            <w:tcW w:w="474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1"/>
                <w:szCs w:val="11"/>
                <w:b w:val="1"/>
                <w:bCs w:val="1"/>
                <w:color w:val="auto"/>
                <w:w w:val="99"/>
              </w:rPr>
              <w:t>Title of each Class of</w:t>
            </w:r>
          </w:p>
        </w:tc>
        <w:tc>
          <w:tcPr>
            <w:tcW w:w="1660" w:type="dxa"/>
            <w:vAlign w:val="bottom"/>
            <w:tcBorders>
              <w:right w:val="single" w:sz="8" w:color="auto"/>
            </w:tcBorders>
          </w:tcPr>
          <w:p>
            <w:pPr>
              <w:jc w:val="center"/>
              <w:ind w:left="26"/>
              <w:spacing w:after="0" w:line="119" w:lineRule="exact"/>
              <w:rPr>
                <w:sz w:val="20"/>
                <w:szCs w:val="20"/>
                <w:color w:val="auto"/>
              </w:rPr>
            </w:pPr>
            <w:r>
              <w:rPr>
                <w:rFonts w:ascii="Arial" w:cs="Arial" w:eastAsia="Arial" w:hAnsi="Arial"/>
                <w:sz w:val="11"/>
                <w:szCs w:val="11"/>
                <w:b w:val="1"/>
                <w:bCs w:val="1"/>
                <w:color w:val="auto"/>
                <w:w w:val="98"/>
              </w:rPr>
              <w:t>to be</w:t>
            </w:r>
          </w:p>
        </w:tc>
        <w:tc>
          <w:tcPr>
            <w:tcW w:w="1640" w:type="dxa"/>
            <w:vAlign w:val="bottom"/>
            <w:tcBorders>
              <w:right w:val="single" w:sz="8" w:color="auto"/>
            </w:tcBorders>
          </w:tcPr>
          <w:p>
            <w:pPr>
              <w:jc w:val="center"/>
              <w:ind w:left="6"/>
              <w:spacing w:after="0" w:line="119" w:lineRule="exact"/>
              <w:rPr>
                <w:sz w:val="20"/>
                <w:szCs w:val="20"/>
                <w:color w:val="auto"/>
              </w:rPr>
            </w:pPr>
            <w:r>
              <w:rPr>
                <w:rFonts w:ascii="Arial" w:cs="Arial" w:eastAsia="Arial" w:hAnsi="Arial"/>
                <w:sz w:val="11"/>
                <w:szCs w:val="11"/>
                <w:b w:val="1"/>
                <w:bCs w:val="1"/>
                <w:color w:val="auto"/>
              </w:rPr>
              <w:t>Aggregate Offering</w:t>
            </w:r>
          </w:p>
        </w:tc>
        <w:tc>
          <w:tcPr>
            <w:tcW w:w="1600" w:type="dxa"/>
            <w:vAlign w:val="bottom"/>
          </w:tcPr>
          <w:p>
            <w:pPr>
              <w:jc w:val="center"/>
              <w:ind w:left="22"/>
              <w:spacing w:after="0" w:line="119" w:lineRule="exact"/>
              <w:rPr>
                <w:sz w:val="20"/>
                <w:szCs w:val="20"/>
                <w:color w:val="auto"/>
              </w:rPr>
            </w:pPr>
            <w:r>
              <w:rPr>
                <w:rFonts w:ascii="Arial" w:cs="Arial" w:eastAsia="Arial" w:hAnsi="Arial"/>
                <w:sz w:val="11"/>
                <w:szCs w:val="11"/>
                <w:b w:val="1"/>
                <w:bCs w:val="1"/>
                <w:color w:val="auto"/>
              </w:rPr>
              <w:t>Amount of</w:t>
            </w:r>
          </w:p>
        </w:tc>
      </w:tr>
      <w:tr>
        <w:trPr>
          <w:trHeight w:val="142"/>
        </w:trPr>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Securities to be Registered</w:t>
            </w:r>
          </w:p>
        </w:tc>
        <w:tc>
          <w:tcPr>
            <w:tcW w:w="166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1"/>
                <w:szCs w:val="11"/>
                <w:b w:val="1"/>
                <w:bCs w:val="1"/>
                <w:color w:val="auto"/>
              </w:rPr>
              <w:t>Registered</w:t>
            </w:r>
            <w:r>
              <w:rPr>
                <w:rFonts w:ascii="Arial" w:cs="Arial" w:eastAsia="Arial" w:hAnsi="Arial"/>
                <w:sz w:val="9"/>
                <w:szCs w:val="9"/>
                <w:b w:val="1"/>
                <w:bCs w:val="1"/>
                <w:color w:val="auto"/>
              </w:rPr>
              <w:t>(1)</w:t>
            </w:r>
          </w:p>
        </w:tc>
        <w:tc>
          <w:tcPr>
            <w:tcW w:w="164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1"/>
                <w:szCs w:val="11"/>
                <w:b w:val="1"/>
                <w:bCs w:val="1"/>
                <w:color w:val="auto"/>
              </w:rPr>
              <w:t>Price</w:t>
            </w:r>
            <w:r>
              <w:rPr>
                <w:rFonts w:ascii="Arial" w:cs="Arial" w:eastAsia="Arial" w:hAnsi="Arial"/>
                <w:sz w:val="9"/>
                <w:szCs w:val="9"/>
                <w:b w:val="1"/>
                <w:bCs w:val="1"/>
                <w:color w:val="auto"/>
              </w:rPr>
              <w:t>(1)(2)</w:t>
            </w:r>
          </w:p>
        </w:tc>
        <w:tc>
          <w:tcPr>
            <w:tcW w:w="1600" w:type="dxa"/>
            <w:vAlign w:val="bottom"/>
            <w:tcBorders>
              <w:bottom w:val="single" w:sz="8" w:color="auto"/>
            </w:tcBorders>
          </w:tcPr>
          <w:p>
            <w:pPr>
              <w:jc w:val="center"/>
              <w:ind w:left="22"/>
              <w:spacing w:after="0"/>
              <w:rPr>
                <w:sz w:val="20"/>
                <w:szCs w:val="20"/>
                <w:color w:val="auto"/>
              </w:rPr>
            </w:pPr>
            <w:r>
              <w:rPr>
                <w:rFonts w:ascii="Arial" w:cs="Arial" w:eastAsia="Arial" w:hAnsi="Arial"/>
                <w:sz w:val="11"/>
                <w:szCs w:val="11"/>
                <w:b w:val="1"/>
                <w:bCs w:val="1"/>
                <w:color w:val="auto"/>
              </w:rPr>
              <w:t>Registration Fee</w:t>
            </w:r>
          </w:p>
        </w:tc>
      </w:tr>
      <w:tr>
        <w:trPr>
          <w:trHeight w:val="134"/>
        </w:trPr>
        <w:tc>
          <w:tcPr>
            <w:tcW w:w="4740" w:type="dxa"/>
            <w:vAlign w:val="bottom"/>
            <w:tcBorders>
              <w:bottom w:val="single" w:sz="8" w:color="auto"/>
              <w:right w:val="single" w:sz="8" w:color="auto"/>
            </w:tcBorders>
          </w:tcPr>
          <w:p>
            <w:pPr>
              <w:spacing w:after="0" w:line="134" w:lineRule="exact"/>
              <w:rPr>
                <w:sz w:val="20"/>
                <w:szCs w:val="20"/>
                <w:color w:val="auto"/>
              </w:rPr>
            </w:pPr>
            <w:r>
              <w:rPr>
                <w:rFonts w:ascii="Arial" w:cs="Arial" w:eastAsia="Arial" w:hAnsi="Arial"/>
                <w:sz w:val="13"/>
                <w:szCs w:val="13"/>
                <w:color w:val="auto"/>
              </w:rPr>
              <w:t>Common stock, par value $0.0001 per share</w:t>
            </w:r>
          </w:p>
        </w:tc>
        <w:tc>
          <w:tcPr>
            <w:tcW w:w="1660" w:type="dxa"/>
            <w:vAlign w:val="bottom"/>
            <w:tcBorders>
              <w:bottom w:val="single" w:sz="8" w:color="auto"/>
              <w:right w:val="single" w:sz="8" w:color="auto"/>
            </w:tcBorders>
          </w:tcPr>
          <w:p>
            <w:pPr>
              <w:jc w:val="center"/>
              <w:ind w:left="46"/>
              <w:spacing w:after="0" w:line="134" w:lineRule="exact"/>
              <w:rPr>
                <w:sz w:val="20"/>
                <w:szCs w:val="20"/>
                <w:color w:val="auto"/>
              </w:rPr>
            </w:pPr>
            <w:r>
              <w:rPr>
                <w:rFonts w:ascii="Arial" w:cs="Arial" w:eastAsia="Arial" w:hAnsi="Arial"/>
                <w:sz w:val="13"/>
                <w:szCs w:val="13"/>
                <w:color w:val="auto"/>
                <w:w w:val="96"/>
              </w:rPr>
              <w:t>2,300,000</w:t>
            </w:r>
          </w:p>
        </w:tc>
        <w:tc>
          <w:tcPr>
            <w:tcW w:w="1640" w:type="dxa"/>
            <w:vAlign w:val="bottom"/>
            <w:tcBorders>
              <w:bottom w:val="single" w:sz="8" w:color="auto"/>
              <w:right w:val="single" w:sz="8" w:color="auto"/>
            </w:tcBorders>
          </w:tcPr>
          <w:p>
            <w:pPr>
              <w:jc w:val="center"/>
              <w:ind w:left="6"/>
              <w:spacing w:after="0" w:line="134" w:lineRule="exact"/>
              <w:rPr>
                <w:sz w:val="20"/>
                <w:szCs w:val="20"/>
                <w:color w:val="auto"/>
              </w:rPr>
            </w:pPr>
            <w:r>
              <w:rPr>
                <w:rFonts w:ascii="Arial" w:cs="Arial" w:eastAsia="Arial" w:hAnsi="Arial"/>
                <w:sz w:val="13"/>
                <w:szCs w:val="13"/>
                <w:color w:val="auto"/>
                <w:w w:val="98"/>
              </w:rPr>
              <w:t>$336,122,000</w:t>
            </w:r>
          </w:p>
        </w:tc>
        <w:tc>
          <w:tcPr>
            <w:tcW w:w="1600" w:type="dxa"/>
            <w:vAlign w:val="bottom"/>
            <w:tcBorders>
              <w:bottom w:val="single" w:sz="8" w:color="auto"/>
            </w:tcBorders>
          </w:tcPr>
          <w:p>
            <w:pPr>
              <w:jc w:val="center"/>
              <w:ind w:left="22"/>
              <w:spacing w:after="0" w:line="134" w:lineRule="exact"/>
              <w:rPr>
                <w:sz w:val="20"/>
                <w:szCs w:val="20"/>
                <w:color w:val="auto"/>
              </w:rPr>
            </w:pPr>
            <w:r>
              <w:rPr>
                <w:rFonts w:ascii="Arial" w:cs="Arial" w:eastAsia="Arial" w:hAnsi="Arial"/>
                <w:sz w:val="13"/>
                <w:szCs w:val="13"/>
                <w:color w:val="auto"/>
                <w:w w:val="98"/>
              </w:rPr>
              <w:t>$36,670.92</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ind w:left="1080" w:hanging="281"/>
        <w:spacing w:after="0" w:line="236" w:lineRule="auto"/>
        <w:tabs>
          <w:tab w:leader="none" w:pos="108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additional shares of our common stock that the underwriters have the option to purchase.</w:t>
      </w:r>
    </w:p>
    <w:p>
      <w:pPr>
        <w:ind w:left="1080" w:right="200" w:hanging="281"/>
        <w:spacing w:after="0" w:line="237" w:lineRule="auto"/>
        <w:tabs>
          <w:tab w:leader="none" w:pos="1080" w:val="left"/>
        </w:tabs>
        <w:numPr>
          <w:ilvl w:val="0"/>
          <w:numId w:val="1"/>
        </w:numPr>
        <w:rPr>
          <w:rFonts w:ascii="Arial" w:cs="Arial" w:eastAsia="Arial" w:hAnsi="Arial"/>
          <w:sz w:val="11"/>
          <w:szCs w:val="11"/>
          <w:color w:val="auto"/>
        </w:rPr>
      </w:pPr>
      <w:r>
        <w:rPr>
          <w:rFonts w:ascii="Arial" w:cs="Arial" w:eastAsia="Arial" w:hAnsi="Arial"/>
          <w:sz w:val="11"/>
          <w:szCs w:val="11"/>
          <w:color w:val="auto"/>
        </w:rPr>
        <w:t xml:space="preserve">Estimated solely for the purpose of calculating the registration fee in accordance with Rule 457(c) of the Securities Act of 1933, as amended, on the basis of the average of the high and low prices of the registrant’s common stock as reported on the Nasdaq Global Select Market on </w:t>
      </w:r>
      <w:r>
        <w:rPr>
          <w:rFonts w:ascii="Arial" w:cs="Arial" w:eastAsia="Arial" w:hAnsi="Arial"/>
          <w:sz w:val="11"/>
          <w:szCs w:val="11"/>
          <w:u w:val="single" w:color="auto"/>
          <w:color w:val="auto"/>
        </w:rPr>
        <w:t>April 5</w:t>
      </w:r>
      <w:r>
        <w:rPr>
          <w:rFonts w:ascii="Arial" w:cs="Arial" w:eastAsia="Arial" w:hAnsi="Arial"/>
          <w:sz w:val="11"/>
          <w:szCs w:val="11"/>
          <w:color w:val="auto"/>
        </w:rPr>
        <w: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2925445</wp:posOffset>
            </wp:positionH>
            <wp:positionV relativeFrom="paragraph">
              <wp:posOffset>100330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185" w:lineRule="exact"/>
        <w:rPr>
          <w:sz w:val="24"/>
          <w:szCs w:val="24"/>
          <w:color w:val="auto"/>
        </w:rPr>
      </w:pPr>
    </w:p>
    <w:p>
      <w:pPr>
        <w:ind w:left="800" w:right="140" w:firstLine="482"/>
        <w:spacing w:after="0" w:line="23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507365</wp:posOffset>
            </wp:positionH>
            <wp:positionV relativeFrom="paragraph">
              <wp:posOffset>36195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74295</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10440"/>
          </w:cols>
          <w:pgMar w:left="320" w:top="218" w:right="11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276225</wp:posOffset>
            </wp:positionV>
            <wp:extent cx="6308090" cy="8110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8090" cy="811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DE1A1E"/>
        </w:rPr>
        <w:t>Subject to Completion. Dated April 6, 2021.</w:t>
      </w:r>
    </w:p>
    <w:p>
      <w:pPr>
        <w:spacing w:after="0" w:line="146" w:lineRule="exact"/>
        <w:rPr>
          <w:sz w:val="20"/>
          <w:szCs w:val="20"/>
          <w:color w:val="auto"/>
        </w:rPr>
      </w:pPr>
    </w:p>
    <w:p>
      <w:pPr>
        <w:ind w:left="4800"/>
        <w:spacing w:after="0"/>
        <w:rPr>
          <w:sz w:val="20"/>
          <w:szCs w:val="20"/>
          <w:color w:val="auto"/>
        </w:rPr>
      </w:pPr>
      <w:r>
        <w:rPr>
          <w:rFonts w:ascii="Arial" w:cs="Arial" w:eastAsia="Arial" w:hAnsi="Arial"/>
          <w:sz w:val="22"/>
          <w:szCs w:val="22"/>
          <w:color w:val="FCFCFC"/>
        </w:rPr>
        <w:t>2,000,000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FCFCFC"/>
        </w:rPr>
        <w:t>Upstart Holdings, Inc.</w:t>
      </w:r>
    </w:p>
    <w:p>
      <w:pPr>
        <w:spacing w:after="0" w:line="232" w:lineRule="exact"/>
        <w:rPr>
          <w:sz w:val="20"/>
          <w:szCs w:val="20"/>
          <w:color w:val="auto"/>
        </w:rPr>
      </w:pPr>
    </w:p>
    <w:p>
      <w:pPr>
        <w:ind w:left="4920"/>
        <w:spacing w:after="0"/>
        <w:rPr>
          <w:sz w:val="20"/>
          <w:szCs w:val="20"/>
          <w:color w:val="auto"/>
        </w:rPr>
      </w:pPr>
      <w:r>
        <w:rPr>
          <w:rFonts w:ascii="Arial" w:cs="Arial" w:eastAsia="Arial" w:hAnsi="Arial"/>
          <w:sz w:val="22"/>
          <w:szCs w:val="22"/>
          <w:color w:val="FCFCFC"/>
        </w:rPr>
        <w:t>Common Stock</w:t>
      </w:r>
    </w:p>
    <w:p>
      <w:pPr>
        <w:spacing w:after="0" w:line="80"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FCFCFC"/>
        </w:rPr>
        <w:t>___________________</w:t>
      </w:r>
    </w:p>
    <w:p>
      <w:pPr>
        <w:spacing w:after="0" w:line="108" w:lineRule="exact"/>
        <w:rPr>
          <w:sz w:val="20"/>
          <w:szCs w:val="20"/>
          <w:color w:val="auto"/>
        </w:rPr>
      </w:pPr>
    </w:p>
    <w:p>
      <w:pPr>
        <w:ind w:left="2500"/>
        <w:spacing w:after="0"/>
        <w:rPr>
          <w:sz w:val="20"/>
          <w:szCs w:val="20"/>
          <w:color w:val="auto"/>
        </w:rPr>
      </w:pPr>
      <w:r>
        <w:rPr>
          <w:rFonts w:ascii="Arial" w:cs="Arial" w:eastAsia="Arial" w:hAnsi="Arial"/>
          <w:sz w:val="16"/>
          <w:szCs w:val="16"/>
          <w:color w:val="FCFCFC"/>
        </w:rPr>
        <w:t>We are offering 2,000,000 shares of our common stock.</w:t>
      </w:r>
    </w:p>
    <w:p>
      <w:pPr>
        <w:spacing w:after="0" w:line="88" w:lineRule="exact"/>
        <w:rPr>
          <w:sz w:val="20"/>
          <w:szCs w:val="20"/>
          <w:color w:val="auto"/>
        </w:rPr>
      </w:pPr>
    </w:p>
    <w:p>
      <w:pPr>
        <w:ind w:left="2160" w:right="1039" w:firstLine="352"/>
        <w:spacing w:after="0" w:line="236" w:lineRule="auto"/>
        <w:rPr>
          <w:sz w:val="20"/>
          <w:szCs w:val="20"/>
          <w:color w:val="auto"/>
        </w:rPr>
      </w:pPr>
      <w:r>
        <w:rPr>
          <w:rFonts w:ascii="Arial" w:cs="Arial" w:eastAsia="Arial" w:hAnsi="Arial"/>
          <w:sz w:val="16"/>
          <w:szCs w:val="16"/>
          <w:color w:val="FCFCFC"/>
        </w:rPr>
        <w:t>Our common stock is listed on the Nasdaq Global Select Market under the symbol “UPST”. On April 5, 2021, the last reported sale price of our common stock as reported on the Nasdaq Global Select Market was $140.52 per share.</w:t>
      </w:r>
    </w:p>
    <w:p>
      <w:pPr>
        <w:spacing w:after="0" w:line="84" w:lineRule="exact"/>
        <w:rPr>
          <w:sz w:val="20"/>
          <w:szCs w:val="20"/>
          <w:color w:val="auto"/>
        </w:rPr>
      </w:pPr>
    </w:p>
    <w:p>
      <w:pPr>
        <w:ind w:left="2160" w:right="999" w:firstLine="352"/>
        <w:spacing w:after="0" w:line="236" w:lineRule="auto"/>
        <w:rPr>
          <w:sz w:val="20"/>
          <w:szCs w:val="20"/>
          <w:color w:val="auto"/>
        </w:rPr>
      </w:pPr>
      <w:r>
        <w:rPr>
          <w:rFonts w:ascii="Arial" w:cs="Arial" w:eastAsia="Arial" w:hAnsi="Arial"/>
          <w:sz w:val="16"/>
          <w:szCs w:val="16"/>
          <w:color w:val="FCFCFC"/>
        </w:rPr>
        <w:t>We are an “emerging growth company” as that term is defined under the federal securities laws and, as such, we have elected to comply with certain reduced reporting requirements for this prospectus and may elect to do so in future filings.</w:t>
      </w:r>
    </w:p>
    <w:p>
      <w:pPr>
        <w:spacing w:after="0" w:line="6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FCFCFC"/>
        </w:rPr>
        <w:t>___________________</w:t>
      </w:r>
    </w:p>
    <w:p>
      <w:pPr>
        <w:spacing w:after="0" w:line="90" w:lineRule="exact"/>
        <w:rPr>
          <w:sz w:val="20"/>
          <w:szCs w:val="20"/>
          <w:color w:val="auto"/>
        </w:rPr>
      </w:pPr>
    </w:p>
    <w:p>
      <w:pPr>
        <w:ind w:left="2160" w:right="959" w:firstLine="352"/>
        <w:spacing w:after="0" w:line="260" w:lineRule="auto"/>
        <w:rPr>
          <w:rFonts w:ascii="Arial" w:cs="Arial" w:eastAsia="Arial" w:hAnsi="Arial"/>
          <w:sz w:val="16"/>
          <w:szCs w:val="16"/>
          <w:b w:val="1"/>
          <w:bCs w:val="1"/>
          <w:i w:val="1"/>
          <w:iCs w:val="1"/>
          <w:color w:val="FCFCFC"/>
        </w:rPr>
      </w:pPr>
      <w:r>
        <w:rPr>
          <w:rFonts w:ascii="Arial" w:cs="Arial" w:eastAsia="Arial" w:hAnsi="Arial"/>
          <w:sz w:val="16"/>
          <w:szCs w:val="16"/>
          <w:b w:val="1"/>
          <w:bCs w:val="1"/>
          <w:i w:val="1"/>
          <w:iCs w:val="1"/>
          <w:color w:val="FCFCFC"/>
        </w:rPr>
        <w:t>See “</w:t>
      </w:r>
      <w:hyperlink w:anchor="page20">
        <w:r>
          <w:rPr>
            <w:rFonts w:ascii="Arial" w:cs="Arial" w:eastAsia="Arial" w:hAnsi="Arial"/>
            <w:sz w:val="16"/>
            <w:szCs w:val="16"/>
            <w:b w:val="1"/>
            <w:bCs w:val="1"/>
            <w:i w:val="1"/>
            <w:iCs w:val="1"/>
            <w:u w:val="single" w:color="auto"/>
            <w:color w:val="0000EE"/>
          </w:rPr>
          <w:t>Risk Factors</w:t>
        </w:r>
      </w:hyperlink>
      <w:r>
        <w:rPr>
          <w:rFonts w:ascii="Arial" w:cs="Arial" w:eastAsia="Arial" w:hAnsi="Arial"/>
          <w:sz w:val="16"/>
          <w:szCs w:val="16"/>
          <w:b w:val="1"/>
          <w:bCs w:val="1"/>
          <w:i w:val="1"/>
          <w:iCs w:val="1"/>
          <w:color w:val="FCFCFC"/>
        </w:rPr>
        <w:t>” beginning on page 17 to read about factors you should consider before buying shares of our common stock.</w:t>
      </w:r>
    </w:p>
    <w:p>
      <w:pPr>
        <w:spacing w:after="0" w:line="4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FCFCFC"/>
        </w:rPr>
        <w:t>___________________</w:t>
      </w:r>
    </w:p>
    <w:p>
      <w:pPr>
        <w:spacing w:after="0" w:line="88" w:lineRule="exact"/>
        <w:rPr>
          <w:sz w:val="20"/>
          <w:szCs w:val="20"/>
          <w:color w:val="auto"/>
        </w:rPr>
      </w:pPr>
    </w:p>
    <w:p>
      <w:pPr>
        <w:ind w:left="2160" w:right="959" w:firstLine="352"/>
        <w:spacing w:after="0" w:line="247" w:lineRule="auto"/>
        <w:rPr>
          <w:sz w:val="20"/>
          <w:szCs w:val="20"/>
          <w:color w:val="auto"/>
        </w:rPr>
      </w:pPr>
      <w:r>
        <w:rPr>
          <w:rFonts w:ascii="Arial" w:cs="Arial" w:eastAsia="Arial" w:hAnsi="Arial"/>
          <w:sz w:val="16"/>
          <w:szCs w:val="16"/>
          <w:b w:val="1"/>
          <w:bCs w:val="1"/>
          <w:color w:val="FCFCFC"/>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59" w:lineRule="exact"/>
        <w:rPr>
          <w:sz w:val="20"/>
          <w:szCs w:val="20"/>
          <w:color w:val="auto"/>
        </w:rPr>
      </w:pPr>
    </w:p>
    <w:tbl>
      <w:tblPr>
        <w:tblLayout w:type="fixed"/>
        <w:tblInd w:w="2160" w:type="dxa"/>
        <w:tblCellMar>
          <w:top w:w="0" w:type="dxa"/>
          <w:left w:w="0" w:type="dxa"/>
          <w:bottom w:w="0" w:type="dxa"/>
          <w:right w:w="0" w:type="dxa"/>
        </w:tblCellMar>
      </w:tblPr>
      <w:tr>
        <w:trPr>
          <w:trHeight w:val="209"/>
        </w:trPr>
        <w:tc>
          <w:tcPr>
            <w:tcW w:w="250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6"/>
                <w:szCs w:val="16"/>
                <w:b w:val="1"/>
                <w:bCs w:val="1"/>
                <w:color w:val="FCFCFC"/>
              </w:rPr>
              <w:t>___________________</w:t>
            </w:r>
          </w:p>
        </w:tc>
        <w:tc>
          <w:tcPr>
            <w:tcW w:w="660" w:type="dxa"/>
            <w:vAlign w:val="bottom"/>
          </w:tcPr>
          <w:p>
            <w:pPr>
              <w:spacing w:after="0"/>
              <w:rPr>
                <w:sz w:val="18"/>
                <w:szCs w:val="18"/>
                <w:color w:val="auto"/>
              </w:rPr>
            </w:pPr>
          </w:p>
        </w:tc>
      </w:tr>
      <w:tr>
        <w:trPr>
          <w:trHeight w:val="273"/>
        </w:trPr>
        <w:tc>
          <w:tcPr>
            <w:tcW w:w="2500" w:type="dxa"/>
            <w:vAlign w:val="bottom"/>
          </w:tcPr>
          <w:p>
            <w:pPr>
              <w:spacing w:after="0"/>
              <w:rPr>
                <w:sz w:val="23"/>
                <w:szCs w:val="23"/>
                <w:color w:val="auto"/>
              </w:rPr>
            </w:pPr>
          </w:p>
        </w:tc>
        <w:tc>
          <w:tcPr>
            <w:tcW w:w="3660" w:type="dxa"/>
            <w:vAlign w:val="bottom"/>
          </w:tcPr>
          <w:p>
            <w:pPr>
              <w:ind w:left="2780"/>
              <w:spacing w:after="0"/>
              <w:rPr>
                <w:sz w:val="20"/>
                <w:szCs w:val="20"/>
                <w:color w:val="auto"/>
              </w:rPr>
            </w:pPr>
            <w:r>
              <w:rPr>
                <w:rFonts w:ascii="Arial" w:cs="Arial" w:eastAsia="Arial" w:hAnsi="Arial"/>
                <w:sz w:val="16"/>
                <w:szCs w:val="16"/>
                <w:color w:val="FFFFFF"/>
              </w:rPr>
              <w:t>Per Share</w:t>
            </w:r>
          </w:p>
        </w:tc>
        <w:tc>
          <w:tcPr>
            <w:tcW w:w="660" w:type="dxa"/>
            <w:vAlign w:val="bottom"/>
          </w:tcPr>
          <w:p>
            <w:pPr>
              <w:jc w:val="right"/>
              <w:spacing w:after="0"/>
              <w:rPr>
                <w:sz w:val="20"/>
                <w:szCs w:val="20"/>
                <w:color w:val="auto"/>
              </w:rPr>
            </w:pPr>
            <w:r>
              <w:rPr>
                <w:rFonts w:ascii="Arial" w:cs="Arial" w:eastAsia="Arial" w:hAnsi="Arial"/>
                <w:sz w:val="16"/>
                <w:szCs w:val="16"/>
                <w:color w:val="FFFFFF"/>
              </w:rPr>
              <w:t>Total</w:t>
            </w:r>
          </w:p>
        </w:tc>
      </w:tr>
      <w:tr>
        <w:trPr>
          <w:trHeight w:val="175"/>
        </w:trPr>
        <w:tc>
          <w:tcPr>
            <w:tcW w:w="2500" w:type="dxa"/>
            <w:vAlign w:val="bottom"/>
          </w:tcPr>
          <w:p>
            <w:pPr>
              <w:spacing w:after="0" w:line="175" w:lineRule="exact"/>
              <w:rPr>
                <w:sz w:val="20"/>
                <w:szCs w:val="20"/>
                <w:color w:val="auto"/>
              </w:rPr>
            </w:pPr>
            <w:r>
              <w:rPr>
                <w:rFonts w:ascii="Arial" w:cs="Arial" w:eastAsia="Arial" w:hAnsi="Arial"/>
                <w:sz w:val="16"/>
                <w:szCs w:val="16"/>
                <w:color w:val="FFFFFF"/>
              </w:rPr>
              <w:t>Public offering price</w:t>
            </w:r>
          </w:p>
        </w:tc>
        <w:tc>
          <w:tcPr>
            <w:tcW w:w="3660" w:type="dxa"/>
            <w:vAlign w:val="bottom"/>
          </w:tcPr>
          <w:p>
            <w:pPr>
              <w:ind w:left="2780"/>
              <w:spacing w:after="0" w:line="175" w:lineRule="exact"/>
              <w:rPr>
                <w:sz w:val="20"/>
                <w:szCs w:val="20"/>
                <w:color w:val="auto"/>
              </w:rPr>
            </w:pPr>
            <w:r>
              <w:rPr>
                <w:rFonts w:ascii="Arial" w:cs="Arial" w:eastAsia="Arial" w:hAnsi="Arial"/>
                <w:sz w:val="16"/>
                <w:szCs w:val="16"/>
                <w:color w:val="FFFFFF"/>
              </w:rPr>
              <w:t>$</w:t>
            </w:r>
          </w:p>
        </w:tc>
        <w:tc>
          <w:tcPr>
            <w:tcW w:w="660" w:type="dxa"/>
            <w:vAlign w:val="bottom"/>
          </w:tcPr>
          <w:p>
            <w:pPr>
              <w:jc w:val="right"/>
              <w:ind w:right="341"/>
              <w:spacing w:after="0" w:line="175" w:lineRule="exact"/>
              <w:rPr>
                <w:sz w:val="20"/>
                <w:szCs w:val="20"/>
                <w:color w:val="auto"/>
              </w:rPr>
            </w:pPr>
            <w:r>
              <w:rPr>
                <w:rFonts w:ascii="Arial" w:cs="Arial" w:eastAsia="Arial" w:hAnsi="Arial"/>
                <w:sz w:val="16"/>
                <w:szCs w:val="16"/>
                <w:color w:val="FFFFFF"/>
              </w:rPr>
              <w:t>$</w:t>
            </w:r>
          </w:p>
        </w:tc>
      </w:tr>
      <w:tr>
        <w:trPr>
          <w:trHeight w:val="180"/>
        </w:trPr>
        <w:tc>
          <w:tcPr>
            <w:tcW w:w="2500" w:type="dxa"/>
            <w:vAlign w:val="bottom"/>
          </w:tcPr>
          <w:p>
            <w:pPr>
              <w:spacing w:after="0" w:line="180" w:lineRule="exact"/>
              <w:rPr>
                <w:sz w:val="20"/>
                <w:szCs w:val="20"/>
                <w:color w:val="auto"/>
              </w:rPr>
            </w:pPr>
            <w:r>
              <w:rPr>
                <w:rFonts w:ascii="Arial" w:cs="Arial" w:eastAsia="Arial" w:hAnsi="Arial"/>
                <w:sz w:val="16"/>
                <w:szCs w:val="16"/>
                <w:color w:val="FFFFFF"/>
              </w:rPr>
              <w:t>Underwriting discount</w:t>
            </w:r>
            <w:r>
              <w:rPr>
                <w:rFonts w:ascii="Arial" w:cs="Arial" w:eastAsia="Arial" w:hAnsi="Arial"/>
                <w:sz w:val="13"/>
                <w:szCs w:val="13"/>
                <w:color w:val="FFFFFF"/>
              </w:rPr>
              <w:t>(1)</w:t>
            </w:r>
          </w:p>
        </w:tc>
        <w:tc>
          <w:tcPr>
            <w:tcW w:w="3660" w:type="dxa"/>
            <w:vAlign w:val="bottom"/>
          </w:tcPr>
          <w:p>
            <w:pPr>
              <w:ind w:left="2780"/>
              <w:spacing w:after="0" w:line="180" w:lineRule="exact"/>
              <w:rPr>
                <w:sz w:val="20"/>
                <w:szCs w:val="20"/>
                <w:color w:val="auto"/>
              </w:rPr>
            </w:pPr>
            <w:r>
              <w:rPr>
                <w:rFonts w:ascii="Arial" w:cs="Arial" w:eastAsia="Arial" w:hAnsi="Arial"/>
                <w:sz w:val="16"/>
                <w:szCs w:val="16"/>
                <w:color w:val="FFFFFF"/>
              </w:rPr>
              <w:t>$</w:t>
            </w:r>
          </w:p>
        </w:tc>
        <w:tc>
          <w:tcPr>
            <w:tcW w:w="660" w:type="dxa"/>
            <w:vAlign w:val="bottom"/>
          </w:tcPr>
          <w:p>
            <w:pPr>
              <w:jc w:val="right"/>
              <w:ind w:right="341"/>
              <w:spacing w:after="0" w:line="180" w:lineRule="exact"/>
              <w:rPr>
                <w:sz w:val="20"/>
                <w:szCs w:val="20"/>
                <w:color w:val="auto"/>
              </w:rPr>
            </w:pPr>
            <w:r>
              <w:rPr>
                <w:rFonts w:ascii="Arial" w:cs="Arial" w:eastAsia="Arial" w:hAnsi="Arial"/>
                <w:sz w:val="16"/>
                <w:szCs w:val="16"/>
                <w:color w:val="FFFFFF"/>
              </w:rPr>
              <w:t>$</w:t>
            </w:r>
          </w:p>
        </w:tc>
      </w:tr>
      <w:tr>
        <w:trPr>
          <w:trHeight w:val="177"/>
        </w:trPr>
        <w:tc>
          <w:tcPr>
            <w:tcW w:w="2500" w:type="dxa"/>
            <w:vAlign w:val="bottom"/>
          </w:tcPr>
          <w:p>
            <w:pPr>
              <w:spacing w:after="0" w:line="178" w:lineRule="exact"/>
              <w:rPr>
                <w:sz w:val="20"/>
                <w:szCs w:val="20"/>
                <w:color w:val="auto"/>
              </w:rPr>
            </w:pPr>
            <w:r>
              <w:rPr>
                <w:rFonts w:ascii="Arial" w:cs="Arial" w:eastAsia="Arial" w:hAnsi="Arial"/>
                <w:sz w:val="16"/>
                <w:szCs w:val="16"/>
                <w:color w:val="FFFFFF"/>
              </w:rPr>
              <w:t>Proceeds, before expenses, to us</w:t>
            </w:r>
          </w:p>
        </w:tc>
        <w:tc>
          <w:tcPr>
            <w:tcW w:w="3660" w:type="dxa"/>
            <w:vAlign w:val="bottom"/>
          </w:tcPr>
          <w:p>
            <w:pPr>
              <w:ind w:left="2780"/>
              <w:spacing w:after="0" w:line="178" w:lineRule="exact"/>
              <w:rPr>
                <w:sz w:val="20"/>
                <w:szCs w:val="20"/>
                <w:color w:val="auto"/>
              </w:rPr>
            </w:pPr>
            <w:r>
              <w:rPr>
                <w:rFonts w:ascii="Arial" w:cs="Arial" w:eastAsia="Arial" w:hAnsi="Arial"/>
                <w:sz w:val="16"/>
                <w:szCs w:val="16"/>
                <w:color w:val="FFFFFF"/>
              </w:rPr>
              <w:t>$</w:t>
            </w:r>
          </w:p>
        </w:tc>
        <w:tc>
          <w:tcPr>
            <w:tcW w:w="660" w:type="dxa"/>
            <w:vAlign w:val="bottom"/>
          </w:tcPr>
          <w:p>
            <w:pPr>
              <w:jc w:val="right"/>
              <w:ind w:right="341"/>
              <w:spacing w:after="0" w:line="178" w:lineRule="exact"/>
              <w:rPr>
                <w:sz w:val="20"/>
                <w:szCs w:val="20"/>
                <w:color w:val="auto"/>
              </w:rPr>
            </w:pPr>
            <w:r>
              <w:rPr>
                <w:rFonts w:ascii="Arial" w:cs="Arial" w:eastAsia="Arial" w:hAnsi="Arial"/>
                <w:sz w:val="16"/>
                <w:szCs w:val="16"/>
                <w:color w:val="FFFFFF"/>
              </w:rPr>
              <w:t>$</w:t>
            </w:r>
          </w:p>
        </w:tc>
      </w:tr>
      <w:tr>
        <w:trPr>
          <w:trHeight w:val="182"/>
        </w:trPr>
        <w:tc>
          <w:tcPr>
            <w:tcW w:w="2500" w:type="dxa"/>
            <w:vAlign w:val="bottom"/>
          </w:tcPr>
          <w:p>
            <w:pPr>
              <w:spacing w:after="0" w:line="182" w:lineRule="exact"/>
              <w:rPr>
                <w:sz w:val="20"/>
                <w:szCs w:val="20"/>
                <w:color w:val="auto"/>
              </w:rPr>
            </w:pPr>
            <w:r>
              <w:rPr>
                <w:rFonts w:ascii="Arial" w:cs="Arial" w:eastAsia="Arial" w:hAnsi="Arial"/>
                <w:sz w:val="16"/>
                <w:szCs w:val="16"/>
                <w:color w:val="FCFCFC"/>
              </w:rPr>
              <w:t>__________</w:t>
            </w:r>
          </w:p>
        </w:tc>
        <w:tc>
          <w:tcPr>
            <w:tcW w:w="3660" w:type="dxa"/>
            <w:vAlign w:val="bottom"/>
          </w:tcPr>
          <w:p>
            <w:pPr>
              <w:spacing w:after="0"/>
              <w:rPr>
                <w:sz w:val="15"/>
                <w:szCs w:val="15"/>
                <w:color w:val="auto"/>
              </w:rPr>
            </w:pPr>
          </w:p>
        </w:tc>
        <w:tc>
          <w:tcPr>
            <w:tcW w:w="660" w:type="dxa"/>
            <w:vAlign w:val="bottom"/>
          </w:tcPr>
          <w:p>
            <w:pPr>
              <w:spacing w:after="0"/>
              <w:rPr>
                <w:sz w:val="15"/>
                <w:szCs w:val="15"/>
                <w:color w:val="auto"/>
              </w:rPr>
            </w:pPr>
          </w:p>
        </w:tc>
      </w:tr>
    </w:tbl>
    <w:p>
      <w:pPr>
        <w:ind w:left="2720" w:hanging="573"/>
        <w:spacing w:after="0"/>
        <w:tabs>
          <w:tab w:leader="none" w:pos="2720" w:val="left"/>
        </w:tabs>
        <w:numPr>
          <w:ilvl w:val="0"/>
          <w:numId w:val="2"/>
        </w:numPr>
        <w:rPr>
          <w:rFonts w:ascii="Arial" w:cs="Arial" w:eastAsia="Arial" w:hAnsi="Arial"/>
          <w:sz w:val="13"/>
          <w:szCs w:val="13"/>
          <w:color w:val="FCFCFC"/>
        </w:rPr>
      </w:pPr>
      <w:r>
        <w:rPr>
          <w:rFonts w:ascii="Arial" w:cs="Arial" w:eastAsia="Arial" w:hAnsi="Arial"/>
          <w:sz w:val="13"/>
          <w:szCs w:val="13"/>
          <w:color w:val="FCFCFC"/>
        </w:rPr>
        <w:t>See “Underwriting” for a description of the compensation payable to the Underwriters.</w:t>
      </w:r>
    </w:p>
    <w:p>
      <w:pPr>
        <w:spacing w:after="0" w:line="82" w:lineRule="exact"/>
        <w:rPr>
          <w:sz w:val="20"/>
          <w:szCs w:val="20"/>
          <w:color w:val="auto"/>
        </w:rPr>
      </w:pPr>
    </w:p>
    <w:p>
      <w:pPr>
        <w:jc w:val="both"/>
        <w:ind w:left="2160" w:right="1139" w:firstLine="352"/>
        <w:spacing w:after="0" w:line="236" w:lineRule="auto"/>
        <w:rPr>
          <w:sz w:val="20"/>
          <w:szCs w:val="20"/>
          <w:color w:val="auto"/>
        </w:rPr>
      </w:pPr>
      <w:r>
        <w:rPr>
          <w:rFonts w:ascii="Arial" w:cs="Arial" w:eastAsia="Arial" w:hAnsi="Arial"/>
          <w:sz w:val="16"/>
          <w:szCs w:val="16"/>
          <w:color w:val="FCFCFC"/>
        </w:rPr>
        <w:t>To the extent that the underwriters sell more than 2,000,000 shares of our common stock, the underwriters have the option to purchase up to an additional 300,000 shares from us at the public offering price less the underwriting discount.</w:t>
      </w:r>
    </w:p>
    <w:p>
      <w:pPr>
        <w:spacing w:after="0" w:line="84" w:lineRule="exact"/>
        <w:rPr>
          <w:sz w:val="20"/>
          <w:szCs w:val="20"/>
          <w:color w:val="auto"/>
        </w:rPr>
      </w:pPr>
    </w:p>
    <w:p>
      <w:pPr>
        <w:ind w:left="2680" w:right="1419" w:hanging="173"/>
        <w:spacing w:after="0" w:line="238" w:lineRule="auto"/>
        <w:rPr>
          <w:sz w:val="20"/>
          <w:szCs w:val="20"/>
          <w:color w:val="auto"/>
        </w:rPr>
      </w:pPr>
      <w:r>
        <w:rPr>
          <w:rFonts w:ascii="Arial" w:cs="Arial" w:eastAsia="Arial" w:hAnsi="Arial"/>
          <w:sz w:val="16"/>
          <w:szCs w:val="16"/>
          <w:color w:val="FCFCFC"/>
        </w:rPr>
        <w:t>The underwriters expect to deliver the shares against payment in New York, New York on , 2021.</w:t>
      </w:r>
    </w:p>
    <w:p>
      <w:pPr>
        <w:spacing w:after="0" w:line="61" w:lineRule="exact"/>
        <w:rPr>
          <w:sz w:val="20"/>
          <w:szCs w:val="20"/>
          <w:color w:val="auto"/>
        </w:rPr>
      </w:pPr>
    </w:p>
    <w:p>
      <w:pPr>
        <w:jc w:val="right"/>
        <w:ind w:right="959"/>
        <w:spacing w:after="0"/>
        <w:tabs>
          <w:tab w:leader="none" w:pos="3420" w:val="left"/>
          <w:tab w:leader="none" w:pos="1100" w:val="left"/>
        </w:tabs>
        <w:rPr>
          <w:sz w:val="20"/>
          <w:szCs w:val="20"/>
          <w:color w:val="auto"/>
        </w:rPr>
      </w:pPr>
      <w:r>
        <w:rPr>
          <w:rFonts w:ascii="Arial" w:cs="Arial" w:eastAsia="Arial" w:hAnsi="Arial"/>
          <w:sz w:val="25"/>
          <w:szCs w:val="25"/>
          <w:b w:val="1"/>
          <w:bCs w:val="1"/>
          <w:color w:val="FFFFFF"/>
        </w:rPr>
        <w:t>Goldman Sachs &amp; Co. LLC</w:t>
        <w:tab/>
        <w:t>BofA Securities</w:t>
      </w:r>
      <w:r>
        <w:rPr>
          <w:sz w:val="20"/>
          <w:szCs w:val="20"/>
          <w:color w:val="auto"/>
        </w:rPr>
        <w:tab/>
      </w:r>
      <w:r>
        <w:rPr>
          <w:rFonts w:ascii="Arial" w:cs="Arial" w:eastAsia="Arial" w:hAnsi="Arial"/>
          <w:sz w:val="25"/>
          <w:szCs w:val="25"/>
          <w:b w:val="1"/>
          <w:bCs w:val="1"/>
          <w:color w:val="FFFFFF"/>
        </w:rPr>
        <w:t>Citigroup</w:t>
      </w:r>
    </w:p>
    <w:p>
      <w:pPr>
        <w:sectPr>
          <w:pgSz w:w="11900" w:h="16838" w:orient="portrait"/>
          <w:cols w:equalWidth="0" w:num="1">
            <w:col w:w="10139"/>
          </w:cols>
          <w:pgMar w:left="320" w:top="419" w:right="1440" w:bottom="1440" w:gutter="0" w:footer="0" w:header="0"/>
        </w:sectPr>
      </w:pPr>
    </w:p>
    <w:p>
      <w:pPr>
        <w:spacing w:after="0" w:line="119" w:lineRule="exact"/>
        <w:rPr>
          <w:sz w:val="20"/>
          <w:szCs w:val="20"/>
          <w:color w:val="auto"/>
        </w:rPr>
      </w:pPr>
    </w:p>
    <w:p>
      <w:pPr>
        <w:ind w:left="3420"/>
        <w:spacing w:after="0"/>
        <w:rPr>
          <w:sz w:val="20"/>
          <w:szCs w:val="20"/>
          <w:color w:val="auto"/>
        </w:rPr>
      </w:pPr>
      <w:r>
        <w:rPr>
          <w:rFonts w:ascii="Arial" w:cs="Arial" w:eastAsia="Arial" w:hAnsi="Arial"/>
          <w:sz w:val="23"/>
          <w:szCs w:val="23"/>
          <w:b w:val="1"/>
          <w:bCs w:val="1"/>
          <w:color w:val="FFFFFF"/>
        </w:rPr>
        <w:t>Jefferies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23"/>
          <w:szCs w:val="23"/>
          <w:b w:val="1"/>
          <w:bCs w:val="1"/>
          <w:color w:val="FFFFFF"/>
        </w:rPr>
        <w:t>Barclays</w:t>
      </w:r>
    </w:p>
    <w:p>
      <w:pPr>
        <w:spacing w:after="0" w:line="111" w:lineRule="exact"/>
        <w:rPr>
          <w:sz w:val="20"/>
          <w:szCs w:val="20"/>
          <w:color w:val="auto"/>
        </w:rPr>
      </w:pPr>
    </w:p>
    <w:p>
      <w:pPr>
        <w:sectPr>
          <w:pgSz w:w="11900" w:h="16838" w:orient="portrait"/>
          <w:cols w:equalWidth="0" w:num="2">
            <w:col w:w="6260" w:space="720"/>
            <w:col w:w="3159"/>
          </w:cols>
          <w:pgMar w:left="320" w:top="419" w:right="1440" w:bottom="1440" w:gutter="0" w:footer="0" w:header="0"/>
          <w:type w:val="continuous"/>
        </w:sectPr>
      </w:pPr>
    </w:p>
    <w:p>
      <w:pPr>
        <w:ind w:left="2160"/>
        <w:spacing w:after="0"/>
        <w:rPr>
          <w:sz w:val="20"/>
          <w:szCs w:val="20"/>
          <w:color w:val="auto"/>
        </w:rPr>
      </w:pPr>
      <w:r>
        <w:rPr>
          <w:rFonts w:ascii="Arial" w:cs="Arial" w:eastAsia="Arial" w:hAnsi="Arial"/>
          <w:sz w:val="20"/>
          <w:szCs w:val="20"/>
          <w:b w:val="1"/>
          <w:bCs w:val="1"/>
          <w:color w:val="FFFFFF"/>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FFFFFF"/>
        </w:rPr>
        <w:t>Piper Sandler</w:t>
      </w:r>
    </w:p>
    <w:p>
      <w:pPr>
        <w:spacing w:after="0" w:line="114" w:lineRule="exact"/>
        <w:rPr>
          <w:sz w:val="20"/>
          <w:szCs w:val="20"/>
          <w:color w:val="auto"/>
        </w:rPr>
      </w:pPr>
    </w:p>
    <w:p>
      <w:pPr>
        <w:sectPr>
          <w:pgSz w:w="11900" w:h="16838" w:orient="portrait"/>
          <w:cols w:equalWidth="0" w:num="2">
            <w:col w:w="7140" w:space="720"/>
            <w:col w:w="2279"/>
          </w:cols>
          <w:pgMar w:left="320" w:top="419" w:right="1440" w:bottom="1440" w:gutter="0" w:footer="0" w:header="0"/>
          <w:type w:val="continuous"/>
        </w:sectPr>
      </w:pPr>
    </w:p>
    <w:p>
      <w:pPr>
        <w:ind w:left="4840"/>
        <w:spacing w:after="0"/>
        <w:rPr>
          <w:sz w:val="20"/>
          <w:szCs w:val="20"/>
          <w:color w:val="auto"/>
        </w:rPr>
      </w:pPr>
      <w:r>
        <w:rPr>
          <w:rFonts w:ascii="Arial" w:cs="Arial" w:eastAsia="Arial" w:hAnsi="Arial"/>
          <w:sz w:val="15"/>
          <w:szCs w:val="15"/>
          <w:b w:val="1"/>
          <w:bCs w:val="1"/>
          <w:color w:val="FCFCFC"/>
        </w:rPr>
        <w:t>___________________</w:t>
      </w:r>
    </w:p>
    <w:p>
      <w:pPr>
        <w:sectPr>
          <w:pgSz w:w="11900" w:h="16838" w:orient="portrait"/>
          <w:cols w:equalWidth="0" w:num="1">
            <w:col w:w="10139"/>
          </w:cols>
          <w:pgMar w:left="320" w:top="419" w:right="1440" w:bottom="1440" w:gutter="0" w:footer="0" w:header="0"/>
          <w:type w:val="continuous"/>
        </w:sectPr>
      </w:pPr>
    </w:p>
    <w:p>
      <w:pPr>
        <w:spacing w:after="0" w:line="120" w:lineRule="exact"/>
        <w:rPr>
          <w:sz w:val="20"/>
          <w:szCs w:val="20"/>
          <w:color w:val="auto"/>
        </w:rPr>
      </w:pPr>
    </w:p>
    <w:p>
      <w:pPr>
        <w:ind w:left="4540"/>
        <w:spacing w:after="0"/>
        <w:rPr>
          <w:sz w:val="20"/>
          <w:szCs w:val="20"/>
          <w:color w:val="auto"/>
        </w:rPr>
      </w:pPr>
      <w:r>
        <w:rPr>
          <w:rFonts w:ascii="Arial" w:cs="Arial" w:eastAsia="Arial" w:hAnsi="Arial"/>
          <w:sz w:val="15"/>
          <w:szCs w:val="15"/>
          <w:color w:val="FCFCFC"/>
        </w:rPr>
        <w:t>Prospectus dated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FCFCFC"/>
        </w:rPr>
        <w:t>, 2021.</w:t>
      </w:r>
    </w:p>
    <w:p>
      <w:pPr>
        <w:sectPr>
          <w:pgSz w:w="11900" w:h="16838" w:orient="portrait"/>
          <w:cols w:equalWidth="0" w:num="2">
            <w:col w:w="5760" w:space="560"/>
            <w:col w:w="3819"/>
          </w:cols>
          <w:pgMar w:left="320" w:top="419" w:right="1440"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520" w:type="dxa"/>
            <w:vAlign w:val="bottom"/>
            <w:gridSpan w:val="3"/>
          </w:tcPr>
          <w:p>
            <w:pPr>
              <w:jc w:val="center"/>
              <w:ind w:right="3360"/>
              <w:spacing w:after="0"/>
              <w:rPr>
                <w:sz w:val="20"/>
                <w:szCs w:val="20"/>
                <w:color w:val="auto"/>
              </w:rPr>
            </w:pPr>
            <w:r>
              <w:rPr>
                <w:rFonts w:ascii="Arial" w:cs="Arial" w:eastAsia="Arial" w:hAnsi="Arial"/>
                <w:sz w:val="16"/>
                <w:szCs w:val="16"/>
                <w:b w:val="1"/>
                <w:bCs w:val="1"/>
                <w:color w:val="auto"/>
                <w:w w:val="97"/>
              </w:rPr>
              <w:t>TABLE OF CONTENTS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gridSpan w:val="3"/>
          </w:tcPr>
          <w:p>
            <w:pPr>
              <w:jc w:val="center"/>
              <w:ind w:right="3340"/>
              <w:spacing w:after="0"/>
              <w:rPr>
                <w:sz w:val="20"/>
                <w:szCs w:val="20"/>
                <w:color w:val="auto"/>
              </w:rPr>
            </w:pPr>
            <w:r>
              <w:rPr>
                <w:rFonts w:ascii="Arial" w:cs="Arial" w:eastAsia="Arial" w:hAnsi="Arial"/>
                <w:sz w:val="16"/>
                <w:szCs w:val="16"/>
                <w:b w:val="1"/>
                <w:bCs w:val="1"/>
                <w:color w:val="auto"/>
                <w:w w:val="98"/>
              </w:rPr>
              <w:t>Prospectus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260" w:type="dxa"/>
            <w:vAlign w:val="bottom"/>
            <w:gridSpan w:val="21"/>
            <w:vMerge w:val="restart"/>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Prospectus Summary</w:t>
              </w:r>
            </w:hyperlink>
          </w:p>
        </w:tc>
        <w:tc>
          <w:tcPr>
            <w:tcW w:w="360" w:type="dxa"/>
            <w:vAlign w:val="bottom"/>
            <w:gridSpan w:val="2"/>
          </w:tcPr>
          <w:p>
            <w:pPr>
              <w:ind w:lef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46"/>
        </w:trPr>
        <w:tc>
          <w:tcPr>
            <w:tcW w:w="9260" w:type="dxa"/>
            <w:vAlign w:val="bottom"/>
            <w:gridSpan w:val="21"/>
            <w:vMerge w:val="continue"/>
          </w:tcPr>
          <w:p>
            <w:pPr>
              <w:spacing w:after="0"/>
              <w:rPr>
                <w:sz w:val="12"/>
                <w:szCs w:val="12"/>
                <w:color w:val="auto"/>
              </w:rPr>
            </w:pPr>
          </w:p>
        </w:tc>
        <w:tc>
          <w:tcPr>
            <w:tcW w:w="3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6"/>
              </w:rPr>
            </w:pPr>
            <w:hyperlink w:anchor="page20">
              <w:r>
                <w:rPr>
                  <w:rFonts w:ascii="Arial" w:cs="Arial" w:eastAsia="Arial" w:hAnsi="Arial"/>
                  <w:sz w:val="16"/>
                  <w:szCs w:val="16"/>
                  <w:color w:val="0000EE"/>
                  <w:w w:val="96"/>
                </w:rPr>
                <w:t>Risk Factors</w:t>
              </w:r>
            </w:hyperlink>
          </w:p>
        </w:tc>
        <w:tc>
          <w:tcPr>
            <w:tcW w:w="620" w:type="dxa"/>
            <w:vAlign w:val="bottom"/>
            <w:tcBorders>
              <w:top w:val="single" w:sz="8" w:color="0000EE"/>
            </w:tcBorders>
            <w:gridSpan w:val="4"/>
          </w:tcPr>
          <w:p>
            <w:pPr>
              <w:spacing w:after="0"/>
              <w:rPr>
                <w:sz w:val="13"/>
                <w:szCs w:val="13"/>
                <w:color w:val="auto"/>
              </w:rPr>
            </w:pPr>
          </w:p>
        </w:tc>
        <w:tc>
          <w:tcPr>
            <w:tcW w:w="7760" w:type="dxa"/>
            <w:vAlign w:val="bottom"/>
            <w:gridSpan w:val="14"/>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57"/>
        </w:trPr>
        <w:tc>
          <w:tcPr>
            <w:tcW w:w="3740" w:type="dxa"/>
            <w:vAlign w:val="bottom"/>
            <w:tcBorders>
              <w:bottom w:val="single" w:sz="8" w:color="0000EE"/>
            </w:tcBorders>
            <w:gridSpan w:val="18"/>
          </w:tcPr>
          <w:p>
            <w:pPr>
              <w:spacing w:after="0" w:line="158" w:lineRule="exact"/>
              <w:rPr>
                <w:rFonts w:ascii="Arial" w:cs="Arial" w:eastAsia="Arial" w:hAnsi="Arial"/>
                <w:sz w:val="16"/>
                <w:szCs w:val="16"/>
                <w:color w:val="0000EE"/>
                <w:w w:val="98"/>
              </w:rPr>
            </w:pPr>
            <w:hyperlink w:anchor="page84">
              <w:r>
                <w:rPr>
                  <w:rFonts w:ascii="Arial" w:cs="Arial" w:eastAsia="Arial" w:hAnsi="Arial"/>
                  <w:sz w:val="16"/>
                  <w:szCs w:val="16"/>
                  <w:color w:val="0000EE"/>
                  <w:w w:val="98"/>
                </w:rPr>
                <w:t>Special Note Regarding Forward-Looking Statements</w:t>
              </w:r>
            </w:hyperlink>
          </w:p>
        </w:tc>
        <w:tc>
          <w:tcPr>
            <w:tcW w:w="5520" w:type="dxa"/>
            <w:vAlign w:val="bottom"/>
            <w:gridSpan w:val="3"/>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57"/>
        </w:trPr>
        <w:tc>
          <w:tcPr>
            <w:tcW w:w="2240" w:type="dxa"/>
            <w:vAlign w:val="bottom"/>
            <w:tcBorders>
              <w:bottom w:val="single" w:sz="8" w:color="0000EE"/>
            </w:tcBorders>
            <w:gridSpan w:val="13"/>
          </w:tcPr>
          <w:p>
            <w:pPr>
              <w:spacing w:after="0" w:line="158" w:lineRule="exact"/>
              <w:rPr>
                <w:rFonts w:ascii="Arial" w:cs="Arial" w:eastAsia="Arial" w:hAnsi="Arial"/>
                <w:sz w:val="16"/>
                <w:szCs w:val="16"/>
                <w:color w:val="0000EE"/>
                <w:w w:val="97"/>
              </w:rPr>
            </w:pPr>
            <w:hyperlink w:anchor="page86">
              <w:r>
                <w:rPr>
                  <w:rFonts w:ascii="Arial" w:cs="Arial" w:eastAsia="Arial" w:hAnsi="Arial"/>
                  <w:sz w:val="16"/>
                  <w:szCs w:val="16"/>
                  <w:color w:val="0000EE"/>
                  <w:w w:val="97"/>
                </w:rPr>
                <w:t>Industry, Market and Other Data</w:t>
              </w:r>
            </w:hyperlink>
          </w:p>
        </w:tc>
        <w:tc>
          <w:tcPr>
            <w:tcW w:w="7020" w:type="dxa"/>
            <w:vAlign w:val="bottom"/>
            <w:gridSpan w:val="8"/>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88">
              <w:r>
                <w:rPr>
                  <w:rFonts w:ascii="Arial" w:cs="Arial" w:eastAsia="Arial" w:hAnsi="Arial"/>
                  <w:sz w:val="16"/>
                  <w:szCs w:val="16"/>
                  <w:color w:val="0000EE"/>
                </w:rPr>
                <w:t>Use of Proceeds</w:t>
              </w:r>
            </w:hyperlink>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89">
              <w:r>
                <w:rPr>
                  <w:rFonts w:ascii="Arial" w:cs="Arial" w:eastAsia="Arial" w:hAnsi="Arial"/>
                  <w:sz w:val="16"/>
                  <w:szCs w:val="16"/>
                  <w:color w:val="0000EE"/>
                </w:rPr>
                <w:t>Market Price of Our Common Stock</w:t>
              </w:r>
            </w:hyperlink>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57"/>
        </w:trPr>
        <w:tc>
          <w:tcPr>
            <w:tcW w:w="1080" w:type="dxa"/>
            <w:vAlign w:val="bottom"/>
            <w:tcBorders>
              <w:top w:val="single" w:sz="8" w:color="0000EE"/>
              <w:bottom w:val="single" w:sz="8" w:color="0000EE"/>
            </w:tcBorders>
            <w:gridSpan w:val="5"/>
          </w:tcPr>
          <w:p>
            <w:pPr>
              <w:spacing w:after="0" w:line="158" w:lineRule="exact"/>
              <w:rPr>
                <w:rFonts w:ascii="Arial" w:cs="Arial" w:eastAsia="Arial" w:hAnsi="Arial"/>
                <w:sz w:val="16"/>
                <w:szCs w:val="16"/>
                <w:color w:val="0000EE"/>
                <w:w w:val="96"/>
              </w:rPr>
            </w:pPr>
            <w:hyperlink w:anchor="page90">
              <w:r>
                <w:rPr>
                  <w:rFonts w:ascii="Arial" w:cs="Arial" w:eastAsia="Arial" w:hAnsi="Arial"/>
                  <w:sz w:val="16"/>
                  <w:szCs w:val="16"/>
                  <w:color w:val="0000EE"/>
                  <w:w w:val="96"/>
                </w:rPr>
                <w:t>Dividend Policy</w:t>
              </w:r>
            </w:hyperlink>
          </w:p>
        </w:tc>
        <w:tc>
          <w:tcPr>
            <w:tcW w:w="1400" w:type="dxa"/>
            <w:vAlign w:val="bottom"/>
            <w:tcBorders>
              <w:top w:val="single" w:sz="8" w:color="0000EE"/>
            </w:tcBorders>
            <w:gridSpan w:val="9"/>
          </w:tcPr>
          <w:p>
            <w:pPr>
              <w:spacing w:after="0"/>
              <w:rPr>
                <w:sz w:val="13"/>
                <w:szCs w:val="13"/>
                <w:color w:val="auto"/>
              </w:rPr>
            </w:pPr>
          </w:p>
        </w:tc>
        <w:tc>
          <w:tcPr>
            <w:tcW w:w="6780" w:type="dxa"/>
            <w:vAlign w:val="bottom"/>
            <w:gridSpan w:val="7"/>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91">
              <w:r>
                <w:rPr>
                  <w:rFonts w:ascii="Arial" w:cs="Arial" w:eastAsia="Arial" w:hAnsi="Arial"/>
                  <w:sz w:val="16"/>
                  <w:szCs w:val="16"/>
                  <w:color w:val="0000EE"/>
                </w:rPr>
                <w:t>Capitalization</w:t>
              </w:r>
            </w:hyperlink>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80" w:type="dxa"/>
            <w:vAlign w:val="bottom"/>
            <w:tcBorders>
              <w:bottom w:val="single" w:sz="8" w:color="0000EE"/>
            </w:tcBorders>
            <w:gridSpan w:val="17"/>
          </w:tcPr>
          <w:p>
            <w:pPr>
              <w:spacing w:after="0" w:line="158" w:lineRule="exact"/>
              <w:rPr>
                <w:rFonts w:ascii="Arial" w:cs="Arial" w:eastAsia="Arial" w:hAnsi="Arial"/>
                <w:sz w:val="16"/>
                <w:szCs w:val="16"/>
                <w:color w:val="0000EE"/>
                <w:w w:val="98"/>
              </w:rPr>
            </w:pPr>
            <w:hyperlink w:anchor="page93">
              <w:r>
                <w:rPr>
                  <w:rFonts w:ascii="Arial" w:cs="Arial" w:eastAsia="Arial" w:hAnsi="Arial"/>
                  <w:sz w:val="16"/>
                  <w:szCs w:val="16"/>
                  <w:color w:val="0000EE"/>
                  <w:w w:val="98"/>
                </w:rPr>
                <w:t>Selected Consolidated Financial and Other Data</w:t>
              </w:r>
            </w:hyperlink>
          </w:p>
        </w:tc>
        <w:tc>
          <w:tcPr>
            <w:tcW w:w="5880" w:type="dxa"/>
            <w:vAlign w:val="bottom"/>
            <w:gridSpan w:val="4"/>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57"/>
        </w:trPr>
        <w:tc>
          <w:tcPr>
            <w:tcW w:w="6200" w:type="dxa"/>
            <w:vAlign w:val="bottom"/>
            <w:tcBorders>
              <w:bottom w:val="single" w:sz="8" w:color="0000EE"/>
            </w:tcBorders>
            <w:gridSpan w:val="19"/>
          </w:tcPr>
          <w:p>
            <w:pPr>
              <w:spacing w:after="0" w:line="158" w:lineRule="exact"/>
              <w:rPr>
                <w:rFonts w:ascii="Arial" w:cs="Arial" w:eastAsia="Arial" w:hAnsi="Arial"/>
                <w:sz w:val="16"/>
                <w:szCs w:val="16"/>
                <w:color w:val="0000EE"/>
                <w:w w:val="98"/>
              </w:rPr>
            </w:pPr>
            <w:hyperlink w:anchor="page95">
              <w:r>
                <w:rPr>
                  <w:rFonts w:ascii="Arial" w:cs="Arial" w:eastAsia="Arial" w:hAnsi="Arial"/>
                  <w:sz w:val="16"/>
                  <w:szCs w:val="16"/>
                  <w:color w:val="0000EE"/>
                  <w:w w:val="98"/>
                </w:rPr>
                <w:t>Management’s Discussion and Analysis of Financial Condition and Results of Operations</w:t>
              </w:r>
            </w:hyperlink>
          </w:p>
        </w:tc>
        <w:tc>
          <w:tcPr>
            <w:tcW w:w="3060" w:type="dxa"/>
            <w:vAlign w:val="bottom"/>
            <w:gridSpan w:val="2"/>
          </w:tcPr>
          <w:p>
            <w:pPr>
              <w:spacing w:after="0"/>
              <w:rPr>
                <w:sz w:val="13"/>
                <w:szCs w:val="13"/>
                <w:color w:val="auto"/>
              </w:rPr>
            </w:pPr>
          </w:p>
        </w:tc>
        <w:tc>
          <w:tcPr>
            <w:tcW w:w="360" w:type="dxa"/>
            <w:vAlign w:val="bottom"/>
            <w:gridSpan w:val="2"/>
          </w:tcPr>
          <w:p>
            <w:pPr>
              <w:jc w:val="right"/>
              <w:ind w:right="20"/>
              <w:spacing w:after="0" w:line="158"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57"/>
        </w:trPr>
        <w:tc>
          <w:tcPr>
            <w:tcW w:w="640" w:type="dxa"/>
            <w:vAlign w:val="bottom"/>
            <w:tcBorders>
              <w:bottom w:val="single" w:sz="8" w:color="0000EE"/>
            </w:tcBorders>
            <w:gridSpan w:val="2"/>
          </w:tcPr>
          <w:p>
            <w:pPr>
              <w:spacing w:after="0" w:line="158" w:lineRule="exact"/>
              <w:rPr>
                <w:rFonts w:ascii="Arial" w:cs="Arial" w:eastAsia="Arial" w:hAnsi="Arial"/>
                <w:sz w:val="16"/>
                <w:szCs w:val="16"/>
                <w:color w:val="0000EE"/>
                <w:w w:val="95"/>
              </w:rPr>
            </w:pPr>
            <w:hyperlink w:anchor="page129">
              <w:r>
                <w:rPr>
                  <w:rFonts w:ascii="Arial" w:cs="Arial" w:eastAsia="Arial" w:hAnsi="Arial"/>
                  <w:sz w:val="16"/>
                  <w:szCs w:val="16"/>
                  <w:color w:val="0000EE"/>
                  <w:w w:val="95"/>
                </w:rPr>
                <w:t>Business</w:t>
              </w:r>
            </w:hyperlink>
          </w:p>
        </w:tc>
        <w:tc>
          <w:tcPr>
            <w:tcW w:w="8620" w:type="dxa"/>
            <w:vAlign w:val="bottom"/>
            <w:gridSpan w:val="19"/>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40" w:type="dxa"/>
            <w:vAlign w:val="bottom"/>
            <w:tcBorders>
              <w:bottom w:val="single" w:sz="8" w:color="0000EE"/>
            </w:tcBorders>
            <w:gridSpan w:val="4"/>
          </w:tcPr>
          <w:p>
            <w:pPr>
              <w:spacing w:after="0" w:line="158" w:lineRule="exact"/>
              <w:rPr>
                <w:rFonts w:ascii="Arial" w:cs="Arial" w:eastAsia="Arial" w:hAnsi="Arial"/>
                <w:sz w:val="16"/>
                <w:szCs w:val="16"/>
                <w:color w:val="0000EE"/>
                <w:w w:val="96"/>
              </w:rPr>
            </w:pPr>
            <w:hyperlink w:anchor="page155">
              <w:r>
                <w:rPr>
                  <w:rFonts w:ascii="Arial" w:cs="Arial" w:eastAsia="Arial" w:hAnsi="Arial"/>
                  <w:sz w:val="16"/>
                  <w:szCs w:val="16"/>
                  <w:color w:val="0000EE"/>
                  <w:w w:val="96"/>
                </w:rPr>
                <w:t>Management</w:t>
              </w:r>
            </w:hyperlink>
          </w:p>
        </w:tc>
        <w:tc>
          <w:tcPr>
            <w:tcW w:w="8320" w:type="dxa"/>
            <w:vAlign w:val="bottom"/>
            <w:gridSpan w:val="17"/>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165">
              <w:r>
                <w:rPr>
                  <w:rFonts w:ascii="Arial" w:cs="Arial" w:eastAsia="Arial" w:hAnsi="Arial"/>
                  <w:sz w:val="16"/>
                  <w:szCs w:val="16"/>
                  <w:color w:val="0000EE"/>
                </w:rPr>
                <w:t>Executive Compensation</w:t>
              </w:r>
            </w:hyperlink>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181">
              <w:r>
                <w:rPr>
                  <w:rFonts w:ascii="Arial" w:cs="Arial" w:eastAsia="Arial" w:hAnsi="Arial"/>
                  <w:sz w:val="16"/>
                  <w:szCs w:val="16"/>
                  <w:color w:val="0000EE"/>
                </w:rPr>
                <w:t>Certain Relationships and Related Party Transactions</w:t>
              </w:r>
            </w:hyperlink>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60" w:type="dxa"/>
            <w:vAlign w:val="bottom"/>
            <w:tcBorders>
              <w:top w:val="single" w:sz="8" w:color="0000EE"/>
              <w:bottom w:val="single" w:sz="8" w:color="0000EE"/>
            </w:tcBorders>
            <w:gridSpan w:val="8"/>
          </w:tcPr>
          <w:p>
            <w:pPr>
              <w:spacing w:after="0" w:line="158" w:lineRule="exact"/>
              <w:rPr>
                <w:rFonts w:ascii="Arial" w:cs="Arial" w:eastAsia="Arial" w:hAnsi="Arial"/>
                <w:sz w:val="16"/>
                <w:szCs w:val="16"/>
                <w:color w:val="0000EE"/>
                <w:w w:val="97"/>
              </w:rPr>
            </w:pPr>
            <w:hyperlink w:anchor="page187">
              <w:r>
                <w:rPr>
                  <w:rFonts w:ascii="Arial" w:cs="Arial" w:eastAsia="Arial" w:hAnsi="Arial"/>
                  <w:sz w:val="16"/>
                  <w:szCs w:val="16"/>
                  <w:color w:val="0000EE"/>
                  <w:w w:val="97"/>
                </w:rPr>
                <w:t>Principal Stockholders</w:t>
              </w:r>
            </w:hyperlink>
          </w:p>
        </w:tc>
        <w:tc>
          <w:tcPr>
            <w:tcW w:w="2180" w:type="dxa"/>
            <w:vAlign w:val="bottom"/>
            <w:tcBorders>
              <w:top w:val="single" w:sz="8" w:color="0000EE"/>
            </w:tcBorders>
            <w:gridSpan w:val="10"/>
          </w:tcPr>
          <w:p>
            <w:pPr>
              <w:spacing w:after="0"/>
              <w:rPr>
                <w:sz w:val="13"/>
                <w:szCs w:val="13"/>
                <w:color w:val="auto"/>
              </w:rPr>
            </w:pPr>
          </w:p>
        </w:tc>
        <w:tc>
          <w:tcPr>
            <w:tcW w:w="5520" w:type="dxa"/>
            <w:vAlign w:val="bottom"/>
            <w:gridSpan w:val="3"/>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0000EE"/>
            </w:tcBorders>
            <w:gridSpan w:val="11"/>
          </w:tcPr>
          <w:p>
            <w:pPr>
              <w:spacing w:after="0" w:line="158" w:lineRule="exact"/>
              <w:rPr>
                <w:rFonts w:ascii="Arial" w:cs="Arial" w:eastAsia="Arial" w:hAnsi="Arial"/>
                <w:sz w:val="16"/>
                <w:szCs w:val="16"/>
                <w:color w:val="0000EE"/>
                <w:w w:val="97"/>
              </w:rPr>
            </w:pPr>
            <w:hyperlink w:anchor="page189">
              <w:r>
                <w:rPr>
                  <w:rFonts w:ascii="Arial" w:cs="Arial" w:eastAsia="Arial" w:hAnsi="Arial"/>
                  <w:sz w:val="16"/>
                  <w:szCs w:val="16"/>
                  <w:color w:val="0000EE"/>
                  <w:w w:val="97"/>
                </w:rPr>
                <w:t>Description of Capital Stock</w:t>
              </w:r>
            </w:hyperlink>
          </w:p>
        </w:tc>
        <w:tc>
          <w:tcPr>
            <w:tcW w:w="7320" w:type="dxa"/>
            <w:vAlign w:val="bottom"/>
            <w:gridSpan w:val="10"/>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40" w:type="dxa"/>
            <w:vAlign w:val="bottom"/>
            <w:tcBorders>
              <w:bottom w:val="single" w:sz="8" w:color="0000EE"/>
            </w:tcBorders>
            <w:gridSpan w:val="12"/>
          </w:tcPr>
          <w:p>
            <w:pPr>
              <w:spacing w:after="0" w:line="158" w:lineRule="exact"/>
              <w:rPr>
                <w:rFonts w:ascii="Arial" w:cs="Arial" w:eastAsia="Arial" w:hAnsi="Arial"/>
                <w:sz w:val="16"/>
                <w:szCs w:val="16"/>
                <w:color w:val="0000EE"/>
                <w:w w:val="97"/>
              </w:rPr>
            </w:pPr>
            <w:hyperlink w:anchor="page195">
              <w:r>
                <w:rPr>
                  <w:rFonts w:ascii="Arial" w:cs="Arial" w:eastAsia="Arial" w:hAnsi="Arial"/>
                  <w:sz w:val="16"/>
                  <w:szCs w:val="16"/>
                  <w:color w:val="0000EE"/>
                  <w:w w:val="97"/>
                </w:rPr>
                <w:t>Shares Eligible for Future Sale</w:t>
              </w:r>
            </w:hyperlink>
          </w:p>
        </w:tc>
        <w:tc>
          <w:tcPr>
            <w:tcW w:w="7120" w:type="dxa"/>
            <w:vAlign w:val="bottom"/>
            <w:gridSpan w:val="9"/>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500" w:type="dxa"/>
            <w:vAlign w:val="bottom"/>
            <w:tcBorders>
              <w:bottom w:val="single" w:sz="8" w:color="0000EE"/>
            </w:tcBorders>
            <w:gridSpan w:val="20"/>
          </w:tcPr>
          <w:p>
            <w:pPr>
              <w:spacing w:after="0" w:line="158" w:lineRule="exact"/>
              <w:rPr>
                <w:rFonts w:ascii="Arial" w:cs="Arial" w:eastAsia="Arial" w:hAnsi="Arial"/>
                <w:sz w:val="16"/>
                <w:szCs w:val="16"/>
                <w:color w:val="0000EE"/>
                <w:w w:val="98"/>
              </w:rPr>
            </w:pPr>
            <w:hyperlink w:anchor="page198">
              <w:r>
                <w:rPr>
                  <w:rFonts w:ascii="Arial" w:cs="Arial" w:eastAsia="Arial" w:hAnsi="Arial"/>
                  <w:sz w:val="16"/>
                  <w:szCs w:val="16"/>
                  <w:color w:val="0000EE"/>
                  <w:w w:val="98"/>
                </w:rPr>
                <w:t>Material U.S. Federal Income Tax Consequences to Non-U.S. Holders of Our Common Stock</w:t>
              </w:r>
            </w:hyperlink>
          </w:p>
        </w:tc>
        <w:tc>
          <w:tcPr>
            <w:tcW w:w="2760" w:type="dxa"/>
            <w:vAlign w:val="bottom"/>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203">
              <w:r>
                <w:rPr>
                  <w:rFonts w:ascii="Arial" w:cs="Arial" w:eastAsia="Arial" w:hAnsi="Arial"/>
                  <w:sz w:val="16"/>
                  <w:szCs w:val="16"/>
                  <w:color w:val="0000EE"/>
                </w:rPr>
                <w:t>Underwriting</w:t>
              </w:r>
            </w:hyperlink>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200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800" w:type="dxa"/>
            <w:vAlign w:val="bottom"/>
            <w:tcBorders>
              <w:bottom w:val="single" w:sz="8" w:color="0000EE"/>
            </w:tcBorders>
            <w:gridSpan w:val="10"/>
          </w:tcPr>
          <w:p>
            <w:pPr>
              <w:spacing w:after="0" w:line="158" w:lineRule="exact"/>
              <w:rPr>
                <w:rFonts w:ascii="Arial" w:cs="Arial" w:eastAsia="Arial" w:hAnsi="Arial"/>
                <w:sz w:val="16"/>
                <w:szCs w:val="16"/>
                <w:color w:val="0000EE"/>
                <w:w w:val="97"/>
              </w:rPr>
            </w:pPr>
            <w:hyperlink w:anchor="page209">
              <w:r>
                <w:rPr>
                  <w:rFonts w:ascii="Arial" w:cs="Arial" w:eastAsia="Arial" w:hAnsi="Arial"/>
                  <w:sz w:val="16"/>
                  <w:szCs w:val="16"/>
                  <w:color w:val="0000EE"/>
                  <w:w w:val="97"/>
                </w:rPr>
                <w:t>Validity of Common Stock</w:t>
              </w:r>
            </w:hyperlink>
          </w:p>
        </w:tc>
        <w:tc>
          <w:tcPr>
            <w:tcW w:w="7460" w:type="dxa"/>
            <w:vAlign w:val="bottom"/>
            <w:gridSpan w:val="11"/>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 w:type="dxa"/>
            <w:vAlign w:val="bottom"/>
            <w:tcBorders>
              <w:bottom w:val="single" w:sz="8" w:color="0000EE"/>
            </w:tcBorders>
          </w:tcPr>
          <w:p>
            <w:pPr>
              <w:spacing w:after="0" w:line="158" w:lineRule="exact"/>
              <w:rPr>
                <w:rFonts w:ascii="Arial" w:cs="Arial" w:eastAsia="Arial" w:hAnsi="Arial"/>
                <w:sz w:val="16"/>
                <w:szCs w:val="16"/>
                <w:color w:val="0000EE"/>
                <w:w w:val="95"/>
              </w:rPr>
            </w:pPr>
            <w:hyperlink w:anchor="page209">
              <w:r>
                <w:rPr>
                  <w:rFonts w:ascii="Arial" w:cs="Arial" w:eastAsia="Arial" w:hAnsi="Arial"/>
                  <w:sz w:val="16"/>
                  <w:szCs w:val="16"/>
                  <w:color w:val="0000EE"/>
                  <w:w w:val="95"/>
                </w:rPr>
                <w:t>Experts</w:t>
              </w:r>
            </w:hyperlink>
          </w:p>
        </w:tc>
        <w:tc>
          <w:tcPr>
            <w:tcW w:w="8720" w:type="dxa"/>
            <w:vAlign w:val="bottom"/>
            <w:gridSpan w:val="20"/>
          </w:tcPr>
          <w:p>
            <w:pPr>
              <w:spacing w:after="0"/>
              <w:rPr>
                <w:sz w:val="13"/>
                <w:szCs w:val="13"/>
                <w:color w:val="auto"/>
              </w:rPr>
            </w:pPr>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260" w:type="dxa"/>
            <w:vAlign w:val="bottom"/>
            <w:gridSpan w:val="21"/>
          </w:tcPr>
          <w:p>
            <w:pPr>
              <w:spacing w:after="0" w:line="158" w:lineRule="exact"/>
              <w:rPr>
                <w:rFonts w:ascii="Arial" w:cs="Arial" w:eastAsia="Arial" w:hAnsi="Arial"/>
                <w:sz w:val="16"/>
                <w:szCs w:val="16"/>
                <w:color w:val="0000EE"/>
              </w:rPr>
            </w:pPr>
            <w:hyperlink w:anchor="page209">
              <w:r>
                <w:rPr>
                  <w:rFonts w:ascii="Arial" w:cs="Arial" w:eastAsia="Arial" w:hAnsi="Arial"/>
                  <w:sz w:val="16"/>
                  <w:szCs w:val="16"/>
                  <w:color w:val="0000EE"/>
                </w:rPr>
                <w:t>Where You Can Find Additional Information</w:t>
              </w:r>
            </w:hyperlink>
          </w:p>
        </w:tc>
        <w:tc>
          <w:tcPr>
            <w:tcW w:w="340" w:type="dxa"/>
            <w:vAlign w:val="bottom"/>
          </w:tcPr>
          <w:p>
            <w:pPr>
              <w:jc w:val="right"/>
              <w:spacing w:after="0" w:line="158" w:lineRule="exact"/>
              <w:rPr>
                <w:sz w:val="20"/>
                <w:szCs w:val="20"/>
                <w:color w:val="auto"/>
              </w:rPr>
            </w:pPr>
            <w:r>
              <w:rPr>
                <w:rFonts w:ascii="Arial" w:cs="Arial" w:eastAsia="Arial" w:hAnsi="Arial"/>
                <w:sz w:val="16"/>
                <w:szCs w:val="16"/>
                <w:color w:val="auto"/>
              </w:rPr>
              <w:t>206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gridSpan w:val="1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40" w:type="dxa"/>
            <w:vAlign w:val="bottom"/>
            <w:tcBorders>
              <w:bottom w:val="single" w:sz="8" w:color="0000EE"/>
            </w:tcBorders>
            <w:gridSpan w:val="16"/>
          </w:tcPr>
          <w:p>
            <w:pPr>
              <w:spacing w:after="0" w:line="158" w:lineRule="exact"/>
              <w:rPr>
                <w:rFonts w:ascii="Arial" w:cs="Arial" w:eastAsia="Arial" w:hAnsi="Arial"/>
                <w:sz w:val="16"/>
                <w:szCs w:val="16"/>
                <w:color w:val="0000EE"/>
                <w:w w:val="97"/>
              </w:rPr>
            </w:pPr>
            <w:hyperlink w:anchor="page210">
              <w:r>
                <w:rPr>
                  <w:rFonts w:ascii="Arial" w:cs="Arial" w:eastAsia="Arial" w:hAnsi="Arial"/>
                  <w:sz w:val="16"/>
                  <w:szCs w:val="16"/>
                  <w:color w:val="0000EE"/>
                  <w:w w:val="97"/>
                </w:rPr>
                <w:t>Index to Consolidated Financial Statements</w:t>
              </w:r>
            </w:hyperlink>
          </w:p>
        </w:tc>
        <w:tc>
          <w:tcPr>
            <w:tcW w:w="6220" w:type="dxa"/>
            <w:vAlign w:val="bottom"/>
            <w:gridSpan w:val="5"/>
          </w:tcPr>
          <w:p>
            <w:pPr>
              <w:spacing w:after="0"/>
              <w:rPr>
                <w:sz w:val="13"/>
                <w:szCs w:val="13"/>
                <w:color w:val="auto"/>
              </w:rPr>
            </w:pPr>
          </w:p>
        </w:tc>
        <w:tc>
          <w:tcPr>
            <w:tcW w:w="360" w:type="dxa"/>
            <w:vAlign w:val="bottom"/>
            <w:gridSpan w:val="2"/>
          </w:tcPr>
          <w:p>
            <w:pPr>
              <w:ind w:left="100"/>
              <w:spacing w:after="0" w:line="158" w:lineRule="exact"/>
              <w:rPr>
                <w:sz w:val="20"/>
                <w:szCs w:val="20"/>
                <w:color w:val="auto"/>
              </w:rPr>
            </w:pPr>
            <w:r>
              <w:rPr>
                <w:rFonts w:ascii="Arial" w:cs="Arial" w:eastAsia="Arial" w:hAnsi="Arial"/>
                <w:sz w:val="16"/>
                <w:szCs w:val="16"/>
                <w:color w:val="auto"/>
                <w:w w:val="99"/>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210185</wp:posOffset>
            </wp:positionV>
            <wp:extent cx="12915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Neither we nor any of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9" w:lineRule="exact"/>
        <w:rPr>
          <w:sz w:val="20"/>
          <w:szCs w:val="20"/>
          <w:color w:val="auto"/>
        </w:rPr>
      </w:pPr>
    </w:p>
    <w:p>
      <w:pPr>
        <w:ind w:left="800" w:firstLine="482"/>
        <w:spacing w:after="0" w:line="254" w:lineRule="auto"/>
        <w:rPr>
          <w:sz w:val="20"/>
          <w:szCs w:val="20"/>
          <w:color w:val="auto"/>
        </w:rPr>
      </w:pPr>
      <w:r>
        <w:rPr>
          <w:rFonts w:ascii="Arial" w:cs="Arial" w:eastAsia="Arial" w:hAnsi="Arial"/>
          <w:sz w:val="15"/>
          <w:szCs w:val="15"/>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0420"/>
          </w:cols>
          <w:pgMar w:left="320" w:top="419" w:right="11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991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3465" cy="499173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PROSPECTUS SUMMARY</w:t>
      </w:r>
    </w:p>
    <w:p>
      <w:pPr>
        <w:spacing w:after="0" w:line="187" w:lineRule="exact"/>
        <w:rPr>
          <w:sz w:val="20"/>
          <w:szCs w:val="20"/>
          <w:color w:val="auto"/>
        </w:rPr>
      </w:pPr>
    </w:p>
    <w:p>
      <w:pPr>
        <w:ind w:left="960" w:right="40" w:firstLine="466"/>
        <w:spacing w:after="0" w:line="236" w:lineRule="auto"/>
        <w:rPr>
          <w:sz w:val="20"/>
          <w:szCs w:val="20"/>
          <w:color w:val="auto"/>
        </w:rPr>
      </w:pPr>
      <w:r>
        <w:rPr>
          <w:rFonts w:ascii="Arial" w:cs="Arial" w:eastAsia="Arial" w:hAnsi="Arial"/>
          <w:sz w:val="16"/>
          <w:szCs w:val="16"/>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“Upstart,” “the company,” “we,” “us” and “our” in this prospectus refer to Upstart Holdings, Inc. and its consolidated subsidiaries. Our fiscal year end is December 31, and our fiscal quarters end on March 31, June 30, September 30 and December 31.</w:t>
      </w:r>
    </w:p>
    <w:p>
      <w:pPr>
        <w:spacing w:after="0" w:line="255"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Upstart Holdings, Inc.</w:t>
      </w:r>
    </w:p>
    <w:p>
      <w:pPr>
        <w:spacing w:after="0" w:line="185"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Overview</w:t>
      </w:r>
    </w:p>
    <w:p>
      <w:pPr>
        <w:spacing w:after="0" w:line="10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Our mission is to enable effortless credit based on true risk.</w:t>
      </w:r>
    </w:p>
    <w:p>
      <w:pPr>
        <w:spacing w:after="0" w:line="183" w:lineRule="exact"/>
        <w:rPr>
          <w:sz w:val="20"/>
          <w:szCs w:val="20"/>
          <w:color w:val="auto"/>
        </w:rPr>
      </w:pPr>
    </w:p>
    <w:p>
      <w:pPr>
        <w:ind w:left="960" w:right="80" w:firstLine="466"/>
        <w:spacing w:after="0" w:line="234" w:lineRule="auto"/>
        <w:rPr>
          <w:sz w:val="20"/>
          <w:szCs w:val="20"/>
          <w:color w:val="auto"/>
        </w:rPr>
      </w:pPr>
      <w:r>
        <w:rPr>
          <w:rFonts w:ascii="Arial" w:cs="Arial" w:eastAsia="Arial" w:hAnsi="Arial"/>
          <w:sz w:val="16"/>
          <w:szCs w:val="16"/>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w:t>
      </w:r>
    </w:p>
    <w:p>
      <w:pPr>
        <w:spacing w:after="0" w:line="179" w:lineRule="exact"/>
        <w:rPr>
          <w:sz w:val="20"/>
          <w:szCs w:val="20"/>
          <w:color w:val="auto"/>
        </w:rPr>
      </w:pPr>
    </w:p>
    <w:p>
      <w:pPr>
        <w:ind w:left="960" w:firstLine="466"/>
        <w:spacing w:after="0" w:line="234" w:lineRule="auto"/>
        <w:rPr>
          <w:sz w:val="20"/>
          <w:szCs w:val="20"/>
          <w:color w:val="auto"/>
        </w:rPr>
      </w:pPr>
      <w:r>
        <w:rPr>
          <w:rFonts w:ascii="Arial" w:cs="Arial" w:eastAsia="Arial" w:hAnsi="Arial"/>
          <w:sz w:val="16"/>
          <w:szCs w:val="16"/>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3"/>
          <w:szCs w:val="13"/>
          <w:color w:val="auto"/>
        </w:rPr>
        <w:t>1</w:t>
      </w:r>
      <w:r>
        <w:rPr>
          <w:rFonts w:ascii="Arial" w:cs="Arial" w:eastAsia="Arial" w:hAnsi="Arial"/>
          <w:sz w:val="16"/>
          <w:szCs w:val="16"/>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3"/>
          <w:szCs w:val="13"/>
          <w:color w:val="auto"/>
        </w:rPr>
        <w:t>2</w:t>
      </w:r>
    </w:p>
    <w:p>
      <w:pPr>
        <w:spacing w:after="0" w:line="179" w:lineRule="exact"/>
        <w:rPr>
          <w:sz w:val="20"/>
          <w:szCs w:val="20"/>
          <w:color w:val="auto"/>
        </w:rPr>
      </w:pPr>
    </w:p>
    <w:p>
      <w:pPr>
        <w:ind w:left="960" w:right="460" w:firstLine="466"/>
        <w:spacing w:after="0" w:line="246"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1,000 variables and benefit from a rapidly growing training dataset that currently contains more than</w:t>
      </w:r>
    </w:p>
    <w:p>
      <w:pPr>
        <w:spacing w:after="0" w:line="2" w:lineRule="exact"/>
        <w:rPr>
          <w:sz w:val="20"/>
          <w:szCs w:val="20"/>
          <w:color w:val="auto"/>
        </w:rPr>
      </w:pPr>
    </w:p>
    <w:p>
      <w:pPr>
        <w:ind w:left="960" w:right="20"/>
        <w:spacing w:after="0" w:line="238" w:lineRule="auto"/>
        <w:rPr>
          <w:sz w:val="20"/>
          <w:szCs w:val="20"/>
          <w:color w:val="auto"/>
        </w:rPr>
      </w:pPr>
      <w:r>
        <w:rPr>
          <w:rFonts w:ascii="Arial" w:cs="Arial" w:eastAsia="Arial" w:hAnsi="Arial"/>
          <w:sz w:val="16"/>
          <w:szCs w:val="16"/>
          <w:color w:val="auto"/>
        </w:rPr>
        <w:t>10.5 million repayment events. The network effects generated by our constantly improving AI models provide a significant competitive advantage—more training data leads to higher approval rates and lower interest rates at the same loss rate.</w:t>
      </w:r>
    </w:p>
    <w:p>
      <w:pPr>
        <w:spacing w:after="0" w:line="179" w:lineRule="exact"/>
        <w:rPr>
          <w:sz w:val="20"/>
          <w:szCs w:val="20"/>
          <w:color w:val="auto"/>
        </w:rPr>
      </w:pPr>
    </w:p>
    <w:p>
      <w:pPr>
        <w:ind w:left="960" w:right="420" w:firstLine="466"/>
        <w:spacing w:after="0" w:line="254"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w:t>
      </w:r>
    </w:p>
    <w:p>
      <w:pPr>
        <w:spacing w:after="0" w:line="44" w:lineRule="exact"/>
        <w:rPr>
          <w:sz w:val="20"/>
          <w:szCs w:val="20"/>
          <w:color w:val="auto"/>
        </w:rPr>
      </w:pPr>
    </w:p>
    <w:p>
      <w:pPr>
        <w:ind w:left="1320" w:hanging="361"/>
        <w:spacing w:after="0"/>
        <w:tabs>
          <w:tab w:leader="none" w:pos="132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Kaufman; see the section titled “Industry, Market and Other Data.”</w:t>
      </w:r>
    </w:p>
    <w:p>
      <w:pPr>
        <w:ind w:left="1320" w:hanging="361"/>
        <w:spacing w:after="0" w:line="183" w:lineRule="auto"/>
        <w:tabs>
          <w:tab w:leader="none" w:pos="132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Ficklin and Watkins;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280"/>
          </w:cols>
          <w:pgMar w:left="320" w:top="419" w:right="129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201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3465" cy="52019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60" w:right="220"/>
        <w:spacing w:after="0" w:line="238" w:lineRule="auto"/>
        <w:rPr>
          <w:sz w:val="20"/>
          <w:szCs w:val="20"/>
          <w:color w:val="auto"/>
        </w:rPr>
      </w:pPr>
      <w:r>
        <w:rPr>
          <w:rFonts w:ascii="Arial" w:cs="Arial" w:eastAsia="Arial" w:hAnsi="Arial"/>
          <w:sz w:val="16"/>
          <w:szCs w:val="16"/>
          <w:color w:val="auto"/>
        </w:rPr>
        <w:t>all of our bank partners. As a result, these models are trained by every Upstart-powered loan, and each bank partner benefits from participating in a shared AI lending platform.</w:t>
      </w:r>
    </w:p>
    <w:p>
      <w:pPr>
        <w:spacing w:after="0" w:line="179" w:lineRule="exact"/>
        <w:rPr>
          <w:sz w:val="20"/>
          <w:szCs w:val="20"/>
          <w:color w:val="auto"/>
        </w:rPr>
      </w:pPr>
    </w:p>
    <w:p>
      <w:pPr>
        <w:ind w:left="960" w:right="20" w:firstLine="466"/>
        <w:spacing w:after="0" w:line="238" w:lineRule="auto"/>
        <w:rPr>
          <w:sz w:val="20"/>
          <w:szCs w:val="20"/>
          <w:color w:val="auto"/>
        </w:rPr>
      </w:pPr>
      <w:r>
        <w:rPr>
          <w:rFonts w:ascii="Arial" w:cs="Arial" w:eastAsia="Arial" w:hAnsi="Arial"/>
          <w:sz w:val="16"/>
          <w:szCs w:val="16"/>
          <w:color w:val="auto"/>
        </w:rPr>
        <w:t>Consumers can discover Upstart-powered loans in one of two ways: either via Upstart.com or through a bank-branded product on our bank partners’ own websites.</w:t>
      </w:r>
    </w:p>
    <w:p>
      <w:pPr>
        <w:spacing w:after="0" w:line="179" w:lineRule="exact"/>
        <w:rPr>
          <w:sz w:val="20"/>
          <w:szCs w:val="20"/>
          <w:color w:val="auto"/>
        </w:rPr>
      </w:pPr>
    </w:p>
    <w:p>
      <w:pPr>
        <w:ind w:left="960" w:right="40" w:firstLine="466"/>
        <w:spacing w:after="0" w:line="232" w:lineRule="auto"/>
        <w:rPr>
          <w:sz w:val="20"/>
          <w:szCs w:val="20"/>
          <w:color w:val="auto"/>
        </w:rPr>
      </w:pPr>
      <w:r>
        <w:rPr>
          <w:rFonts w:ascii="Arial" w:cs="Arial" w:eastAsia="Arial" w:hAnsi="Arial"/>
          <w:sz w:val="16"/>
          <w:szCs w:val="16"/>
          <w:color w:val="auto"/>
        </w:rPr>
        <w:t>Loans issued through our platform can be retained by our originating bank partners, distributed to our broad base of approximately 100 institutional investors and buyers that invest in Upstart-powered loans or funded by Upstart’s balance sheet. In the fourth quarter of 2020, 18% of the loans funded through our platform were retained by the originating bank and 81% of loans were purchased by institutional investors through our loan funding programs. Our institutional investors and buyers that participate in our loan funding programs invest in Upstart-powered loans through whole loan purchases, purchases of pass-through certificates and investments in asset-backed securitizations. As of December 31, 2020, we had twelve bank partners. In the year ended December 31, 2020, Cross River Bank (CRB) originated 67% of the loans facilitated on our platform and fees received from CRB accounted for 63% of our total revenue. Our current agreement with CRB began on January 1, 2019 and has an initial four year term, with a renewal term for an additional two years following the initial four year term.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3"/>
          <w:szCs w:val="13"/>
          <w:color w:val="auto"/>
        </w:rPr>
        <w:t>3</w:t>
      </w:r>
      <w:r>
        <w:rPr>
          <w:rFonts w:ascii="Arial" w:cs="Arial" w:eastAsia="Arial" w:hAnsi="Arial"/>
          <w:sz w:val="16"/>
          <w:szCs w:val="16"/>
          <w:color w:val="auto"/>
        </w:rPr>
        <w:t xml:space="preserve"> The remaining 1% of loans funded through our platform in the fourth quarter of 2020 were funded through our balance sheet.</w:t>
      </w:r>
    </w:p>
    <w:p>
      <w:pPr>
        <w:spacing w:after="0" w:line="184" w:lineRule="exact"/>
        <w:rPr>
          <w:sz w:val="20"/>
          <w:szCs w:val="20"/>
          <w:color w:val="auto"/>
        </w:rPr>
      </w:pPr>
    </w:p>
    <w:p>
      <w:pPr>
        <w:ind w:left="960" w:right="20" w:firstLine="466"/>
        <w:spacing w:after="0" w:line="233" w:lineRule="auto"/>
        <w:rPr>
          <w:sz w:val="20"/>
          <w:szCs w:val="20"/>
          <w:color w:val="auto"/>
        </w:rPr>
      </w:pPr>
      <w:r>
        <w:rPr>
          <w:rFonts w:ascii="Arial" w:cs="Arial" w:eastAsia="Arial" w:hAnsi="Arial"/>
          <w:sz w:val="16"/>
          <w:szCs w:val="16"/>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Recent Developments</w:t>
      </w:r>
    </w:p>
    <w:p>
      <w:pPr>
        <w:spacing w:after="0" w:line="106" w:lineRule="exact"/>
        <w:rPr>
          <w:sz w:val="20"/>
          <w:szCs w:val="20"/>
          <w:color w:val="auto"/>
        </w:rPr>
      </w:pPr>
    </w:p>
    <w:p>
      <w:pPr>
        <w:ind w:left="960" w:right="60" w:firstLine="466"/>
        <w:spacing w:after="0" w:line="235" w:lineRule="auto"/>
        <w:rPr>
          <w:sz w:val="20"/>
          <w:szCs w:val="20"/>
          <w:color w:val="auto"/>
        </w:rPr>
      </w:pPr>
      <w:r>
        <w:rPr>
          <w:rFonts w:ascii="Arial" w:cs="Arial" w:eastAsia="Arial" w:hAnsi="Arial"/>
          <w:sz w:val="16"/>
          <w:szCs w:val="16"/>
          <w:color w:val="auto"/>
        </w:rPr>
        <w:t>In March 2021, we entered into a definitive agreement to acquire Prodigy Software, Inc., a provider of cloud -based automotive retail software. The aggregate consideration to be paid by us is estimated to be $ 100 million, subject to customary purchase price adjustments, payable in a combination of cash and shares of our common stock. The transaction is subject to customary closing conditions, and is expected to close in the second quarter of 2021.</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Industry Overview</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Affordable Credit is Critical to Unlocking Upward Mobility and Opportunity</w:t>
      </w:r>
    </w:p>
    <w:p>
      <w:pPr>
        <w:spacing w:after="0" w:line="104" w:lineRule="exact"/>
        <w:rPr>
          <w:sz w:val="20"/>
          <w:szCs w:val="20"/>
          <w:color w:val="auto"/>
        </w:rPr>
      </w:pPr>
    </w:p>
    <w:p>
      <w:pPr>
        <w:ind w:left="960" w:right="560" w:firstLine="466"/>
        <w:spacing w:after="0"/>
        <w:rPr>
          <w:sz w:val="20"/>
          <w:szCs w:val="20"/>
          <w:color w:val="auto"/>
        </w:rPr>
      </w:pPr>
      <w:r>
        <w:rPr>
          <w:rFonts w:ascii="Arial" w:cs="Arial" w:eastAsia="Arial" w:hAnsi="Arial"/>
          <w:sz w:val="16"/>
          <w:szCs w:val="16"/>
          <w:color w:val="auto"/>
        </w:rPr>
        <w:t>With $3.6 trillion of consumer credit originated between April 2019 and March 2020,</w:t>
      </w:r>
      <w:r>
        <w:rPr>
          <w:rFonts w:ascii="Arial" w:cs="Arial" w:eastAsia="Arial" w:hAnsi="Arial"/>
          <w:sz w:val="13"/>
          <w:szCs w:val="13"/>
          <w:color w:val="auto"/>
        </w:rPr>
        <w:t>4</w:t>
      </w:r>
      <w:r>
        <w:rPr>
          <w:rFonts w:ascii="Arial" w:cs="Arial" w:eastAsia="Arial" w:hAnsi="Arial"/>
          <w:sz w:val="16"/>
          <w:szCs w:val="16"/>
          <w:color w:val="auto"/>
        </w:rPr>
        <w:t xml:space="preserve"> credit is a cornerstone of the U.S. economy. Access to affordable credit is central to unlocking upward mobility</w:t>
      </w:r>
    </w:p>
    <w:p>
      <w:pPr>
        <w:spacing w:after="0" w:line="160" w:lineRule="exact"/>
        <w:rPr>
          <w:sz w:val="20"/>
          <w:szCs w:val="20"/>
          <w:color w:val="auto"/>
        </w:rPr>
      </w:pPr>
    </w:p>
    <w:p>
      <w:pPr>
        <w:jc w:val="both"/>
        <w:ind w:left="1420" w:hanging="461"/>
        <w:spacing w:after="0" w:line="185" w:lineRule="auto"/>
        <w:tabs>
          <w:tab w:leader="none" w:pos="142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loan funding programs, including the role of our</w:t>
      </w:r>
    </w:p>
    <w:p>
      <w:pPr>
        <w:ind w:left="1420" w:right="60"/>
        <w:spacing w:after="0" w:line="222" w:lineRule="auto"/>
        <w:rPr>
          <w:sz w:val="20"/>
          <w:szCs w:val="20"/>
          <w:color w:val="auto"/>
        </w:rPr>
      </w:pPr>
      <w:r>
        <w:rPr>
          <w:rFonts w:ascii="Arial" w:cs="Arial" w:eastAsia="Arial" w:hAnsi="Arial"/>
          <w:sz w:val="13"/>
          <w:szCs w:val="13"/>
          <w:color w:val="auto"/>
        </w:rPr>
        <w:t>warehouse credit facilities and special purpose entities. See “Note 3. Securitizations and Variable Interest Entities” to our consolidated financial statements for additional information regarding transactions with our VIEs.</w:t>
      </w:r>
    </w:p>
    <w:p>
      <w:pPr>
        <w:ind w:left="1420" w:hanging="461"/>
        <w:spacing w:after="0" w:line="184" w:lineRule="auto"/>
        <w:tabs>
          <w:tab w:leader="none" w:pos="1420" w:val="left"/>
        </w:tabs>
        <w:numPr>
          <w:ilvl w:val="0"/>
          <w:numId w:val="6"/>
        </w:numPr>
        <w:rPr>
          <w:rFonts w:ascii="Arial" w:cs="Arial" w:eastAsia="Arial" w:hAnsi="Arial"/>
          <w:sz w:val="18"/>
          <w:szCs w:val="18"/>
          <w:color w:val="auto"/>
          <w:vertAlign w:val="superscript"/>
        </w:rPr>
      </w:pPr>
      <w:r>
        <w:rPr>
          <w:rFonts w:ascii="Arial" w:cs="Arial" w:eastAsia="Arial" w:hAnsi="Arial"/>
          <w:sz w:val="11"/>
          <w:szCs w:val="11"/>
          <w:color w:val="auto"/>
        </w:rPr>
        <w:t>Based on loan origination dollar amounts published by TransUnion;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260"/>
          </w:cols>
          <w:pgMar w:left="320" w:top="419" w:right="131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615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3465" cy="561530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60" w:right="20"/>
        <w:spacing w:after="0" w:line="233" w:lineRule="auto"/>
        <w:rPr>
          <w:sz w:val="20"/>
          <w:szCs w:val="20"/>
          <w:color w:val="auto"/>
        </w:rPr>
      </w:pPr>
      <w:r>
        <w:rPr>
          <w:rFonts w:ascii="Arial" w:cs="Arial" w:eastAsia="Arial" w:hAnsi="Arial"/>
          <w:sz w:val="16"/>
          <w:szCs w:val="16"/>
          <w:color w:val="auto"/>
        </w:rPr>
        <w:t>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3"/>
          <w:szCs w:val="13"/>
          <w:color w:val="auto"/>
        </w:rPr>
        <w:t>5</w:t>
      </w:r>
      <w:r>
        <w:rPr>
          <w:rFonts w:ascii="Arial" w:cs="Arial" w:eastAsia="Arial" w:hAnsi="Arial"/>
          <w:sz w:val="16"/>
          <w:szCs w:val="16"/>
          <w:color w:val="auto"/>
        </w:rPr>
        <w:t xml:space="preserve"> The average American has approximately $29,800 in personal debt.</w:t>
      </w:r>
      <w:r>
        <w:rPr>
          <w:rFonts w:ascii="Arial" w:cs="Arial" w:eastAsia="Arial" w:hAnsi="Arial"/>
          <w:sz w:val="13"/>
          <w:szCs w:val="13"/>
          <w:color w:val="auto"/>
        </w:rPr>
        <w:t>6</w:t>
      </w:r>
      <w:r>
        <w:rPr>
          <w:rFonts w:ascii="Arial" w:cs="Arial" w:eastAsia="Arial" w:hAnsi="Arial"/>
          <w:sz w:val="16"/>
          <w:szCs w:val="16"/>
          <w:color w:val="auto"/>
        </w:rPr>
        <w:t xml:space="preserve"> While access to affordable credit has allowed Americans to purchase and improve their homes, buy cars, pay for college tuition and cover emergency expenses, high interest rates can negatively impact a consumer’s financial health. The U.S. Federal Reserve reports that on average, 10% of household disposable personal income is spent on debt repayment.</w:t>
      </w:r>
      <w:r>
        <w:rPr>
          <w:rFonts w:ascii="Arial" w:cs="Arial" w:eastAsia="Arial" w:hAnsi="Arial"/>
          <w:sz w:val="13"/>
          <w:szCs w:val="13"/>
          <w:color w:val="auto"/>
        </w:rPr>
        <w:t>7</w:t>
      </w:r>
      <w:r>
        <w:rPr>
          <w:rFonts w:ascii="Arial" w:cs="Arial" w:eastAsia="Arial" w:hAnsi="Arial"/>
          <w:sz w:val="16"/>
          <w:szCs w:val="16"/>
          <w:color w:val="auto"/>
        </w:rPr>
        <w:t xml:space="preserve"> In addition, 16% of Americans spend 50% to 100% of their monthly income repaying debt.</w:t>
      </w:r>
      <w:r>
        <w:rPr>
          <w:rFonts w:ascii="Arial" w:cs="Arial" w:eastAsia="Arial" w:hAnsi="Arial"/>
          <w:sz w:val="13"/>
          <w:szCs w:val="13"/>
          <w:color w:val="auto"/>
        </w:rPr>
        <w:t>8</w:t>
      </w: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Affordable Credit Is Inaccessible for Millions because Existing Systems Fail to Accurately Quantify Risk</w:t>
      </w:r>
    </w:p>
    <w:p>
      <w:pPr>
        <w:spacing w:after="0" w:line="104" w:lineRule="exact"/>
        <w:rPr>
          <w:sz w:val="20"/>
          <w:szCs w:val="20"/>
          <w:color w:val="auto"/>
        </w:rPr>
      </w:pPr>
    </w:p>
    <w:p>
      <w:pPr>
        <w:ind w:left="960" w:firstLine="466"/>
        <w:spacing w:after="0" w:line="233" w:lineRule="auto"/>
        <w:rPr>
          <w:sz w:val="20"/>
          <w:szCs w:val="20"/>
          <w:color w:val="auto"/>
        </w:rPr>
      </w:pPr>
      <w:r>
        <w:rPr>
          <w:rFonts w:ascii="Arial" w:cs="Arial" w:eastAsia="Arial" w:hAnsi="Arial"/>
          <w:sz w:val="16"/>
          <w:szCs w:val="16"/>
          <w:color w:val="auto"/>
        </w:rPr>
        <w:t>The FICO score was invented in 1989 and has not fundamentally changed since that time.</w:t>
      </w:r>
      <w:r>
        <w:rPr>
          <w:rFonts w:ascii="Arial" w:cs="Arial" w:eastAsia="Arial" w:hAnsi="Arial"/>
          <w:sz w:val="13"/>
          <w:szCs w:val="13"/>
          <w:color w:val="auto"/>
        </w:rPr>
        <w:t>9</w:t>
      </w:r>
      <w:r>
        <w:rPr>
          <w:rFonts w:ascii="Arial" w:cs="Arial" w:eastAsia="Arial" w:hAnsi="Arial"/>
          <w:sz w:val="16"/>
          <w:szCs w:val="16"/>
          <w:color w:val="auto"/>
        </w:rPr>
        <w:t xml:space="preserve"> The FICO score is used by over 90% of lenders to determine who is approved for credit and at what interest rate.</w:t>
      </w:r>
      <w:r>
        <w:rPr>
          <w:rFonts w:ascii="Arial" w:cs="Arial" w:eastAsia="Arial" w:hAnsi="Arial"/>
          <w:sz w:val="13"/>
          <w:szCs w:val="13"/>
          <w:color w:val="auto"/>
        </w:rPr>
        <w:t>10</w:t>
      </w:r>
      <w:r>
        <w:rPr>
          <w:rFonts w:ascii="Arial" w:cs="Arial" w:eastAsia="Arial" w:hAnsi="Arial"/>
          <w:sz w:val="16"/>
          <w:szCs w:val="16"/>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3"/>
          <w:szCs w:val="13"/>
          <w:color w:val="auto"/>
        </w:rPr>
        <w:t>11</w:t>
      </w:r>
      <w:r>
        <w:rPr>
          <w:rFonts w:ascii="Arial" w:cs="Arial" w:eastAsia="Arial" w:hAnsi="Arial"/>
          <w:sz w:val="16"/>
          <w:szCs w:val="16"/>
          <w:color w:val="auto"/>
        </w:rPr>
        <w:t xml:space="preserve"> Unsurprisingly, the world is more complicated than can be represented by these models, so they are limited in their ability to reliably estimate the probability of default. 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 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3"/>
          <w:szCs w:val="13"/>
          <w:color w:val="auto"/>
        </w:rPr>
        <w:t>12</w:t>
      </w:r>
      <w:r>
        <w:rPr>
          <w:rFonts w:ascii="Arial" w:cs="Arial" w:eastAsia="Arial" w:hAnsi="Arial"/>
          <w:sz w:val="16"/>
          <w:szCs w:val="16"/>
          <w:color w:val="auto"/>
        </w:rPr>
        <w:t xml:space="preserve"> Even consumers with high credit scores tend to pay too much for loans because the rates they pay effectively subsidize the losses from borrowers who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Banks Will Continue to be at the Forefront of Consumer Lending</w:t>
      </w:r>
    </w:p>
    <w:p>
      <w:pPr>
        <w:spacing w:after="0" w:line="106" w:lineRule="exact"/>
        <w:rPr>
          <w:sz w:val="20"/>
          <w:szCs w:val="20"/>
          <w:color w:val="auto"/>
        </w:rPr>
      </w:pPr>
    </w:p>
    <w:p>
      <w:pPr>
        <w:ind w:left="960" w:right="620" w:firstLine="466"/>
        <w:spacing w:after="0" w:line="238" w:lineRule="auto"/>
        <w:rPr>
          <w:sz w:val="20"/>
          <w:szCs w:val="20"/>
          <w:color w:val="auto"/>
        </w:rPr>
      </w:pPr>
      <w:r>
        <w:rPr>
          <w:rFonts w:ascii="Arial" w:cs="Arial" w:eastAsia="Arial" w:hAnsi="Arial"/>
          <w:sz w:val="16"/>
          <w:szCs w:val="16"/>
          <w:color w:val="auto"/>
        </w:rPr>
        <w:t>Banks have been at the forefront of consumer lending in the U.S. for more than a century. They benefit from long-term structural advantages, including a low cost of funding, a unique regulatory</w:t>
      </w:r>
    </w:p>
    <w:p>
      <w:pPr>
        <w:spacing w:after="0" w:line="54" w:lineRule="exact"/>
        <w:rPr>
          <w:sz w:val="20"/>
          <w:szCs w:val="20"/>
          <w:color w:val="auto"/>
        </w:rPr>
      </w:pPr>
    </w:p>
    <w:p>
      <w:pPr>
        <w:ind w:left="1420" w:hanging="461"/>
        <w:spacing w:after="0"/>
        <w:tabs>
          <w:tab w:leader="none" w:pos="142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Wysen; see the section titled “Industry, Market and Other Data.”</w:t>
      </w:r>
    </w:p>
    <w:p>
      <w:pPr>
        <w:ind w:left="1420" w:hanging="461"/>
        <w:spacing w:after="0" w:line="185" w:lineRule="auto"/>
        <w:tabs>
          <w:tab w:leader="none" w:pos="1420" w:val="left"/>
        </w:tabs>
        <w:numPr>
          <w:ilvl w:val="0"/>
          <w:numId w:val="8"/>
        </w:numPr>
        <w:rPr>
          <w:rFonts w:ascii="Arial" w:cs="Arial" w:eastAsia="Arial" w:hAnsi="Arial"/>
          <w:sz w:val="16"/>
          <w:szCs w:val="16"/>
          <w:color w:val="auto"/>
          <w:vertAlign w:val="superscript"/>
        </w:rPr>
      </w:pPr>
      <w:r>
        <w:rPr>
          <w:rFonts w:ascii="Arial" w:cs="Arial" w:eastAsia="Arial" w:hAnsi="Arial"/>
          <w:sz w:val="10"/>
          <w:szCs w:val="10"/>
          <w:color w:val="auto"/>
        </w:rPr>
        <w:t>Northwestern Mutual; see the section titled “Industry, Market and Other Data.”</w:t>
      </w:r>
    </w:p>
    <w:p>
      <w:pPr>
        <w:ind w:left="1420" w:hanging="461"/>
        <w:spacing w:after="0" w:line="185" w:lineRule="auto"/>
        <w:tabs>
          <w:tab w:leader="none" w:pos="1420" w:val="left"/>
        </w:tabs>
        <w:numPr>
          <w:ilvl w:val="0"/>
          <w:numId w:val="9"/>
        </w:numPr>
        <w:rPr>
          <w:rFonts w:ascii="Arial" w:cs="Arial" w:eastAsia="Arial" w:hAnsi="Arial"/>
          <w:sz w:val="16"/>
          <w:szCs w:val="16"/>
          <w:color w:val="auto"/>
          <w:vertAlign w:val="superscript"/>
        </w:rPr>
      </w:pPr>
      <w:r>
        <w:rPr>
          <w:rFonts w:ascii="Arial" w:cs="Arial" w:eastAsia="Arial" w:hAnsi="Arial"/>
          <w:sz w:val="10"/>
          <w:szCs w:val="10"/>
          <w:color w:val="auto"/>
        </w:rPr>
        <w:t>Federal Reserve Household Debt; see the section titled “Industry, Market and Other Data.”</w:t>
      </w:r>
    </w:p>
    <w:p>
      <w:pPr>
        <w:ind w:left="1420" w:hanging="461"/>
        <w:spacing w:after="0" w:line="185" w:lineRule="auto"/>
        <w:tabs>
          <w:tab w:leader="none" w:pos="1420" w:val="left"/>
        </w:tabs>
        <w:numPr>
          <w:ilvl w:val="0"/>
          <w:numId w:val="10"/>
        </w:numPr>
        <w:rPr>
          <w:rFonts w:ascii="Arial" w:cs="Arial" w:eastAsia="Arial" w:hAnsi="Arial"/>
          <w:sz w:val="16"/>
          <w:szCs w:val="16"/>
          <w:color w:val="auto"/>
          <w:vertAlign w:val="superscript"/>
        </w:rPr>
      </w:pPr>
      <w:r>
        <w:rPr>
          <w:rFonts w:ascii="Arial" w:cs="Arial" w:eastAsia="Arial" w:hAnsi="Arial"/>
          <w:sz w:val="10"/>
          <w:szCs w:val="10"/>
          <w:color w:val="auto"/>
        </w:rPr>
        <w:t>Northwestern Mutual; see the section titled “Industry, Market and Other Data.”</w:t>
      </w:r>
    </w:p>
    <w:p>
      <w:pPr>
        <w:ind w:left="1420" w:hanging="461"/>
        <w:spacing w:after="0" w:line="185" w:lineRule="auto"/>
        <w:tabs>
          <w:tab w:leader="none" w:pos="1420" w:val="left"/>
        </w:tabs>
        <w:numPr>
          <w:ilvl w:val="0"/>
          <w:numId w:val="11"/>
        </w:numPr>
        <w:rPr>
          <w:rFonts w:ascii="Arial" w:cs="Arial" w:eastAsia="Arial" w:hAnsi="Arial"/>
          <w:sz w:val="16"/>
          <w:szCs w:val="16"/>
          <w:color w:val="auto"/>
          <w:vertAlign w:val="superscript"/>
        </w:rPr>
      </w:pPr>
      <w:r>
        <w:rPr>
          <w:rFonts w:ascii="Arial" w:cs="Arial" w:eastAsia="Arial" w:hAnsi="Arial"/>
          <w:sz w:val="10"/>
          <w:szCs w:val="10"/>
          <w:color w:val="auto"/>
        </w:rPr>
        <w:t>Kaufman; see the section titled “Industry, Market and Other Data.”</w:t>
      </w:r>
    </w:p>
    <w:p>
      <w:pPr>
        <w:ind w:left="1420" w:hanging="461"/>
        <w:spacing w:after="0" w:line="182" w:lineRule="auto"/>
        <w:tabs>
          <w:tab w:leader="none" w:pos="1420" w:val="left"/>
        </w:tabs>
        <w:numPr>
          <w:ilvl w:val="0"/>
          <w:numId w:val="12"/>
        </w:numPr>
        <w:rPr>
          <w:rFonts w:ascii="Arial" w:cs="Arial" w:eastAsia="Arial" w:hAnsi="Arial"/>
          <w:sz w:val="17"/>
          <w:szCs w:val="17"/>
          <w:color w:val="auto"/>
          <w:vertAlign w:val="superscript"/>
        </w:rPr>
      </w:pPr>
      <w:r>
        <w:rPr>
          <w:rFonts w:ascii="Arial" w:cs="Arial" w:eastAsia="Arial" w:hAnsi="Arial"/>
          <w:sz w:val="10"/>
          <w:szCs w:val="10"/>
          <w:color w:val="auto"/>
        </w:rPr>
        <w:t>Kaufman; see the section titled “Industry, Market and Other Data.”</w:t>
      </w:r>
    </w:p>
    <w:p>
      <w:pPr>
        <w:ind w:left="1420" w:hanging="461"/>
        <w:spacing w:after="0" w:line="185" w:lineRule="auto"/>
        <w:tabs>
          <w:tab w:leader="none" w:pos="142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Siddiqi; see the section titled “Industry, Market and Other Data.”</w:t>
      </w:r>
    </w:p>
    <w:p>
      <w:pPr>
        <w:ind w:left="1420" w:hanging="461"/>
        <w:spacing w:after="0" w:line="186" w:lineRule="auto"/>
        <w:tabs>
          <w:tab w:leader="none" w:pos="1420" w:val="left"/>
        </w:tabs>
        <w:numPr>
          <w:ilvl w:val="0"/>
          <w:numId w:val="12"/>
        </w:numPr>
        <w:rPr>
          <w:rFonts w:ascii="Arial" w:cs="Arial" w:eastAsia="Arial" w:hAnsi="Arial"/>
          <w:sz w:val="17"/>
          <w:szCs w:val="17"/>
          <w:color w:val="auto"/>
          <w:vertAlign w:val="superscript"/>
        </w:rPr>
      </w:pPr>
      <w:r>
        <w:rPr>
          <w:rFonts w:ascii="Arial" w:cs="Arial" w:eastAsia="Arial" w:hAnsi="Arial"/>
          <w:sz w:val="10"/>
          <w:szCs w:val="10"/>
          <w:color w:val="auto"/>
        </w:rPr>
        <w:t>The study defined access to prime credit as individuals with credit reports with VantageScores of 720 or above.</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60"/>
          </w:cols>
          <w:pgMar w:left="320" w:top="419" w:right="1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909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3465" cy="490918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60" w:right="20"/>
        <w:spacing w:after="0" w:line="234" w:lineRule="auto"/>
        <w:rPr>
          <w:sz w:val="20"/>
          <w:szCs w:val="20"/>
          <w:color w:val="auto"/>
        </w:rPr>
      </w:pPr>
      <w:r>
        <w:rPr>
          <w:rFonts w:ascii="Arial" w:cs="Arial" w:eastAsia="Arial" w:hAnsi="Arial"/>
          <w:sz w:val="16"/>
          <w:szCs w:val="16"/>
          <w:color w:val="auto"/>
        </w:rPr>
        <w:t>framework, and high levels of consumer trust. Through large and reliable deposit bases, banks are able to maintain a very low cost of funds—approximately 1% on average.</w:t>
      </w:r>
      <w:r>
        <w:rPr>
          <w:rFonts w:ascii="Arial" w:cs="Arial" w:eastAsia="Arial" w:hAnsi="Arial"/>
          <w:sz w:val="13"/>
          <w:szCs w:val="13"/>
          <w:color w:val="auto"/>
        </w:rPr>
        <w:t>13</w:t>
      </w:r>
      <w:r>
        <w:rPr>
          <w:rFonts w:ascii="Arial" w:cs="Arial" w:eastAsia="Arial" w:hAnsi="Arial"/>
          <w:sz w:val="16"/>
          <w:szCs w:val="16"/>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Banks Must Undergo a Digital Transformation to Remain Competitive</w:t>
      </w:r>
    </w:p>
    <w:p>
      <w:pPr>
        <w:spacing w:after="0" w:line="104" w:lineRule="exact"/>
        <w:rPr>
          <w:sz w:val="20"/>
          <w:szCs w:val="20"/>
          <w:color w:val="auto"/>
        </w:rPr>
      </w:pPr>
    </w:p>
    <w:p>
      <w:pPr>
        <w:ind w:left="960" w:right="100" w:firstLine="466"/>
        <w:spacing w:after="0" w:line="234" w:lineRule="auto"/>
        <w:rPr>
          <w:sz w:val="20"/>
          <w:szCs w:val="20"/>
          <w:color w:val="auto"/>
        </w:rPr>
      </w:pPr>
      <w:r>
        <w:rPr>
          <w:rFonts w:ascii="Arial" w:cs="Arial" w:eastAsia="Arial" w:hAnsi="Arial"/>
          <w:sz w:val="16"/>
          <w:szCs w:val="16"/>
          <w:color w:val="auto"/>
        </w:rPr>
        <w:t>The largest four U.S. banks spend an estimated $38 billion on technology and innovation annually.</w:t>
      </w:r>
      <w:r>
        <w:rPr>
          <w:rFonts w:ascii="Arial" w:cs="Arial" w:eastAsia="Arial" w:hAnsi="Arial"/>
          <w:sz w:val="13"/>
          <w:szCs w:val="13"/>
          <w:color w:val="auto"/>
        </w:rPr>
        <w:t>14</w:t>
      </w:r>
      <w:r>
        <w:rPr>
          <w:rFonts w:ascii="Arial" w:cs="Arial" w:eastAsia="Arial" w:hAnsi="Arial"/>
          <w:sz w:val="16"/>
          <w:szCs w:val="16"/>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3"/>
          <w:szCs w:val="13"/>
          <w:color w:val="auto"/>
        </w:rPr>
        <w:t>15</w:t>
      </w:r>
      <w:r>
        <w:rPr>
          <w:rFonts w:ascii="Arial" w:cs="Arial" w:eastAsia="Arial" w:hAnsi="Arial"/>
          <w:sz w:val="16"/>
          <w:szCs w:val="16"/>
          <w:color w:val="auto"/>
        </w:rPr>
        <w:t xml:space="preserve"> that are at risk of falling behind. Despite holding over $8 trillion in deposits,</w:t>
      </w:r>
      <w:r>
        <w:rPr>
          <w:rFonts w:ascii="Arial" w:cs="Arial" w:eastAsia="Arial" w:hAnsi="Arial"/>
          <w:sz w:val="13"/>
          <w:szCs w:val="13"/>
          <w:color w:val="auto"/>
        </w:rPr>
        <w:t>16</w:t>
      </w:r>
      <w:r>
        <w:rPr>
          <w:rFonts w:ascii="Arial" w:cs="Arial" w:eastAsia="Arial" w:hAnsi="Arial"/>
          <w:sz w:val="16"/>
          <w:szCs w:val="16"/>
          <w:color w:val="auto"/>
        </w:rPr>
        <w:t xml:space="preserve"> we believe these banks, particularly small to medium-sized banks, have outdated technology and lack the technical resources of larger banks to fund the digitization process.</w:t>
      </w:r>
    </w:p>
    <w:p>
      <w:pPr>
        <w:spacing w:after="0" w:line="179" w:lineRule="exact"/>
        <w:rPr>
          <w:sz w:val="20"/>
          <w:szCs w:val="20"/>
          <w:color w:val="auto"/>
        </w:rPr>
      </w:pPr>
    </w:p>
    <w:p>
      <w:pPr>
        <w:ind w:left="960" w:right="20" w:firstLine="466"/>
        <w:spacing w:after="0" w:line="235" w:lineRule="auto"/>
        <w:rPr>
          <w:sz w:val="20"/>
          <w:szCs w:val="20"/>
          <w:color w:val="auto"/>
        </w:rPr>
      </w:pPr>
      <w:r>
        <w:rPr>
          <w:rFonts w:ascii="Arial" w:cs="Arial" w:eastAsia="Arial" w:hAnsi="Arial"/>
          <w:sz w:val="16"/>
          <w:szCs w:val="16"/>
          <w:color w:val="auto"/>
        </w:rPr>
        <w:t>At the same time, consumers are increasingly seeking digital, personalized and automated experiences.</w:t>
      </w:r>
      <w:r>
        <w:rPr>
          <w:rFonts w:ascii="Arial" w:cs="Arial" w:eastAsia="Arial" w:hAnsi="Arial"/>
          <w:sz w:val="13"/>
          <w:szCs w:val="13"/>
          <w:color w:val="auto"/>
        </w:rPr>
        <w:t>17</w:t>
      </w:r>
      <w:r>
        <w:rPr>
          <w:rFonts w:ascii="Arial" w:cs="Arial" w:eastAsia="Arial" w:hAnsi="Arial"/>
          <w:sz w:val="16"/>
          <w:szCs w:val="16"/>
          <w:color w:val="auto"/>
        </w:rPr>
        <w:t xml:space="preserve"> A 2017 Bain survey found that approximately 50% of the U.S. population would be comfortable buying financial products from technology companies.</w:t>
      </w:r>
      <w:r>
        <w:rPr>
          <w:rFonts w:ascii="Arial" w:cs="Arial" w:eastAsia="Arial" w:hAnsi="Arial"/>
          <w:sz w:val="13"/>
          <w:szCs w:val="13"/>
          <w:color w:val="auto"/>
        </w:rPr>
        <w:t>18</w:t>
      </w:r>
      <w:r>
        <w:rPr>
          <w:rFonts w:ascii="Arial" w:cs="Arial" w:eastAsia="Arial" w:hAnsi="Arial"/>
          <w:sz w:val="16"/>
          <w:szCs w:val="16"/>
          <w:color w:val="auto"/>
        </w:rPr>
        <w:t xml:space="preserve"> We believe that as consumers, both young and old, move their financial lives online, small and medium-sized banks will be increasingly ill-equipped to serve them.</w:t>
      </w:r>
    </w:p>
    <w:p>
      <w:pPr>
        <w:spacing w:after="0" w:line="180" w:lineRule="exact"/>
        <w:rPr>
          <w:sz w:val="20"/>
          <w:szCs w:val="20"/>
          <w:color w:val="auto"/>
        </w:rPr>
      </w:pPr>
    </w:p>
    <w:p>
      <w:pPr>
        <w:ind w:left="960" w:right="200" w:firstLine="466"/>
        <w:spacing w:after="0" w:line="258" w:lineRule="auto"/>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42"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Increasing Recognition from Regulators</w:t>
      </w:r>
    </w:p>
    <w:p>
      <w:pPr>
        <w:spacing w:after="0" w:line="106" w:lineRule="exact"/>
        <w:rPr>
          <w:sz w:val="20"/>
          <w:szCs w:val="20"/>
          <w:color w:val="auto"/>
        </w:rPr>
      </w:pPr>
    </w:p>
    <w:p>
      <w:pPr>
        <w:ind w:left="960" w:firstLine="466"/>
        <w:spacing w:after="0" w:line="233" w:lineRule="auto"/>
        <w:rPr>
          <w:sz w:val="20"/>
          <w:szCs w:val="20"/>
          <w:color w:val="auto"/>
        </w:rPr>
      </w:pPr>
      <w:r>
        <w:rPr>
          <w:rFonts w:ascii="Arial" w:cs="Arial" w:eastAsia="Arial" w:hAnsi="Arial"/>
          <w:sz w:val="16"/>
          <w:szCs w:val="16"/>
          <w:color w:val="auto"/>
        </w:rPr>
        <w:t>Many regulators including the FDIC, the OCC, the Federal Reserve and the CFPB increasingly recognize the opportunity to modernize techniques used in lending.</w:t>
      </w:r>
      <w:r>
        <w:rPr>
          <w:rFonts w:ascii="Arial" w:cs="Arial" w:eastAsia="Arial" w:hAnsi="Arial"/>
          <w:sz w:val="13"/>
          <w:szCs w:val="13"/>
          <w:color w:val="auto"/>
        </w:rPr>
        <w:t>19</w:t>
      </w:r>
      <w:r>
        <w:rPr>
          <w:rFonts w:ascii="Arial" w:cs="Arial" w:eastAsia="Arial" w:hAnsi="Arial"/>
          <w:sz w:val="16"/>
          <w:szCs w:val="16"/>
          <w:color w:val="auto"/>
        </w:rPr>
        <w:t xml:space="preserve"> In December 2019, these agencies issued an inter-agency report in support of the use of alternative data in lending decisions.</w:t>
      </w:r>
      <w:r>
        <w:rPr>
          <w:rFonts w:ascii="Arial" w:cs="Arial" w:eastAsia="Arial" w:hAnsi="Arial"/>
          <w:sz w:val="13"/>
          <w:szCs w:val="13"/>
          <w:color w:val="auto"/>
        </w:rPr>
        <w:t>20</w:t>
      </w:r>
      <w:r>
        <w:rPr>
          <w:rFonts w:ascii="Arial" w:cs="Arial" w:eastAsia="Arial" w:hAnsi="Arial"/>
          <w:sz w:val="16"/>
          <w:szCs w:val="16"/>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3"/>
          <w:szCs w:val="13"/>
          <w:color w:val="auto"/>
        </w:rPr>
        <w:t>21</w:t>
      </w:r>
      <w:r>
        <w:rPr>
          <w:rFonts w:ascii="Arial" w:cs="Arial" w:eastAsia="Arial" w:hAnsi="Arial"/>
          <w:sz w:val="16"/>
          <w:szCs w:val="16"/>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w:t>
      </w:r>
    </w:p>
    <w:p>
      <w:pPr>
        <w:spacing w:after="0" w:line="62" w:lineRule="exact"/>
        <w:rPr>
          <w:sz w:val="20"/>
          <w:szCs w:val="20"/>
          <w:color w:val="auto"/>
        </w:rPr>
      </w:pPr>
    </w:p>
    <w:p>
      <w:pPr>
        <w:ind w:left="1420" w:hanging="461"/>
        <w:spacing w:after="0"/>
        <w:tabs>
          <w:tab w:leader="none" w:pos="1420" w:val="left"/>
        </w:tabs>
        <w:numPr>
          <w:ilvl w:val="0"/>
          <w:numId w:val="13"/>
        </w:numPr>
        <w:rPr>
          <w:rFonts w:ascii="Arial" w:cs="Arial" w:eastAsia="Arial" w:hAnsi="Arial"/>
          <w:sz w:val="21"/>
          <w:szCs w:val="21"/>
          <w:color w:val="auto"/>
          <w:vertAlign w:val="superscript"/>
        </w:rPr>
      </w:pPr>
      <w:r>
        <w:rPr>
          <w:rFonts w:ascii="Arial" w:cs="Arial" w:eastAsia="Arial" w:hAnsi="Arial"/>
          <w:sz w:val="13"/>
          <w:szCs w:val="13"/>
          <w:color w:val="auto"/>
        </w:rPr>
        <w:t>Federal Home Loan Bank of San Francisco;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Garcia;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FDIC; see the section titled “Industry, Market and Other Data.”</w:t>
      </w:r>
    </w:p>
    <w:p>
      <w:pPr>
        <w:ind w:left="1420" w:right="140" w:hanging="461"/>
        <w:spacing w:after="0" w:line="185" w:lineRule="auto"/>
        <w:tabs>
          <w:tab w:leader="none" w:pos="14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The dollar amount of deposits held by banks, other than the four largest banks, was aggregated by Upstart using data provided by the FDIC;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Bain, PwC and RedPoint Global;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Bain;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ind w:left="1420" w:hanging="461"/>
        <w:spacing w:after="0" w:line="185" w:lineRule="auto"/>
        <w:tabs>
          <w:tab w:leader="none" w:pos="14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ind w:left="1420" w:hanging="461"/>
        <w:spacing w:after="0" w:line="186" w:lineRule="auto"/>
        <w:tabs>
          <w:tab w:leader="none" w:pos="1420" w:val="left"/>
        </w:tabs>
        <w:numPr>
          <w:ilvl w:val="0"/>
          <w:numId w:val="13"/>
        </w:numPr>
        <w:rPr>
          <w:rFonts w:ascii="Arial" w:cs="Arial" w:eastAsia="Arial" w:hAnsi="Arial"/>
          <w:sz w:val="17"/>
          <w:szCs w:val="17"/>
          <w:color w:val="auto"/>
          <w:vertAlign w:val="superscript"/>
        </w:rPr>
      </w:pPr>
      <w:r>
        <w:rPr>
          <w:rFonts w:ascii="Arial" w:cs="Arial" w:eastAsia="Arial" w:hAnsi="Arial"/>
          <w:sz w:val="10"/>
          <w:szCs w:val="10"/>
          <w:color w:val="auto"/>
        </w:rPr>
        <w:t>Kraninger;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60"/>
          </w:cols>
          <w:pgMar w:left="320" w:top="419" w:right="13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00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3465" cy="500697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960" w:right="140"/>
        <w:spacing w:after="0" w:line="235" w:lineRule="auto"/>
        <w:rPr>
          <w:sz w:val="20"/>
          <w:szCs w:val="20"/>
          <w:color w:val="auto"/>
        </w:rPr>
      </w:pPr>
      <w:r>
        <w:rPr>
          <w:rFonts w:ascii="Arial" w:cs="Arial" w:eastAsia="Arial" w:hAnsi="Arial"/>
          <w:sz w:val="16"/>
          <w:szCs w:val="16"/>
          <w:color w:val="auto"/>
        </w:rPr>
        <w:t>and machine learning in credit decision-making.</w:t>
      </w:r>
      <w:r>
        <w:rPr>
          <w:rFonts w:ascii="Arial" w:cs="Arial" w:eastAsia="Arial" w:hAnsi="Arial"/>
          <w:sz w:val="13"/>
          <w:szCs w:val="13"/>
          <w:color w:val="auto"/>
        </w:rPr>
        <w:t>22</w:t>
      </w:r>
      <w:r>
        <w:rPr>
          <w:rFonts w:ascii="Arial" w:cs="Arial" w:eastAsia="Arial" w:hAnsi="Arial"/>
          <w:sz w:val="16"/>
          <w:szCs w:val="16"/>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AI model to underwrite and price unsecured closed-end loans, and is conditional on our implementation of a Model Risk Assessment Plan that was developed with the CFPB.</w:t>
      </w:r>
    </w:p>
    <w:p>
      <w:pPr>
        <w:spacing w:after="0" w:line="257"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The AI Opportunity</w:t>
      </w:r>
    </w:p>
    <w:p>
      <w:pPr>
        <w:spacing w:after="0" w:line="104" w:lineRule="exact"/>
        <w:rPr>
          <w:sz w:val="20"/>
          <w:szCs w:val="20"/>
          <w:color w:val="auto"/>
        </w:rPr>
      </w:pPr>
    </w:p>
    <w:p>
      <w:pPr>
        <w:ind w:left="960" w:right="280" w:firstLine="466"/>
        <w:spacing w:after="0" w:line="237" w:lineRule="auto"/>
        <w:rPr>
          <w:sz w:val="20"/>
          <w:szCs w:val="20"/>
          <w:color w:val="auto"/>
        </w:rPr>
      </w:pPr>
      <w:r>
        <w:rPr>
          <w:rFonts w:ascii="Arial" w:cs="Arial" w:eastAsia="Arial" w:hAnsi="Arial"/>
          <w:sz w:val="16"/>
          <w:szCs w:val="16"/>
          <w:color w:val="auto"/>
        </w:rPr>
        <w:t>AI has the potential to add $13 trillion to the current global economic output by 2030, a 16% increase over today’s output.</w:t>
      </w:r>
      <w:r>
        <w:rPr>
          <w:rFonts w:ascii="Arial" w:cs="Arial" w:eastAsia="Arial" w:hAnsi="Arial"/>
          <w:sz w:val="13"/>
          <w:szCs w:val="13"/>
          <w:color w:val="auto"/>
        </w:rPr>
        <w:t>23</w:t>
      </w:r>
      <w:r>
        <w:rPr>
          <w:rFonts w:ascii="Arial" w:cs="Arial" w:eastAsia="Arial" w:hAnsi="Arial"/>
          <w:sz w:val="16"/>
          <w:szCs w:val="16"/>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3"/>
          <w:szCs w:val="13"/>
          <w:color w:val="auto"/>
        </w:rPr>
        <w:t>24</w:t>
      </w:r>
      <w:r>
        <w:rPr>
          <w:rFonts w:ascii="Arial" w:cs="Arial" w:eastAsia="Arial" w:hAnsi="Arial"/>
          <w:sz w:val="16"/>
          <w:szCs w:val="16"/>
          <w:color w:val="auto"/>
        </w:rPr>
        <w:t xml:space="preserve"> We believe the lending industry will follow this path.</w:t>
      </w:r>
    </w:p>
    <w:p>
      <w:pPr>
        <w:spacing w:after="0" w:line="179" w:lineRule="exact"/>
        <w:rPr>
          <w:sz w:val="20"/>
          <w:szCs w:val="20"/>
          <w:color w:val="auto"/>
        </w:rPr>
      </w:pPr>
    </w:p>
    <w:p>
      <w:pPr>
        <w:ind w:left="960" w:firstLine="466"/>
        <w:spacing w:after="0" w:line="234" w:lineRule="auto"/>
        <w:rPr>
          <w:sz w:val="20"/>
          <w:szCs w:val="20"/>
          <w:color w:val="auto"/>
        </w:rPr>
      </w:pPr>
      <w:r>
        <w:rPr>
          <w:rFonts w:ascii="Arial" w:cs="Arial" w:eastAsia="Arial" w:hAnsi="Arial"/>
          <w:sz w:val="16"/>
          <w:szCs w:val="16"/>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9" w:lineRule="exact"/>
        <w:rPr>
          <w:sz w:val="20"/>
          <w:szCs w:val="20"/>
          <w:color w:val="auto"/>
        </w:rPr>
      </w:pPr>
    </w:p>
    <w:p>
      <w:pPr>
        <w:ind w:left="960" w:right="20" w:firstLine="466"/>
        <w:spacing w:after="0" w:line="232" w:lineRule="auto"/>
        <w:rPr>
          <w:sz w:val="20"/>
          <w:szCs w:val="20"/>
          <w:color w:val="auto"/>
        </w:rPr>
      </w:pPr>
      <w:r>
        <w:rPr>
          <w:rFonts w:ascii="Arial" w:cs="Arial" w:eastAsia="Arial" w:hAnsi="Arial"/>
          <w:sz w:val="16"/>
          <w:szCs w:val="16"/>
          <w:color w:val="auto"/>
        </w:rPr>
        <w:t>With our eight-year head start, our AI lending platform is well-positioned to power a significant portion of the U.S. credit market. To date, we have focused on the unsecured personal loan market. From October 2019 to September 2020, there were $92 billion in U.S. unsecured personal loan originations.</w:t>
      </w:r>
      <w:r>
        <w:rPr>
          <w:rFonts w:ascii="Arial" w:cs="Arial" w:eastAsia="Arial" w:hAnsi="Arial"/>
          <w:sz w:val="13"/>
          <w:szCs w:val="13"/>
          <w:color w:val="auto"/>
        </w:rPr>
        <w:t>25</w:t>
      </w:r>
      <w:r>
        <w:rPr>
          <w:rFonts w:ascii="Arial" w:cs="Arial" w:eastAsia="Arial" w:hAnsi="Arial"/>
          <w:sz w:val="16"/>
          <w:szCs w:val="16"/>
          <w:color w:val="auto"/>
        </w:rPr>
        <w:t xml:space="preserve"> In the same period, we facilitated the origination of $3.2 billion in unsecured personal loans, or less than 5% of the total market.</w:t>
      </w:r>
      <w:r>
        <w:rPr>
          <w:rFonts w:ascii="Arial" w:cs="Arial" w:eastAsia="Arial" w:hAnsi="Arial"/>
          <w:sz w:val="13"/>
          <w:szCs w:val="13"/>
          <w:color w:val="auto"/>
        </w:rPr>
        <w:t>26</w:t>
      </w:r>
      <w:r>
        <w:rPr>
          <w:rFonts w:ascii="Arial" w:cs="Arial" w:eastAsia="Arial" w:hAnsi="Arial"/>
          <w:sz w:val="16"/>
          <w:szCs w:val="16"/>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October 2019 to September 2020, there were $626 billion in U.S. auto loan originations, $258 billion in U.S. credit card originations and $3.4 trillion in U.S. mortgage originations.</w:t>
      </w:r>
      <w:r>
        <w:rPr>
          <w:rFonts w:ascii="Arial" w:cs="Arial" w:eastAsia="Arial" w:hAnsi="Arial"/>
          <w:sz w:val="13"/>
          <w:szCs w:val="13"/>
          <w:color w:val="auto"/>
        </w:rPr>
        <w:t>27</w:t>
      </w:r>
      <w:r>
        <w:rPr>
          <w:rFonts w:ascii="Arial" w:cs="Arial" w:eastAsia="Arial" w:hAnsi="Arial"/>
          <w:sz w:val="16"/>
          <w:szCs w:val="16"/>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home equity lines of credit (“HELOCs”).</w:t>
      </w:r>
    </w:p>
    <w:p>
      <w:pPr>
        <w:spacing w:after="0" w:line="261"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Our AI Lending Platform</w:t>
      </w:r>
    </w:p>
    <w:p>
      <w:pPr>
        <w:spacing w:after="0" w:line="106" w:lineRule="exact"/>
        <w:rPr>
          <w:sz w:val="20"/>
          <w:szCs w:val="20"/>
          <w:color w:val="auto"/>
        </w:rPr>
      </w:pPr>
    </w:p>
    <w:p>
      <w:pPr>
        <w:ind w:left="960" w:right="20" w:firstLine="466"/>
        <w:spacing w:after="0" w:line="236" w:lineRule="auto"/>
        <w:rPr>
          <w:sz w:val="20"/>
          <w:szCs w:val="20"/>
          <w:color w:val="auto"/>
        </w:rPr>
      </w:pPr>
      <w:r>
        <w:rPr>
          <w:rFonts w:ascii="Arial" w:cs="Arial" w:eastAsia="Arial" w:hAnsi="Arial"/>
          <w:sz w:val="16"/>
          <w:szCs w:val="16"/>
          <w:color w:val="auto"/>
        </w:rPr>
        <w:t>Our AI models are central to our value proposition and unique position in the industry. Our models incorporate more than 1,000 variables, which are analogous to the columns in a spreadsheet. They have been trained by more than 10.5 million repayment events, analogous to rows of data in a spreadsheet.</w:t>
      </w:r>
    </w:p>
    <w:p>
      <w:pPr>
        <w:spacing w:after="0" w:line="179" w:lineRule="exact"/>
        <w:rPr>
          <w:sz w:val="20"/>
          <w:szCs w:val="20"/>
          <w:color w:val="auto"/>
        </w:rPr>
      </w:pPr>
    </w:p>
    <w:p>
      <w:pPr>
        <w:ind w:left="960" w:right="760" w:firstLine="466"/>
        <w:spacing w:after="0" w:line="238" w:lineRule="auto"/>
        <w:rPr>
          <w:sz w:val="20"/>
          <w:szCs w:val="20"/>
          <w:color w:val="auto"/>
        </w:rPr>
      </w:pPr>
      <w:r>
        <w:rPr>
          <w:rFonts w:ascii="Arial" w:cs="Arial" w:eastAsia="Arial" w:hAnsi="Arial"/>
          <w:sz w:val="16"/>
          <w:szCs w:val="16"/>
          <w:color w:val="auto"/>
        </w:rPr>
        <w:t>These elements of our model are co-dependent; the use of hundreds or thousands of variables is impractical without sophisticated machine learning algorithms to tease out the interactions between</w:t>
      </w:r>
    </w:p>
    <w:p>
      <w:pPr>
        <w:spacing w:after="0" w:line="61" w:lineRule="exact"/>
        <w:rPr>
          <w:sz w:val="20"/>
          <w:szCs w:val="20"/>
          <w:color w:val="auto"/>
        </w:rPr>
      </w:pPr>
    </w:p>
    <w:p>
      <w:pPr>
        <w:ind w:left="1420" w:hanging="461"/>
        <w:spacing w:after="0"/>
        <w:tabs>
          <w:tab w:leader="none" w:pos="1420" w:val="left"/>
        </w:tabs>
        <w:numPr>
          <w:ilvl w:val="0"/>
          <w:numId w:val="14"/>
        </w:numPr>
        <w:rPr>
          <w:rFonts w:ascii="Arial" w:cs="Arial" w:eastAsia="Arial" w:hAnsi="Arial"/>
          <w:sz w:val="21"/>
          <w:szCs w:val="21"/>
          <w:color w:val="auto"/>
          <w:vertAlign w:val="superscript"/>
        </w:rPr>
      </w:pPr>
      <w:r>
        <w:rPr>
          <w:rFonts w:ascii="Arial" w:cs="Arial" w:eastAsia="Arial" w:hAnsi="Arial"/>
          <w:sz w:val="13"/>
          <w:szCs w:val="13"/>
          <w:color w:val="auto"/>
        </w:rPr>
        <w:t>CFPB No-Action Letter; see the section titled “Industry, Market and Other Data.”</w:t>
      </w:r>
    </w:p>
    <w:p>
      <w:pPr>
        <w:ind w:left="1420" w:hanging="461"/>
        <w:spacing w:after="0" w:line="185" w:lineRule="auto"/>
        <w:tabs>
          <w:tab w:leader="none" w:pos="142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McKinsey; see the section titled “Industry, Market and Other Data.”</w:t>
      </w:r>
    </w:p>
    <w:p>
      <w:pPr>
        <w:ind w:left="1420" w:hanging="461"/>
        <w:spacing w:after="0" w:line="185" w:lineRule="auto"/>
        <w:tabs>
          <w:tab w:leader="none" w:pos="142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McKinsey; see the section titled “Industry, Market and Other Data.”</w:t>
      </w:r>
    </w:p>
    <w:p>
      <w:pPr>
        <w:ind w:left="1420" w:hanging="461"/>
        <w:spacing w:after="0" w:line="185" w:lineRule="auto"/>
        <w:tabs>
          <w:tab w:leader="none" w:pos="142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420" w:hanging="461"/>
        <w:spacing w:after="0" w:line="185" w:lineRule="auto"/>
        <w:tabs>
          <w:tab w:leader="none" w:pos="1420" w:val="left"/>
        </w:tabs>
        <w:numPr>
          <w:ilvl w:val="0"/>
          <w:numId w:val="14"/>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420" w:hanging="461"/>
        <w:spacing w:after="0" w:line="186" w:lineRule="auto"/>
        <w:tabs>
          <w:tab w:leader="none" w:pos="1420" w:val="left"/>
        </w:tabs>
        <w:numPr>
          <w:ilvl w:val="0"/>
          <w:numId w:val="14"/>
        </w:numPr>
        <w:rPr>
          <w:rFonts w:ascii="Arial" w:cs="Arial" w:eastAsia="Arial" w:hAnsi="Arial"/>
          <w:sz w:val="17"/>
          <w:szCs w:val="17"/>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80"/>
          </w:cols>
          <w:pgMar w:left="320" w:top="419" w:right="12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149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3465" cy="514921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60" w:right="240"/>
        <w:spacing w:after="0" w:line="252" w:lineRule="auto"/>
        <w:rPr>
          <w:sz w:val="20"/>
          <w:szCs w:val="20"/>
          <w:color w:val="auto"/>
        </w:rPr>
      </w:pPr>
      <w:r>
        <w:rPr>
          <w:rFonts w:ascii="Arial" w:cs="Arial" w:eastAsia="Arial" w:hAnsi="Arial"/>
          <w:sz w:val="15"/>
          <w:szCs w:val="15"/>
          <w:color w:val="auto"/>
        </w:rPr>
        <w:t>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“Business—Evolution of Upstart’s AI Model.”</w:t>
      </w:r>
    </w:p>
    <w:p>
      <w:pPr>
        <w:spacing w:after="0" w:line="171" w:lineRule="exact"/>
        <w:rPr>
          <w:sz w:val="20"/>
          <w:szCs w:val="20"/>
          <w:color w:val="auto"/>
        </w:rPr>
      </w:pPr>
    </w:p>
    <w:p>
      <w:pPr>
        <w:ind w:left="960" w:right="100" w:firstLine="466"/>
        <w:spacing w:after="0" w:line="233" w:lineRule="auto"/>
        <w:rPr>
          <w:sz w:val="20"/>
          <w:szCs w:val="20"/>
          <w:color w:val="auto"/>
        </w:rPr>
      </w:pPr>
      <w:r>
        <w:rPr>
          <w:rFonts w:ascii="Arial" w:cs="Arial" w:eastAsia="Arial" w:hAnsi="Arial"/>
          <w:sz w:val="16"/>
          <w:szCs w:val="16"/>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Our Ecosystem</w:t>
      </w:r>
    </w:p>
    <w:p>
      <w:pPr>
        <w:spacing w:after="0" w:line="106" w:lineRule="exact"/>
        <w:rPr>
          <w:sz w:val="20"/>
          <w:szCs w:val="20"/>
          <w:color w:val="auto"/>
        </w:rPr>
      </w:pPr>
    </w:p>
    <w:p>
      <w:pPr>
        <w:ind w:left="960" w:firstLine="466"/>
        <w:spacing w:after="0" w:line="235" w:lineRule="auto"/>
        <w:rPr>
          <w:sz w:val="20"/>
          <w:szCs w:val="20"/>
          <w:color w:val="auto"/>
        </w:rPr>
      </w:pPr>
      <w:r>
        <w:rPr>
          <w:rFonts w:ascii="Arial" w:cs="Arial" w:eastAsia="Arial" w:hAnsi="Arial"/>
          <w:sz w:val="16"/>
          <w:szCs w:val="16"/>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78" w:lineRule="exact"/>
        <w:rPr>
          <w:sz w:val="20"/>
          <w:szCs w:val="20"/>
          <w:color w:val="auto"/>
        </w:rPr>
      </w:pPr>
    </w:p>
    <w:p>
      <w:pPr>
        <w:ind w:left="960" w:firstLine="466"/>
        <w:spacing w:after="0" w:line="252"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bank-branded interface on their own website or mobile application. Consumers on our platform are generally offered unsecured personal loans ranging from $1,000 to $50,000 in size, at APRs typically ranging from approximately 6.5% to 35.99%, with terms typically ranging from three to seven years, with a monthly repayment schedule and no prepayment penalty.</w:t>
      </w:r>
    </w:p>
    <w:p>
      <w:pPr>
        <w:spacing w:after="0" w:line="171" w:lineRule="exact"/>
        <w:rPr>
          <w:sz w:val="20"/>
          <w:szCs w:val="20"/>
          <w:color w:val="auto"/>
        </w:rPr>
      </w:pPr>
    </w:p>
    <w:p>
      <w:pPr>
        <w:ind w:left="960" w:right="440" w:firstLine="466"/>
        <w:spacing w:after="0" w:line="235" w:lineRule="auto"/>
        <w:rPr>
          <w:sz w:val="20"/>
          <w:szCs w:val="20"/>
          <w:color w:val="auto"/>
        </w:rPr>
      </w:pPr>
      <w:r>
        <w:rPr>
          <w:rFonts w:ascii="Arial" w:cs="Arial" w:eastAsia="Arial" w:hAnsi="Arial"/>
          <w:sz w:val="16"/>
          <w:szCs w:val="16"/>
          <w:color w:val="auto"/>
        </w:rPr>
        <w:t>On the funding side, our bank partners can retain loans that align with their business and risk objectives; loan volumes exceeding their collective funding capacity or risk tolerance can be flowed through the Cross River Bank conduit and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Value Proposition to Consumers</w:t>
      </w:r>
    </w:p>
    <w:p>
      <w:pPr>
        <w:spacing w:after="0" w:line="102" w:lineRule="exact"/>
        <w:rPr>
          <w:sz w:val="20"/>
          <w:szCs w:val="20"/>
          <w:color w:val="auto"/>
        </w:rPr>
      </w:pPr>
    </w:p>
    <w:p>
      <w:pPr>
        <w:ind w:left="1580" w:right="20" w:hanging="160"/>
        <w:spacing w:after="0"/>
        <w:tabs>
          <w:tab w:leader="none" w:pos="15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Higher approval rates and lower interest rates</w:t>
      </w:r>
      <w:r>
        <w:rPr>
          <w:rFonts w:ascii="Arial" w:cs="Arial" w:eastAsia="Arial" w:hAnsi="Arial"/>
          <w:sz w:val="16"/>
          <w:szCs w:val="16"/>
          <w:color w:val="auto"/>
        </w:rPr>
        <w:t>—The CFPB reported that a study by Upstart of its data using a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by the CFPB, showed that our AI model approves 27% more borrowers than high-quality traditional lending models with a 16% lower average APR for approved loans.</w:t>
      </w:r>
      <w:r>
        <w:rPr>
          <w:rFonts w:ascii="Arial" w:cs="Arial" w:eastAsia="Arial" w:hAnsi="Arial"/>
          <w:sz w:val="13"/>
          <w:szCs w:val="13"/>
          <w:color w:val="auto"/>
        </w:rPr>
        <w:t>28</w:t>
      </w:r>
      <w:r>
        <w:rPr>
          <w:rFonts w:ascii="Arial" w:cs="Arial" w:eastAsia="Arial" w:hAnsi="Arial"/>
          <w:sz w:val="16"/>
          <w:szCs w:val="16"/>
          <w:color w:val="auto"/>
        </w:rPr>
        <w:t xml:space="preserve"> Our analyses suggest that our loan offers have improved significantly over time relative to those of competitors.</w:t>
      </w:r>
      <w:r>
        <w:rPr>
          <w:rFonts w:ascii="Arial" w:cs="Arial" w:eastAsia="Arial" w:hAnsi="Arial"/>
          <w:sz w:val="13"/>
          <w:szCs w:val="13"/>
          <w:color w:val="auto"/>
        </w:rPr>
        <w:t>29</w:t>
      </w:r>
    </w:p>
    <w:p>
      <w:pPr>
        <w:spacing w:after="0" w:line="80" w:lineRule="exact"/>
        <w:rPr>
          <w:rFonts w:ascii="Arial" w:cs="Arial" w:eastAsia="Arial" w:hAnsi="Arial"/>
          <w:sz w:val="16"/>
          <w:szCs w:val="16"/>
          <w:color w:val="auto"/>
        </w:rPr>
      </w:pPr>
    </w:p>
    <w:p>
      <w:pPr>
        <w:ind w:left="1580" w:right="180" w:hanging="160"/>
        <w:spacing w:after="0" w:line="258" w:lineRule="auto"/>
        <w:tabs>
          <w:tab w:leader="none" w:pos="158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Superior digital experience</w:t>
      </w:r>
      <w:r>
        <w:rPr>
          <w:rFonts w:ascii="Arial" w:cs="Arial" w:eastAsia="Arial" w:hAnsi="Arial"/>
          <w:sz w:val="16"/>
          <w:szCs w:val="16"/>
          <w:color w:val="auto"/>
        </w:rPr>
        <w:t>—Whether consumers apply for a loan through Upstart.com or directly through a bank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the application experience is streamlined into a single</w:t>
      </w:r>
    </w:p>
    <w:p>
      <w:pPr>
        <w:spacing w:after="0" w:line="46" w:lineRule="exact"/>
        <w:rPr>
          <w:sz w:val="20"/>
          <w:szCs w:val="20"/>
          <w:color w:val="auto"/>
        </w:rPr>
      </w:pPr>
    </w:p>
    <w:p>
      <w:pPr>
        <w:ind w:left="1420" w:hanging="461"/>
        <w:spacing w:after="0"/>
        <w:tabs>
          <w:tab w:leader="none" w:pos="14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Ficklin and Watkins; see the section titled “Industry, Market and Other Data.”</w:t>
      </w:r>
    </w:p>
    <w:p>
      <w:pPr>
        <w:ind w:left="1420" w:right="140" w:hanging="461"/>
        <w:spacing w:after="0" w:line="180" w:lineRule="auto"/>
        <w:tabs>
          <w:tab w:leader="none" w:pos="1420" w:val="left"/>
        </w:tabs>
        <w:numPr>
          <w:ilvl w:val="0"/>
          <w:numId w:val="16"/>
        </w:numPr>
        <w:rPr>
          <w:rFonts w:ascii="Arial" w:cs="Arial" w:eastAsia="Arial" w:hAnsi="Arial"/>
          <w:sz w:val="21"/>
          <w:szCs w:val="21"/>
          <w:color w:val="auto"/>
          <w:vertAlign w:val="superscript"/>
        </w:rPr>
      </w:pPr>
      <w:r>
        <w:rPr>
          <w:rFonts w:ascii="Arial" w:cs="Arial" w:eastAsia="Arial" w:hAnsi="Arial"/>
          <w:sz w:val="13"/>
          <w:szCs w:val="13"/>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80"/>
          </w:cols>
          <w:pgMar w:left="320" w:top="419" w:right="12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3465" cy="502920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0"/>
        <w:spacing w:after="0" w:line="235" w:lineRule="auto"/>
        <w:rPr>
          <w:sz w:val="20"/>
          <w:szCs w:val="20"/>
          <w:color w:val="auto"/>
        </w:rPr>
      </w:pPr>
      <w:r>
        <w:rPr>
          <w:rFonts w:ascii="Arial" w:cs="Arial" w:eastAsia="Arial" w:hAnsi="Arial"/>
          <w:sz w:val="16"/>
          <w:szCs w:val="16"/>
          <w:color w:val="auto"/>
        </w:rPr>
        <w:t>application process and the loan offers provided are firm. In the year ended December 31,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Value Proposition to Bank Partners</w:t>
      </w:r>
    </w:p>
    <w:p>
      <w:pPr>
        <w:spacing w:after="0" w:line="102" w:lineRule="exact"/>
        <w:rPr>
          <w:sz w:val="20"/>
          <w:szCs w:val="20"/>
          <w:color w:val="auto"/>
        </w:rPr>
      </w:pPr>
    </w:p>
    <w:p>
      <w:pPr>
        <w:ind w:left="1580" w:right="200" w:hanging="160"/>
        <w:spacing w:after="0" w:line="258"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Competitive digital lending experienc</w:t>
      </w:r>
      <w:r>
        <w:rPr>
          <w:rFonts w:ascii="Arial" w:cs="Arial" w:eastAsia="Arial" w:hAnsi="Arial"/>
          <w:sz w:val="16"/>
          <w:szCs w:val="16"/>
          <w:color w:val="auto"/>
        </w:rPr>
        <w:t>e—We provide regional banks and credit unions with a cost effective way to compete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technology budgets of their much larger competitors.</w:t>
      </w:r>
    </w:p>
    <w:p>
      <w:pPr>
        <w:spacing w:after="0" w:line="65" w:lineRule="exact"/>
        <w:rPr>
          <w:rFonts w:ascii="Arial" w:cs="Arial" w:eastAsia="Arial" w:hAnsi="Arial"/>
          <w:sz w:val="16"/>
          <w:szCs w:val="16"/>
          <w:color w:val="auto"/>
        </w:rPr>
      </w:pPr>
    </w:p>
    <w:p>
      <w:pPr>
        <w:ind w:left="1580" w:right="60" w:hanging="160"/>
        <w:spacing w:after="0" w:line="258"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Expanded customer bas</w:t>
      </w:r>
      <w:r>
        <w:rPr>
          <w:rFonts w:ascii="Arial" w:cs="Arial" w:eastAsia="Arial" w:hAnsi="Arial"/>
          <w:sz w:val="16"/>
          <w:szCs w:val="16"/>
          <w:color w:val="auto"/>
        </w:rPr>
        <w:t>e—We refer customers that apply for loans through Upstart.com to our bank partners, helping them</w:t>
      </w:r>
      <w:r>
        <w:rPr>
          <w:rFonts w:ascii="Arial" w:cs="Arial" w:eastAsia="Arial" w:hAnsi="Arial"/>
          <w:sz w:val="16"/>
          <w:szCs w:val="16"/>
          <w:i w:val="1"/>
          <w:iCs w:val="1"/>
          <w:color w:val="auto"/>
        </w:rPr>
        <w:t xml:space="preserve"> </w:t>
      </w:r>
      <w:r>
        <w:rPr>
          <w:rFonts w:ascii="Arial" w:cs="Arial" w:eastAsia="Arial" w:hAnsi="Arial"/>
          <w:sz w:val="16"/>
          <w:szCs w:val="16"/>
          <w:color w:val="auto"/>
        </w:rPr>
        <w:t>grow both loan volumes and number of customers.</w:t>
      </w:r>
    </w:p>
    <w:p>
      <w:pPr>
        <w:spacing w:after="0" w:line="65" w:lineRule="exact"/>
        <w:rPr>
          <w:rFonts w:ascii="Arial" w:cs="Arial" w:eastAsia="Arial" w:hAnsi="Arial"/>
          <w:sz w:val="16"/>
          <w:szCs w:val="16"/>
          <w:color w:val="auto"/>
        </w:rPr>
      </w:pPr>
    </w:p>
    <w:p>
      <w:pPr>
        <w:ind w:left="1580" w:right="340" w:hanging="160"/>
        <w:spacing w:after="0" w:line="258"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Lower loss rates</w:t>
      </w:r>
      <w:r>
        <w:rPr>
          <w:rFonts w:ascii="Arial" w:cs="Arial" w:eastAsia="Arial" w:hAnsi="Arial"/>
          <w:sz w:val="16"/>
          <w:szCs w:val="16"/>
          <w:color w:val="auto"/>
        </w:rPr>
        <w:t>—An internal study comparing our model to that of several large U.S. banks found that our model could</w:t>
      </w:r>
      <w:r>
        <w:rPr>
          <w:rFonts w:ascii="Arial" w:cs="Arial" w:eastAsia="Arial" w:hAnsi="Arial"/>
          <w:sz w:val="16"/>
          <w:szCs w:val="16"/>
          <w:i w:val="1"/>
          <w:iCs w:val="1"/>
          <w:color w:val="auto"/>
        </w:rPr>
        <w:t xml:space="preserve"> </w:t>
      </w:r>
      <w:r>
        <w:rPr>
          <w:rFonts w:ascii="Arial" w:cs="Arial" w:eastAsia="Arial" w:hAnsi="Arial"/>
          <w:sz w:val="16"/>
          <w:szCs w:val="16"/>
          <w:color w:val="auto"/>
        </w:rPr>
        <w:t>enable these banks to lower loss rates by almost 75% while keeping approval rates constant.</w:t>
      </w:r>
      <w:r>
        <w:rPr>
          <w:rFonts w:ascii="Arial" w:cs="Arial" w:eastAsia="Arial" w:hAnsi="Arial"/>
          <w:sz w:val="13"/>
          <w:szCs w:val="13"/>
          <w:color w:val="auto"/>
        </w:rPr>
        <w:t>30</w:t>
      </w:r>
    </w:p>
    <w:p>
      <w:pPr>
        <w:spacing w:after="0" w:line="65" w:lineRule="exact"/>
        <w:rPr>
          <w:rFonts w:ascii="Arial" w:cs="Arial" w:eastAsia="Arial" w:hAnsi="Arial"/>
          <w:sz w:val="16"/>
          <w:szCs w:val="16"/>
          <w:color w:val="auto"/>
        </w:rPr>
      </w:pPr>
    </w:p>
    <w:p>
      <w:pPr>
        <w:ind w:left="1580" w:right="300" w:hanging="160"/>
        <w:spacing w:after="0" w:line="258"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New product offering</w:t>
      </w:r>
      <w:r>
        <w:rPr>
          <w:rFonts w:ascii="Arial" w:cs="Arial" w:eastAsia="Arial" w:hAnsi="Arial"/>
          <w:sz w:val="16"/>
          <w:szCs w:val="16"/>
          <w:color w:val="auto"/>
        </w:rPr>
        <w:t>—Personal loans are one of the fastest-growing segments of credit in the U.S.</w:t>
      </w:r>
      <w:r>
        <w:rPr>
          <w:rFonts w:ascii="Arial" w:cs="Arial" w:eastAsia="Arial" w:hAnsi="Arial"/>
          <w:sz w:val="13"/>
          <w:szCs w:val="13"/>
          <w:color w:val="auto"/>
        </w:rPr>
        <w:t>31</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helps</w:t>
      </w:r>
      <w:r>
        <w:rPr>
          <w:rFonts w:ascii="Arial" w:cs="Arial" w:eastAsia="Arial" w:hAnsi="Arial"/>
          <w:sz w:val="16"/>
          <w:szCs w:val="16"/>
          <w:i w:val="1"/>
          <w:iCs w:val="1"/>
          <w:color w:val="auto"/>
        </w:rPr>
        <w:t xml:space="preserve"> </w:t>
      </w:r>
      <w:r>
        <w:rPr>
          <w:rFonts w:ascii="Arial" w:cs="Arial" w:eastAsia="Arial" w:hAnsi="Arial"/>
          <w:sz w:val="16"/>
          <w:szCs w:val="16"/>
          <w:color w:val="auto"/>
        </w:rPr>
        <w:t>banks provide a product their customers want, rather than letting customers seek loans from competitors.</w:t>
      </w:r>
    </w:p>
    <w:p>
      <w:pPr>
        <w:spacing w:after="0" w:line="65" w:lineRule="exact"/>
        <w:rPr>
          <w:rFonts w:ascii="Arial" w:cs="Arial" w:eastAsia="Arial" w:hAnsi="Arial"/>
          <w:sz w:val="16"/>
          <w:szCs w:val="16"/>
          <w:color w:val="auto"/>
        </w:rPr>
      </w:pPr>
    </w:p>
    <w:p>
      <w:pPr>
        <w:ind w:left="1580" w:right="280" w:hanging="160"/>
        <w:spacing w:after="0" w:line="244" w:lineRule="auto"/>
        <w:tabs>
          <w:tab w:leader="none" w:pos="15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Institutional investor acceptance</w:t>
      </w:r>
      <w:r>
        <w:rPr>
          <w:rFonts w:ascii="Arial" w:cs="Arial" w:eastAsia="Arial" w:hAnsi="Arial"/>
          <w:sz w:val="16"/>
          <w:szCs w:val="16"/>
          <w:color w:val="auto"/>
        </w:rPr>
        <w:t>—Analyses by credit rating agencies, loan and bond buying institutions, and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help banks gain confidence that Upstart-powered loans are subject to significant and constant scrutiny from experts, the results of which are often publicly available.</w:t>
      </w:r>
    </w:p>
    <w:p>
      <w:pPr>
        <w:spacing w:after="0" w:line="253"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Our Competitive Strengths</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Constantly Improving AI Models</w:t>
      </w:r>
    </w:p>
    <w:p>
      <w:pPr>
        <w:spacing w:after="0" w:line="106" w:lineRule="exact"/>
        <w:rPr>
          <w:sz w:val="20"/>
          <w:szCs w:val="20"/>
          <w:color w:val="auto"/>
        </w:rPr>
      </w:pPr>
    </w:p>
    <w:p>
      <w:pPr>
        <w:ind w:left="960" w:right="60" w:firstLine="466"/>
        <w:spacing w:after="0" w:line="235" w:lineRule="auto"/>
        <w:rPr>
          <w:sz w:val="20"/>
          <w:szCs w:val="20"/>
          <w:color w:val="auto"/>
        </w:rPr>
      </w:pPr>
      <w:r>
        <w:rPr>
          <w:rFonts w:ascii="Arial" w:cs="Arial" w:eastAsia="Arial" w:hAnsi="Arial"/>
          <w:sz w:val="16"/>
          <w:szCs w:val="16"/>
          <w:color w:val="auto"/>
        </w:rPr>
        <w:t>We have been building and refining our AI models for more than eight years, and they have led directly to our growth and profitability. Our models currently incorporate more than 1,000 variables and are trained by more than 10.5 million repayment events. Beyond the advantages accrued by our constantly growing volume of training data, our machine learning team continues to update our modeling techniques regularly. Model and technology improvements have increased our conversion rate over time.</w:t>
      </w: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Flexible Two-Sided Ecosystem</w:t>
      </w:r>
    </w:p>
    <w:p>
      <w:pPr>
        <w:spacing w:after="0" w:line="106" w:lineRule="exact"/>
        <w:rPr>
          <w:sz w:val="20"/>
          <w:szCs w:val="20"/>
          <w:color w:val="auto"/>
        </w:rPr>
      </w:pPr>
    </w:p>
    <w:p>
      <w:pPr>
        <w:ind w:left="960" w:right="340" w:firstLine="466"/>
        <w:spacing w:after="0" w:line="236" w:lineRule="auto"/>
        <w:rPr>
          <w:sz w:val="20"/>
          <w:szCs w:val="20"/>
          <w:color w:val="auto"/>
        </w:rPr>
      </w:pPr>
      <w:r>
        <w:rPr>
          <w:rFonts w:ascii="Arial" w:cs="Arial" w:eastAsia="Arial" w:hAnsi="Arial"/>
          <w:sz w:val="16"/>
          <w:szCs w:val="16"/>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With an expanding list of bank partners, we can solve the borrowing needs of an increasingly diverse array of consumers.</w:t>
      </w:r>
    </w:p>
    <w:p>
      <w:pPr>
        <w:spacing w:after="0" w:line="164" w:lineRule="exact"/>
        <w:rPr>
          <w:sz w:val="20"/>
          <w:szCs w:val="20"/>
          <w:color w:val="auto"/>
        </w:rPr>
      </w:pPr>
    </w:p>
    <w:p>
      <w:pPr>
        <w:ind w:left="1420" w:right="100" w:hanging="461"/>
        <w:spacing w:after="0" w:line="197" w:lineRule="auto"/>
        <w:tabs>
          <w:tab w:leader="none" w:pos="142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1"/>
          <w:szCs w:val="21"/>
          <w:color w:val="auto"/>
          <w:vertAlign w:val="superscript"/>
        </w:rPr>
      </w:pPr>
    </w:p>
    <w:p>
      <w:pPr>
        <w:ind w:left="1420" w:hanging="461"/>
        <w:spacing w:after="0" w:line="186" w:lineRule="auto"/>
        <w:tabs>
          <w:tab w:leader="none" w:pos="1420" w:val="left"/>
        </w:tabs>
        <w:numPr>
          <w:ilvl w:val="0"/>
          <w:numId w:val="18"/>
        </w:numPr>
        <w:rPr>
          <w:rFonts w:ascii="Arial" w:cs="Arial" w:eastAsia="Arial" w:hAnsi="Arial"/>
          <w:sz w:val="17"/>
          <w:szCs w:val="17"/>
          <w:color w:val="auto"/>
          <w:vertAlign w:val="superscript"/>
        </w:rPr>
      </w:pPr>
      <w:r>
        <w:rPr>
          <w:rFonts w:ascii="Arial" w:cs="Arial" w:eastAsia="Arial" w:hAnsi="Arial"/>
          <w:sz w:val="10"/>
          <w:szCs w:val="10"/>
          <w:color w:val="auto"/>
        </w:rPr>
        <w:t>Beiseitov;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60"/>
          </w:cols>
          <w:pgMar w:left="320" w:top="419" w:right="13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231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3465" cy="52317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Capital Efficient Fee-Based Business</w:t>
      </w:r>
    </w:p>
    <w:p>
      <w:pPr>
        <w:spacing w:after="0" w:line="106" w:lineRule="exact"/>
        <w:rPr>
          <w:sz w:val="20"/>
          <w:szCs w:val="20"/>
          <w:color w:val="auto"/>
        </w:rPr>
      </w:pPr>
    </w:p>
    <w:p>
      <w:pPr>
        <w:jc w:val="both"/>
        <w:ind w:left="960" w:right="140" w:firstLine="466"/>
        <w:spacing w:after="0" w:line="236" w:lineRule="auto"/>
        <w:rPr>
          <w:sz w:val="20"/>
          <w:szCs w:val="20"/>
          <w:color w:val="auto"/>
        </w:rPr>
      </w:pPr>
      <w:r>
        <w:rPr>
          <w:rFonts w:ascii="Arial" w:cs="Arial" w:eastAsia="Arial" w:hAnsi="Arial"/>
          <w:sz w:val="16"/>
          <w:szCs w:val="16"/>
          <w:color w:val="auto"/>
        </w:rPr>
        <w:t>In the year ended December 31, 2020, we generated 98% of revenue from fees from banks and loan servicing. We have also achieved a high degree of automation, with approximately 70% of Upstart-powered loans approved instantly and fully automated in the year ended December 31, 2020, driving operating leverage and improving unit economics.</w:t>
      </w: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Regulatory Compliance</w:t>
      </w:r>
    </w:p>
    <w:p>
      <w:pPr>
        <w:spacing w:after="0" w:line="106" w:lineRule="exact"/>
        <w:rPr>
          <w:sz w:val="20"/>
          <w:szCs w:val="20"/>
          <w:color w:val="auto"/>
        </w:rPr>
      </w:pPr>
    </w:p>
    <w:p>
      <w:pPr>
        <w:ind w:left="960" w:right="40" w:firstLine="466"/>
        <w:spacing w:after="0" w:line="234" w:lineRule="auto"/>
        <w:rPr>
          <w:sz w:val="20"/>
          <w:szCs w:val="20"/>
          <w:color w:val="auto"/>
        </w:rPr>
      </w:pPr>
      <w:r>
        <w:rPr>
          <w:rFonts w:ascii="Arial" w:cs="Arial" w:eastAsia="Arial" w:hAnsi="Arial"/>
          <w:sz w:val="16"/>
          <w:szCs w:val="16"/>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3"/>
          <w:szCs w:val="13"/>
          <w:color w:val="auto"/>
        </w:rPr>
        <w:t>32</w:t>
      </w:r>
    </w:p>
    <w:p>
      <w:pPr>
        <w:spacing w:after="0" w:line="170" w:lineRule="exact"/>
        <w:rPr>
          <w:sz w:val="20"/>
          <w:szCs w:val="20"/>
          <w:color w:val="auto"/>
        </w:rPr>
      </w:pPr>
    </w:p>
    <w:p>
      <w:pPr>
        <w:jc w:val="center"/>
        <w:ind w:right="-859"/>
        <w:spacing w:after="0"/>
        <w:rPr>
          <w:sz w:val="20"/>
          <w:szCs w:val="20"/>
          <w:color w:val="auto"/>
        </w:rPr>
      </w:pPr>
      <w:r>
        <w:rPr>
          <w:rFonts w:ascii="Arial" w:cs="Arial" w:eastAsia="Arial" w:hAnsi="Arial"/>
          <w:sz w:val="16"/>
          <w:szCs w:val="16"/>
          <w:color w:val="auto"/>
        </w:rPr>
        <w:t>In September 2017, we received the CFPB’s first no-action letter. The CFPB issues no-action letters to reduce potential</w:t>
      </w:r>
    </w:p>
    <w:p>
      <w:pPr>
        <w:jc w:val="both"/>
        <w:ind w:left="960" w:right="80"/>
        <w:spacing w:after="0" w:line="237" w:lineRule="auto"/>
        <w:rPr>
          <w:sz w:val="20"/>
          <w:szCs w:val="20"/>
          <w:color w:val="auto"/>
        </w:rPr>
      </w:pPr>
      <w:r>
        <w:rPr>
          <w:rFonts w:ascii="Arial" w:cs="Arial" w:eastAsia="Arial" w:hAnsi="Arial"/>
          <w:sz w:val="16"/>
          <w:szCs w:val="16"/>
          <w:color w:val="auto"/>
        </w:rPr>
        <w:t>regulatory uncertainty for innovative products that may offer significant consumer benefit.</w:t>
      </w:r>
      <w:r>
        <w:rPr>
          <w:rFonts w:ascii="Arial" w:cs="Arial" w:eastAsia="Arial" w:hAnsi="Arial"/>
          <w:sz w:val="13"/>
          <w:szCs w:val="13"/>
          <w:color w:val="auto"/>
        </w:rPr>
        <w:t>33</w:t>
      </w:r>
      <w:r>
        <w:rPr>
          <w:rFonts w:ascii="Arial" w:cs="Arial" w:eastAsia="Arial" w:hAnsi="Arial"/>
          <w:sz w:val="16"/>
          <w:szCs w:val="16"/>
          <w:color w:val="auto"/>
        </w:rPr>
        <w:t xml:space="preserve"> On November 30, 2020, at the expiration of our first no-action letter, we received a new no-action letter from the CFPB, which expires on November 30, 2023. At this time, we do not know of any other lending platforms that have received similar no-action letters for fair lending from the CFPB.</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Our Growth Strategy</w:t>
      </w:r>
    </w:p>
    <w:p>
      <w:pPr>
        <w:spacing w:after="0" w:line="8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Model Improvements</w:t>
      </w:r>
    </w:p>
    <w:p>
      <w:pPr>
        <w:spacing w:after="0" w:line="106" w:lineRule="exact"/>
        <w:rPr>
          <w:sz w:val="20"/>
          <w:szCs w:val="20"/>
          <w:color w:val="auto"/>
        </w:rPr>
      </w:pPr>
    </w:p>
    <w:p>
      <w:pPr>
        <w:ind w:left="960" w:right="60" w:firstLine="466"/>
        <w:spacing w:after="0" w:line="235" w:lineRule="auto"/>
        <w:rPr>
          <w:sz w:val="20"/>
          <w:szCs w:val="20"/>
          <w:color w:val="auto"/>
        </w:rPr>
      </w:pPr>
      <w:r>
        <w:rPr>
          <w:rFonts w:ascii="Arial" w:cs="Arial" w:eastAsia="Arial" w:hAnsi="Arial"/>
          <w:sz w:val="16"/>
          <w:szCs w:val="16"/>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w:t>
      </w:r>
    </w:p>
    <w:p>
      <w:pPr>
        <w:spacing w:after="0" w:line="255"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More Efficient Funding</w:t>
      </w:r>
    </w:p>
    <w:p>
      <w:pPr>
        <w:spacing w:after="0" w:line="106" w:lineRule="exact"/>
        <w:rPr>
          <w:sz w:val="20"/>
          <w:szCs w:val="20"/>
          <w:color w:val="auto"/>
        </w:rPr>
      </w:pPr>
    </w:p>
    <w:p>
      <w:pPr>
        <w:ind w:left="960" w:right="40" w:firstLine="466"/>
        <w:spacing w:after="0" w:line="234" w:lineRule="auto"/>
        <w:rPr>
          <w:sz w:val="20"/>
          <w:szCs w:val="20"/>
          <w:color w:val="auto"/>
        </w:rPr>
      </w:pPr>
      <w:r>
        <w:rPr>
          <w:rFonts w:ascii="Arial" w:cs="Arial" w:eastAsia="Arial" w:hAnsi="Arial"/>
          <w:sz w:val="16"/>
          <w:szCs w:val="16"/>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over time, based on market conditions and as credit rating agencies and loan and residual buyers gain confidence in the credit performance of Upstart-powered loans.</w:t>
      </w:r>
    </w:p>
    <w:p>
      <w:pPr>
        <w:spacing w:after="0" w:line="256"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Bank Distribution</w:t>
      </w:r>
    </w:p>
    <w:p>
      <w:pPr>
        <w:spacing w:after="0" w:line="106" w:lineRule="exact"/>
        <w:rPr>
          <w:sz w:val="20"/>
          <w:szCs w:val="20"/>
          <w:color w:val="auto"/>
        </w:rPr>
      </w:pPr>
    </w:p>
    <w:p>
      <w:pPr>
        <w:ind w:left="960" w:firstLine="466"/>
        <w:spacing w:after="0" w:line="235" w:lineRule="auto"/>
        <w:rPr>
          <w:sz w:val="20"/>
          <w:szCs w:val="20"/>
          <w:color w:val="auto"/>
        </w:rPr>
      </w:pPr>
      <w:r>
        <w:rPr>
          <w:rFonts w:ascii="Arial" w:cs="Arial" w:eastAsia="Arial" w:hAnsi="Arial"/>
          <w:sz w:val="16"/>
          <w:szCs w:val="16"/>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bank-branded versions of Upstart to serve their new and existing customers directly.</w:t>
      </w:r>
    </w:p>
    <w:p>
      <w:pPr>
        <w:spacing w:after="0" w:line="60" w:lineRule="exact"/>
        <w:rPr>
          <w:sz w:val="20"/>
          <w:szCs w:val="20"/>
          <w:color w:val="auto"/>
        </w:rPr>
      </w:pPr>
    </w:p>
    <w:p>
      <w:pPr>
        <w:ind w:left="1420" w:hanging="461"/>
        <w:spacing w:after="0"/>
        <w:tabs>
          <w:tab w:leader="none" w:pos="1420" w:val="left"/>
        </w:tabs>
        <w:numPr>
          <w:ilvl w:val="0"/>
          <w:numId w:val="19"/>
        </w:numPr>
        <w:rPr>
          <w:rFonts w:ascii="Arial" w:cs="Arial" w:eastAsia="Arial" w:hAnsi="Arial"/>
          <w:sz w:val="21"/>
          <w:szCs w:val="21"/>
          <w:color w:val="auto"/>
          <w:vertAlign w:val="superscript"/>
        </w:rPr>
      </w:pPr>
      <w:r>
        <w:rPr>
          <w:rFonts w:ascii="Arial" w:cs="Arial" w:eastAsia="Arial" w:hAnsi="Arial"/>
          <w:sz w:val="13"/>
          <w:szCs w:val="13"/>
          <w:color w:val="auto"/>
        </w:rPr>
        <w:t>Ficklin and Watkins; see the section titled “Industry, Market and Other Data.”</w:t>
      </w:r>
    </w:p>
    <w:p>
      <w:pPr>
        <w:ind w:left="1420" w:hanging="461"/>
        <w:spacing w:after="0" w:line="186" w:lineRule="auto"/>
        <w:tabs>
          <w:tab w:leader="none" w:pos="1420" w:val="left"/>
        </w:tabs>
        <w:numPr>
          <w:ilvl w:val="0"/>
          <w:numId w:val="19"/>
        </w:numPr>
        <w:rPr>
          <w:rFonts w:ascii="Arial" w:cs="Arial" w:eastAsia="Arial" w:hAnsi="Arial"/>
          <w:sz w:val="17"/>
          <w:szCs w:val="17"/>
          <w:color w:val="auto"/>
          <w:vertAlign w:val="superscript"/>
        </w:rPr>
      </w:pPr>
      <w:r>
        <w:rPr>
          <w:rFonts w:ascii="Arial" w:cs="Arial" w:eastAsia="Arial" w:hAnsi="Arial"/>
          <w:sz w:val="10"/>
          <w:szCs w:val="10"/>
          <w:color w:val="auto"/>
        </w:rPr>
        <w:t>Consumer Financial Protection Bureau, Policy on No-Action Letters, September 2019.</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80"/>
          </w:cols>
          <w:pgMar w:left="320" w:top="419" w:right="129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939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3465" cy="4939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New Products</w:t>
      </w:r>
    </w:p>
    <w:p>
      <w:pPr>
        <w:spacing w:after="0" w:line="104" w:lineRule="exact"/>
        <w:rPr>
          <w:sz w:val="20"/>
          <w:szCs w:val="20"/>
          <w:color w:val="auto"/>
        </w:rPr>
      </w:pPr>
    </w:p>
    <w:p>
      <w:pPr>
        <w:ind w:left="960" w:right="120" w:firstLine="466"/>
        <w:spacing w:after="0" w:line="234" w:lineRule="auto"/>
        <w:rPr>
          <w:sz w:val="20"/>
          <w:szCs w:val="20"/>
          <w:color w:val="auto"/>
        </w:rPr>
      </w:pPr>
      <w:r>
        <w:rPr>
          <w:rFonts w:ascii="Arial" w:cs="Arial" w:eastAsia="Arial" w:hAnsi="Arial"/>
          <w:sz w:val="16"/>
          <w:szCs w:val="16"/>
          <w:color w:val="auto"/>
        </w:rPr>
        <w:t>Personal loans are one of the fastest-growing segment of consumer credit in the U.S., but they are far from the largest.</w:t>
      </w:r>
      <w:r>
        <w:rPr>
          <w:rFonts w:ascii="Arial" w:cs="Arial" w:eastAsia="Arial" w:hAnsi="Arial"/>
          <w:sz w:val="13"/>
          <w:szCs w:val="13"/>
          <w:color w:val="auto"/>
        </w:rPr>
        <w:t>34</w:t>
      </w:r>
      <w:r>
        <w:rPr>
          <w:rFonts w:ascii="Arial" w:cs="Arial" w:eastAsia="Arial" w:hAnsi="Arial"/>
          <w:sz w:val="16"/>
          <w:szCs w:val="16"/>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Risk Factors Summary</w:t>
      </w:r>
    </w:p>
    <w:p>
      <w:pPr>
        <w:spacing w:after="0" w:line="106" w:lineRule="exact"/>
        <w:rPr>
          <w:sz w:val="20"/>
          <w:szCs w:val="20"/>
          <w:color w:val="auto"/>
        </w:rPr>
      </w:pPr>
    </w:p>
    <w:p>
      <w:pPr>
        <w:ind w:left="960" w:right="360" w:firstLine="466"/>
        <w:spacing w:after="0" w:line="238"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96" w:lineRule="exact"/>
        <w:rPr>
          <w:sz w:val="20"/>
          <w:szCs w:val="20"/>
          <w:color w:val="auto"/>
        </w:rPr>
      </w:pPr>
    </w:p>
    <w:p>
      <w:pPr>
        <w:ind w:left="1580" w:right="86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a rapidly growing company with a relatively limited operating history, which may result in increased risks, uncertainties, expenses and difficulties, and makes it difficult to evaluate our future prospects.</w:t>
      </w:r>
    </w:p>
    <w:p>
      <w:pPr>
        <w:spacing w:after="0" w:line="96" w:lineRule="exact"/>
        <w:rPr>
          <w:rFonts w:ascii="Arial" w:cs="Arial" w:eastAsia="Arial" w:hAnsi="Arial"/>
          <w:sz w:val="16"/>
          <w:szCs w:val="16"/>
          <w:color w:val="auto"/>
        </w:rPr>
      </w:pPr>
    </w:p>
    <w:p>
      <w:pPr>
        <w:ind w:left="1580" w:right="14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revenue growth rate and financial performance in recent periods may not be indicative of future performance and such growth may slow over time.</w:t>
      </w:r>
    </w:p>
    <w:p>
      <w:pPr>
        <w:spacing w:after="0" w:line="96" w:lineRule="exact"/>
        <w:rPr>
          <w:rFonts w:ascii="Arial" w:cs="Arial" w:eastAsia="Arial" w:hAnsi="Arial"/>
          <w:sz w:val="16"/>
          <w:szCs w:val="16"/>
          <w:color w:val="auto"/>
        </w:rPr>
      </w:pPr>
    </w:p>
    <w:p>
      <w:pPr>
        <w:ind w:left="1580" w:hanging="160"/>
        <w:spacing w:after="0"/>
        <w:tabs>
          <w:tab w:leader="none" w:pos="1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COVID-19 pandemic has harmed and could continue to harm our business, financial condition and results of operations.</w:t>
      </w:r>
    </w:p>
    <w:p>
      <w:pPr>
        <w:spacing w:after="0" w:line="111" w:lineRule="exact"/>
        <w:rPr>
          <w:rFonts w:ascii="Arial" w:cs="Arial" w:eastAsia="Arial" w:hAnsi="Arial"/>
          <w:sz w:val="15"/>
          <w:szCs w:val="15"/>
          <w:color w:val="auto"/>
        </w:rPr>
      </w:pPr>
    </w:p>
    <w:p>
      <w:pPr>
        <w:ind w:left="1580" w:right="32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fail to effectively manage our growth, our business, financial condition and results of operations could be adversely affected.</w:t>
      </w:r>
    </w:p>
    <w:p>
      <w:pPr>
        <w:spacing w:after="0" w:line="96" w:lineRule="exact"/>
        <w:rPr>
          <w:rFonts w:ascii="Arial" w:cs="Arial" w:eastAsia="Arial" w:hAnsi="Arial"/>
          <w:sz w:val="16"/>
          <w:szCs w:val="16"/>
          <w:color w:val="auto"/>
        </w:rPr>
      </w:pPr>
    </w:p>
    <w:p>
      <w:pPr>
        <w:ind w:left="1580" w:hanging="160"/>
        <w:spacing w:after="0"/>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incurred net losses in the past, and we may not be able to maintain or increase our profitability in the future.</w:t>
      </w:r>
    </w:p>
    <w:p>
      <w:pPr>
        <w:spacing w:after="0" w:line="99" w:lineRule="exact"/>
        <w:rPr>
          <w:rFonts w:ascii="Arial" w:cs="Arial" w:eastAsia="Arial" w:hAnsi="Arial"/>
          <w:sz w:val="16"/>
          <w:szCs w:val="16"/>
          <w:color w:val="auto"/>
        </w:rPr>
      </w:pPr>
    </w:p>
    <w:p>
      <w:pPr>
        <w:ind w:left="1580" w:hanging="160"/>
        <w:spacing w:after="0"/>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quarterly results are likely to fluctuate and as a result may adversely affect the trading price of our common stock.</w:t>
      </w:r>
    </w:p>
    <w:p>
      <w:pPr>
        <w:spacing w:after="0" w:line="99" w:lineRule="exact"/>
        <w:rPr>
          <w:rFonts w:ascii="Arial" w:cs="Arial" w:eastAsia="Arial" w:hAnsi="Arial"/>
          <w:sz w:val="16"/>
          <w:szCs w:val="16"/>
          <w:color w:val="auto"/>
        </w:rPr>
      </w:pPr>
    </w:p>
    <w:p>
      <w:pPr>
        <w:ind w:left="1580" w:right="38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96" w:lineRule="exact"/>
        <w:rPr>
          <w:rFonts w:ascii="Arial" w:cs="Arial" w:eastAsia="Arial" w:hAnsi="Arial"/>
          <w:sz w:val="16"/>
          <w:szCs w:val="16"/>
          <w:color w:val="auto"/>
        </w:rPr>
      </w:pPr>
    </w:p>
    <w:p>
      <w:pPr>
        <w:ind w:left="1580" w:right="24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96" w:lineRule="exact"/>
        <w:rPr>
          <w:rFonts w:ascii="Arial" w:cs="Arial" w:eastAsia="Arial" w:hAnsi="Arial"/>
          <w:sz w:val="16"/>
          <w:szCs w:val="16"/>
          <w:color w:val="auto"/>
        </w:rPr>
      </w:pPr>
    </w:p>
    <w:p>
      <w:pPr>
        <w:ind w:left="1580" w:right="8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Cross River Bank and one other bank partner account for a substantial portion of the total number of loans facilitated by our platform and our revenue.</w:t>
      </w:r>
    </w:p>
    <w:p>
      <w:pPr>
        <w:spacing w:after="0" w:line="96" w:lineRule="exact"/>
        <w:rPr>
          <w:rFonts w:ascii="Arial" w:cs="Arial" w:eastAsia="Arial" w:hAnsi="Arial"/>
          <w:sz w:val="16"/>
          <w:szCs w:val="16"/>
          <w:color w:val="auto"/>
        </w:rPr>
      </w:pPr>
    </w:p>
    <w:p>
      <w:pPr>
        <w:ind w:left="1580" w:right="660" w:hanging="160"/>
        <w:spacing w:after="0" w:line="238"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sales and onboarding process of new bank partners could take longer than expected, leading to fluctuations or variability in expected revenues and results of operations.</w:t>
      </w:r>
    </w:p>
    <w:p>
      <w:pPr>
        <w:spacing w:after="0" w:line="96" w:lineRule="exact"/>
        <w:rPr>
          <w:rFonts w:ascii="Arial" w:cs="Arial" w:eastAsia="Arial" w:hAnsi="Arial"/>
          <w:sz w:val="16"/>
          <w:szCs w:val="16"/>
          <w:color w:val="auto"/>
        </w:rPr>
      </w:pPr>
    </w:p>
    <w:p>
      <w:pPr>
        <w:ind w:left="1580" w:hanging="160"/>
        <w:spacing w:after="0"/>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 may be adversely affected by economic conditions and other factors that we cannot control.</w:t>
      </w:r>
    </w:p>
    <w:p>
      <w:pPr>
        <w:spacing w:after="0" w:line="99" w:lineRule="exact"/>
        <w:rPr>
          <w:rFonts w:ascii="Arial" w:cs="Arial" w:eastAsia="Arial" w:hAnsi="Arial"/>
          <w:sz w:val="16"/>
          <w:szCs w:val="16"/>
          <w:color w:val="auto"/>
        </w:rPr>
      </w:pPr>
    </w:p>
    <w:p>
      <w:pPr>
        <w:ind w:left="1580" w:right="240" w:hanging="160"/>
        <w:spacing w:after="0" w:line="236" w:lineRule="auto"/>
        <w:tabs>
          <w:tab w:leader="none" w:pos="1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71" w:lineRule="exact"/>
        <w:rPr>
          <w:sz w:val="20"/>
          <w:szCs w:val="20"/>
          <w:color w:val="auto"/>
        </w:rPr>
      </w:pPr>
    </w:p>
    <w:p>
      <w:pPr>
        <w:ind w:left="1420" w:hanging="461"/>
        <w:spacing w:after="0"/>
        <w:tabs>
          <w:tab w:leader="none" w:pos="1420" w:val="left"/>
        </w:tabs>
        <w:numPr>
          <w:ilvl w:val="0"/>
          <w:numId w:val="21"/>
        </w:numPr>
        <w:rPr>
          <w:rFonts w:ascii="Arial" w:cs="Arial" w:eastAsia="Arial" w:hAnsi="Arial"/>
          <w:sz w:val="21"/>
          <w:szCs w:val="21"/>
          <w:color w:val="auto"/>
          <w:vertAlign w:val="superscript"/>
        </w:rPr>
      </w:pPr>
      <w:r>
        <w:rPr>
          <w:rFonts w:ascii="Arial" w:cs="Arial" w:eastAsia="Arial" w:hAnsi="Arial"/>
          <w:sz w:val="13"/>
          <w:szCs w:val="13"/>
          <w:color w:val="auto"/>
        </w:rPr>
        <w:t>Beiseitov; see the section titled “Industry, Market and Other Data.”</w:t>
      </w: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60"/>
          </w:cols>
          <w:pgMar w:left="320" w:top="419" w:right="13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5389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3465" cy="53898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580" w:right="80" w:hanging="160"/>
        <w:spacing w:after="0" w:line="238"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96" w:lineRule="exact"/>
        <w:rPr>
          <w:rFonts w:ascii="Arial" w:cs="Arial" w:eastAsia="Arial" w:hAnsi="Arial"/>
          <w:sz w:val="16"/>
          <w:szCs w:val="16"/>
          <w:color w:val="auto"/>
        </w:rPr>
      </w:pPr>
    </w:p>
    <w:p>
      <w:pPr>
        <w:jc w:val="both"/>
        <w:ind w:left="1580" w:right="80" w:hanging="160"/>
        <w:spacing w:after="0" w:line="236"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95" w:lineRule="exact"/>
        <w:rPr>
          <w:rFonts w:ascii="Arial" w:cs="Arial" w:eastAsia="Arial" w:hAnsi="Arial"/>
          <w:sz w:val="16"/>
          <w:szCs w:val="16"/>
          <w:color w:val="auto"/>
        </w:rPr>
      </w:pPr>
    </w:p>
    <w:p>
      <w:pPr>
        <w:jc w:val="both"/>
        <w:ind w:left="1580" w:right="420" w:hanging="160"/>
        <w:spacing w:after="0" w:line="236"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95" w:lineRule="exact"/>
        <w:rPr>
          <w:rFonts w:ascii="Arial" w:cs="Arial" w:eastAsia="Arial" w:hAnsi="Arial"/>
          <w:sz w:val="16"/>
          <w:szCs w:val="16"/>
          <w:color w:val="auto"/>
        </w:rPr>
      </w:pPr>
    </w:p>
    <w:p>
      <w:pPr>
        <w:ind w:left="1580" w:right="120" w:hanging="160"/>
        <w:spacing w:after="0" w:line="238" w:lineRule="auto"/>
        <w:tabs>
          <w:tab w:leader="none" w:pos="1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are unable to maintain a diverse and robust loan funding program, our growth prospects, business, financial condition and results of operations could be adversely affected.</w:t>
      </w:r>
    </w:p>
    <w:p>
      <w:pPr>
        <w:spacing w:after="0" w:line="256"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Corporate Information</w:t>
      </w:r>
    </w:p>
    <w:p>
      <w:pPr>
        <w:spacing w:after="0" w:line="106" w:lineRule="exact"/>
        <w:rPr>
          <w:sz w:val="20"/>
          <w:szCs w:val="20"/>
          <w:color w:val="auto"/>
        </w:rPr>
      </w:pPr>
    </w:p>
    <w:p>
      <w:pPr>
        <w:ind w:left="960" w:right="20" w:firstLine="466"/>
        <w:spacing w:after="0" w:line="251" w:lineRule="auto"/>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Information contained on, or that can be accessed through, our website does not constitute part of this prospectus and inclusions of our website address in this prospectus are inactive textual references only. You should not consider information contained on our website to be part of this prospectus or in deciding whether to purchase shares of our common stock.</w:t>
      </w:r>
    </w:p>
    <w:p>
      <w:pPr>
        <w:spacing w:after="0" w:line="171" w:lineRule="exact"/>
        <w:rPr>
          <w:sz w:val="20"/>
          <w:szCs w:val="20"/>
          <w:color w:val="auto"/>
        </w:rPr>
      </w:pPr>
    </w:p>
    <w:p>
      <w:pPr>
        <w:ind w:left="960" w:right="140" w:firstLine="466"/>
        <w:spacing w:after="0" w:line="236" w:lineRule="auto"/>
        <w:rPr>
          <w:sz w:val="20"/>
          <w:szCs w:val="20"/>
          <w:color w:val="auto"/>
        </w:rPr>
      </w:pPr>
      <w:r>
        <w:rPr>
          <w:rFonts w:ascii="Arial" w:cs="Arial" w:eastAsia="Arial" w:hAnsi="Arial"/>
          <w:sz w:val="16"/>
          <w:szCs w:val="16"/>
          <w:color w:val="auto"/>
        </w:rPr>
        <w:t>Upstart, our logo, and our other registered or common law trademarks, service marks, or trade names appearing in this prospectus are the property of Upstart Holdings, Inc. or one of its subsidiaries. Other trademarks and trade names referred to in this prospectus are the property of their respective owners.</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16"/>
          <w:szCs w:val="16"/>
          <w:b w:val="1"/>
          <w:bCs w:val="1"/>
          <w:i w:val="1"/>
          <w:iCs w:val="1"/>
          <w:color w:val="auto"/>
        </w:rPr>
        <w:t>JOBS Act</w:t>
      </w:r>
    </w:p>
    <w:p>
      <w:pPr>
        <w:spacing w:after="0" w:line="106" w:lineRule="exact"/>
        <w:rPr>
          <w:sz w:val="20"/>
          <w:szCs w:val="20"/>
          <w:color w:val="auto"/>
        </w:rPr>
      </w:pPr>
    </w:p>
    <w:p>
      <w:pPr>
        <w:jc w:val="both"/>
        <w:ind w:left="960" w:firstLine="466"/>
        <w:spacing w:after="0" w:line="236"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96" w:lineRule="exact"/>
        <w:rPr>
          <w:sz w:val="20"/>
          <w:szCs w:val="20"/>
          <w:color w:val="auto"/>
        </w:rPr>
      </w:pPr>
    </w:p>
    <w:p>
      <w:pPr>
        <w:ind w:left="1580" w:right="260" w:hanging="160"/>
        <w:spacing w:after="0" w:line="238" w:lineRule="auto"/>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obligations with respect to financial data, including presenting only two years of audited financial statements and only two years of selected financial data;</w:t>
      </w:r>
    </w:p>
    <w:p>
      <w:pPr>
        <w:spacing w:after="0" w:line="96" w:lineRule="exact"/>
        <w:rPr>
          <w:rFonts w:ascii="Arial" w:cs="Arial" w:eastAsia="Arial" w:hAnsi="Arial"/>
          <w:sz w:val="16"/>
          <w:szCs w:val="16"/>
          <w:color w:val="auto"/>
        </w:rPr>
      </w:pPr>
    </w:p>
    <w:p>
      <w:pPr>
        <w:ind w:left="1580" w:hanging="160"/>
        <w:spacing w:after="0" w:line="238" w:lineRule="auto"/>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exception from compliance with the auditor attestation requirements of Section 404 of the Sarbanes-Oxley Act of 2002, or the Sarbanes-Oxley Act;</w:t>
      </w:r>
    </w:p>
    <w:p>
      <w:pPr>
        <w:spacing w:after="0" w:line="96" w:lineRule="exact"/>
        <w:rPr>
          <w:rFonts w:ascii="Arial" w:cs="Arial" w:eastAsia="Arial" w:hAnsi="Arial"/>
          <w:sz w:val="16"/>
          <w:szCs w:val="16"/>
          <w:color w:val="auto"/>
        </w:rPr>
      </w:pPr>
    </w:p>
    <w:p>
      <w:pPr>
        <w:ind w:left="1580" w:right="680" w:hanging="160"/>
        <w:spacing w:after="0" w:line="238" w:lineRule="auto"/>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96" w:lineRule="exact"/>
        <w:rPr>
          <w:rFonts w:ascii="Arial" w:cs="Arial" w:eastAsia="Arial" w:hAnsi="Arial"/>
          <w:sz w:val="16"/>
          <w:szCs w:val="16"/>
          <w:color w:val="auto"/>
        </w:rPr>
      </w:pPr>
    </w:p>
    <w:p>
      <w:pPr>
        <w:ind w:left="1580" w:right="240" w:hanging="160"/>
        <w:spacing w:after="0" w:line="238" w:lineRule="auto"/>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179" w:lineRule="exact"/>
        <w:rPr>
          <w:sz w:val="20"/>
          <w:szCs w:val="20"/>
          <w:color w:val="auto"/>
        </w:rPr>
      </w:pPr>
    </w:p>
    <w:p>
      <w:pPr>
        <w:jc w:val="both"/>
        <w:ind w:left="960" w:right="180" w:firstLine="466"/>
        <w:spacing w:after="0" w:line="236" w:lineRule="auto"/>
        <w:rPr>
          <w:sz w:val="20"/>
          <w:szCs w:val="20"/>
          <w:color w:val="auto"/>
        </w:rPr>
      </w:pPr>
      <w:r>
        <w:rPr>
          <w:rFonts w:ascii="Arial" w:cs="Arial" w:eastAsia="Arial" w:hAnsi="Arial"/>
          <w:sz w:val="16"/>
          <w:szCs w:val="16"/>
          <w:color w:val="auto"/>
        </w:rPr>
        <w:t>We may take advantage of these provisions for up to five years or such earlier time that we no longer qualify as an emerging growth company. We would cease to be an emerging growth company if we have more than $1.07 billion in annual revenues, have more than $700 million in market value of</w:t>
      </w: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60"/>
          </w:cols>
          <w:pgMar w:left="320" w:top="419" w:right="13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1499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3465" cy="149987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960" w:right="520"/>
        <w:spacing w:after="0" w:line="238" w:lineRule="auto"/>
        <w:rPr>
          <w:sz w:val="20"/>
          <w:szCs w:val="20"/>
          <w:color w:val="auto"/>
        </w:rPr>
      </w:pPr>
      <w:r>
        <w:rPr>
          <w:rFonts w:ascii="Arial" w:cs="Arial" w:eastAsia="Arial" w:hAnsi="Arial"/>
          <w:sz w:val="16"/>
          <w:szCs w:val="16"/>
          <w:color w:val="auto"/>
        </w:rPr>
        <w:t>our capital stock held by non-affiliates or issue more than $1.0 billion of non-convertible debt over a three-year period. We may choose to take advantage of some but not all of these reduced reporting burdens.</w:t>
      </w:r>
    </w:p>
    <w:p>
      <w:pPr>
        <w:spacing w:after="0" w:line="179" w:lineRule="exact"/>
        <w:rPr>
          <w:sz w:val="20"/>
          <w:szCs w:val="20"/>
          <w:color w:val="auto"/>
        </w:rPr>
      </w:pPr>
    </w:p>
    <w:p>
      <w:pPr>
        <w:ind w:left="960" w:firstLine="466"/>
        <w:spacing w:after="0" w:line="233"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 We expect to lose “emerging growth company” status upon the filing of our Form 10-K for the year ending December 31, 2021.</w:t>
      </w: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80"/>
          </w:cols>
          <w:pgMar w:left="320" w:top="419" w:right="129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841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3465" cy="4841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The Offering</w:t>
      </w:r>
    </w:p>
    <w:p>
      <w:pPr>
        <w:spacing w:after="0" w:line="226"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4640" w:type="dxa"/>
            <w:vAlign w:val="bottom"/>
          </w:tcPr>
          <w:p>
            <w:pPr>
              <w:ind w:left="160"/>
              <w:spacing w:after="0"/>
              <w:rPr>
                <w:sz w:val="20"/>
                <w:szCs w:val="20"/>
                <w:color w:val="auto"/>
              </w:rPr>
            </w:pPr>
            <w:r>
              <w:rPr>
                <w:rFonts w:ascii="Arial" w:cs="Arial" w:eastAsia="Arial" w:hAnsi="Arial"/>
                <w:sz w:val="16"/>
                <w:szCs w:val="16"/>
                <w:color w:val="auto"/>
              </w:rPr>
              <w:t>Common stock offered by us</w:t>
            </w:r>
          </w:p>
        </w:tc>
        <w:tc>
          <w:tcPr>
            <w:tcW w:w="5020" w:type="dxa"/>
            <w:vAlign w:val="bottom"/>
          </w:tcPr>
          <w:p>
            <w:pPr>
              <w:ind w:left="360"/>
              <w:spacing w:after="0"/>
              <w:rPr>
                <w:sz w:val="20"/>
                <w:szCs w:val="20"/>
                <w:color w:val="auto"/>
              </w:rPr>
            </w:pPr>
            <w:r>
              <w:rPr>
                <w:rFonts w:ascii="Arial" w:cs="Arial" w:eastAsia="Arial" w:hAnsi="Arial"/>
                <w:sz w:val="16"/>
                <w:szCs w:val="16"/>
                <w:color w:val="auto"/>
              </w:rPr>
              <w:t>2,000,000 shares</w:t>
            </w:r>
          </w:p>
        </w:tc>
      </w:tr>
      <w:tr>
        <w:trPr>
          <w:trHeight w:val="260"/>
        </w:trPr>
        <w:tc>
          <w:tcPr>
            <w:tcW w:w="4640" w:type="dxa"/>
            <w:vAlign w:val="bottom"/>
          </w:tcPr>
          <w:p>
            <w:pPr>
              <w:ind w:left="160"/>
              <w:spacing w:after="0"/>
              <w:rPr>
                <w:sz w:val="20"/>
                <w:szCs w:val="20"/>
                <w:color w:val="auto"/>
              </w:rPr>
            </w:pPr>
            <w:r>
              <w:rPr>
                <w:rFonts w:ascii="Arial" w:cs="Arial" w:eastAsia="Arial" w:hAnsi="Arial"/>
                <w:sz w:val="16"/>
                <w:szCs w:val="16"/>
                <w:color w:val="auto"/>
              </w:rPr>
              <w:t>Common stock to be outstanding after this offering</w:t>
            </w:r>
          </w:p>
        </w:tc>
        <w:tc>
          <w:tcPr>
            <w:tcW w:w="5020" w:type="dxa"/>
            <w:vAlign w:val="bottom"/>
          </w:tcPr>
          <w:p>
            <w:pPr>
              <w:ind w:left="360"/>
              <w:spacing w:after="0"/>
              <w:rPr>
                <w:sz w:val="20"/>
                <w:szCs w:val="20"/>
                <w:color w:val="auto"/>
              </w:rPr>
            </w:pPr>
            <w:r>
              <w:rPr>
                <w:rFonts w:ascii="Arial" w:cs="Arial" w:eastAsia="Arial" w:hAnsi="Arial"/>
                <w:sz w:val="16"/>
                <w:szCs w:val="16"/>
                <w:color w:val="auto"/>
              </w:rPr>
              <w:t>75,314,026 shares</w:t>
            </w:r>
          </w:p>
        </w:tc>
      </w:tr>
      <w:tr>
        <w:trPr>
          <w:trHeight w:val="249"/>
        </w:trPr>
        <w:tc>
          <w:tcPr>
            <w:tcW w:w="4640" w:type="dxa"/>
            <w:vAlign w:val="bottom"/>
          </w:tcPr>
          <w:p>
            <w:pPr>
              <w:ind w:left="160"/>
              <w:spacing w:after="0"/>
              <w:rPr>
                <w:sz w:val="20"/>
                <w:szCs w:val="20"/>
                <w:color w:val="auto"/>
              </w:rPr>
            </w:pPr>
            <w:r>
              <w:rPr>
                <w:rFonts w:ascii="Arial" w:cs="Arial" w:eastAsia="Arial" w:hAnsi="Arial"/>
                <w:sz w:val="16"/>
                <w:szCs w:val="16"/>
                <w:color w:val="auto"/>
              </w:rPr>
              <w:t>Option to purchase additional shares of common stock from us</w:t>
            </w:r>
          </w:p>
        </w:tc>
        <w:tc>
          <w:tcPr>
            <w:tcW w:w="5020" w:type="dxa"/>
            <w:vAlign w:val="bottom"/>
          </w:tcPr>
          <w:p>
            <w:pPr>
              <w:ind w:left="360"/>
              <w:spacing w:after="0"/>
              <w:rPr>
                <w:sz w:val="20"/>
                <w:szCs w:val="20"/>
                <w:color w:val="auto"/>
              </w:rPr>
            </w:pPr>
            <w:r>
              <w:rPr>
                <w:rFonts w:ascii="Arial" w:cs="Arial" w:eastAsia="Arial" w:hAnsi="Arial"/>
                <w:sz w:val="16"/>
                <w:szCs w:val="16"/>
                <w:color w:val="auto"/>
              </w:rPr>
              <w:t>We have granted the underwriters an option, exercisable for 30</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days from the date of this prospectus, to purchase up to</w:t>
            </w:r>
          </w:p>
        </w:tc>
      </w:tr>
      <w:tr>
        <w:trPr>
          <w:trHeight w:val="189"/>
        </w:trPr>
        <w:tc>
          <w:tcPr>
            <w:tcW w:w="4640" w:type="dxa"/>
            <w:vAlign w:val="bottom"/>
          </w:tcPr>
          <w:p>
            <w:pPr>
              <w:spacing w:after="0"/>
              <w:rPr>
                <w:sz w:val="16"/>
                <w:szCs w:val="16"/>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300,000 additional shares from us.</w:t>
            </w:r>
          </w:p>
        </w:tc>
      </w:tr>
      <w:tr>
        <w:trPr>
          <w:trHeight w:val="237"/>
        </w:trPr>
        <w:tc>
          <w:tcPr>
            <w:tcW w:w="4640" w:type="dxa"/>
            <w:vAlign w:val="bottom"/>
          </w:tcPr>
          <w:p>
            <w:pPr>
              <w:ind w:left="160"/>
              <w:spacing w:after="0"/>
              <w:rPr>
                <w:sz w:val="20"/>
                <w:szCs w:val="20"/>
                <w:color w:val="auto"/>
              </w:rPr>
            </w:pPr>
            <w:r>
              <w:rPr>
                <w:rFonts w:ascii="Arial" w:cs="Arial" w:eastAsia="Arial" w:hAnsi="Arial"/>
                <w:sz w:val="16"/>
                <w:szCs w:val="16"/>
                <w:color w:val="auto"/>
              </w:rPr>
              <w:t>Use of proceeds</w:t>
            </w:r>
          </w:p>
        </w:tc>
        <w:tc>
          <w:tcPr>
            <w:tcW w:w="5020" w:type="dxa"/>
            <w:vAlign w:val="bottom"/>
          </w:tcPr>
          <w:p>
            <w:pPr>
              <w:ind w:left="360"/>
              <w:spacing w:after="0"/>
              <w:rPr>
                <w:sz w:val="20"/>
                <w:szCs w:val="20"/>
                <w:color w:val="auto"/>
              </w:rPr>
            </w:pPr>
            <w:r>
              <w:rPr>
                <w:rFonts w:ascii="Arial" w:cs="Arial" w:eastAsia="Arial" w:hAnsi="Arial"/>
                <w:sz w:val="16"/>
                <w:szCs w:val="16"/>
                <w:color w:val="auto"/>
              </w:rPr>
              <w:t>We estimate that the net proceeds to us from the sale of shares</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of our common stock in this offering will be approximately</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$271.8 million (or approximately $312.7 million if the</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underwriters’ option to purchase additional shares of our</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common stock is exercised in full), based on an assumed public</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offering price of $140.52 per share, the last reported sale price</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of our common stock on the Nasdaq Global Select Market on</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April 5, 2021, and after deducting estimated underwriting</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discounts and commissions and estimated offering expenses</w:t>
            </w:r>
          </w:p>
        </w:tc>
      </w:tr>
      <w:tr>
        <w:trPr>
          <w:trHeight w:val="189"/>
        </w:trPr>
        <w:tc>
          <w:tcPr>
            <w:tcW w:w="4640" w:type="dxa"/>
            <w:vAlign w:val="bottom"/>
          </w:tcPr>
          <w:p>
            <w:pPr>
              <w:spacing w:after="0"/>
              <w:rPr>
                <w:sz w:val="16"/>
                <w:szCs w:val="16"/>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payable by us.</w:t>
            </w:r>
          </w:p>
        </w:tc>
      </w:tr>
      <w:tr>
        <w:trPr>
          <w:trHeight w:val="237"/>
        </w:trPr>
        <w:tc>
          <w:tcPr>
            <w:tcW w:w="464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The principal purposes of this offering are to increase our</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financial flexibility, obtain additional capital and increase our</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public float. We intend to use the net proceeds from this offering</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for general corporate purposes, including working capital,</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operating expenses, and capital expenditures. Additionally, we</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may use a portion of the net proceeds to acquire or invest in</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businesses, products, services, or technologies. However, other</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than as described elsewhere in this prospectus, we do not have</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agreements or commitments for any acquisitions or investments</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at this time. See the section titled “Use of Proceeds” for</w:t>
            </w:r>
          </w:p>
        </w:tc>
      </w:tr>
      <w:tr>
        <w:trPr>
          <w:trHeight w:val="189"/>
        </w:trPr>
        <w:tc>
          <w:tcPr>
            <w:tcW w:w="4640" w:type="dxa"/>
            <w:vAlign w:val="bottom"/>
          </w:tcPr>
          <w:p>
            <w:pPr>
              <w:spacing w:after="0"/>
              <w:rPr>
                <w:sz w:val="16"/>
                <w:szCs w:val="16"/>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additional information.</w:t>
            </w:r>
          </w:p>
        </w:tc>
      </w:tr>
      <w:tr>
        <w:trPr>
          <w:trHeight w:val="237"/>
        </w:trPr>
        <w:tc>
          <w:tcPr>
            <w:tcW w:w="4640" w:type="dxa"/>
            <w:vAlign w:val="bottom"/>
          </w:tcPr>
          <w:p>
            <w:pPr>
              <w:ind w:left="160"/>
              <w:spacing w:after="0"/>
              <w:rPr>
                <w:sz w:val="20"/>
                <w:szCs w:val="20"/>
                <w:color w:val="auto"/>
              </w:rPr>
            </w:pPr>
            <w:r>
              <w:rPr>
                <w:rFonts w:ascii="Arial" w:cs="Arial" w:eastAsia="Arial" w:hAnsi="Arial"/>
                <w:sz w:val="16"/>
                <w:szCs w:val="16"/>
                <w:color w:val="auto"/>
              </w:rPr>
              <w:t>Concentration of ownership</w:t>
            </w:r>
          </w:p>
        </w:tc>
        <w:tc>
          <w:tcPr>
            <w:tcW w:w="5020" w:type="dxa"/>
            <w:vAlign w:val="bottom"/>
          </w:tcPr>
          <w:p>
            <w:pPr>
              <w:ind w:left="360"/>
              <w:spacing w:after="0"/>
              <w:rPr>
                <w:sz w:val="20"/>
                <w:szCs w:val="20"/>
                <w:color w:val="auto"/>
              </w:rPr>
            </w:pPr>
            <w:r>
              <w:rPr>
                <w:rFonts w:ascii="Arial" w:cs="Arial" w:eastAsia="Arial" w:hAnsi="Arial"/>
                <w:sz w:val="16"/>
                <w:szCs w:val="16"/>
                <w:color w:val="auto"/>
              </w:rPr>
              <w:t>Upon completion of this offering, our executive officers,</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directors, and holders of 5% or more of our common stock will</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beneficially own, in the aggregate, approximately 49.1% of the</w:t>
            </w:r>
          </w:p>
        </w:tc>
      </w:tr>
      <w:tr>
        <w:trPr>
          <w:trHeight w:val="189"/>
        </w:trPr>
        <w:tc>
          <w:tcPr>
            <w:tcW w:w="4640" w:type="dxa"/>
            <w:vAlign w:val="bottom"/>
          </w:tcPr>
          <w:p>
            <w:pPr>
              <w:spacing w:after="0"/>
              <w:rPr>
                <w:sz w:val="16"/>
                <w:szCs w:val="16"/>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outstanding shares of our common stock.</w:t>
            </w:r>
          </w:p>
        </w:tc>
      </w:tr>
      <w:tr>
        <w:trPr>
          <w:trHeight w:val="237"/>
        </w:trPr>
        <w:tc>
          <w:tcPr>
            <w:tcW w:w="4640" w:type="dxa"/>
            <w:vAlign w:val="bottom"/>
          </w:tcPr>
          <w:p>
            <w:pPr>
              <w:ind w:left="160"/>
              <w:spacing w:after="0"/>
              <w:rPr>
                <w:sz w:val="20"/>
                <w:szCs w:val="20"/>
                <w:color w:val="auto"/>
              </w:rPr>
            </w:pPr>
            <w:r>
              <w:rPr>
                <w:rFonts w:ascii="Arial" w:cs="Arial" w:eastAsia="Arial" w:hAnsi="Arial"/>
                <w:sz w:val="16"/>
                <w:szCs w:val="16"/>
                <w:color w:val="auto"/>
              </w:rPr>
              <w:t>Lock-up Release</w:t>
            </w:r>
          </w:p>
        </w:tc>
        <w:tc>
          <w:tcPr>
            <w:tcW w:w="5020" w:type="dxa"/>
            <w:vAlign w:val="bottom"/>
          </w:tcPr>
          <w:p>
            <w:pPr>
              <w:ind w:left="360"/>
              <w:spacing w:after="0"/>
              <w:rPr>
                <w:sz w:val="20"/>
                <w:szCs w:val="20"/>
                <w:color w:val="auto"/>
              </w:rPr>
            </w:pPr>
            <w:r>
              <w:rPr>
                <w:rFonts w:ascii="Arial" w:cs="Arial" w:eastAsia="Arial" w:hAnsi="Arial"/>
                <w:sz w:val="16"/>
                <w:szCs w:val="16"/>
                <w:color w:val="auto"/>
              </w:rPr>
              <w:t>Goldman Sachs &amp; Co. LLC, BofA Securities, Inc. and Citigroup</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Global Markets Inc. have agreed to release the restriction on</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our issuing additional shares of common stock, which was</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executed in connection with the IPO, with respect to up to</w:t>
            </w:r>
          </w:p>
        </w:tc>
      </w:tr>
      <w:tr>
        <w:trPr>
          <w:trHeight w:val="177"/>
        </w:trPr>
        <w:tc>
          <w:tcPr>
            <w:tcW w:w="4640" w:type="dxa"/>
            <w:vAlign w:val="bottom"/>
          </w:tcPr>
          <w:p>
            <w:pPr>
              <w:spacing w:after="0"/>
              <w:rPr>
                <w:sz w:val="15"/>
                <w:szCs w:val="15"/>
                <w:color w:val="auto"/>
              </w:rPr>
            </w:pPr>
          </w:p>
        </w:tc>
        <w:tc>
          <w:tcPr>
            <w:tcW w:w="5020" w:type="dxa"/>
            <w:vAlign w:val="bottom"/>
          </w:tcPr>
          <w:p>
            <w:pPr>
              <w:ind w:left="360"/>
              <w:spacing w:after="0" w:line="178" w:lineRule="exact"/>
              <w:rPr>
                <w:sz w:val="20"/>
                <w:szCs w:val="20"/>
                <w:color w:val="auto"/>
              </w:rPr>
            </w:pPr>
            <w:r>
              <w:rPr>
                <w:rFonts w:ascii="Arial" w:cs="Arial" w:eastAsia="Arial" w:hAnsi="Arial"/>
                <w:sz w:val="16"/>
                <w:szCs w:val="16"/>
                <w:color w:val="auto"/>
              </w:rPr>
              <w:t>2,000,000 shares (or 300,000 shares, if the underwriters</w:t>
            </w:r>
          </w:p>
        </w:tc>
      </w:tr>
      <w:tr>
        <w:trPr>
          <w:trHeight w:val="189"/>
        </w:trPr>
        <w:tc>
          <w:tcPr>
            <w:tcW w:w="4640" w:type="dxa"/>
            <w:vAlign w:val="bottom"/>
          </w:tcPr>
          <w:p>
            <w:pPr>
              <w:spacing w:after="0"/>
              <w:rPr>
                <w:sz w:val="16"/>
                <w:szCs w:val="16"/>
                <w:color w:val="auto"/>
              </w:rPr>
            </w:pPr>
          </w:p>
        </w:tc>
        <w:tc>
          <w:tcPr>
            <w:tcW w:w="5020" w:type="dxa"/>
            <w:vAlign w:val="bottom"/>
          </w:tcPr>
          <w:p>
            <w:pPr>
              <w:ind w:left="360"/>
              <w:spacing w:after="0"/>
              <w:rPr>
                <w:sz w:val="20"/>
                <w:szCs w:val="20"/>
                <w:color w:val="auto"/>
              </w:rPr>
            </w:pPr>
            <w:r>
              <w:rPr>
                <w:rFonts w:ascii="Arial" w:cs="Arial" w:eastAsia="Arial" w:hAnsi="Arial"/>
                <w:sz w:val="16"/>
                <w:szCs w:val="16"/>
                <w:color w:val="auto"/>
              </w:rPr>
              <w:t>exercise their option to purchase</w:t>
            </w:r>
          </w:p>
        </w:tc>
      </w:tr>
      <w:tr>
        <w:trPr>
          <w:trHeight w:val="198"/>
        </w:trPr>
        <w:tc>
          <w:tcPr>
            <w:tcW w:w="464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r>
        <w:trPr>
          <w:trHeight w:val="527"/>
        </w:trPr>
        <w:tc>
          <w:tcPr>
            <w:tcW w:w="4640" w:type="dxa"/>
            <w:vAlign w:val="bottom"/>
          </w:tcPr>
          <w:p>
            <w:pPr>
              <w:spacing w:after="0"/>
              <w:rPr>
                <w:sz w:val="24"/>
                <w:szCs w:val="24"/>
                <w:color w:val="auto"/>
              </w:rPr>
            </w:pPr>
          </w:p>
        </w:tc>
        <w:tc>
          <w:tcPr>
            <w:tcW w:w="5020" w:type="dxa"/>
            <w:vAlign w:val="bottom"/>
          </w:tcPr>
          <w:p>
            <w:pPr>
              <w:ind w:left="100"/>
              <w:spacing w:after="0"/>
              <w:rPr>
                <w:sz w:val="20"/>
                <w:szCs w:val="20"/>
                <w:color w:val="auto"/>
              </w:rPr>
            </w:pPr>
            <w:r>
              <w:rPr>
                <w:rFonts w:ascii="Arial" w:cs="Arial" w:eastAsia="Arial" w:hAnsi="Arial"/>
                <w:sz w:val="16"/>
                <w:szCs w:val="16"/>
                <w:color w:val="auto"/>
              </w:rPr>
              <w:t>12</w:t>
            </w:r>
          </w:p>
        </w:tc>
      </w:tr>
    </w:tbl>
    <w:p>
      <w:pPr>
        <w:sectPr>
          <w:pgSz w:w="11900" w:h="16838" w:orient="portrait"/>
          <w:cols w:equalWidth="0" w:num="1">
            <w:col w:w="10460"/>
          </w:cols>
          <w:pgMar w:left="320" w:top="419" w:right="111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1884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3465" cy="41884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additional shares of common stock in full), in order to permit this</w:t>
      </w:r>
    </w:p>
    <w:p>
      <w:pPr>
        <w:spacing w:after="0" w:line="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offering. See the section titled “Underwriting.”</w:t>
      </w:r>
    </w:p>
    <w:p>
      <w:pPr>
        <w:sectPr>
          <w:pgSz w:w="11900" w:h="16838" w:orient="portrait"/>
          <w:cols w:equalWidth="0" w:num="1">
            <w:col w:w="10260"/>
          </w:cols>
          <w:pgMar w:left="320" w:top="419" w:right="1319" w:bottom="1440" w:gutter="0" w:footer="0" w:header="0"/>
        </w:sectPr>
      </w:pPr>
    </w:p>
    <w:p>
      <w:pPr>
        <w:spacing w:after="0" w:line="76"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See “Risk Factors” and the other information included in this</w:t>
      </w:r>
    </w:p>
    <w:p>
      <w:pPr>
        <w:spacing w:after="0" w:line="237" w:lineRule="auto"/>
        <w:rPr>
          <w:sz w:val="20"/>
          <w:szCs w:val="20"/>
          <w:color w:val="auto"/>
        </w:rPr>
      </w:pPr>
      <w:r>
        <w:rPr>
          <w:rFonts w:ascii="Arial" w:cs="Arial" w:eastAsia="Arial" w:hAnsi="Arial"/>
          <w:sz w:val="16"/>
          <w:szCs w:val="16"/>
          <w:color w:val="auto"/>
        </w:rPr>
        <w:t>prospectus for a discussion of factors you should carefully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consider before deciding to invest in our common stock.</w:t>
      </w:r>
    </w:p>
    <w:p>
      <w:pPr>
        <w:spacing w:after="0" w:line="64" w:lineRule="exact"/>
        <w:rPr>
          <w:sz w:val="20"/>
          <w:szCs w:val="20"/>
          <w:color w:val="auto"/>
        </w:rPr>
      </w:pPr>
    </w:p>
    <w:p>
      <w:pPr>
        <w:sectPr>
          <w:pgSz w:w="11900" w:h="16838" w:orient="portrait"/>
          <w:cols w:equalWidth="0" w:num="2">
            <w:col w:w="5080" w:space="720"/>
            <w:col w:w="4460"/>
          </w:cols>
          <w:pgMar w:left="320" w:top="419" w:right="1319" w:bottom="1440" w:gutter="0" w:footer="0" w:header="0"/>
          <w:type w:val="continuous"/>
        </w:sectPr>
      </w:pPr>
    </w:p>
    <w:p>
      <w:pPr>
        <w:ind w:left="960"/>
        <w:spacing w:after="0"/>
        <w:rPr>
          <w:sz w:val="20"/>
          <w:szCs w:val="20"/>
          <w:color w:val="auto"/>
        </w:rPr>
      </w:pPr>
      <w:r>
        <w:rPr>
          <w:rFonts w:ascii="Arial" w:cs="Arial" w:eastAsia="Arial" w:hAnsi="Arial"/>
          <w:sz w:val="15"/>
          <w:szCs w:val="15"/>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“UPST”</w:t>
      </w:r>
    </w:p>
    <w:p>
      <w:pPr>
        <w:spacing w:after="0" w:line="200" w:lineRule="exact"/>
        <w:rPr>
          <w:sz w:val="20"/>
          <w:szCs w:val="20"/>
          <w:color w:val="auto"/>
        </w:rPr>
      </w:pPr>
    </w:p>
    <w:p>
      <w:pPr>
        <w:sectPr>
          <w:pgSz w:w="11900" w:h="16838" w:orient="portrait"/>
          <w:cols w:equalWidth="0" w:num="2">
            <w:col w:w="5080" w:space="720"/>
            <w:col w:w="4460"/>
          </w:cols>
          <w:pgMar w:left="320" w:top="419" w:right="1319" w:bottom="1440" w:gutter="0" w:footer="0" w:header="0"/>
          <w:type w:val="continuous"/>
        </w:sectPr>
      </w:pPr>
    </w:p>
    <w:p>
      <w:pPr>
        <w:spacing w:after="0" w:line="6" w:lineRule="exact"/>
        <w:rPr>
          <w:sz w:val="20"/>
          <w:szCs w:val="20"/>
          <w:color w:val="auto"/>
        </w:rPr>
      </w:pPr>
    </w:p>
    <w:p>
      <w:pPr>
        <w:ind w:left="960" w:right="280" w:firstLine="466"/>
        <w:spacing w:after="0" w:line="238" w:lineRule="auto"/>
        <w:rPr>
          <w:sz w:val="20"/>
          <w:szCs w:val="20"/>
          <w:color w:val="auto"/>
        </w:rPr>
      </w:pPr>
      <w:r>
        <w:rPr>
          <w:rFonts w:ascii="Arial" w:cs="Arial" w:eastAsia="Arial" w:hAnsi="Arial"/>
          <w:sz w:val="16"/>
          <w:szCs w:val="16"/>
          <w:color w:val="auto"/>
        </w:rPr>
        <w:t>The number of shares of our common stock that will be outstanding after this offering is based on 73,314,026 shares of our common stock outstanding as of December 31, 2020, and excludes:</w:t>
      </w:r>
    </w:p>
    <w:p>
      <w:pPr>
        <w:spacing w:after="0" w:line="96" w:lineRule="exact"/>
        <w:rPr>
          <w:sz w:val="20"/>
          <w:szCs w:val="20"/>
          <w:color w:val="auto"/>
        </w:rPr>
      </w:pPr>
    </w:p>
    <w:p>
      <w:pPr>
        <w:ind w:left="1580" w:right="340" w:hanging="160"/>
        <w:spacing w:after="0" w:line="238" w:lineRule="auto"/>
        <w:tabs>
          <w:tab w:leader="none" w:pos="1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19,600,223 shares of our common stock issuable upon the exercise of options to purchase shares of our common stock outstanding as of December 31, 2020, with a weighted-average exercise price of $4.27 per share;</w:t>
      </w:r>
    </w:p>
    <w:p>
      <w:pPr>
        <w:spacing w:after="0" w:line="96" w:lineRule="exact"/>
        <w:rPr>
          <w:rFonts w:ascii="Arial" w:cs="Arial" w:eastAsia="Arial" w:hAnsi="Arial"/>
          <w:sz w:val="16"/>
          <w:szCs w:val="16"/>
          <w:color w:val="auto"/>
        </w:rPr>
      </w:pPr>
    </w:p>
    <w:p>
      <w:pPr>
        <w:ind w:left="1580" w:right="240" w:hanging="160"/>
        <w:spacing w:after="0" w:line="238" w:lineRule="auto"/>
        <w:tabs>
          <w:tab w:leader="none" w:pos="1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606,830 shares of our common stock issuable upon the exercise of options to purchase shares of our common stock that were granted after December 31, 2020, with a weighted-average exercise price of $104.82 per share;</w:t>
      </w:r>
    </w:p>
    <w:p>
      <w:pPr>
        <w:spacing w:after="0" w:line="96" w:lineRule="exact"/>
        <w:rPr>
          <w:rFonts w:ascii="Arial" w:cs="Arial" w:eastAsia="Arial" w:hAnsi="Arial"/>
          <w:sz w:val="16"/>
          <w:szCs w:val="16"/>
          <w:color w:val="auto"/>
        </w:rPr>
      </w:pPr>
    </w:p>
    <w:p>
      <w:pPr>
        <w:ind w:left="1580" w:hanging="160"/>
        <w:spacing w:after="0"/>
        <w:tabs>
          <w:tab w:leader="none" w:pos="1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835,307 restricted stock units, or RSUs, of Upstart Holdings, Inc. that were granted after December 31, 2020; and</w:t>
      </w:r>
    </w:p>
    <w:p>
      <w:pPr>
        <w:spacing w:after="0" w:line="99" w:lineRule="exact"/>
        <w:rPr>
          <w:rFonts w:ascii="Arial" w:cs="Arial" w:eastAsia="Arial" w:hAnsi="Arial"/>
          <w:sz w:val="16"/>
          <w:szCs w:val="16"/>
          <w:color w:val="auto"/>
        </w:rPr>
      </w:pPr>
    </w:p>
    <w:p>
      <w:pPr>
        <w:ind w:left="1580" w:right="940" w:hanging="160"/>
        <w:spacing w:after="0" w:line="238" w:lineRule="auto"/>
        <w:tabs>
          <w:tab w:leader="none" w:pos="1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9,437,181 shares of our common stock reserved for future issuance under our equity compensation plans as of December 31, 2020, consisting of:</w:t>
      </w:r>
    </w:p>
    <w:p>
      <w:pPr>
        <w:spacing w:after="0" w:line="96" w:lineRule="exact"/>
        <w:rPr>
          <w:rFonts w:ascii="Arial" w:cs="Arial" w:eastAsia="Arial" w:hAnsi="Arial"/>
          <w:sz w:val="16"/>
          <w:szCs w:val="16"/>
          <w:color w:val="auto"/>
        </w:rPr>
      </w:pPr>
    </w:p>
    <w:p>
      <w:pPr>
        <w:ind w:left="1960" w:right="60" w:hanging="351"/>
        <w:spacing w:after="0" w:line="238"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8,057,181 shares of our common stock reserved for future issuance under our 2020 Equity Incentive Plan, or our 2020 Plan;</w:t>
      </w:r>
    </w:p>
    <w:p>
      <w:pPr>
        <w:spacing w:after="0" w:line="96" w:lineRule="exact"/>
        <w:rPr>
          <w:rFonts w:ascii="Arial" w:cs="Arial" w:eastAsia="Arial" w:hAnsi="Arial"/>
          <w:sz w:val="16"/>
          <w:szCs w:val="16"/>
          <w:color w:val="auto"/>
        </w:rPr>
      </w:pPr>
    </w:p>
    <w:p>
      <w:pPr>
        <w:ind w:left="1960" w:right="160" w:hanging="351"/>
        <w:spacing w:after="0" w:line="238" w:lineRule="auto"/>
        <w:tabs>
          <w:tab w:leader="none" w:pos="19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1,380,000 shares of our common stock reserved for future issuance under our 2020 Employee Stock Purchase Plan, or our ESPP.</w:t>
      </w:r>
    </w:p>
    <w:p>
      <w:pPr>
        <w:spacing w:after="0" w:line="179" w:lineRule="exact"/>
        <w:rPr>
          <w:sz w:val="20"/>
          <w:szCs w:val="20"/>
          <w:color w:val="auto"/>
        </w:rPr>
      </w:pPr>
    </w:p>
    <w:p>
      <w:pPr>
        <w:ind w:left="960" w:right="180" w:firstLine="466"/>
        <w:spacing w:after="0" w:line="235" w:lineRule="auto"/>
        <w:rPr>
          <w:sz w:val="20"/>
          <w:szCs w:val="20"/>
          <w:color w:val="auto"/>
        </w:rPr>
      </w:pPr>
      <w:r>
        <w:rPr>
          <w:rFonts w:ascii="Arial" w:cs="Arial" w:eastAsia="Arial" w:hAnsi="Arial"/>
          <w:sz w:val="16"/>
          <w:szCs w:val="16"/>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Compensation—Employee Benefit and Stock Plans.”</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Except as otherwise indicated, all information in this prospectus assumes:</w:t>
      </w:r>
    </w:p>
    <w:p>
      <w:pPr>
        <w:spacing w:after="0" w:line="100" w:lineRule="exact"/>
        <w:rPr>
          <w:sz w:val="20"/>
          <w:szCs w:val="20"/>
          <w:color w:val="auto"/>
        </w:rPr>
      </w:pPr>
    </w:p>
    <w:p>
      <w:pPr>
        <w:ind w:left="1580" w:hanging="160"/>
        <w:spacing w:after="0"/>
        <w:tabs>
          <w:tab w:leader="none" w:pos="1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exercise or cancellation of outstanding stock options subsequent to December 31, 2020; and</w:t>
      </w:r>
    </w:p>
    <w:p>
      <w:pPr>
        <w:spacing w:after="0" w:line="99" w:lineRule="exact"/>
        <w:rPr>
          <w:rFonts w:ascii="Arial" w:cs="Arial" w:eastAsia="Arial" w:hAnsi="Arial"/>
          <w:sz w:val="16"/>
          <w:szCs w:val="16"/>
          <w:color w:val="auto"/>
        </w:rPr>
      </w:pPr>
    </w:p>
    <w:p>
      <w:pPr>
        <w:ind w:left="1580" w:hanging="160"/>
        <w:spacing w:after="0"/>
        <w:tabs>
          <w:tab w:leader="none" w:pos="1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exercise by the underwriters of their option to purchase additional shares.</w:t>
      </w: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260"/>
          </w:cols>
          <w:pgMar w:left="320" w:top="419" w:right="131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961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33465" cy="4961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SUMMARY CONSOLIDATED FINANCIAL AND OTHER DATA</w:t>
      </w:r>
    </w:p>
    <w:p>
      <w:pPr>
        <w:spacing w:after="0" w:line="203" w:lineRule="exact"/>
        <w:rPr>
          <w:sz w:val="20"/>
          <w:szCs w:val="20"/>
          <w:color w:val="auto"/>
        </w:rPr>
      </w:pPr>
    </w:p>
    <w:p>
      <w:pPr>
        <w:ind w:left="960" w:right="200" w:firstLine="466"/>
        <w:spacing w:after="0" w:line="233" w:lineRule="auto"/>
        <w:rPr>
          <w:sz w:val="20"/>
          <w:szCs w:val="20"/>
          <w:color w:val="auto"/>
        </w:rPr>
      </w:pPr>
      <w:r>
        <w:rPr>
          <w:rFonts w:ascii="Arial" w:cs="Arial" w:eastAsia="Arial" w:hAnsi="Arial"/>
          <w:sz w:val="16"/>
          <w:szCs w:val="16"/>
          <w:color w:val="auto"/>
        </w:rPr>
        <w:t>The following tables summarize our consolidated historical financial and other data. We have derived the summary consolidated statements of operations data for the years ended December 31, 2018, 2019 and 2020 and the balance sheet data as of December 31, 2020 from our audited consolidated financial statements included elsewhere in this prospectus. The summary consolidated financial data in this section are not intended to replace our consolidated financial statements and related notes, and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 The last day of our fiscal year is December 31. Our fiscal quarters end on March 31, June 30, September 30, and December 31.</w:t>
      </w:r>
    </w:p>
    <w:p>
      <w:pPr>
        <w:spacing w:after="0" w:line="158"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540" w:type="dxa"/>
            <w:vAlign w:val="bottom"/>
            <w:gridSpan w:val="2"/>
            <w:vMerge w:val="restart"/>
          </w:tcPr>
          <w:p>
            <w:pPr>
              <w:ind w:left="160"/>
              <w:spacing w:after="0"/>
              <w:rPr>
                <w:sz w:val="20"/>
                <w:szCs w:val="20"/>
                <w:color w:val="auto"/>
              </w:rPr>
            </w:pPr>
            <w:r>
              <w:rPr>
                <w:rFonts w:ascii="Arial" w:cs="Arial" w:eastAsia="Arial" w:hAnsi="Arial"/>
                <w:sz w:val="13"/>
                <w:szCs w:val="13"/>
                <w:i w:val="1"/>
                <w:iCs w:val="1"/>
                <w:color w:val="auto"/>
              </w:rPr>
              <w:t>(In thousands, except share and per share amounts)</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7"/>
              </w:rPr>
              <w:t>Year Ended December 31,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22"/>
              <w:spacing w:after="0" w:line="134"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22"/>
              <w:spacing w:after="0" w:line="134" w:lineRule="exact"/>
              <w:rPr>
                <w:sz w:val="20"/>
                <w:szCs w:val="20"/>
                <w:color w:val="auto"/>
              </w:rPr>
            </w:pPr>
            <w:r>
              <w:rPr>
                <w:rFonts w:ascii="Arial" w:cs="Arial" w:eastAsia="Arial" w:hAnsi="Arial"/>
                <w:sz w:val="13"/>
                <w:szCs w:val="13"/>
                <w:b w:val="1"/>
                <w:bCs w:val="1"/>
                <w:color w:val="auto"/>
              </w:rPr>
              <w:t>2019</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222"/>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0" w:type="dxa"/>
            <w:vAlign w:val="bottom"/>
          </w:tcPr>
          <w:p>
            <w:pPr>
              <w:spacing w:after="0"/>
              <w:rPr>
                <w:sz w:val="13"/>
                <w:szCs w:val="13"/>
                <w:color w:val="auto"/>
              </w:rPr>
            </w:pPr>
          </w:p>
        </w:tc>
        <w:tc>
          <w:tcPr>
            <w:tcW w:w="538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Revenue:</w:t>
            </w: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Revenue from fees, net</w:t>
            </w:r>
          </w:p>
        </w:tc>
        <w:tc>
          <w:tcPr>
            <w:tcW w:w="3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88,482</w:t>
            </w:r>
          </w:p>
        </w:tc>
        <w:tc>
          <w:tcPr>
            <w:tcW w:w="46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159,847</w:t>
            </w:r>
          </w:p>
        </w:tc>
        <w:tc>
          <w:tcPr>
            <w:tcW w:w="400" w:type="dxa"/>
            <w:vAlign w:val="bottom"/>
          </w:tcPr>
          <w:p>
            <w:pPr>
              <w:spacing w:after="0"/>
              <w:rPr>
                <w:sz w:val="15"/>
                <w:szCs w:val="15"/>
                <w:color w:val="auto"/>
              </w:rPr>
            </w:pPr>
          </w:p>
        </w:tc>
        <w:tc>
          <w:tcPr>
            <w:tcW w:w="1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8" w:lineRule="exact"/>
              <w:rPr>
                <w:sz w:val="20"/>
                <w:szCs w:val="20"/>
                <w:color w:val="auto"/>
              </w:rPr>
            </w:pPr>
            <w:r>
              <w:rPr>
                <w:rFonts w:ascii="Arial" w:cs="Arial" w:eastAsia="Arial" w:hAnsi="Arial"/>
                <w:sz w:val="16"/>
                <w:szCs w:val="16"/>
                <w:color w:val="auto"/>
              </w:rPr>
              <w:t>228,600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Interest income and fair value adjustments, net</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10,831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4,342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4,816</w:t>
            </w: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60" w:type="dxa"/>
            <w:vAlign w:val="bottom"/>
          </w:tcPr>
          <w:p>
            <w:pPr>
              <w:spacing w:after="0"/>
              <w:rPr>
                <w:sz w:val="16"/>
                <w:szCs w:val="16"/>
                <w:color w:val="auto"/>
              </w:rPr>
            </w:pPr>
          </w:p>
        </w:tc>
        <w:tc>
          <w:tcPr>
            <w:tcW w:w="5380" w:type="dxa"/>
            <w:vAlign w:val="bottom"/>
          </w:tcPr>
          <w:p>
            <w:pPr>
              <w:ind w:left="640"/>
              <w:spacing w:after="0" w:line="181" w:lineRule="exact"/>
              <w:rPr>
                <w:sz w:val="20"/>
                <w:szCs w:val="20"/>
                <w:color w:val="auto"/>
              </w:rPr>
            </w:pPr>
            <w:r>
              <w:rPr>
                <w:rFonts w:ascii="Arial" w:cs="Arial" w:eastAsia="Arial" w:hAnsi="Arial"/>
                <w:sz w:val="16"/>
                <w:szCs w:val="16"/>
                <w:color w:val="auto"/>
              </w:rPr>
              <w:t>Total revenue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99,313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164,189</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233,416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Sales and marketing</w:t>
            </w:r>
            <w:r>
              <w:rPr>
                <w:rFonts w:ascii="Arial" w:cs="Arial" w:eastAsia="Arial" w:hAnsi="Arial"/>
                <w:sz w:val="13"/>
                <w:szCs w:val="13"/>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63,633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93,175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99,659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Customer operations</w:t>
            </w:r>
            <w:r>
              <w:rPr>
                <w:rFonts w:ascii="Arial" w:cs="Arial" w:eastAsia="Arial" w:hAnsi="Arial"/>
                <w:sz w:val="13"/>
                <w:szCs w:val="13"/>
                <w:color w:val="auto"/>
              </w:rPr>
              <w:t>(1)</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15,416</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24,947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37,581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tcPr>
          <w:p>
            <w:pPr>
              <w:ind w:left="320"/>
              <w:spacing w:after="0" w:line="178" w:lineRule="exact"/>
              <w:rPr>
                <w:sz w:val="20"/>
                <w:szCs w:val="20"/>
                <w:color w:val="auto"/>
              </w:rPr>
            </w:pPr>
            <w:r>
              <w:rPr>
                <w:rFonts w:ascii="Arial" w:cs="Arial" w:eastAsia="Arial" w:hAnsi="Arial"/>
                <w:sz w:val="16"/>
                <w:szCs w:val="16"/>
                <w:color w:val="auto"/>
              </w:rPr>
              <w:t>Engineering and product development</w:t>
            </w:r>
            <w:r>
              <w:rPr>
                <w:rFonts w:ascii="Arial" w:cs="Arial" w:eastAsia="Arial" w:hAnsi="Arial"/>
                <w:sz w:val="13"/>
                <w:szCs w:val="13"/>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6"/>
                <w:szCs w:val="16"/>
                <w:color w:val="auto"/>
              </w:rPr>
              <w:t>8,415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18,777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38,802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General, administrative, and other</w:t>
            </w:r>
            <w:r>
              <w:rPr>
                <w:rFonts w:ascii="Arial" w:cs="Arial" w:eastAsia="Arial" w:hAnsi="Arial"/>
                <w:sz w:val="13"/>
                <w:szCs w:val="13"/>
                <w:color w:val="auto"/>
              </w:rPr>
              <w:t>(1)</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19,820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31,865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45,609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0" w:type="dxa"/>
            <w:vAlign w:val="bottom"/>
          </w:tcPr>
          <w:p>
            <w:pPr>
              <w:spacing w:after="0"/>
              <w:rPr>
                <w:sz w:val="16"/>
                <w:szCs w:val="16"/>
                <w:color w:val="auto"/>
              </w:rPr>
            </w:pPr>
          </w:p>
        </w:tc>
        <w:tc>
          <w:tcPr>
            <w:tcW w:w="5380" w:type="dxa"/>
            <w:vAlign w:val="bottom"/>
          </w:tcPr>
          <w:p>
            <w:pPr>
              <w:ind w:left="640"/>
              <w:spacing w:after="0" w:line="181" w:lineRule="exact"/>
              <w:rPr>
                <w:sz w:val="20"/>
                <w:szCs w:val="20"/>
                <w:color w:val="auto"/>
              </w:rPr>
            </w:pPr>
            <w:r>
              <w:rPr>
                <w:rFonts w:ascii="Arial" w:cs="Arial" w:eastAsia="Arial" w:hAnsi="Arial"/>
                <w:sz w:val="16"/>
                <w:szCs w:val="16"/>
                <w:color w:val="auto"/>
              </w:rPr>
              <w:t>Total operating expenses</w:t>
            </w: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107,284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168,764</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221,651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Income (loss) from operations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(7,971)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(4,575)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11,765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1,036</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Expense on warrants and other non-operating expenses, net</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(3,734)</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(1,407)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(11,364)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4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Net income (loss) before income taxes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(11,218)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(4,946)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5,950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4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Net income (loss) before attribution to noncontrolling interests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rPr>
              <w:t>(11,218)</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340"/>
              <w:spacing w:after="0" w:line="181" w:lineRule="exact"/>
              <w:rPr>
                <w:sz w:val="20"/>
                <w:szCs w:val="20"/>
                <w:color w:val="auto"/>
              </w:rPr>
            </w:pPr>
            <w:r>
              <w:rPr>
                <w:rFonts w:ascii="Arial" w:cs="Arial" w:eastAsia="Arial" w:hAnsi="Arial"/>
                <w:sz w:val="16"/>
                <w:szCs w:val="16"/>
                <w:color w:val="auto"/>
              </w:rPr>
              <w:t>(5,020)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81" w:lineRule="exact"/>
              <w:rPr>
                <w:sz w:val="20"/>
                <w:szCs w:val="20"/>
                <w:color w:val="auto"/>
              </w:rPr>
            </w:pPr>
            <w:r>
              <w:rPr>
                <w:rFonts w:ascii="Arial" w:cs="Arial" w:eastAsia="Arial" w:hAnsi="Arial"/>
                <w:sz w:val="16"/>
                <w:szCs w:val="16"/>
                <w:color w:val="auto"/>
              </w:rPr>
              <w:t>5,579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53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income (loss) attributable to noncontrolling interests</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(4,554)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(404)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4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Net income (loss) attributable to Upstart Holdings, Inc. common</w:t>
            </w: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60" w:type="dxa"/>
            <w:vAlign w:val="bottom"/>
          </w:tcPr>
          <w:p>
            <w:pPr>
              <w:spacing w:after="0"/>
              <w:rPr>
                <w:sz w:val="15"/>
                <w:szCs w:val="15"/>
                <w:color w:val="auto"/>
              </w:rPr>
            </w:pPr>
          </w:p>
        </w:tc>
        <w:tc>
          <w:tcPr>
            <w:tcW w:w="5380" w:type="dxa"/>
            <w:vAlign w:val="bottom"/>
          </w:tcPr>
          <w:p>
            <w:pPr>
              <w:ind w:left="160"/>
              <w:spacing w:after="0" w:line="178" w:lineRule="exact"/>
              <w:rPr>
                <w:sz w:val="20"/>
                <w:szCs w:val="20"/>
                <w:color w:val="auto"/>
              </w:rPr>
            </w:pPr>
            <w:r>
              <w:rPr>
                <w:rFonts w:ascii="Arial" w:cs="Arial" w:eastAsia="Arial" w:hAnsi="Arial"/>
                <w:sz w:val="16"/>
                <w:szCs w:val="16"/>
                <w:color w:val="auto"/>
              </w:rPr>
              <w:t>stockholders</w:t>
            </w:r>
          </w:p>
        </w:tc>
        <w:tc>
          <w:tcPr>
            <w:tcW w:w="3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(12,319)</w:t>
            </w:r>
          </w:p>
        </w:tc>
        <w:tc>
          <w:tcPr>
            <w:tcW w:w="46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(466)</w:t>
            </w:r>
          </w:p>
        </w:tc>
        <w:tc>
          <w:tcPr>
            <w:tcW w:w="1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8" w:lineRule="exact"/>
              <w:rPr>
                <w:sz w:val="20"/>
                <w:szCs w:val="20"/>
                <w:color w:val="auto"/>
              </w:rPr>
            </w:pPr>
            <w:r>
              <w:rPr>
                <w:rFonts w:ascii="Arial" w:cs="Arial" w:eastAsia="Arial" w:hAnsi="Arial"/>
                <w:sz w:val="16"/>
                <w:szCs w:val="16"/>
                <w:color w:val="auto"/>
              </w:rPr>
              <w:t>5,983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60" w:type="dxa"/>
            <w:vAlign w:val="bottom"/>
          </w:tcPr>
          <w:p>
            <w:pPr>
              <w:spacing w:after="0"/>
              <w:rPr>
                <w:sz w:val="14"/>
                <w:szCs w:val="14"/>
                <w:color w:val="auto"/>
              </w:rPr>
            </w:pPr>
          </w:p>
        </w:tc>
        <w:tc>
          <w:tcPr>
            <w:tcW w:w="538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Net income (loss) per share attributable to Upstart Holdings, Inc. common</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53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stockholders, basic and diluted</w:t>
            </w:r>
            <w:r>
              <w:rPr>
                <w:rFonts w:ascii="Arial" w:cs="Arial" w:eastAsia="Arial" w:hAnsi="Arial"/>
                <w:sz w:val="13"/>
                <w:szCs w:val="13"/>
                <w:color w:val="auto"/>
              </w:rPr>
              <w:t>(2)</w:t>
            </w:r>
          </w:p>
        </w:tc>
        <w:tc>
          <w:tcPr>
            <w:tcW w:w="34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line="181" w:lineRule="exact"/>
              <w:rPr>
                <w:sz w:val="20"/>
                <w:szCs w:val="20"/>
                <w:color w:val="auto"/>
              </w:rPr>
            </w:pPr>
            <w:r>
              <w:rPr>
                <w:rFonts w:ascii="Arial" w:cs="Arial" w:eastAsia="Arial" w:hAnsi="Arial"/>
                <w:sz w:val="16"/>
                <w:szCs w:val="16"/>
                <w:color w:val="auto"/>
              </w:rPr>
              <w:t>(0.87)</w:t>
            </w:r>
          </w:p>
        </w:tc>
        <w:tc>
          <w:tcPr>
            <w:tcW w:w="46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340"/>
              <w:spacing w:after="0" w:line="181" w:lineRule="exact"/>
              <w:rPr>
                <w:sz w:val="20"/>
                <w:szCs w:val="20"/>
                <w:color w:val="auto"/>
              </w:rPr>
            </w:pPr>
            <w:r>
              <w:rPr>
                <w:rFonts w:ascii="Arial" w:cs="Arial" w:eastAsia="Arial" w:hAnsi="Arial"/>
                <w:sz w:val="16"/>
                <w:szCs w:val="16"/>
                <w:color w:val="auto"/>
              </w:rPr>
              <w:t>(0.03)</w:t>
            </w:r>
          </w:p>
        </w:tc>
        <w:tc>
          <w:tcPr>
            <w:tcW w:w="16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160"/>
              <w:spacing w:after="0"/>
              <w:rPr>
                <w:sz w:val="20"/>
                <w:szCs w:val="20"/>
                <w:color w:val="auto"/>
              </w:rPr>
            </w:pPr>
            <w:r>
              <w:rPr>
                <w:rFonts w:ascii="Arial" w:cs="Arial" w:eastAsia="Arial" w:hAnsi="Arial"/>
                <w:sz w:val="16"/>
                <w:szCs w:val="16"/>
                <w:color w:val="auto"/>
              </w:rPr>
              <w:t>Weighted-average number of shares outstanding used in computing net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5380" w:type="dxa"/>
            <w:vAlign w:val="bottom"/>
          </w:tcPr>
          <w:p>
            <w:pPr>
              <w:ind w:left="160"/>
              <w:spacing w:after="0" w:line="175" w:lineRule="exact"/>
              <w:rPr>
                <w:sz w:val="20"/>
                <w:szCs w:val="20"/>
                <w:color w:val="auto"/>
              </w:rPr>
            </w:pPr>
            <w:r>
              <w:rPr>
                <w:rFonts w:ascii="Arial" w:cs="Arial" w:eastAsia="Arial" w:hAnsi="Arial"/>
                <w:sz w:val="16"/>
                <w:szCs w:val="16"/>
                <w:color w:val="auto"/>
              </w:rPr>
              <w:t>income (loss) per share attributable to Upstart Holdings, Inc. common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5380" w:type="dxa"/>
            <w:vAlign w:val="bottom"/>
          </w:tcPr>
          <w:p>
            <w:pPr>
              <w:ind w:left="160"/>
              <w:spacing w:after="0" w:line="181" w:lineRule="exact"/>
              <w:rPr>
                <w:sz w:val="20"/>
                <w:szCs w:val="20"/>
                <w:color w:val="auto"/>
              </w:rPr>
            </w:pPr>
            <w:r>
              <w:rPr>
                <w:rFonts w:ascii="Arial" w:cs="Arial" w:eastAsia="Arial" w:hAnsi="Arial"/>
                <w:sz w:val="16"/>
                <w:szCs w:val="16"/>
                <w:color w:val="auto"/>
              </w:rPr>
              <w:t>stockholders, basic and diluted</w:t>
            </w:r>
            <w:r>
              <w:rPr>
                <w:rFonts w:ascii="Arial" w:cs="Arial" w:eastAsia="Arial" w:hAnsi="Arial"/>
                <w:sz w:val="13"/>
                <w:szCs w:val="13"/>
                <w:color w:val="auto"/>
              </w:rPr>
              <w:t>(2)</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7"/>
              </w:rPr>
              <w:t>14,128,183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4"/>
              </w:rPr>
              <w:t>14,335,611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97"/>
              </w:rPr>
              <w:t>17,513,670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5540" w:type="dxa"/>
            <w:vAlign w:val="bottom"/>
            <w:gridSpan w:val="2"/>
          </w:tcPr>
          <w:p>
            <w:pPr>
              <w:jc w:val="right"/>
              <w:ind w:right="541"/>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320" w:top="419" w:right="111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4218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33465" cy="4218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420" w:hanging="461"/>
        <w:spacing w:after="0"/>
        <w:tabs>
          <w:tab w:leader="none" w:pos="14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 (in thousands):</w:t>
      </w:r>
    </w:p>
    <w:p>
      <w:pPr>
        <w:spacing w:after="0" w:line="83" w:lineRule="exact"/>
        <w:rPr>
          <w:sz w:val="20"/>
          <w:szCs w:val="20"/>
          <w:color w:val="auto"/>
        </w:rPr>
      </w:pPr>
    </w:p>
    <w:tbl>
      <w:tblPr>
        <w:tblLayout w:type="fixed"/>
        <w:tblInd w:w="1420" w:type="dxa"/>
        <w:tblCellMar>
          <w:top w:w="0" w:type="dxa"/>
          <w:left w:w="0" w:type="dxa"/>
          <w:bottom w:w="0" w:type="dxa"/>
          <w:right w:w="0" w:type="dxa"/>
        </w:tblCellMar>
      </w:tblPr>
      <w:tr>
        <w:trPr>
          <w:trHeight w:val="154"/>
        </w:trPr>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8"/>
          </w:tcPr>
          <w:p>
            <w:pPr>
              <w:ind w:left="14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68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6"/>
              <w:spacing w:after="0" w:line="134" w:lineRule="exact"/>
              <w:rPr>
                <w:sz w:val="20"/>
                <w:szCs w:val="20"/>
                <w:color w:val="auto"/>
              </w:rPr>
            </w:pPr>
            <w:r>
              <w:rPr>
                <w:rFonts w:ascii="Arial" w:cs="Arial" w:eastAsia="Arial" w:hAnsi="Arial"/>
                <w:sz w:val="13"/>
                <w:szCs w:val="13"/>
                <w:b w:val="1"/>
                <w:bCs w:val="1"/>
                <w:color w:val="auto"/>
                <w:w w:val="96"/>
              </w:rPr>
              <w:t>2018</w:t>
            </w:r>
          </w:p>
        </w:tc>
        <w:tc>
          <w:tcPr>
            <w:tcW w:w="2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4"/>
              <w:spacing w:after="0" w:line="134" w:lineRule="exact"/>
              <w:rPr>
                <w:sz w:val="20"/>
                <w:szCs w:val="20"/>
                <w:color w:val="auto"/>
              </w:rPr>
            </w:pPr>
            <w:r>
              <w:rPr>
                <w:rFonts w:ascii="Arial" w:cs="Arial" w:eastAsia="Arial" w:hAnsi="Arial"/>
                <w:sz w:val="13"/>
                <w:szCs w:val="13"/>
                <w:b w:val="1"/>
                <w:bCs w:val="1"/>
                <w:color w:val="auto"/>
                <w:w w:val="89"/>
              </w:rPr>
              <w:t>2019</w:t>
            </w:r>
          </w:p>
        </w:tc>
        <w:tc>
          <w:tcPr>
            <w:tcW w:w="2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4"/>
              <w:spacing w:after="0" w:line="134" w:lineRule="exact"/>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1"/>
                <w:szCs w:val="11"/>
                <w:color w:val="auto"/>
              </w:rPr>
            </w:pPr>
          </w:p>
        </w:tc>
      </w:tr>
      <w:tr>
        <w:trPr>
          <w:trHeight w:val="169"/>
        </w:trPr>
        <w:tc>
          <w:tcPr>
            <w:tcW w:w="68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89"/>
              </w:rPr>
              <w:t>183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1,562</w:t>
            </w:r>
          </w:p>
        </w:tc>
        <w:tc>
          <w:tcPr>
            <w:tcW w:w="60" w:type="dxa"/>
            <w:vAlign w:val="bottom"/>
            <w:shd w:val="clear" w:color="auto" w:fill="CCEEFF"/>
          </w:tcPr>
          <w:p>
            <w:pPr>
              <w:spacing w:after="0"/>
              <w:rPr>
                <w:sz w:val="14"/>
                <w:szCs w:val="14"/>
                <w:color w:val="auto"/>
              </w:rPr>
            </w:pPr>
          </w:p>
        </w:tc>
      </w:tr>
      <w:tr>
        <w:trPr>
          <w:trHeight w:val="177"/>
        </w:trPr>
        <w:tc>
          <w:tcPr>
            <w:tcW w:w="6800" w:type="dxa"/>
            <w:vAlign w:val="bottom"/>
          </w:tcPr>
          <w:p>
            <w:pPr>
              <w:ind w:left="20"/>
              <w:spacing w:after="0" w:line="178" w:lineRule="exact"/>
              <w:rPr>
                <w:sz w:val="20"/>
                <w:szCs w:val="20"/>
                <w:color w:val="auto"/>
              </w:rPr>
            </w:pPr>
            <w:r>
              <w:rPr>
                <w:rFonts w:ascii="Arial" w:cs="Arial" w:eastAsia="Arial" w:hAnsi="Arial"/>
                <w:sz w:val="16"/>
                <w:szCs w:val="16"/>
                <w:color w:val="auto"/>
              </w:rPr>
              <w:t>Customer operations</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178</w:t>
            </w:r>
          </w:p>
        </w:tc>
        <w:tc>
          <w:tcPr>
            <w:tcW w:w="100" w:type="dxa"/>
            <w:vAlign w:val="bottom"/>
          </w:tcPr>
          <w:p>
            <w:pPr>
              <w:spacing w:after="0"/>
              <w:rPr>
                <w:sz w:val="15"/>
                <w:szCs w:val="15"/>
                <w:color w:val="auto"/>
              </w:rPr>
            </w:pPr>
          </w:p>
        </w:tc>
        <w:tc>
          <w:tcPr>
            <w:tcW w:w="6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433</w:t>
            </w:r>
          </w:p>
        </w:tc>
        <w:tc>
          <w:tcPr>
            <w:tcW w:w="100" w:type="dxa"/>
            <w:vAlign w:val="bottom"/>
          </w:tcPr>
          <w:p>
            <w:pPr>
              <w:spacing w:after="0"/>
              <w:rPr>
                <w:sz w:val="15"/>
                <w:szCs w:val="15"/>
                <w:color w:val="auto"/>
              </w:rPr>
            </w:pPr>
          </w:p>
        </w:tc>
        <w:tc>
          <w:tcPr>
            <w:tcW w:w="540" w:type="dxa"/>
            <w:vAlign w:val="bottom"/>
            <w:gridSpan w:val="2"/>
          </w:tcPr>
          <w:p>
            <w:pPr>
              <w:jc w:val="right"/>
              <w:ind w:right="60"/>
              <w:spacing w:after="0" w:line="178" w:lineRule="exact"/>
              <w:rPr>
                <w:sz w:val="20"/>
                <w:szCs w:val="20"/>
                <w:color w:val="auto"/>
              </w:rPr>
            </w:pPr>
            <w:r>
              <w:rPr>
                <w:rFonts w:ascii="Arial" w:cs="Arial" w:eastAsia="Arial" w:hAnsi="Arial"/>
                <w:sz w:val="16"/>
                <w:szCs w:val="16"/>
                <w:color w:val="auto"/>
              </w:rPr>
              <w:t>898</w:t>
            </w:r>
          </w:p>
        </w:tc>
      </w:tr>
      <w:tr>
        <w:trPr>
          <w:trHeight w:val="177"/>
        </w:trPr>
        <w:tc>
          <w:tcPr>
            <w:tcW w:w="6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Engineering and product development</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w w:val="94"/>
              </w:rPr>
              <w:t>1,803</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4,844</w:t>
            </w:r>
          </w:p>
        </w:tc>
      </w:tr>
      <w:tr>
        <w:trPr>
          <w:trHeight w:val="177"/>
        </w:trPr>
        <w:tc>
          <w:tcPr>
            <w:tcW w:w="6800" w:type="dxa"/>
            <w:vAlign w:val="bottom"/>
          </w:tcPr>
          <w:p>
            <w:pPr>
              <w:ind w:left="20"/>
              <w:spacing w:after="0" w:line="178" w:lineRule="exact"/>
              <w:rPr>
                <w:sz w:val="20"/>
                <w:szCs w:val="20"/>
                <w:color w:val="auto"/>
              </w:rPr>
            </w:pPr>
            <w:r>
              <w:rPr>
                <w:rFonts w:ascii="Arial" w:cs="Arial" w:eastAsia="Arial" w:hAnsi="Arial"/>
                <w:sz w:val="16"/>
                <w:szCs w:val="16"/>
                <w:color w:val="auto"/>
              </w:rPr>
              <w:t>General, administrative, and other</w:t>
            </w: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931</w:t>
            </w:r>
          </w:p>
        </w:tc>
        <w:tc>
          <w:tcPr>
            <w:tcW w:w="100" w:type="dxa"/>
            <w:vAlign w:val="bottom"/>
          </w:tcPr>
          <w:p>
            <w:pPr>
              <w:spacing w:after="0"/>
              <w:rPr>
                <w:sz w:val="15"/>
                <w:szCs w:val="15"/>
                <w:color w:val="auto"/>
              </w:rPr>
            </w:pPr>
          </w:p>
        </w:tc>
        <w:tc>
          <w:tcPr>
            <w:tcW w:w="6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w w:val="94"/>
              </w:rPr>
              <w:t>1,292</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4,209</w:t>
            </w:r>
          </w:p>
        </w:tc>
      </w:tr>
      <w:tr>
        <w:trPr>
          <w:trHeight w:val="24"/>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77"/>
        </w:trPr>
        <w:tc>
          <w:tcPr>
            <w:tcW w:w="6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Total stock-based compensation</w:t>
            </w: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w w:val="89"/>
              </w:rPr>
              <w:t>$</w:t>
            </w: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w w:val="94"/>
              </w:rPr>
              <w:t>2,045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w w:val="94"/>
              </w:rPr>
              <w:t>3,806</w:t>
            </w: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w w:val="89"/>
              </w:rPr>
              <w:t>$</w:t>
            </w: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w w:val="98"/>
              </w:rPr>
              <w:t>11,513</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 w:lineRule="exact"/>
        <w:rPr>
          <w:sz w:val="20"/>
          <w:szCs w:val="20"/>
          <w:color w:val="auto"/>
        </w:rPr>
      </w:pPr>
    </w:p>
    <w:p>
      <w:pPr>
        <w:jc w:val="both"/>
        <w:ind w:left="1420" w:right="180" w:hanging="461"/>
        <w:spacing w:after="0" w:line="233" w:lineRule="auto"/>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See Note 15 to our consolidated financial statements for an explanation of the calculations of our basic and diluted net loss per share attributable to Upstart Holdings, Inc. common stockholders, net income per share attributable to Upstart Holdings, Inc. common stockholders and the weighted-average number of shares used in the computation of the per share amounts.</w:t>
      </w:r>
    </w:p>
    <w:p>
      <w:pPr>
        <w:spacing w:after="0" w:line="249"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Condensed Consolidated Balance Sheet Data</w:t>
      </w:r>
    </w:p>
    <w:p>
      <w:pPr>
        <w:spacing w:after="0" w:line="215" w:lineRule="exact"/>
        <w:rPr>
          <w:sz w:val="20"/>
          <w:szCs w:val="20"/>
          <w:color w:val="auto"/>
        </w:rPr>
      </w:pPr>
    </w:p>
    <w:tbl>
      <w:tblPr>
        <w:tblLayout w:type="fixed"/>
        <w:tblInd w:w="960" w:type="dxa"/>
        <w:tblCellMar>
          <w:top w:w="0" w:type="dxa"/>
          <w:left w:w="0" w:type="dxa"/>
          <w:bottom w:w="0" w:type="dxa"/>
          <w:right w:w="0" w:type="dxa"/>
        </w:tblCellMar>
      </w:tblPr>
      <w:tr>
        <w:trPr>
          <w:trHeight w:val="154"/>
        </w:trPr>
        <w:tc>
          <w:tcPr>
            <w:tcW w:w="51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8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As of December 31, 2020</w:t>
            </w:r>
          </w:p>
        </w:tc>
      </w:tr>
      <w:tr>
        <w:trPr>
          <w:trHeight w:val="119"/>
        </w:trPr>
        <w:tc>
          <w:tcPr>
            <w:tcW w:w="51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As</w:t>
            </w:r>
          </w:p>
        </w:tc>
        <w:tc>
          <w:tcPr>
            <w:tcW w:w="100" w:type="dxa"/>
            <w:vAlign w:val="bottom"/>
          </w:tcPr>
          <w:p>
            <w:pPr>
              <w:spacing w:after="0"/>
              <w:rPr>
                <w:sz w:val="10"/>
                <w:szCs w:val="10"/>
                <w:color w:val="auto"/>
              </w:rPr>
            </w:pPr>
          </w:p>
        </w:tc>
      </w:tr>
      <w:tr>
        <w:trPr>
          <w:trHeight w:val="156"/>
        </w:trPr>
        <w:tc>
          <w:tcPr>
            <w:tcW w:w="514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4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Actual</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1"/>
                <w:szCs w:val="11"/>
                <w:b w:val="1"/>
                <w:bCs w:val="1"/>
                <w:color w:val="auto"/>
              </w:rPr>
              <w:t xml:space="preserve">Adjusted </w:t>
            </w:r>
            <w:r>
              <w:rPr>
                <w:rFonts w:ascii="Arial" w:cs="Arial" w:eastAsia="Arial" w:hAnsi="Arial"/>
                <w:sz w:val="18"/>
                <w:szCs w:val="18"/>
                <w:b w:val="1"/>
                <w:bCs w:val="1"/>
                <w:color w:val="auto"/>
                <w:vertAlign w:val="superscript"/>
              </w:rPr>
              <w:t>(1)</w:t>
            </w:r>
          </w:p>
        </w:tc>
      </w:tr>
      <w:tr>
        <w:trPr>
          <w:trHeight w:val="169"/>
        </w:trPr>
        <w:tc>
          <w:tcPr>
            <w:tcW w:w="51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w:t>
            </w:r>
          </w:p>
        </w:tc>
        <w:tc>
          <w:tcPr>
            <w:tcW w:w="24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$250,819</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$ 522,635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7"/>
        </w:trPr>
        <w:tc>
          <w:tcPr>
            <w:tcW w:w="5140" w:type="dxa"/>
            <w:vAlign w:val="bottom"/>
          </w:tcPr>
          <w:p>
            <w:pPr>
              <w:spacing w:after="0" w:line="178" w:lineRule="exact"/>
              <w:rPr>
                <w:sz w:val="20"/>
                <w:szCs w:val="20"/>
                <w:color w:val="auto"/>
              </w:rPr>
            </w:pPr>
            <w:r>
              <w:rPr>
                <w:rFonts w:ascii="Arial" w:cs="Arial" w:eastAsia="Arial" w:hAnsi="Arial"/>
                <w:sz w:val="16"/>
                <w:szCs w:val="16"/>
                <w:color w:val="auto"/>
              </w:rPr>
              <w:t>Loans (at fair value)</w:t>
            </w:r>
          </w:p>
        </w:tc>
        <w:tc>
          <w:tcPr>
            <w:tcW w:w="326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78,460</w:t>
            </w:r>
          </w:p>
        </w:tc>
        <w:tc>
          <w:tcPr>
            <w:tcW w:w="92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78,460</w:t>
            </w:r>
          </w:p>
        </w:tc>
      </w:tr>
      <w:tr>
        <w:trPr>
          <w:trHeight w:val="177"/>
        </w:trPr>
        <w:tc>
          <w:tcPr>
            <w:tcW w:w="51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assets</w:t>
            </w:r>
          </w:p>
        </w:tc>
        <w:tc>
          <w:tcPr>
            <w:tcW w:w="30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477,255</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749,071</w:t>
            </w:r>
          </w:p>
        </w:tc>
        <w:tc>
          <w:tcPr>
            <w:tcW w:w="100" w:type="dxa"/>
            <w:vAlign w:val="bottom"/>
            <w:shd w:val="clear" w:color="auto" w:fill="CCEEFF"/>
          </w:tcPr>
          <w:p>
            <w:pPr>
              <w:spacing w:after="0"/>
              <w:rPr>
                <w:sz w:val="15"/>
                <w:szCs w:val="15"/>
                <w:color w:val="auto"/>
              </w:rPr>
            </w:pPr>
          </w:p>
        </w:tc>
      </w:tr>
      <w:tr>
        <w:trPr>
          <w:trHeight w:val="177"/>
        </w:trPr>
        <w:tc>
          <w:tcPr>
            <w:tcW w:w="5140" w:type="dxa"/>
            <w:vAlign w:val="bottom"/>
          </w:tcPr>
          <w:p>
            <w:pPr>
              <w:spacing w:after="0" w:line="178" w:lineRule="exact"/>
              <w:rPr>
                <w:sz w:val="20"/>
                <w:szCs w:val="20"/>
                <w:color w:val="auto"/>
              </w:rPr>
            </w:pPr>
            <w:r>
              <w:rPr>
                <w:rFonts w:ascii="Arial" w:cs="Arial" w:eastAsia="Arial" w:hAnsi="Arial"/>
                <w:sz w:val="16"/>
                <w:szCs w:val="16"/>
                <w:color w:val="auto"/>
              </w:rPr>
              <w:t>Borrowings</w:t>
            </w:r>
          </w:p>
        </w:tc>
        <w:tc>
          <w:tcPr>
            <w:tcW w:w="326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62,626</w:t>
            </w:r>
          </w:p>
        </w:tc>
        <w:tc>
          <w:tcPr>
            <w:tcW w:w="92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62,626</w:t>
            </w:r>
          </w:p>
        </w:tc>
      </w:tr>
      <w:tr>
        <w:trPr>
          <w:trHeight w:val="177"/>
        </w:trPr>
        <w:tc>
          <w:tcPr>
            <w:tcW w:w="51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liabilities</w:t>
            </w:r>
          </w:p>
        </w:tc>
        <w:tc>
          <w:tcPr>
            <w:tcW w:w="30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177,003</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177,003</w:t>
            </w:r>
          </w:p>
        </w:tc>
        <w:tc>
          <w:tcPr>
            <w:tcW w:w="100" w:type="dxa"/>
            <w:vAlign w:val="bottom"/>
            <w:shd w:val="clear" w:color="auto" w:fill="CCEEFF"/>
          </w:tcPr>
          <w:p>
            <w:pPr>
              <w:spacing w:after="0"/>
              <w:rPr>
                <w:sz w:val="15"/>
                <w:szCs w:val="15"/>
                <w:color w:val="auto"/>
              </w:rPr>
            </w:pPr>
          </w:p>
        </w:tc>
      </w:tr>
      <w:tr>
        <w:trPr>
          <w:trHeight w:val="177"/>
        </w:trPr>
        <w:tc>
          <w:tcPr>
            <w:tcW w:w="5140" w:type="dxa"/>
            <w:vAlign w:val="bottom"/>
          </w:tcPr>
          <w:p>
            <w:pPr>
              <w:spacing w:after="0" w:line="178" w:lineRule="exact"/>
              <w:rPr>
                <w:sz w:val="20"/>
                <w:szCs w:val="20"/>
                <w:color w:val="auto"/>
              </w:rPr>
            </w:pPr>
            <w:r>
              <w:rPr>
                <w:rFonts w:ascii="Arial" w:cs="Arial" w:eastAsia="Arial" w:hAnsi="Arial"/>
                <w:sz w:val="16"/>
                <w:szCs w:val="16"/>
                <w:color w:val="auto"/>
              </w:rPr>
              <w:t>Accumulated deficit</w:t>
            </w:r>
          </w:p>
        </w:tc>
        <w:tc>
          <w:tcPr>
            <w:tcW w:w="3260" w:type="dxa"/>
            <w:vAlign w:val="bottom"/>
            <w:gridSpan w:val="3"/>
          </w:tcPr>
          <w:p>
            <w:pPr>
              <w:jc w:val="right"/>
              <w:ind w:right="120"/>
              <w:spacing w:after="0" w:line="178" w:lineRule="exact"/>
              <w:rPr>
                <w:sz w:val="20"/>
                <w:szCs w:val="20"/>
                <w:color w:val="auto"/>
              </w:rPr>
            </w:pPr>
            <w:r>
              <w:rPr>
                <w:rFonts w:ascii="Arial" w:cs="Arial" w:eastAsia="Arial" w:hAnsi="Arial"/>
                <w:sz w:val="16"/>
                <w:szCs w:val="16"/>
                <w:color w:val="auto"/>
              </w:rPr>
              <w:t>(69,222)</w:t>
            </w:r>
          </w:p>
        </w:tc>
        <w:tc>
          <w:tcPr>
            <w:tcW w:w="920" w:type="dxa"/>
            <w:vAlign w:val="bottom"/>
            <w:gridSpan w:val="3"/>
          </w:tcPr>
          <w:p>
            <w:pPr>
              <w:jc w:val="right"/>
              <w:ind w:right="60"/>
              <w:spacing w:after="0" w:line="178" w:lineRule="exact"/>
              <w:rPr>
                <w:sz w:val="20"/>
                <w:szCs w:val="20"/>
                <w:color w:val="auto"/>
              </w:rPr>
            </w:pPr>
            <w:r>
              <w:rPr>
                <w:rFonts w:ascii="Arial" w:cs="Arial" w:eastAsia="Arial" w:hAnsi="Arial"/>
                <w:sz w:val="16"/>
                <w:szCs w:val="16"/>
                <w:color w:val="auto"/>
              </w:rPr>
              <w:t>(69,222)</w:t>
            </w:r>
          </w:p>
        </w:tc>
      </w:tr>
      <w:tr>
        <w:trPr>
          <w:trHeight w:val="177"/>
        </w:trPr>
        <w:tc>
          <w:tcPr>
            <w:tcW w:w="51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stockholders’ equity</w:t>
            </w:r>
          </w:p>
        </w:tc>
        <w:tc>
          <w:tcPr>
            <w:tcW w:w="30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300,252</w:t>
            </w: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572,068</w:t>
            </w:r>
          </w:p>
        </w:tc>
        <w:tc>
          <w:tcPr>
            <w:tcW w:w="100" w:type="dxa"/>
            <w:vAlign w:val="bottom"/>
            <w:shd w:val="clear" w:color="auto" w:fill="CCEEFF"/>
          </w:tcPr>
          <w:p>
            <w:pPr>
              <w:spacing w:after="0"/>
              <w:rPr>
                <w:sz w:val="15"/>
                <w:szCs w:val="15"/>
                <w:color w:val="auto"/>
              </w:rPr>
            </w:pP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080" w:type="dxa"/>
            <w:vAlign w:val="bottom"/>
            <w:gridSpan w:val="2"/>
          </w:tcPr>
          <w:p>
            <w:pPr>
              <w:jc w:val="right"/>
              <w:spacing w:after="0"/>
              <w:rPr>
                <w:sz w:val="20"/>
                <w:szCs w:val="20"/>
                <w:color w:val="auto"/>
              </w:rPr>
            </w:pPr>
            <w:r>
              <w:rPr>
                <w:rFonts w:ascii="Arial" w:cs="Arial" w:eastAsia="Arial" w:hAnsi="Arial"/>
                <w:sz w:val="16"/>
                <w:szCs w:val="16"/>
                <w:color w:val="auto"/>
              </w:rPr>
              <w:t>$477,255</w:t>
            </w:r>
          </w:p>
        </w:tc>
        <w:tc>
          <w:tcPr>
            <w:tcW w:w="18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$ 749,071</w:t>
            </w:r>
          </w:p>
        </w:tc>
        <w:tc>
          <w:tcPr>
            <w:tcW w:w="100" w:type="dxa"/>
            <w:vAlign w:val="bottom"/>
          </w:tcPr>
          <w:p>
            <w:pPr>
              <w:spacing w:after="0"/>
              <w:rPr>
                <w:sz w:val="16"/>
                <w:szCs w:val="16"/>
                <w:color w:val="auto"/>
              </w:rPr>
            </w:pPr>
          </w:p>
        </w:tc>
      </w:tr>
    </w:tbl>
    <w:p>
      <w:pPr>
        <w:spacing w:after="0" w:line="147" w:lineRule="exact"/>
        <w:rPr>
          <w:sz w:val="20"/>
          <w:szCs w:val="20"/>
          <w:color w:val="auto"/>
        </w:rPr>
      </w:pPr>
    </w:p>
    <w:p>
      <w:pPr>
        <w:jc w:val="both"/>
        <w:ind w:left="1420" w:right="260" w:hanging="461"/>
        <w:spacing w:after="0" w:line="259" w:lineRule="auto"/>
        <w:tabs>
          <w:tab w:leader="none" w:pos="1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as adjusted column in the balance sheet data table above gives effect to the sale and issuance by us of 2,000,000 shares of our common stock in this offering, based upon an assumed public offering price of $140.52 per share, the last reported sale price of our common stock on the Nasdaq Global Select Market on April 5, 2021, and after deducting estimated underwriting discounts and commissions and estimated offering expenses payable by us.</w:t>
      </w:r>
    </w:p>
    <w:p>
      <w:pPr>
        <w:spacing w:after="0" w:line="238" w:lineRule="exact"/>
        <w:rPr>
          <w:sz w:val="20"/>
          <w:szCs w:val="20"/>
          <w:color w:val="auto"/>
        </w:rPr>
      </w:pPr>
    </w:p>
    <w:p>
      <w:pPr>
        <w:jc w:val="center"/>
        <w:ind w:right="-959"/>
        <w:spacing w:after="0"/>
        <w:rPr>
          <w:sz w:val="20"/>
          <w:szCs w:val="20"/>
          <w:color w:val="auto"/>
        </w:rPr>
      </w:pPr>
      <w:r>
        <w:rPr>
          <w:rFonts w:ascii="Arial" w:cs="Arial" w:eastAsia="Arial" w:hAnsi="Arial"/>
          <w:sz w:val="16"/>
          <w:szCs w:val="16"/>
          <w:b w:val="1"/>
          <w:bCs w:val="1"/>
          <w:color w:val="auto"/>
        </w:rPr>
        <w:t>Key Operating Metrics and Non-GAAP Measures</w:t>
      </w:r>
    </w:p>
    <w:p>
      <w:pPr>
        <w:spacing w:after="0" w:line="203" w:lineRule="exact"/>
        <w:rPr>
          <w:sz w:val="20"/>
          <w:szCs w:val="20"/>
          <w:color w:val="auto"/>
        </w:rPr>
      </w:pPr>
    </w:p>
    <w:p>
      <w:pPr>
        <w:ind w:left="960" w:right="420" w:firstLine="466"/>
        <w:spacing w:after="0" w:line="238" w:lineRule="auto"/>
        <w:rPr>
          <w:sz w:val="20"/>
          <w:szCs w:val="20"/>
          <w:color w:val="auto"/>
        </w:rPr>
      </w:pPr>
      <w:r>
        <w:rPr>
          <w:rFonts w:ascii="Arial" w:cs="Arial" w:eastAsia="Arial" w:hAnsi="Arial"/>
          <w:sz w:val="16"/>
          <w:szCs w:val="16"/>
          <w:color w:val="auto"/>
        </w:rPr>
        <w:t>We focus on several key operating and financial metrics to measure the performance of our business and help determine strategic direction.</w:t>
      </w: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280"/>
          </w:cols>
          <w:pgMar w:left="320" w:top="419" w:right="129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175895</wp:posOffset>
            </wp:positionV>
            <wp:extent cx="6133465" cy="2340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33465" cy="234061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960" w:type="dxa"/>
        <w:tblCellMar>
          <w:top w:w="0" w:type="dxa"/>
          <w:left w:w="0" w:type="dxa"/>
          <w:bottom w:w="0" w:type="dxa"/>
          <w:right w:w="0" w:type="dxa"/>
        </w:tblCellMar>
      </w:tblPr>
      <w:tr>
        <w:trPr>
          <w:trHeight w:val="154"/>
        </w:trPr>
        <w:tc>
          <w:tcPr>
            <w:tcW w:w="42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rPr>
              <w:t>Year Ended December 31,</w:t>
            </w: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200" w:type="dxa"/>
            <w:vAlign w:val="bottom"/>
            <w:tcBorders>
              <w:bottom w:val="single" w:sz="8" w:color="CCEEFF"/>
            </w:tcBorders>
            <w:vMerge w:val="continue"/>
          </w:tcPr>
          <w:p>
            <w:pPr>
              <w:spacing w:after="0"/>
              <w:rPr>
                <w:sz w:val="11"/>
                <w:szCs w:val="11"/>
                <w:color w:val="auto"/>
              </w:rPr>
            </w:pPr>
          </w:p>
        </w:tc>
        <w:tc>
          <w:tcPr>
            <w:tcW w:w="15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83"/>
              <w:spacing w:after="0" w:line="134"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Number of Loans Transacted</w:t>
            </w: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114,125</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215,122</w:t>
            </w: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300,379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line="178" w:lineRule="exact"/>
              <w:rPr>
                <w:sz w:val="20"/>
                <w:szCs w:val="20"/>
                <w:color w:val="auto"/>
              </w:rPr>
            </w:pPr>
            <w:r>
              <w:rPr>
                <w:rFonts w:ascii="Arial" w:cs="Arial" w:eastAsia="Arial" w:hAnsi="Arial"/>
                <w:sz w:val="16"/>
                <w:szCs w:val="16"/>
                <w:color w:val="auto"/>
              </w:rPr>
              <w:t>Conversion Rate</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9.1%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13.1%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77"/>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Percentage of Loans Fully Automated</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66%</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7"/>
        </w:trPr>
        <w:tc>
          <w:tcPr>
            <w:tcW w:w="4200" w:type="dxa"/>
            <w:vAlign w:val="bottom"/>
          </w:tcPr>
          <w:p>
            <w:pPr>
              <w:spacing w:after="0" w:line="178" w:lineRule="exact"/>
              <w:rPr>
                <w:sz w:val="20"/>
                <w:szCs w:val="20"/>
                <w:color w:val="auto"/>
              </w:rPr>
            </w:pPr>
            <w:r>
              <w:rPr>
                <w:rFonts w:ascii="Arial" w:cs="Arial" w:eastAsia="Arial" w:hAnsi="Arial"/>
                <w:sz w:val="16"/>
                <w:szCs w:val="16"/>
                <w:color w:val="auto"/>
              </w:rPr>
              <w:t>Contribution Profit</w:t>
            </w:r>
            <w:r>
              <w:rPr>
                <w:rFonts w:ascii="Arial" w:cs="Arial" w:eastAsia="Arial" w:hAnsi="Arial"/>
                <w:sz w:val="13"/>
                <w:szCs w:val="13"/>
                <w:color w:val="auto"/>
              </w:rPr>
              <w:t>(1)</w:t>
            </w:r>
          </w:p>
        </w:tc>
        <w:tc>
          <w:tcPr>
            <w:tcW w:w="16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13,098</w:t>
            </w:r>
          </w:p>
        </w:tc>
        <w:tc>
          <w:tcPr>
            <w:tcW w:w="160" w:type="dxa"/>
            <w:vAlign w:val="bottom"/>
          </w:tcPr>
          <w:p>
            <w:pPr>
              <w:spacing w:after="0"/>
              <w:rPr>
                <w:sz w:val="15"/>
                <w:szCs w:val="15"/>
                <w:color w:val="auto"/>
              </w:rPr>
            </w:pPr>
          </w:p>
        </w:tc>
        <w:tc>
          <w:tcPr>
            <w:tcW w:w="4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48,940</w:t>
            </w:r>
          </w:p>
        </w:tc>
        <w:tc>
          <w:tcPr>
            <w:tcW w:w="2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105,088</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Contribution Margin</w:t>
            </w:r>
            <w:r>
              <w:rPr>
                <w:rFonts w:ascii="Arial" w:cs="Arial" w:eastAsia="Arial" w:hAnsi="Arial"/>
                <w:sz w:val="13"/>
                <w:szCs w:val="13"/>
                <w:color w:val="auto"/>
              </w:rPr>
              <w:t>(1)</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31%</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7"/>
        </w:trPr>
        <w:tc>
          <w:tcPr>
            <w:tcW w:w="4200" w:type="dxa"/>
            <w:vAlign w:val="bottom"/>
          </w:tcPr>
          <w:p>
            <w:pPr>
              <w:spacing w:after="0" w:line="178" w:lineRule="exact"/>
              <w:rPr>
                <w:sz w:val="20"/>
                <w:szCs w:val="20"/>
                <w:color w:val="auto"/>
              </w:rPr>
            </w:pPr>
            <w:r>
              <w:rPr>
                <w:rFonts w:ascii="Arial" w:cs="Arial" w:eastAsia="Arial" w:hAnsi="Arial"/>
                <w:sz w:val="16"/>
                <w:szCs w:val="16"/>
                <w:color w:val="auto"/>
              </w:rPr>
              <w:t>Adjusted EBITDA</w:t>
            </w:r>
            <w:r>
              <w:rPr>
                <w:rFonts w:ascii="Arial" w:cs="Arial" w:eastAsia="Arial" w:hAnsi="Arial"/>
                <w:sz w:val="13"/>
                <w:szCs w:val="13"/>
                <w:color w:val="auto"/>
              </w:rPr>
              <w:t>(1)</w:t>
            </w:r>
          </w:p>
        </w:tc>
        <w:tc>
          <w:tcPr>
            <w:tcW w:w="16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(6,226)</w:t>
            </w:r>
          </w:p>
        </w:tc>
        <w:tc>
          <w:tcPr>
            <w:tcW w:w="4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5,595</w:t>
            </w:r>
          </w:p>
        </w:tc>
        <w:tc>
          <w:tcPr>
            <w:tcW w:w="460" w:type="dxa"/>
            <w:vAlign w:val="bottom"/>
          </w:tcPr>
          <w:p>
            <w:pPr>
              <w:spacing w:after="0"/>
              <w:rPr>
                <w:sz w:val="15"/>
                <w:szCs w:val="15"/>
                <w:color w:val="auto"/>
              </w:rPr>
            </w:pPr>
          </w:p>
        </w:tc>
        <w:tc>
          <w:tcPr>
            <w:tcW w:w="2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31,509</w:t>
            </w:r>
          </w:p>
        </w:tc>
        <w:tc>
          <w:tcPr>
            <w:tcW w:w="0" w:type="dxa"/>
            <w:vAlign w:val="bottom"/>
          </w:tcPr>
          <w:p>
            <w:pPr>
              <w:spacing w:after="0"/>
              <w:rPr>
                <w:sz w:val="1"/>
                <w:szCs w:val="1"/>
                <w:color w:val="auto"/>
              </w:rPr>
            </w:pPr>
          </w:p>
        </w:tc>
      </w:tr>
      <w:tr>
        <w:trPr>
          <w:trHeight w:val="177"/>
        </w:trPr>
        <w:tc>
          <w:tcPr>
            <w:tcW w:w="42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Adjusted EBITDA Margin</w:t>
            </w:r>
            <w:r>
              <w:rPr>
                <w:rFonts w:ascii="Arial" w:cs="Arial" w:eastAsia="Arial" w:hAnsi="Arial"/>
                <w:sz w:val="13"/>
                <w:szCs w:val="13"/>
                <w:i w:val="1"/>
                <w:iCs w:val="1"/>
                <w:color w:val="auto"/>
              </w:rPr>
              <w:t>(1)</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7"/>
        </w:trPr>
        <w:tc>
          <w:tcPr>
            <w:tcW w:w="4200" w:type="dxa"/>
            <w:vAlign w:val="bottom"/>
          </w:tcPr>
          <w:p>
            <w:pPr>
              <w:spacing w:after="0" w:line="178" w:lineRule="exact"/>
              <w:rPr>
                <w:sz w:val="20"/>
                <w:szCs w:val="20"/>
                <w:color w:val="auto"/>
              </w:rPr>
            </w:pPr>
            <w:r>
              <w:rPr>
                <w:rFonts w:ascii="Arial" w:cs="Arial" w:eastAsia="Arial" w:hAnsi="Arial"/>
                <w:sz w:val="16"/>
                <w:szCs w:val="16"/>
                <w:color w:val="auto"/>
              </w:rPr>
              <w:t>Adjusted Net Income (Loss)</w:t>
            </w:r>
            <w:r>
              <w:rPr>
                <w:rFonts w:ascii="Arial" w:cs="Arial" w:eastAsia="Arial" w:hAnsi="Arial"/>
                <w:sz w:val="13"/>
                <w:szCs w:val="13"/>
                <w:color w:val="auto"/>
              </w:rPr>
              <w:t>(1)</w:t>
            </w:r>
          </w:p>
        </w:tc>
        <w:tc>
          <w:tcPr>
            <w:tcW w:w="16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(10,274)</w:t>
            </w:r>
          </w:p>
        </w:tc>
        <w:tc>
          <w:tcPr>
            <w:tcW w:w="4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3,340</w:t>
            </w:r>
          </w:p>
        </w:tc>
        <w:tc>
          <w:tcPr>
            <w:tcW w:w="460" w:type="dxa"/>
            <w:vAlign w:val="bottom"/>
          </w:tcPr>
          <w:p>
            <w:pPr>
              <w:spacing w:after="0"/>
              <w:rPr>
                <w:sz w:val="15"/>
                <w:szCs w:val="15"/>
                <w:color w:val="auto"/>
              </w:rPr>
            </w:pPr>
          </w:p>
        </w:tc>
        <w:tc>
          <w:tcPr>
            <w:tcW w:w="2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17,496</w:t>
            </w:r>
          </w:p>
        </w:tc>
        <w:tc>
          <w:tcPr>
            <w:tcW w:w="0" w:type="dxa"/>
            <w:vAlign w:val="bottom"/>
          </w:tcPr>
          <w:p>
            <w:pPr>
              <w:spacing w:after="0"/>
              <w:rPr>
                <w:sz w:val="1"/>
                <w:szCs w:val="1"/>
                <w:color w:val="auto"/>
              </w:rPr>
            </w:pPr>
          </w:p>
        </w:tc>
      </w:tr>
      <w:tr>
        <w:trPr>
          <w:trHeight w:val="177"/>
        </w:trPr>
        <w:tc>
          <w:tcPr>
            <w:tcW w:w="4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Adjusted Net Income (Loss) per Share</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0" w:type="dxa"/>
            <w:vAlign w:val="bottom"/>
          </w:tcPr>
          <w:p>
            <w:pPr>
              <w:ind w:left="320"/>
              <w:spacing w:after="0" w:line="178" w:lineRule="exact"/>
              <w:rPr>
                <w:sz w:val="20"/>
                <w:szCs w:val="20"/>
                <w:color w:val="auto"/>
              </w:rPr>
            </w:pPr>
            <w:r>
              <w:rPr>
                <w:rFonts w:ascii="Arial" w:cs="Arial" w:eastAsia="Arial" w:hAnsi="Arial"/>
                <w:sz w:val="16"/>
                <w:szCs w:val="16"/>
                <w:color w:val="auto"/>
              </w:rPr>
              <w:t>Basic</w:t>
            </w:r>
            <w:r>
              <w:rPr>
                <w:rFonts w:ascii="Arial" w:cs="Arial" w:eastAsia="Arial" w:hAnsi="Arial"/>
                <w:sz w:val="13"/>
                <w:szCs w:val="13"/>
                <w:color w:val="auto"/>
              </w:rPr>
              <w:t>(1)</w:t>
            </w:r>
          </w:p>
        </w:tc>
        <w:tc>
          <w:tcPr>
            <w:tcW w:w="16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(0.73)</w:t>
            </w:r>
          </w:p>
        </w:tc>
        <w:tc>
          <w:tcPr>
            <w:tcW w:w="4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0.23</w:t>
            </w:r>
          </w:p>
        </w:tc>
        <w:tc>
          <w:tcPr>
            <w:tcW w:w="460" w:type="dxa"/>
            <w:vAlign w:val="bottom"/>
          </w:tcPr>
          <w:p>
            <w:pPr>
              <w:spacing w:after="0"/>
              <w:rPr>
                <w:sz w:val="15"/>
                <w:szCs w:val="15"/>
                <w:color w:val="auto"/>
              </w:rPr>
            </w:pPr>
          </w:p>
        </w:tc>
        <w:tc>
          <w:tcPr>
            <w:tcW w:w="22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1.00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2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Diluted</w:t>
            </w:r>
            <w:r>
              <w:rPr>
                <w:rFonts w:ascii="Arial" w:cs="Arial" w:eastAsia="Arial" w:hAnsi="Arial"/>
                <w:sz w:val="13"/>
                <w:szCs w:val="13"/>
                <w:color w:val="auto"/>
              </w:rPr>
              <w:t>(1)</w:t>
            </w:r>
          </w:p>
        </w:tc>
        <w:tc>
          <w:tcPr>
            <w:tcW w:w="16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(0.73)</w:t>
            </w:r>
          </w:p>
        </w:tc>
        <w:tc>
          <w:tcPr>
            <w:tcW w:w="48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0.05</w:t>
            </w:r>
          </w:p>
        </w:tc>
        <w:tc>
          <w:tcPr>
            <w:tcW w:w="4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420" w:right="60" w:hanging="461"/>
        <w:spacing w:after="0" w:line="251" w:lineRule="auto"/>
        <w:tabs>
          <w:tab w:leader="none" w:pos="1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 non-GAAP financial measure. See the section titled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w:t>
      </w:r>
      <w:r>
        <w:rPr>
          <w:rFonts w:ascii="Arial" w:cs="Arial" w:eastAsia="Arial" w:hAnsi="Arial"/>
          <w:sz w:val="13"/>
          <w:szCs w:val="13"/>
          <w:i w:val="1"/>
          <w:iCs w:val="1"/>
          <w:color w:val="auto"/>
        </w:rPr>
        <w:t>Reconciliation of Non-GAAP Financial Measures</w:t>
      </w:r>
      <w:r>
        <w:rPr>
          <w:rFonts w:ascii="Arial" w:cs="Arial" w:eastAsia="Arial" w:hAnsi="Arial"/>
          <w:sz w:val="13"/>
          <w:szCs w:val="13"/>
          <w:color w:val="auto"/>
        </w:rPr>
        <w:t>” for further information.</w:t>
      </w:r>
    </w:p>
    <w:p>
      <w:pPr>
        <w:spacing w:after="0" w:line="167" w:lineRule="exact"/>
        <w:rPr>
          <w:sz w:val="20"/>
          <w:szCs w:val="20"/>
          <w:color w:val="auto"/>
        </w:rPr>
      </w:pPr>
    </w:p>
    <w:p>
      <w:pPr>
        <w:ind w:left="960" w:right="660" w:firstLine="466"/>
        <w:spacing w:after="0" w:line="238" w:lineRule="auto"/>
        <w:rPr>
          <w:sz w:val="20"/>
          <w:szCs w:val="20"/>
          <w:color w:val="auto"/>
        </w:rPr>
      </w:pPr>
      <w:r>
        <w:rPr>
          <w:rFonts w:ascii="Arial" w:cs="Arial" w:eastAsia="Arial" w:hAnsi="Arial"/>
          <w:sz w:val="16"/>
          <w:szCs w:val="16"/>
          <w:color w:val="auto"/>
        </w:rPr>
        <w:t>See the section titled “Management’s Discussion and Analysis of Financial Condition and Results of Operations—Key Operating Metrics” for more information.</w:t>
      </w: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280"/>
          </w:cols>
          <w:pgMar w:left="320" w:top="419" w:right="129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RISK FACTORS</w:t>
      </w:r>
    </w:p>
    <w:p>
      <w:pPr>
        <w:spacing w:after="0" w:line="187"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55"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85" w:lineRule="exact"/>
        <w:rPr>
          <w:sz w:val="20"/>
          <w:szCs w:val="20"/>
          <w:color w:val="auto"/>
        </w:rPr>
      </w:pPr>
    </w:p>
    <w:p>
      <w:pPr>
        <w:ind w:left="800" w:right="80"/>
        <w:spacing w:after="0" w:line="260" w:lineRule="auto"/>
        <w:rPr>
          <w:sz w:val="20"/>
          <w:szCs w:val="20"/>
          <w:color w:val="auto"/>
        </w:rPr>
      </w:pPr>
      <w:r>
        <w:rPr>
          <w:rFonts w:ascii="Arial" w:cs="Arial" w:eastAsia="Arial" w:hAnsi="Arial"/>
          <w:sz w:val="16"/>
          <w:szCs w:val="16"/>
          <w:b w:val="1"/>
          <w:bCs w:val="1"/>
          <w:i w:val="1"/>
          <w:iCs w:val="1"/>
          <w:color w:val="auto"/>
        </w:rPr>
        <w:t>We are a rapidly growing company with a relatively limited operating history, which may result in increased risks, uncertainties, expenses and difficulties, and makes it difficult to evaluate our future prospects.</w:t>
      </w:r>
    </w:p>
    <w:p>
      <w:pPr>
        <w:spacing w:after="0" w:line="69"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96" w:lineRule="exact"/>
        <w:rPr>
          <w:sz w:val="20"/>
          <w:szCs w:val="20"/>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improve the effectiveness and predictiveness of our AI models;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 and increase the volume of loans facilitated by our AI lending platform;</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enter into new and maintain existing bank partnerships;</w:t>
      </w:r>
    </w:p>
    <w:p>
      <w:pPr>
        <w:spacing w:after="0" w:line="99" w:lineRule="exact"/>
        <w:rPr>
          <w:rFonts w:ascii="Arial" w:cs="Arial" w:eastAsia="Arial" w:hAnsi="Arial"/>
          <w:sz w:val="16"/>
          <w:szCs w:val="16"/>
          <w:color w:val="auto"/>
        </w:rPr>
      </w:pPr>
    </w:p>
    <w:p>
      <w:pPr>
        <w:ind w:left="1460" w:right="300" w:hanging="188"/>
        <w:spacing w:after="0" w:line="238"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96" w:lineRule="exact"/>
        <w:rPr>
          <w:rFonts w:ascii="Arial" w:cs="Arial" w:eastAsia="Arial" w:hAnsi="Arial"/>
          <w:sz w:val="16"/>
          <w:szCs w:val="16"/>
          <w:color w:val="auto"/>
        </w:rPr>
      </w:pPr>
    </w:p>
    <w:p>
      <w:pPr>
        <w:ind w:left="1460" w:right="20" w:hanging="188"/>
        <w:spacing w:after="0" w:line="238"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fund a sufficient quantity of our borrower loan demand with low cost bank funding to help keep interest rates offered to borrowers competitive;</w:t>
      </w:r>
    </w:p>
    <w:p>
      <w:pPr>
        <w:spacing w:after="0" w:line="96" w:lineRule="exact"/>
        <w:rPr>
          <w:rFonts w:ascii="Arial" w:cs="Arial" w:eastAsia="Arial" w:hAnsi="Arial"/>
          <w:sz w:val="16"/>
          <w:szCs w:val="16"/>
          <w:color w:val="auto"/>
        </w:rPr>
      </w:pPr>
    </w:p>
    <w:p>
      <w:pPr>
        <w:ind w:left="1460" w:right="500" w:hanging="188"/>
        <w:spacing w:after="0" w:line="269" w:lineRule="auto"/>
        <w:tabs>
          <w:tab w:leader="none" w:pos="1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74" w:lineRule="exact"/>
        <w:rPr>
          <w:rFonts w:ascii="Arial" w:cs="Arial" w:eastAsia="Arial" w:hAnsi="Arial"/>
          <w:sz w:val="15"/>
          <w:szCs w:val="15"/>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build our brand and protect our reputation from negative publicity;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 the effectiveness of our marketing strategies, including our direct consumer marketing initiatives;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continue to expand the number of potential borrowers;</w:t>
      </w:r>
    </w:p>
    <w:p>
      <w:pPr>
        <w:spacing w:after="0" w:line="99" w:lineRule="exact"/>
        <w:rPr>
          <w:rFonts w:ascii="Arial" w:cs="Arial" w:eastAsia="Arial" w:hAnsi="Arial"/>
          <w:sz w:val="16"/>
          <w:szCs w:val="16"/>
          <w:color w:val="auto"/>
        </w:rPr>
      </w:pPr>
    </w:p>
    <w:p>
      <w:pPr>
        <w:ind w:left="1460" w:hanging="188"/>
        <w:spacing w:after="0" w:line="238"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adjust our proprietary AI models, products and services in a timely manner in response to changing macroeconomic conditions and fluctuations in the credit market;</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comply with and successfully adapt to complex and evolving regulatory environments;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protect against increasingly sophisticated fraudulent borrowing and online theft;</w:t>
      </w:r>
    </w:p>
    <w:p>
      <w:pPr>
        <w:spacing w:after="0" w:line="99" w:lineRule="exact"/>
        <w:rPr>
          <w:rFonts w:ascii="Arial" w:cs="Arial" w:eastAsia="Arial" w:hAnsi="Arial"/>
          <w:sz w:val="16"/>
          <w:szCs w:val="16"/>
          <w:color w:val="auto"/>
        </w:rPr>
      </w:pPr>
    </w:p>
    <w:p>
      <w:pPr>
        <w:ind w:left="1460" w:right="240" w:hanging="188"/>
        <w:spacing w:after="0" w:line="238" w:lineRule="auto"/>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successfully compete with companies that are currently in, or may in the future enter, the business of providing online lending services to financial institutions or consumer financial services to borrowers;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enter into new markets and introduce new products and services;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420"/>
          </w:cols>
          <w:pgMar w:left="320" w:top="419" w:right="11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200" w:hanging="188"/>
        <w:spacing w:after="0" w:line="238" w:lineRule="auto"/>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effectively secure and maintain the confidentiality of the information received, accessed, stored, provided and used across our systems;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successfully obtain and maintain funding and liquidity to support continued growth and general corporate purposes;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attract, integrate and retain qualified employees; and</w:t>
      </w:r>
    </w:p>
    <w:p>
      <w:pPr>
        <w:spacing w:after="0" w:line="99" w:lineRule="exact"/>
        <w:rPr>
          <w:rFonts w:ascii="Arial" w:cs="Arial" w:eastAsia="Arial" w:hAnsi="Arial"/>
          <w:sz w:val="16"/>
          <w:szCs w:val="16"/>
          <w:color w:val="auto"/>
        </w:rPr>
      </w:pPr>
    </w:p>
    <w:p>
      <w:pPr>
        <w:ind w:left="1460" w:right="780" w:hanging="188"/>
        <w:spacing w:after="0" w:line="238" w:lineRule="auto"/>
        <w:tabs>
          <w:tab w:leader="none" w:pos="1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effectively manage and expand the capabilities of our operations teams, outsourcing relationships and other business operations.</w:t>
      </w:r>
    </w:p>
    <w:p>
      <w:pPr>
        <w:spacing w:after="0" w:line="179" w:lineRule="exact"/>
        <w:rPr>
          <w:sz w:val="20"/>
          <w:szCs w:val="20"/>
          <w:color w:val="auto"/>
        </w:rPr>
      </w:pPr>
    </w:p>
    <w:p>
      <w:pPr>
        <w:ind w:left="800" w:right="300" w:firstLine="482"/>
        <w:spacing w:after="0" w:line="238" w:lineRule="auto"/>
        <w:rPr>
          <w:sz w:val="20"/>
          <w:szCs w:val="20"/>
          <w:color w:val="auto"/>
        </w:rPr>
      </w:pPr>
      <w:r>
        <w:rPr>
          <w:rFonts w:ascii="Arial" w:cs="Arial" w:eastAsia="Arial" w:hAnsi="Arial"/>
          <w:sz w:val="16"/>
          <w:szCs w:val="16"/>
          <w:color w:val="auto"/>
        </w:rPr>
        <w:t>If we are not able to timely and effectively address these risks and difficulties as well as those described elsewhere in this “Risk Factors” section, our business and results of operations may be harmed.</w:t>
      </w:r>
    </w:p>
    <w:p>
      <w:pPr>
        <w:spacing w:after="0" w:line="256" w:lineRule="exact"/>
        <w:rPr>
          <w:sz w:val="20"/>
          <w:szCs w:val="20"/>
          <w:color w:val="auto"/>
        </w:rPr>
      </w:pPr>
    </w:p>
    <w:p>
      <w:pPr>
        <w:ind w:left="800"/>
        <w:spacing w:after="0" w:line="260" w:lineRule="auto"/>
        <w:rPr>
          <w:sz w:val="20"/>
          <w:szCs w:val="20"/>
          <w:color w:val="auto"/>
        </w:rPr>
      </w:pPr>
      <w:r>
        <w:rPr>
          <w:rFonts w:ascii="Arial" w:cs="Arial" w:eastAsia="Arial" w:hAnsi="Arial"/>
          <w:sz w:val="16"/>
          <w:szCs w:val="16"/>
          <w:b w:val="1"/>
          <w:bCs w:val="1"/>
          <w:i w:val="1"/>
          <w:iCs w:val="1"/>
          <w:color w:val="auto"/>
        </w:rPr>
        <w:t>Our revenue growth rate and financial performance in recent years may not be indicative of future performance and such growth may slow over time.</w:t>
      </w:r>
    </w:p>
    <w:p>
      <w:pPr>
        <w:spacing w:after="0" w:line="69" w:lineRule="exact"/>
        <w:rPr>
          <w:sz w:val="20"/>
          <w:szCs w:val="20"/>
          <w:color w:val="auto"/>
        </w:rPr>
      </w:pPr>
    </w:p>
    <w:p>
      <w:pPr>
        <w:ind w:left="800" w:right="60" w:firstLine="482"/>
        <w:spacing w:after="0" w:line="232"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2018, 2019, and 2020, our revenue was $99.3, million, $164.2 million, and $233.4 million, respectively, representing a 65% growth rate from 2018 to 2019 and a 42% growth rate from 2019 to 2020.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53% in 2018 and increased to 70% in 2020.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The COVID-19 pandemic has harmed and could continue to harm our business, financial condition and results of operations.</w:t>
      </w:r>
    </w:p>
    <w:p>
      <w:pPr>
        <w:spacing w:after="0" w:line="106" w:lineRule="exact"/>
        <w:rPr>
          <w:sz w:val="20"/>
          <w:szCs w:val="20"/>
          <w:color w:val="auto"/>
        </w:rPr>
      </w:pPr>
    </w:p>
    <w:p>
      <w:pPr>
        <w:jc w:val="both"/>
        <w:ind w:left="800" w:right="60" w:firstLine="482"/>
        <w:spacing w:after="0" w:line="254" w:lineRule="auto"/>
        <w:rPr>
          <w:sz w:val="20"/>
          <w:szCs w:val="20"/>
          <w:color w:val="auto"/>
        </w:rPr>
      </w:pPr>
      <w:r>
        <w:rPr>
          <w:rFonts w:ascii="Arial" w:cs="Arial" w:eastAsia="Arial" w:hAnsi="Arial"/>
          <w:sz w:val="15"/>
          <w:szCs w:val="15"/>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In particular, the impact of the COVID-19 pandemic on the finances of borrowers on our platform has been profound, as many have been, and will likely continue to be, impacted by unemployment, reduced earnings and/or elevated economic disruption and insecurity.</w:t>
      </w:r>
    </w:p>
    <w:p>
      <w:pPr>
        <w:spacing w:after="0" w:line="16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magnitude and duration of the resulting decline in business activity cannot currently be estimated with any degree of certainty and has had several effects on our business and results of operations, including, among other things:</w:t>
      </w:r>
    </w:p>
    <w:p>
      <w:pPr>
        <w:spacing w:after="0" w:line="96" w:lineRule="exact"/>
        <w:rPr>
          <w:sz w:val="20"/>
          <w:szCs w:val="20"/>
          <w:color w:val="auto"/>
        </w:rPr>
      </w:pPr>
    </w:p>
    <w:p>
      <w:pPr>
        <w:ind w:left="1280"/>
        <w:spacing w:after="0"/>
        <w:tabs>
          <w:tab w:leader="none" w:pos="14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decreased origination volumes on our platform;</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420"/>
          </w:cols>
          <w:pgMar w:left="320" w:top="419" w:right="11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600" w:hanging="188"/>
        <w:spacing w:after="0" w:line="238" w:lineRule="auto"/>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for increased losses for new and existing originations using our AI models resulting from a rapid rise in U.S. unemployment;</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temporary reduction in the availability of loan funding from institutional investors and the capital markets;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restricted sales operations and marketing efforts, and a reduction in the effectiveness of such efforts in some cases.</w:t>
      </w:r>
    </w:p>
    <w:p>
      <w:pPr>
        <w:spacing w:after="0" w:line="183" w:lineRule="exact"/>
        <w:rPr>
          <w:sz w:val="20"/>
          <w:szCs w:val="20"/>
          <w:color w:val="auto"/>
        </w:rPr>
      </w:pPr>
    </w:p>
    <w:p>
      <w:pPr>
        <w:ind w:left="800" w:right="440" w:firstLine="482"/>
        <w:spacing w:after="0" w:line="236" w:lineRule="auto"/>
        <w:rPr>
          <w:sz w:val="20"/>
          <w:szCs w:val="20"/>
          <w:color w:val="auto"/>
        </w:rPr>
      </w:pPr>
      <w:r>
        <w:rPr>
          <w:rFonts w:ascii="Arial" w:cs="Arial" w:eastAsia="Arial" w:hAnsi="Arial"/>
          <w:sz w:val="16"/>
          <w:szCs w:val="16"/>
          <w:color w:val="auto"/>
        </w:rPr>
        <w:t>The COVID-19 pandemic may lead to a continued economic downturn, which is expected to decrease technology spending generally and could adversely affect demand for our platforms and services, in addition to prolonging the foregoing challenges in our business.</w:t>
      </w:r>
    </w:p>
    <w:p>
      <w:pPr>
        <w:spacing w:after="0" w:line="179"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1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have also taken precautionary measures intended to reduce the risk of the virus spreading to our employees, bank partners,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the second quarter of 2021. It is possible that widespread remote work arrangements may have a negative impact on our operations, the execution of our business plans, the productivity and availability of key personnel and other employees necessary to conduct our business, and on third- 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83" w:lineRule="exact"/>
        <w:rPr>
          <w:sz w:val="20"/>
          <w:szCs w:val="20"/>
          <w:color w:val="auto"/>
        </w:rPr>
      </w:pPr>
    </w:p>
    <w:p>
      <w:pPr>
        <w:jc w:val="both"/>
        <w:ind w:left="800" w:right="100" w:firstLine="482"/>
        <w:spacing w:after="0" w:line="235" w:lineRule="auto"/>
        <w:rPr>
          <w:sz w:val="20"/>
          <w:szCs w:val="20"/>
          <w:color w:val="auto"/>
        </w:rPr>
      </w:pPr>
      <w:r>
        <w:rPr>
          <w:rFonts w:ascii="Arial" w:cs="Arial" w:eastAsia="Arial" w:hAnsi="Arial"/>
          <w:sz w:val="16"/>
          <w:szCs w:val="16"/>
          <w:color w:val="auto"/>
        </w:rPr>
        <w:t>Further, 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8"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the duration and spread of the outbreak, the scope of travel restrictions imposed in geographic areas in which we operate, mandatory or voluntary business closures, the impact on businesses and financial and capital</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440"/>
          </w:cols>
          <w:pgMar w:left="320" w:top="419" w:right="11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4" w:lineRule="auto"/>
        <w:rPr>
          <w:sz w:val="20"/>
          <w:szCs w:val="20"/>
          <w:color w:val="auto"/>
        </w:rPr>
      </w:pPr>
      <w:r>
        <w:rPr>
          <w:rFonts w:ascii="Arial" w:cs="Arial" w:eastAsia="Arial" w:hAnsi="Arial"/>
          <w:sz w:val="16"/>
          <w:szCs w:val="16"/>
          <w:color w:val="auto"/>
        </w:rPr>
        <w:t>markets, and the extent and effectiveness of actions taken throughout the world to contain the virus or treat its impact.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56" w:lineRule="exact"/>
        <w:rPr>
          <w:sz w:val="20"/>
          <w:szCs w:val="20"/>
          <w:color w:val="auto"/>
        </w:rPr>
      </w:pPr>
    </w:p>
    <w:p>
      <w:pPr>
        <w:ind w:left="800" w:right="560"/>
        <w:spacing w:after="0" w:line="260" w:lineRule="auto"/>
        <w:rPr>
          <w:sz w:val="20"/>
          <w:szCs w:val="20"/>
          <w:color w:val="auto"/>
        </w:rPr>
      </w:pPr>
      <w:r>
        <w:rPr>
          <w:rFonts w:ascii="Arial" w:cs="Arial" w:eastAsia="Arial" w:hAnsi="Arial"/>
          <w:sz w:val="16"/>
          <w:szCs w:val="16"/>
          <w:b w:val="1"/>
          <w:bCs w:val="1"/>
          <w:i w:val="1"/>
          <w:iCs w:val="1"/>
          <w:color w:val="auto"/>
        </w:rPr>
        <w:t>If we fail to effectively manage our growth, our business, financial condition and results of operations could be adversely affected.</w:t>
      </w:r>
    </w:p>
    <w:p>
      <w:pPr>
        <w:spacing w:after="0" w:line="69" w:lineRule="exact"/>
        <w:rPr>
          <w:sz w:val="20"/>
          <w:szCs w:val="20"/>
          <w:color w:val="auto"/>
        </w:rPr>
      </w:pPr>
    </w:p>
    <w:p>
      <w:pPr>
        <w:ind w:left="800" w:right="80" w:firstLine="482"/>
        <w:spacing w:after="0" w:line="232" w:lineRule="auto"/>
        <w:rPr>
          <w:sz w:val="20"/>
          <w:szCs w:val="20"/>
          <w:color w:val="auto"/>
        </w:rPr>
      </w:pPr>
      <w:r>
        <w:rPr>
          <w:rFonts w:ascii="Arial" w:cs="Arial" w:eastAsia="Arial" w:hAnsi="Arial"/>
          <w:sz w:val="16"/>
          <w:szCs w:val="16"/>
          <w:color w:val="auto"/>
        </w:rPr>
        <w:t>Over the last several years, we have experienced rapid growth in our business and the Number of Loans Transacted on our AI lending platform, and we expect to continue to experience growth in the future. The Number of Loans Transacted on our platform increased from 114,125 in 2018 to 300,379 in 2020 representing a compound annual growth rate of 62%.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61"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i w:val="1"/>
          <w:iCs w:val="1"/>
          <w:color w:val="auto"/>
        </w:rPr>
        <w:t>We have incurred net losses in the past, and we may not be able to maintain or increase our profitability in the future.</w:t>
      </w:r>
    </w:p>
    <w:p>
      <w:pPr>
        <w:spacing w:after="0" w:line="106"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For the years ended December 31, 2018 and 2019 we have experienced net losses of $12.3 million and $0.5 million, respectively. For the year ended December 31, 2020 we generated net income of $6.0 million.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Our quarterly results are likely to fluctuate and as a result may adversely affect the trading price of our common stock.</w:t>
      </w:r>
    </w:p>
    <w:p>
      <w:pPr>
        <w:spacing w:after="0" w:line="106" w:lineRule="exact"/>
        <w:rPr>
          <w:sz w:val="20"/>
          <w:szCs w:val="20"/>
          <w:color w:val="auto"/>
        </w:rPr>
      </w:pPr>
    </w:p>
    <w:p>
      <w:pPr>
        <w:ind w:left="800" w:right="20" w:firstLine="482"/>
        <w:spacing w:after="0" w:line="254" w:lineRule="auto"/>
        <w:rPr>
          <w:sz w:val="20"/>
          <w:szCs w:val="20"/>
          <w:color w:val="auto"/>
        </w:rPr>
      </w:pPr>
      <w:r>
        <w:rPr>
          <w:rFonts w:ascii="Arial" w:cs="Arial" w:eastAsia="Arial" w:hAnsi="Arial"/>
          <w:sz w:val="15"/>
          <w:szCs w:val="15"/>
          <w:color w:val="auto"/>
        </w:rPr>
        <w:t>Our quarterly results of operations, including the levels of our revenue, net income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440"/>
          </w:cols>
          <w:pgMar w:left="320" w:top="419" w:right="11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improve the effectiveness and predictiveness of our AI models;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attract new bank partners and investors of our loan funding programs;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relationships with existing bank partners and investors of our loan funding programs;</w:t>
      </w:r>
    </w:p>
    <w:p>
      <w:pPr>
        <w:spacing w:after="0" w:line="99" w:lineRule="exact"/>
        <w:rPr>
          <w:rFonts w:ascii="Arial" w:cs="Arial" w:eastAsia="Arial" w:hAnsi="Arial"/>
          <w:sz w:val="16"/>
          <w:szCs w:val="16"/>
          <w:color w:val="auto"/>
        </w:rPr>
      </w:pPr>
    </w:p>
    <w:p>
      <w:pPr>
        <w:ind w:left="1460" w:right="60" w:hanging="188"/>
        <w:spacing w:after="0" w:line="238" w:lineRule="auto"/>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or increase loan volumes, and improve loan mix and the channels through which the loans, bank partners and loan funding are sourced;</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effective relationships with loan aggregators from which prospective borrowers access our website;</w:t>
      </w:r>
    </w:p>
    <w:p>
      <w:pPr>
        <w:spacing w:after="0" w:line="99" w:lineRule="exact"/>
        <w:rPr>
          <w:rFonts w:ascii="Arial" w:cs="Arial" w:eastAsia="Arial" w:hAnsi="Arial"/>
          <w:sz w:val="16"/>
          <w:szCs w:val="16"/>
          <w:color w:val="auto"/>
        </w:rPr>
      </w:pPr>
    </w:p>
    <w:p>
      <w:pPr>
        <w:ind w:left="1460" w:right="160" w:hanging="188"/>
        <w:spacing w:after="0" w:line="238" w:lineRule="auto"/>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economic conditions, including economic slowdowns, recessions and tightening of credit markets, including due to the economic impact of the COVID-19 pandemic;</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improvements to our AI models that negatively impact transaction volume, such as lower approval rates;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and success of new products and services;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effectiveness of our direct marketing and other marketing channels;</w:t>
      </w:r>
    </w:p>
    <w:p>
      <w:pPr>
        <w:spacing w:after="0" w:line="99" w:lineRule="exact"/>
        <w:rPr>
          <w:rFonts w:ascii="Arial" w:cs="Arial" w:eastAsia="Arial" w:hAnsi="Arial"/>
          <w:sz w:val="16"/>
          <w:szCs w:val="16"/>
          <w:color w:val="auto"/>
        </w:rPr>
      </w:pPr>
    </w:p>
    <w:p>
      <w:pPr>
        <w:ind w:left="1460" w:right="80" w:hanging="188"/>
        <w:spacing w:after="0" w:line="269" w:lineRule="auto"/>
        <w:tabs>
          <w:tab w:leader="none" w:pos="1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74" w:lineRule="exact"/>
        <w:rPr>
          <w:rFonts w:ascii="Arial" w:cs="Arial" w:eastAsia="Arial" w:hAnsi="Arial"/>
          <w:sz w:val="15"/>
          <w:szCs w:val="15"/>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cost of borrowing money and access to loan funding sources;</w:t>
      </w:r>
    </w:p>
    <w:p>
      <w:pPr>
        <w:spacing w:after="0" w:line="99" w:lineRule="exact"/>
        <w:rPr>
          <w:rFonts w:ascii="Arial" w:cs="Arial" w:eastAsia="Arial" w:hAnsi="Arial"/>
          <w:sz w:val="16"/>
          <w:szCs w:val="16"/>
          <w:color w:val="auto"/>
        </w:rPr>
      </w:pPr>
    </w:p>
    <w:p>
      <w:pPr>
        <w:ind w:left="1460" w:right="20" w:hanging="188"/>
        <w:spacing w:after="0" w:line="238" w:lineRule="auto"/>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and extent of loans facilitated on our platform that are subject to loan modifications and/or temporary assistance due to disasters or emergencies;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and extent of prepayments of loans facilitated on our platform;</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fair value of assets and liabilities on our balance sheet;</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network outages or actual or perceived security breaches;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involvement in litigation or regulatory enforcement efforts (or the threat thereof) or those that impact our industry generally;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length of the onboarding process related to acquisitions of new bank partners;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laws and regulations that impact our business; and</w:t>
      </w:r>
    </w:p>
    <w:p>
      <w:pPr>
        <w:spacing w:after="0" w:line="99" w:lineRule="exact"/>
        <w:rPr>
          <w:rFonts w:ascii="Arial" w:cs="Arial" w:eastAsia="Arial" w:hAnsi="Arial"/>
          <w:sz w:val="16"/>
          <w:szCs w:val="16"/>
          <w:color w:val="auto"/>
        </w:rPr>
      </w:pPr>
    </w:p>
    <w:p>
      <w:pPr>
        <w:ind w:left="1460" w:right="700" w:hanging="188"/>
        <w:spacing w:after="0" w:line="238" w:lineRule="auto"/>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the competitive dynamics of our industry, including consolidation among competitors or the development of competitive products by larger well-funded incumbents.</w:t>
      </w:r>
    </w:p>
    <w:p>
      <w:pPr>
        <w:spacing w:after="0" w:line="17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In addition, we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58" w:lineRule="exact"/>
        <w:rPr>
          <w:sz w:val="20"/>
          <w:szCs w:val="20"/>
          <w:color w:val="auto"/>
        </w:rPr>
      </w:pPr>
    </w:p>
    <w:p>
      <w:pPr>
        <w:ind w:left="800" w:right="40"/>
        <w:spacing w:after="0" w:line="260" w:lineRule="auto"/>
        <w:rPr>
          <w:sz w:val="20"/>
          <w:szCs w:val="20"/>
          <w:color w:val="auto"/>
        </w:rPr>
      </w:pPr>
      <w:r>
        <w:rPr>
          <w:rFonts w:ascii="Arial" w:cs="Arial" w:eastAsia="Arial" w:hAnsi="Arial"/>
          <w:sz w:val="16"/>
          <w:szCs w:val="16"/>
          <w:b w:val="1"/>
          <w:bCs w:val="1"/>
          <w:i w:val="1"/>
          <w:i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9"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Our ability to attract potential borrowers to our platform and increase the number of Upstart-powered loans will depend in large part on our ability to effectively evaluate a borrower’s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400"/>
          </w:cols>
          <w:pgMar w:left="320" w:top="419" w:right="117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179" w:lineRule="exact"/>
        <w:rPr>
          <w:sz w:val="20"/>
          <w:szCs w:val="20"/>
          <w:color w:val="auto"/>
        </w:rPr>
      </w:pPr>
    </w:p>
    <w:p>
      <w:pPr>
        <w:ind w:left="800" w:right="40" w:firstLine="482"/>
        <w:spacing w:after="0" w:line="249" w:lineRule="auto"/>
        <w:rPr>
          <w:sz w:val="20"/>
          <w:szCs w:val="20"/>
          <w:color w:val="auto"/>
        </w:rPr>
      </w:pPr>
      <w:r>
        <w:rPr>
          <w:rFonts w:ascii="Arial" w:cs="Arial" w:eastAsia="Arial" w:hAnsi="Arial"/>
          <w:sz w:val="15"/>
          <w:szCs w:val="15"/>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74"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81" w:lineRule="exact"/>
        <w:rPr>
          <w:sz w:val="20"/>
          <w:szCs w:val="20"/>
          <w:color w:val="auto"/>
        </w:rPr>
      </w:pPr>
    </w:p>
    <w:p>
      <w:pPr>
        <w:ind w:left="800" w:firstLine="482"/>
        <w:spacing w:after="0" w:line="251"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48" w:lineRule="exact"/>
        <w:rPr>
          <w:sz w:val="20"/>
          <w:szCs w:val="20"/>
          <w:color w:val="auto"/>
        </w:rPr>
      </w:pPr>
    </w:p>
    <w:p>
      <w:pPr>
        <w:ind w:left="800" w:right="540"/>
        <w:spacing w:after="0" w:line="260" w:lineRule="auto"/>
        <w:rPr>
          <w:sz w:val="20"/>
          <w:szCs w:val="20"/>
          <w:color w:val="auto"/>
        </w:rPr>
      </w:pPr>
      <w:r>
        <w:rPr>
          <w:rFonts w:ascii="Arial" w:cs="Arial" w:eastAsia="Arial" w:hAnsi="Arial"/>
          <w:sz w:val="16"/>
          <w:szCs w:val="16"/>
          <w:b w:val="1"/>
          <w:bCs w:val="1"/>
          <w:i w:val="1"/>
          <w:i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69"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In the year ended December 31, 2020, approximately 98% of our revenue was generated from platform, referral and servicing fees that we receive from our bank partners. If any of our bank partners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440"/>
          </w:cols>
          <w:pgMar w:left="320" w:top="419" w:right="11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right="140"/>
        <w:spacing w:after="0" w:line="254" w:lineRule="auto"/>
        <w:rPr>
          <w:sz w:val="20"/>
          <w:szCs w:val="20"/>
          <w:color w:val="auto"/>
        </w:rPr>
      </w:pPr>
      <w:r>
        <w:rPr>
          <w:rFonts w:ascii="Arial" w:cs="Arial" w:eastAsia="Arial" w:hAnsi="Arial"/>
          <w:sz w:val="15"/>
          <w:szCs w:val="15"/>
          <w:color w:val="auto"/>
        </w:rPr>
        <w:t>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82"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addition, our bank partners have generally increasingly retained loans for their own customer base and balance sheet. In the year ended December 31, 2020, approximately 21% of Upstart-powered loans were retained by the originating bank, while about 77% of Upstart-powered loans were purchased by institutional investors through our loan funding programs. The percentage of Upstart-powered loans retained by the originating banks has fluctuated from quarter-to-quarter, but generally increased over the last few years.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61" w:lineRule="exact"/>
        <w:rPr>
          <w:sz w:val="20"/>
          <w:szCs w:val="20"/>
          <w:color w:val="auto"/>
        </w:rPr>
      </w:pPr>
    </w:p>
    <w:p>
      <w:pPr>
        <w:ind w:left="800" w:right="300"/>
        <w:spacing w:after="0" w:line="260" w:lineRule="auto"/>
        <w:rPr>
          <w:sz w:val="20"/>
          <w:szCs w:val="20"/>
          <w:color w:val="auto"/>
        </w:rPr>
      </w:pPr>
      <w:r>
        <w:rPr>
          <w:rFonts w:ascii="Arial" w:cs="Arial" w:eastAsia="Arial" w:hAnsi="Arial"/>
          <w:sz w:val="16"/>
          <w:szCs w:val="16"/>
          <w:b w:val="1"/>
          <w:bCs w:val="1"/>
          <w:i w:val="1"/>
          <w:iCs w:val="1"/>
          <w:color w:val="auto"/>
        </w:rPr>
        <w:t>Cross River Bank and one other bank partner account for a substantial portion of the total number of loans facilitated by our platform and our revenue.</w:t>
      </w:r>
    </w:p>
    <w:p>
      <w:pPr>
        <w:spacing w:after="0" w:line="69"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years ended December 31, 2019 and 2020, CRB originated approximately 89% and 67%, respectively, of the loans facilitated on our platform. CRB also accounts for a large portion of our revenues. In the years ended December 31, 2019 and 2020, fees received from CRB accounted for 80% and 63%, respectively, of our total revenue. CRB funds a</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420"/>
          </w:cols>
          <w:pgMar w:left="320" w:top="419" w:right="11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48" w:lineRule="auto"/>
        <w:rPr>
          <w:sz w:val="20"/>
          <w:szCs w:val="20"/>
          <w:color w:val="auto"/>
        </w:rPr>
      </w:pPr>
      <w:r>
        <w:rPr>
          <w:rFonts w:ascii="Arial" w:cs="Arial" w:eastAsia="Arial" w:hAnsi="Arial"/>
          <w:sz w:val="15"/>
          <w:szCs w:val="15"/>
          <w:color w:val="auto"/>
        </w:rPr>
        <w:t>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7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In the year ended December 31, 2020, one of our other bank partners originated approximately 24% of the loans facilitated on our platform. In the year ended December 31, 2020, the fees received from this bank partner accounted for 18% of our total revenue.</w:t>
      </w:r>
    </w:p>
    <w:p>
      <w:pPr>
        <w:spacing w:after="0" w:line="256" w:lineRule="exact"/>
        <w:rPr>
          <w:sz w:val="20"/>
          <w:szCs w:val="20"/>
          <w:color w:val="auto"/>
        </w:rPr>
      </w:pPr>
    </w:p>
    <w:p>
      <w:pPr>
        <w:ind w:left="800"/>
        <w:spacing w:after="0" w:line="260" w:lineRule="auto"/>
        <w:rPr>
          <w:sz w:val="20"/>
          <w:szCs w:val="20"/>
          <w:color w:val="auto"/>
        </w:rPr>
      </w:pPr>
      <w:r>
        <w:rPr>
          <w:rFonts w:ascii="Arial" w:cs="Arial" w:eastAsia="Arial" w:hAnsi="Arial"/>
          <w:sz w:val="16"/>
          <w:szCs w:val="16"/>
          <w:b w:val="1"/>
          <w:bCs w:val="1"/>
          <w:i w:val="1"/>
          <w:iCs w:val="1"/>
          <w:color w:val="auto"/>
        </w:rPr>
        <w:t>The sales and onboarding process of new bank partners could take longer than expected, leading to fluctuations or variability in expected revenues and results of operations.</w:t>
      </w:r>
    </w:p>
    <w:p>
      <w:pPr>
        <w:spacing w:after="0" w:line="69" w:lineRule="exact"/>
        <w:rPr>
          <w:sz w:val="20"/>
          <w:szCs w:val="20"/>
          <w:color w:val="auto"/>
        </w:rPr>
      </w:pPr>
    </w:p>
    <w:p>
      <w:pPr>
        <w:ind w:left="800" w:right="80" w:firstLine="482"/>
        <w:spacing w:after="0" w:line="232" w:lineRule="auto"/>
        <w:rPr>
          <w:sz w:val="20"/>
          <w:szCs w:val="20"/>
          <w:color w:val="auto"/>
        </w:rPr>
      </w:pPr>
      <w:r>
        <w:rPr>
          <w:rFonts w:ascii="Arial" w:cs="Arial" w:eastAsia="Arial" w:hAnsi="Arial"/>
          <w:sz w:val="16"/>
          <w:szCs w:val="16"/>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business may be adversely affected by economic conditions and other factors that we cannot control.</w:t>
      </w:r>
    </w:p>
    <w:p>
      <w:pPr>
        <w:spacing w:after="0" w:line="106"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420"/>
          </w:cols>
          <w:pgMar w:left="320" w:top="419" w:right="11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For example, in response to the COVID-19 pandemic, bank partners tightened their credit requirements or paused originations, and investors in our loan funding programs temporarily suspended making investments in Upstart-powered loans.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17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182"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For example,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improve in the near term. The increase in the unemployment rate could increase the delinquency rate of borrowers of Upstart- 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7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Furthermore, the COVID-19 pandemic has caused some borrowers on our platform to request a temporary extension or modification of the payment schedules of their loans under the temporary relief 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79"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If there is an economic downturn that affects our current and prospective borrowers or our bank partners and institutional investors, or if we are unable to address and mitigate the risks associated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440"/>
          </w:cols>
          <w:pgMar w:left="320" w:top="419" w:right="11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with any of the foregoing, our business, financial condition and results of operations could be adversely affected.</w:t>
      </w:r>
    </w:p>
    <w:p>
      <w:pPr>
        <w:spacing w:after="0" w:line="259" w:lineRule="exact"/>
        <w:rPr>
          <w:sz w:val="20"/>
          <w:szCs w:val="20"/>
          <w:color w:val="auto"/>
        </w:rPr>
      </w:pPr>
    </w:p>
    <w:p>
      <w:pPr>
        <w:ind w:left="800" w:right="80"/>
        <w:spacing w:after="0" w:line="246" w:lineRule="auto"/>
        <w:rPr>
          <w:sz w:val="20"/>
          <w:szCs w:val="20"/>
          <w:color w:val="auto"/>
        </w:rPr>
      </w:pPr>
      <w:r>
        <w:rPr>
          <w:rFonts w:ascii="Arial" w:cs="Arial" w:eastAsia="Arial" w:hAnsi="Arial"/>
          <w:sz w:val="16"/>
          <w:szCs w:val="16"/>
          <w:b w:val="1"/>
          <w:bCs w:val="1"/>
          <w:i w:val="1"/>
          <w:iCs w:val="1"/>
          <w:color w:val="auto"/>
        </w:rPr>
        <w:t>Our AI models have not yet been extensively tested during down-cycle economic conditions. If our AI models do not accurately reflect a borrower’s credit risk in such economic conditions, the performance of Upstart- powered loans may be worse than anticipated.</w:t>
      </w:r>
    </w:p>
    <w:p>
      <w:pPr>
        <w:spacing w:after="0" w:line="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261" w:lineRule="exact"/>
        <w:rPr>
          <w:sz w:val="20"/>
          <w:szCs w:val="20"/>
          <w:color w:val="auto"/>
        </w:rPr>
      </w:pPr>
    </w:p>
    <w:p>
      <w:pPr>
        <w:ind w:left="800" w:right="140"/>
        <w:spacing w:after="0" w:line="260" w:lineRule="auto"/>
        <w:rPr>
          <w:sz w:val="20"/>
          <w:szCs w:val="20"/>
          <w:color w:val="auto"/>
        </w:rPr>
      </w:pPr>
      <w:r>
        <w:rPr>
          <w:rFonts w:ascii="Arial" w:cs="Arial" w:eastAsia="Arial" w:hAnsi="Arial"/>
          <w:sz w:val="16"/>
          <w:szCs w:val="16"/>
          <w:b w:val="1"/>
          <w:bCs w:val="1"/>
          <w:i w:val="1"/>
          <w:i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82"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 action letter regarding the use of our Al model to underwrite and price unsecured closed-end loans. The current no- action letter expires on 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420"/>
          </w:cols>
          <w:pgMar w:left="320" w:top="419" w:right="11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spacing w:after="0" w:line="236" w:lineRule="auto"/>
        <w:rPr>
          <w:sz w:val="20"/>
          <w:szCs w:val="20"/>
          <w:color w:val="auto"/>
        </w:rPr>
      </w:pPr>
      <w:r>
        <w:rPr>
          <w:rFonts w:ascii="Arial" w:cs="Arial" w:eastAsia="Arial" w:hAnsi="Arial"/>
          <w:sz w:val="16"/>
          <w:szCs w:val="16"/>
          <w:color w:val="auto"/>
        </w:rPr>
        <w:t>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79" w:lineRule="exact"/>
        <w:rPr>
          <w:sz w:val="20"/>
          <w:szCs w:val="20"/>
          <w:color w:val="auto"/>
        </w:rPr>
      </w:pPr>
    </w:p>
    <w:p>
      <w:pPr>
        <w:ind w:left="800" w:right="60" w:firstLine="482"/>
        <w:spacing w:after="0" w:line="232" w:lineRule="auto"/>
        <w:rPr>
          <w:sz w:val="20"/>
          <w:szCs w:val="20"/>
          <w:color w:val="auto"/>
        </w:rPr>
      </w:pPr>
      <w:r>
        <w:rPr>
          <w:rFonts w:ascii="Arial" w:cs="Arial" w:eastAsia="Arial" w:hAnsi="Arial"/>
          <w:sz w:val="16"/>
          <w:szCs w:val="16"/>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60" w:lineRule="exact"/>
        <w:rPr>
          <w:sz w:val="20"/>
          <w:szCs w:val="20"/>
          <w:color w:val="auto"/>
        </w:rPr>
      </w:pPr>
    </w:p>
    <w:p>
      <w:pPr>
        <w:ind w:left="800" w:right="40"/>
        <w:spacing w:after="0" w:line="246" w:lineRule="auto"/>
        <w:rPr>
          <w:sz w:val="20"/>
          <w:szCs w:val="20"/>
          <w:color w:val="auto"/>
        </w:rPr>
      </w:pPr>
      <w:r>
        <w:rPr>
          <w:rFonts w:ascii="Arial" w:cs="Arial" w:eastAsia="Arial" w:hAnsi="Arial"/>
          <w:sz w:val="16"/>
          <w:szCs w:val="16"/>
          <w:b w:val="1"/>
          <w:bCs w:val="1"/>
          <w:i w:val="1"/>
          <w:i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2020, we expanded the type of loan products offered on our platform to include auto loans; however,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78"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Further, because such personal loans are unsecured, there is a risk that borrowers will not prioritize repayment of such loans, particularly in any economic downcycle. For example, the economic downcycle resulting from the COVID-19 pandemic may cause borrowers to incur additional debt.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380"/>
          </w:cols>
          <w:pgMar w:left="320" w:top="419" w:right="11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0"/>
        <w:spacing w:after="0" w:line="235" w:lineRule="auto"/>
        <w:rPr>
          <w:sz w:val="20"/>
          <w:szCs w:val="20"/>
          <w:color w:val="auto"/>
        </w:rPr>
      </w:pPr>
      <w:r>
        <w:rPr>
          <w:rFonts w:ascii="Arial" w:cs="Arial" w:eastAsia="Arial" w:hAnsi="Arial"/>
          <w:sz w:val="16"/>
          <w:szCs w:val="16"/>
          <w:color w:val="auto"/>
        </w:rPr>
        <w:t>Upstart-powered loans, which were originated through an online lending platform, as 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58" w:lineRule="exact"/>
        <w:rPr>
          <w:sz w:val="20"/>
          <w:szCs w:val="20"/>
          <w:color w:val="auto"/>
        </w:rPr>
      </w:pPr>
    </w:p>
    <w:p>
      <w:pPr>
        <w:ind w:left="800" w:right="280"/>
        <w:spacing w:after="0" w:line="260" w:lineRule="auto"/>
        <w:rPr>
          <w:sz w:val="20"/>
          <w:szCs w:val="20"/>
          <w:color w:val="auto"/>
        </w:rPr>
      </w:pPr>
      <w:r>
        <w:rPr>
          <w:rFonts w:ascii="Arial" w:cs="Arial" w:eastAsia="Arial" w:hAnsi="Arial"/>
          <w:sz w:val="16"/>
          <w:szCs w:val="16"/>
          <w:b w:val="1"/>
          <w:bCs w:val="1"/>
          <w:i w:val="1"/>
          <w:i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69"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In 2020, we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which may include bank accounts, credit cards, mortgages, student loans, point-of-sale loans and HELOCs.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182" w:lineRule="exact"/>
        <w:rPr>
          <w:sz w:val="20"/>
          <w:szCs w:val="20"/>
          <w:color w:val="auto"/>
        </w:rPr>
      </w:pPr>
    </w:p>
    <w:p>
      <w:pPr>
        <w:ind w:left="800" w:right="20" w:firstLine="482"/>
        <w:spacing w:after="0" w:line="249" w:lineRule="auto"/>
        <w:rPr>
          <w:sz w:val="20"/>
          <w:szCs w:val="20"/>
          <w:color w:val="auto"/>
        </w:rPr>
      </w:pPr>
      <w:r>
        <w:rPr>
          <w:rFonts w:ascii="Arial" w:cs="Arial" w:eastAsia="Arial" w:hAnsi="Arial"/>
          <w:sz w:val="15"/>
          <w:szCs w:val="15"/>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172" w:lineRule="exact"/>
        <w:rPr>
          <w:sz w:val="20"/>
          <w:szCs w:val="20"/>
          <w:color w:val="auto"/>
        </w:rPr>
      </w:pPr>
    </w:p>
    <w:p>
      <w:pPr>
        <w:ind w:left="800" w:right="200" w:firstLine="482"/>
        <w:spacing w:after="0" w:line="236" w:lineRule="auto"/>
        <w:rPr>
          <w:sz w:val="20"/>
          <w:szCs w:val="20"/>
          <w:color w:val="auto"/>
        </w:rPr>
      </w:pPr>
      <w:r>
        <w:rPr>
          <w:rFonts w:ascii="Arial" w:cs="Arial" w:eastAsia="Arial" w:hAnsi="Arial"/>
          <w:sz w:val="16"/>
          <w:szCs w:val="16"/>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55" w:lineRule="exact"/>
        <w:rPr>
          <w:sz w:val="20"/>
          <w:szCs w:val="20"/>
          <w:color w:val="auto"/>
        </w:rPr>
      </w:pPr>
    </w:p>
    <w:p>
      <w:pPr>
        <w:ind w:left="800" w:right="200"/>
        <w:spacing w:after="0" w:line="260" w:lineRule="auto"/>
        <w:rPr>
          <w:sz w:val="20"/>
          <w:szCs w:val="20"/>
          <w:color w:val="auto"/>
        </w:rPr>
      </w:pPr>
      <w:r>
        <w:rPr>
          <w:rFonts w:ascii="Arial" w:cs="Arial" w:eastAsia="Arial" w:hAnsi="Arial"/>
          <w:sz w:val="16"/>
          <w:szCs w:val="16"/>
          <w:b w:val="1"/>
          <w:bCs w:val="1"/>
          <w:i w:val="1"/>
          <w:iCs w:val="1"/>
          <w:color w:val="auto"/>
        </w:rPr>
        <w:t>Our reputation and brand are important to our success, and if we are unable to continue developing our reputation and brand, our ability to retain existing and attract new bank</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440"/>
          </w:cols>
          <w:pgMar w:left="320" w:top="419" w:right="11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80"/>
        <w:spacing w:after="0" w:line="260" w:lineRule="auto"/>
        <w:rPr>
          <w:sz w:val="20"/>
          <w:szCs w:val="20"/>
          <w:color w:val="auto"/>
        </w:rPr>
      </w:pPr>
      <w:r>
        <w:rPr>
          <w:rFonts w:ascii="Arial" w:cs="Arial" w:eastAsia="Arial" w:hAnsi="Arial"/>
          <w:sz w:val="16"/>
          <w:szCs w:val="16"/>
          <w:b w:val="1"/>
          <w:bCs w:val="1"/>
          <w:i w:val="1"/>
          <w:iCs w:val="1"/>
          <w:color w:val="auto"/>
        </w:rPr>
        <w:t>partners, our ability to attract borrowers to our platform and our ability to maintain and improve our relationship with regulators of our industry could be adversely affected.</w:t>
      </w:r>
    </w:p>
    <w:p>
      <w:pPr>
        <w:spacing w:after="0" w:line="6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8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81"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79" w:lineRule="exact"/>
        <w:rPr>
          <w:sz w:val="20"/>
          <w:szCs w:val="20"/>
          <w:color w:val="auto"/>
        </w:rPr>
      </w:pPr>
    </w:p>
    <w:p>
      <w:pPr>
        <w:ind w:left="800" w:right="600" w:firstLine="482"/>
        <w:spacing w:after="0" w:line="238" w:lineRule="auto"/>
        <w:rPr>
          <w:sz w:val="20"/>
          <w:szCs w:val="20"/>
          <w:color w:val="auto"/>
        </w:rPr>
      </w:pPr>
      <w:r>
        <w:rPr>
          <w:rFonts w:ascii="Arial" w:cs="Arial" w:eastAsia="Arial" w:hAnsi="Arial"/>
          <w:sz w:val="16"/>
          <w:szCs w:val="16"/>
          <w:color w:val="auto"/>
        </w:rPr>
        <w:t>Artificial intelligence and related technologies are subject to public debate and heightened regulatory scrutiny. Any negative publicity or negative public perception of artificial intelligence could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440"/>
          </w:cols>
          <w:pgMar w:left="320" w:top="419" w:right="11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4" w:lineRule="auto"/>
        <w:rPr>
          <w:sz w:val="20"/>
          <w:szCs w:val="20"/>
          <w:color w:val="auto"/>
        </w:rPr>
      </w:pPr>
      <w:r>
        <w:rPr>
          <w:rFonts w:ascii="Arial" w:cs="Arial" w:eastAsia="Arial" w:hAnsi="Arial"/>
          <w:sz w:val="16"/>
          <w:szCs w:val="16"/>
          <w:color w:val="auto"/>
        </w:rPr>
        <w:t>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179" w:lineRule="exact"/>
        <w:rPr>
          <w:sz w:val="20"/>
          <w:szCs w:val="20"/>
          <w:color w:val="auto"/>
        </w:rPr>
      </w:pPr>
    </w:p>
    <w:p>
      <w:pPr>
        <w:ind w:left="800" w:firstLine="482"/>
        <w:spacing w:after="0" w:line="231" w:lineRule="auto"/>
        <w:rPr>
          <w:sz w:val="20"/>
          <w:szCs w:val="20"/>
          <w:color w:val="auto"/>
        </w:rPr>
      </w:pPr>
      <w:r>
        <w:rPr>
          <w:rFonts w:ascii="Arial" w:cs="Arial" w:eastAsia="Arial" w:hAnsi="Arial"/>
          <w:sz w:val="16"/>
          <w:szCs w:val="16"/>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 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198" w:lineRule="exact"/>
        <w:rPr>
          <w:sz w:val="20"/>
          <w:szCs w:val="20"/>
          <w:color w:val="auto"/>
        </w:rPr>
      </w:pPr>
    </w:p>
    <w:p>
      <w:pPr>
        <w:ind w:left="800" w:right="120" w:firstLine="482"/>
        <w:spacing w:after="0" w:line="234" w:lineRule="auto"/>
        <w:rPr>
          <w:sz w:val="20"/>
          <w:szCs w:val="20"/>
          <w:color w:val="auto"/>
        </w:rPr>
      </w:pPr>
      <w:r>
        <w:rPr>
          <w:rFonts w:ascii="Arial" w:cs="Arial" w:eastAsia="Arial" w:hAnsi="Arial"/>
          <w:sz w:val="16"/>
          <w:szCs w:val="16"/>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20"/>
          </w:cols>
          <w:pgMar w:left="320" w:top="419" w:right="11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8" w:lineRule="auto"/>
        <w:rPr>
          <w:sz w:val="20"/>
          <w:szCs w:val="20"/>
          <w:color w:val="auto"/>
        </w:rPr>
      </w:pPr>
      <w:r>
        <w:rPr>
          <w:rFonts w:ascii="Arial" w:cs="Arial" w:eastAsia="Arial" w:hAnsi="Arial"/>
          <w:sz w:val="16"/>
          <w:szCs w:val="16"/>
          <w:color w:val="auto"/>
        </w:rPr>
        <w:t>operations generally or as used in our applications more specifically. Any of the foregoing could negatively impact our business, financial condition and results of operations.</w:t>
      </w:r>
    </w:p>
    <w:p>
      <w:pPr>
        <w:spacing w:after="0" w:line="179"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55" w:lineRule="exact"/>
        <w:rPr>
          <w:sz w:val="20"/>
          <w:szCs w:val="20"/>
          <w:color w:val="auto"/>
        </w:rPr>
      </w:pPr>
    </w:p>
    <w:p>
      <w:pPr>
        <w:ind w:left="800" w:right="480"/>
        <w:spacing w:after="0" w:line="260" w:lineRule="auto"/>
        <w:rPr>
          <w:sz w:val="20"/>
          <w:szCs w:val="20"/>
          <w:color w:val="auto"/>
        </w:rPr>
      </w:pPr>
      <w:r>
        <w:rPr>
          <w:rFonts w:ascii="Arial" w:cs="Arial" w:eastAsia="Arial" w:hAnsi="Arial"/>
          <w:sz w:val="16"/>
          <w:szCs w:val="16"/>
          <w:b w:val="1"/>
          <w:bCs w:val="1"/>
          <w:i w:val="1"/>
          <w:iCs w:val="1"/>
          <w:color w:val="auto"/>
        </w:rPr>
        <w:t>If we do not compete effectively in our target markets, our business, results of operations and financial condition could be harmed.</w:t>
      </w:r>
    </w:p>
    <w:p>
      <w:pPr>
        <w:spacing w:after="0" w:line="69" w:lineRule="exact"/>
        <w:rPr>
          <w:sz w:val="20"/>
          <w:szCs w:val="20"/>
          <w:color w:val="auto"/>
        </w:rPr>
      </w:pPr>
    </w:p>
    <w:p>
      <w:pPr>
        <w:jc w:val="both"/>
        <w:ind w:left="800" w:right="120" w:firstLine="482"/>
        <w:spacing w:after="0" w:line="236" w:lineRule="auto"/>
        <w:rPr>
          <w:sz w:val="20"/>
          <w:szCs w:val="20"/>
          <w:color w:val="auto"/>
        </w:rPr>
      </w:pPr>
      <w:r>
        <w:rPr>
          <w:rFonts w:ascii="Arial" w:cs="Arial" w:eastAsia="Arial" w:hAnsi="Arial"/>
          <w:sz w:val="16"/>
          <w:szCs w:val="16"/>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79"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1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440"/>
          </w:cols>
          <w:pgMar w:left="320" w:top="419" w:right="11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4" w:lineRule="auto"/>
        <w:rPr>
          <w:sz w:val="20"/>
          <w:szCs w:val="20"/>
          <w:color w:val="auto"/>
        </w:rPr>
      </w:pPr>
      <w:r>
        <w:rPr>
          <w:rFonts w:ascii="Arial" w:cs="Arial" w:eastAsia="Arial" w:hAnsi="Arial"/>
          <w:sz w:val="16"/>
          <w:szCs w:val="16"/>
          <w:color w:val="auto"/>
        </w:rPr>
        <w:t>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56" w:lineRule="exact"/>
        <w:rPr>
          <w:sz w:val="20"/>
          <w:szCs w:val="20"/>
          <w:color w:val="auto"/>
        </w:rPr>
      </w:pPr>
    </w:p>
    <w:p>
      <w:pPr>
        <w:ind w:left="800" w:right="100"/>
        <w:spacing w:after="0" w:line="260" w:lineRule="auto"/>
        <w:rPr>
          <w:sz w:val="20"/>
          <w:szCs w:val="20"/>
          <w:color w:val="auto"/>
        </w:rPr>
      </w:pPr>
      <w:r>
        <w:rPr>
          <w:rFonts w:ascii="Arial" w:cs="Arial" w:eastAsia="Arial" w:hAnsi="Arial"/>
          <w:sz w:val="16"/>
          <w:szCs w:val="16"/>
          <w:b w:val="1"/>
          <w:bCs w:val="1"/>
          <w:i w:val="1"/>
          <w:iCs w:val="1"/>
          <w:color w:val="auto"/>
        </w:rPr>
        <w:t>If we are unable to manage the risks associated with fraudulent activity, our brand and reputation, business, financial condition and results of operations could be adversely affected.</w:t>
      </w:r>
    </w:p>
    <w:p>
      <w:pPr>
        <w:spacing w:after="0" w:line="69"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75" w:lineRule="exact"/>
        <w:rPr>
          <w:sz w:val="20"/>
          <w:szCs w:val="20"/>
          <w:color w:val="auto"/>
        </w:rPr>
      </w:pPr>
    </w:p>
    <w:p>
      <w:pPr>
        <w:jc w:val="both"/>
        <w:ind w:left="800" w:right="80" w:firstLine="482"/>
        <w:spacing w:after="0" w:line="234" w:lineRule="auto"/>
        <w:rPr>
          <w:sz w:val="20"/>
          <w:szCs w:val="20"/>
          <w:color w:val="auto"/>
        </w:rPr>
      </w:pPr>
      <w:r>
        <w:rPr>
          <w:rFonts w:ascii="Arial" w:cs="Arial" w:eastAsia="Arial" w:hAnsi="Arial"/>
          <w:sz w:val="16"/>
          <w:szCs w:val="16"/>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256" w:lineRule="exact"/>
        <w:rPr>
          <w:sz w:val="20"/>
          <w:szCs w:val="20"/>
          <w:color w:val="auto"/>
        </w:rPr>
      </w:pPr>
    </w:p>
    <w:p>
      <w:pPr>
        <w:ind w:left="800" w:right="140"/>
        <w:spacing w:after="0" w:line="260" w:lineRule="auto"/>
        <w:rPr>
          <w:sz w:val="20"/>
          <w:szCs w:val="20"/>
          <w:color w:val="auto"/>
        </w:rPr>
      </w:pPr>
      <w:r>
        <w:rPr>
          <w:rFonts w:ascii="Arial" w:cs="Arial" w:eastAsia="Arial" w:hAnsi="Arial"/>
          <w:sz w:val="16"/>
          <w:szCs w:val="16"/>
          <w:b w:val="1"/>
          <w:bCs w:val="1"/>
          <w:i w:val="1"/>
          <w:i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69"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440"/>
          </w:cols>
          <w:pgMar w:left="320" w:top="419" w:right="11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Competition for highly skilled personnel, including engineering and data analytics personnel, is extremely intense, particularly in the San Francisco Bay Area where one of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185"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55" w:lineRule="exact"/>
        <w:rPr>
          <w:sz w:val="20"/>
          <w:szCs w:val="20"/>
          <w:color w:val="auto"/>
        </w:rPr>
      </w:pPr>
    </w:p>
    <w:p>
      <w:pPr>
        <w:ind w:left="800" w:right="120"/>
        <w:spacing w:after="0" w:line="260" w:lineRule="auto"/>
        <w:rPr>
          <w:sz w:val="20"/>
          <w:szCs w:val="20"/>
          <w:color w:val="auto"/>
        </w:rPr>
      </w:pPr>
      <w:r>
        <w:rPr>
          <w:rFonts w:ascii="Arial" w:cs="Arial" w:eastAsia="Arial" w:hAnsi="Arial"/>
          <w:sz w:val="16"/>
          <w:szCs w:val="16"/>
          <w:b w:val="1"/>
          <w:bCs w:val="1"/>
          <w:i w:val="1"/>
          <w:iCs w:val="1"/>
          <w:color w:val="auto"/>
        </w:rPr>
        <w:t>Security breaches of borrowers’ confidential information that we store may harm our reputation, adversely affect our results of operations and expose us to liability.</w:t>
      </w:r>
    </w:p>
    <w:p>
      <w:pPr>
        <w:spacing w:after="0" w:line="69"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working environment due to the COVID-19 pandemic could increase the risk of a security breach. Significant disruptions of our, our</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420"/>
          </w:cols>
          <w:pgMar w:left="320" w:top="419" w:right="11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5" w:lineRule="auto"/>
        <w:rPr>
          <w:sz w:val="20"/>
          <w:szCs w:val="20"/>
          <w:color w:val="auto"/>
        </w:rPr>
      </w:pPr>
      <w:r>
        <w:rPr>
          <w:rFonts w:ascii="Arial" w:cs="Arial" w:eastAsia="Arial" w:hAnsi="Arial"/>
          <w:sz w:val="16"/>
          <w:szCs w:val="16"/>
          <w:color w:val="auto"/>
        </w:rPr>
        <w:t>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78"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81" w:lineRule="exact"/>
        <w:rPr>
          <w:sz w:val="20"/>
          <w:szCs w:val="20"/>
          <w:color w:val="auto"/>
        </w:rPr>
      </w:pPr>
    </w:p>
    <w:p>
      <w:pPr>
        <w:ind w:left="800" w:right="160" w:firstLine="482"/>
        <w:spacing w:after="0" w:line="233" w:lineRule="auto"/>
        <w:rPr>
          <w:sz w:val="20"/>
          <w:szCs w:val="20"/>
          <w:color w:val="auto"/>
        </w:rPr>
      </w:pPr>
      <w:r>
        <w:rPr>
          <w:rFonts w:ascii="Arial" w:cs="Arial" w:eastAsia="Arial" w:hAnsi="Arial"/>
          <w:sz w:val="16"/>
          <w:szCs w:val="16"/>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179"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8"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440"/>
          </w:cols>
          <w:pgMar w:left="320" w:top="419" w:right="11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2" w:lineRule="auto"/>
        <w:rPr>
          <w:sz w:val="20"/>
          <w:szCs w:val="20"/>
          <w:color w:val="auto"/>
        </w:rPr>
      </w:pPr>
      <w:r>
        <w:rPr>
          <w:rFonts w:ascii="Arial" w:cs="Arial" w:eastAsia="Arial" w:hAnsi="Arial"/>
          <w:sz w:val="16"/>
          <w:szCs w:val="16"/>
          <w:color w:val="auto"/>
        </w:rPr>
        <w:t>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84"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57" w:lineRule="exact"/>
        <w:rPr>
          <w:sz w:val="20"/>
          <w:szCs w:val="20"/>
          <w:color w:val="auto"/>
        </w:rPr>
      </w:pPr>
    </w:p>
    <w:p>
      <w:pPr>
        <w:ind w:left="800" w:right="160"/>
        <w:spacing w:after="0" w:line="260" w:lineRule="auto"/>
        <w:rPr>
          <w:sz w:val="20"/>
          <w:szCs w:val="20"/>
          <w:color w:val="auto"/>
        </w:rPr>
      </w:pPr>
      <w:r>
        <w:rPr>
          <w:rFonts w:ascii="Arial" w:cs="Arial" w:eastAsia="Arial" w:hAnsi="Arial"/>
          <w:sz w:val="16"/>
          <w:szCs w:val="16"/>
          <w:b w:val="1"/>
          <w:bCs w:val="1"/>
          <w:i w:val="1"/>
          <w:iCs w:val="1"/>
          <w:color w:val="auto"/>
        </w:rPr>
        <w:t>If we are unable to manage the risks related to our loan servicing and collections obligations, our business, financial condition and results of operations could be adversely affected.</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83" w:lineRule="exact"/>
        <w:rPr>
          <w:sz w:val="20"/>
          <w:szCs w:val="20"/>
          <w:color w:val="auto"/>
        </w:rPr>
      </w:pPr>
    </w:p>
    <w:p>
      <w:pPr>
        <w:ind w:left="800" w:right="60" w:firstLine="482"/>
        <w:spacing w:after="0" w:line="258" w:lineRule="auto"/>
        <w:rPr>
          <w:sz w:val="20"/>
          <w:szCs w:val="20"/>
          <w:color w:val="auto"/>
        </w:rPr>
      </w:pPr>
      <w:r>
        <w:rPr>
          <w:rFonts w:ascii="Arial" w:cs="Arial" w:eastAsia="Arial" w:hAnsi="Arial"/>
          <w:sz w:val="15"/>
          <w:szCs w:val="15"/>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75 days past due. We have engaged a third-party auto repossession vendor to handle all repossession activity.</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440"/>
          </w:cols>
          <w:pgMar w:left="320" w:top="419" w:right="11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20"/>
        <w:spacing w:after="0" w:line="251" w:lineRule="auto"/>
        <w:rPr>
          <w:sz w:val="20"/>
          <w:szCs w:val="20"/>
          <w:color w:val="auto"/>
        </w:rPr>
      </w:pPr>
      <w:r>
        <w:rPr>
          <w:rFonts w:ascii="Arial" w:cs="Arial" w:eastAsia="Arial" w:hAnsi="Arial"/>
          <w:sz w:val="15"/>
          <w:szCs w:val="15"/>
          <w:color w:val="auto"/>
        </w:rPr>
        <w:t>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71" w:lineRule="exact"/>
        <w:rPr>
          <w:sz w:val="20"/>
          <w:szCs w:val="20"/>
          <w:color w:val="auto"/>
        </w:rPr>
      </w:pPr>
    </w:p>
    <w:p>
      <w:pPr>
        <w:jc w:val="both"/>
        <w:ind w:left="800" w:right="540" w:firstLine="482"/>
        <w:spacing w:after="0" w:line="235" w:lineRule="auto"/>
        <w:rPr>
          <w:sz w:val="20"/>
          <w:szCs w:val="20"/>
          <w:color w:val="auto"/>
        </w:rPr>
      </w:pPr>
      <w:r>
        <w:rPr>
          <w:rFonts w:ascii="Arial" w:cs="Arial" w:eastAsia="Arial" w:hAnsi="Arial"/>
          <w:sz w:val="16"/>
          <w:szCs w:val="16"/>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178"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primarily rely on three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79" w:lineRule="exact"/>
        <w:rPr>
          <w:sz w:val="20"/>
          <w:szCs w:val="20"/>
          <w:color w:val="auto"/>
        </w:rPr>
      </w:pPr>
    </w:p>
    <w:p>
      <w:pPr>
        <w:jc w:val="both"/>
        <w:ind w:left="800" w:right="100" w:firstLine="482"/>
        <w:spacing w:after="0" w:line="236" w:lineRule="auto"/>
        <w:rPr>
          <w:sz w:val="20"/>
          <w:szCs w:val="20"/>
          <w:color w:val="auto"/>
        </w:rPr>
      </w:pPr>
      <w:r>
        <w:rPr>
          <w:rFonts w:ascii="Arial" w:cs="Arial" w:eastAsia="Arial" w:hAnsi="Arial"/>
          <w:sz w:val="16"/>
          <w:szCs w:val="16"/>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255" w:lineRule="exact"/>
        <w:rPr>
          <w:sz w:val="20"/>
          <w:szCs w:val="20"/>
          <w:color w:val="auto"/>
        </w:rPr>
      </w:pPr>
    </w:p>
    <w:p>
      <w:pPr>
        <w:ind w:left="800" w:right="20"/>
        <w:spacing w:after="0" w:line="260" w:lineRule="auto"/>
        <w:rPr>
          <w:sz w:val="20"/>
          <w:szCs w:val="20"/>
          <w:color w:val="auto"/>
        </w:rPr>
      </w:pPr>
      <w:r>
        <w:rPr>
          <w:rFonts w:ascii="Arial" w:cs="Arial" w:eastAsia="Arial" w:hAnsi="Arial"/>
          <w:sz w:val="16"/>
          <w:szCs w:val="16"/>
          <w:b w:val="1"/>
          <w:bCs w:val="1"/>
          <w:i w:val="1"/>
          <w:iCs w:val="1"/>
          <w:color w:val="auto"/>
        </w:rPr>
        <w:t>We may evaluate and potentially consummate acquisitions, which could require significant management attention, consume our financial resources, disrupt our business and adversely affect our financial results.</w:t>
      </w:r>
    </w:p>
    <w:p>
      <w:pPr>
        <w:spacing w:after="0" w:line="69" w:lineRule="exact"/>
        <w:rPr>
          <w:sz w:val="20"/>
          <w:szCs w:val="20"/>
          <w:color w:val="auto"/>
        </w:rPr>
      </w:pPr>
    </w:p>
    <w:p>
      <w:pPr>
        <w:ind w:left="800" w:right="180" w:firstLine="482"/>
        <w:spacing w:after="0" w:line="236"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complementary businesses and technologies rather than through internal development. The identification of suitable acquisition candidates can be difficult,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440"/>
          </w:cols>
          <w:pgMar w:left="320" w:top="419" w:right="11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8" w:lineRule="auto"/>
        <w:rPr>
          <w:sz w:val="20"/>
          <w:szCs w:val="20"/>
          <w:color w:val="auto"/>
        </w:rPr>
      </w:pPr>
      <w:r>
        <w:rPr>
          <w:rFonts w:ascii="Arial" w:cs="Arial" w:eastAsia="Arial" w:hAnsi="Arial"/>
          <w:sz w:val="16"/>
          <w:szCs w:val="16"/>
          <w:color w:val="auto"/>
        </w:rPr>
        <w:t>time-consuming, and costly, and we may not be able to successfully complete identified acquisitions. The risks we face in connection with acquisitions include:</w:t>
      </w:r>
    </w:p>
    <w:p>
      <w:pPr>
        <w:spacing w:after="0" w:line="96" w:lineRule="exact"/>
        <w:rPr>
          <w:sz w:val="20"/>
          <w:szCs w:val="20"/>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diversion of management time and focus from operating our business to addressing acquisition integration challenges;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utilization of our financial resources for acquisitions or investments that may fail to realize the anticipated benefits;</w:t>
      </w:r>
    </w:p>
    <w:p>
      <w:pPr>
        <w:spacing w:after="0" w:line="99" w:lineRule="exact"/>
        <w:rPr>
          <w:rFonts w:ascii="Arial" w:cs="Arial" w:eastAsia="Arial" w:hAnsi="Arial"/>
          <w:sz w:val="16"/>
          <w:szCs w:val="16"/>
          <w:color w:val="auto"/>
        </w:rPr>
      </w:pPr>
    </w:p>
    <w:p>
      <w:pPr>
        <w:ind w:left="1460" w:right="8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coordination of technology, product development and sales and marketing functions and integration of administrative systems;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transition of the acquired company’s borrowers to our systems;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retention of employees from the acquired company;</w:t>
      </w:r>
    </w:p>
    <w:p>
      <w:pPr>
        <w:spacing w:after="0" w:line="99" w:lineRule="exact"/>
        <w:rPr>
          <w:rFonts w:ascii="Arial" w:cs="Arial" w:eastAsia="Arial" w:hAnsi="Arial"/>
          <w:sz w:val="16"/>
          <w:szCs w:val="16"/>
          <w:color w:val="auto"/>
        </w:rPr>
      </w:pPr>
    </w:p>
    <w:p>
      <w:pPr>
        <w:ind w:left="1460" w:right="20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regulatory risks, including maintaining good standing with existing regulatory bodies or receiving any necessary approvals, as well as being subject to new regulators with oversight over an acquired business;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attracting financing;</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cultural challenges associated with integrating employees from the acquired company into our organization;</w:t>
      </w:r>
    </w:p>
    <w:p>
      <w:pPr>
        <w:spacing w:after="0" w:line="99" w:lineRule="exact"/>
        <w:rPr>
          <w:rFonts w:ascii="Arial" w:cs="Arial" w:eastAsia="Arial" w:hAnsi="Arial"/>
          <w:sz w:val="16"/>
          <w:szCs w:val="16"/>
          <w:color w:val="auto"/>
        </w:rPr>
      </w:pPr>
    </w:p>
    <w:p>
      <w:pPr>
        <w:ind w:left="1460" w:right="14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need to implement or improve controls, procedures and policies at a business that prior to the acquisition may have lacked effective controls, procedures and policies;</w:t>
      </w:r>
    </w:p>
    <w:p>
      <w:pPr>
        <w:spacing w:after="0" w:line="96" w:lineRule="exact"/>
        <w:rPr>
          <w:rFonts w:ascii="Arial" w:cs="Arial" w:eastAsia="Arial" w:hAnsi="Arial"/>
          <w:sz w:val="16"/>
          <w:szCs w:val="16"/>
          <w:color w:val="auto"/>
        </w:rPr>
      </w:pPr>
    </w:p>
    <w:p>
      <w:pPr>
        <w:ind w:left="1460" w:right="12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potential write-offs of loans or intangibles or other assets acquired in such transactions that may have an adverse effect on our results of operations in a given period;</w:t>
      </w:r>
    </w:p>
    <w:p>
      <w:pPr>
        <w:spacing w:after="0" w:line="96" w:lineRule="exact"/>
        <w:rPr>
          <w:rFonts w:ascii="Arial" w:cs="Arial" w:eastAsia="Arial" w:hAnsi="Arial"/>
          <w:sz w:val="16"/>
          <w:szCs w:val="16"/>
          <w:color w:val="auto"/>
        </w:rPr>
      </w:pPr>
    </w:p>
    <w:p>
      <w:pPr>
        <w:ind w:left="1460" w:right="56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96" w:lineRule="exact"/>
        <w:rPr>
          <w:rFonts w:ascii="Arial" w:cs="Arial" w:eastAsia="Arial" w:hAnsi="Arial"/>
          <w:sz w:val="16"/>
          <w:szCs w:val="16"/>
          <w:color w:val="auto"/>
        </w:rPr>
      </w:pPr>
    </w:p>
    <w:p>
      <w:pPr>
        <w:ind w:left="1460" w:right="180" w:hanging="188"/>
        <w:spacing w:after="0" w:line="238"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assumption of contractual obligations that contain terms that are not beneficial to us, require us to license or waive intellectual property or increase our risk for liability; and</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litigation, claims or other liabilities in connection with the acquired company.</w:t>
      </w:r>
    </w:p>
    <w:p>
      <w:pPr>
        <w:spacing w:after="0" w:line="18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Our failure to address these risks or other problems encountered in connection with any acquisitions and investments could cause us to fail to realize the anticipated benefits of these acquisitions or investments, cause us to incur unanticipated liabilities and harm our business generally. Acquisitions could also result in dilutive issuances of our equity securities, the incurrence of debt, contingent liabilities, amortization expenses or the write- off of goodwill, any of which could harm our financial condition.</w:t>
      </w:r>
    </w:p>
    <w:p>
      <w:pPr>
        <w:spacing w:after="0" w:line="255" w:lineRule="exact"/>
        <w:rPr>
          <w:sz w:val="20"/>
          <w:szCs w:val="20"/>
          <w:color w:val="auto"/>
        </w:rPr>
      </w:pPr>
    </w:p>
    <w:p>
      <w:pPr>
        <w:ind w:left="800" w:right="220"/>
        <w:spacing w:after="0" w:line="260" w:lineRule="auto"/>
        <w:rPr>
          <w:sz w:val="20"/>
          <w:szCs w:val="20"/>
          <w:color w:val="auto"/>
        </w:rPr>
      </w:pPr>
      <w:r>
        <w:rPr>
          <w:rFonts w:ascii="Arial" w:cs="Arial" w:eastAsia="Arial" w:hAnsi="Arial"/>
          <w:sz w:val="16"/>
          <w:szCs w:val="16"/>
          <w:b w:val="1"/>
          <w:bCs w:val="1"/>
          <w:i w:val="1"/>
          <w:iCs w:val="1"/>
          <w:color w:val="auto"/>
        </w:rPr>
        <w:t>Borrowers may prepay a loan at any time without penalty, which could reduce our servicing fees and deter our bank partners and investors from investing in loans facilitated by our platform.</w:t>
      </w:r>
    </w:p>
    <w:p>
      <w:pPr>
        <w:spacing w:after="0" w:line="69" w:lineRule="exact"/>
        <w:rPr>
          <w:sz w:val="20"/>
          <w:szCs w:val="20"/>
          <w:color w:val="auto"/>
        </w:rPr>
      </w:pPr>
    </w:p>
    <w:p>
      <w:pPr>
        <w:ind w:left="800" w:right="240" w:firstLine="482"/>
        <w:spacing w:after="0" w:line="235" w:lineRule="auto"/>
        <w:rPr>
          <w:sz w:val="20"/>
          <w:szCs w:val="20"/>
          <w:color w:val="auto"/>
        </w:rPr>
      </w:pPr>
      <w:r>
        <w:rPr>
          <w:rFonts w:ascii="Arial" w:cs="Arial" w:eastAsia="Arial" w:hAnsi="Arial"/>
          <w:sz w:val="16"/>
          <w:szCs w:val="16"/>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380"/>
          </w:cols>
          <w:pgMar w:left="320" w:top="419" w:right="119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5" w:lineRule="auto"/>
        <w:rPr>
          <w:sz w:val="20"/>
          <w:szCs w:val="20"/>
          <w:color w:val="auto"/>
        </w:rPr>
      </w:pPr>
      <w:r>
        <w:rPr>
          <w:rFonts w:ascii="Arial" w:cs="Arial" w:eastAsia="Arial" w:hAnsi="Arial"/>
          <w:sz w:val="16"/>
          <w:szCs w:val="16"/>
          <w:color w:val="auto"/>
        </w:rPr>
        <w:t>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marketing efforts and brand promotion activities may not be effective.</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 branded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83"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Unfavorable outcomes in legal proceedings may harm our business and results of operations.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440"/>
          </w:cols>
          <w:pgMar w:left="320" w:top="419" w:right="11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0"/>
        <w:spacing w:after="0" w:line="238" w:lineRule="auto"/>
        <w:rPr>
          <w:sz w:val="20"/>
          <w:szCs w:val="20"/>
          <w:color w:val="auto"/>
        </w:rPr>
      </w:pPr>
      <w:r>
        <w:rPr>
          <w:rFonts w:ascii="Arial" w:cs="Arial" w:eastAsia="Arial" w:hAnsi="Arial"/>
          <w:sz w:val="16"/>
          <w:szCs w:val="16"/>
          <w:color w:val="auto"/>
        </w:rPr>
        <w:t>subject to litigation, claims, examinations, investigations, legal and administrative cases and proceedings related to the offer and sale of Upstart-powered loans.</w:t>
      </w:r>
    </w:p>
    <w:p>
      <w:pPr>
        <w:spacing w:after="0" w:line="1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 —“We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56" w:lineRule="exact"/>
        <w:rPr>
          <w:sz w:val="20"/>
          <w:szCs w:val="20"/>
          <w:color w:val="auto"/>
        </w:rPr>
      </w:pPr>
    </w:p>
    <w:p>
      <w:pPr>
        <w:ind w:left="800" w:right="640"/>
        <w:spacing w:after="0" w:line="260" w:lineRule="auto"/>
        <w:rPr>
          <w:sz w:val="20"/>
          <w:szCs w:val="20"/>
          <w:color w:val="auto"/>
        </w:rPr>
      </w:pPr>
      <w:r>
        <w:rPr>
          <w:rFonts w:ascii="Arial" w:cs="Arial" w:eastAsia="Arial" w:hAnsi="Arial"/>
          <w:sz w:val="16"/>
          <w:szCs w:val="16"/>
          <w:b w:val="1"/>
          <w:bCs w:val="1"/>
          <w:i w:val="1"/>
          <w:iCs w:val="1"/>
          <w:color w:val="auto"/>
        </w:rPr>
        <w:t>Our business is subject to the risks of natural disasters and other catastrophic events, and to interruption by man-made problems.</w:t>
      </w:r>
    </w:p>
    <w:p>
      <w:pPr>
        <w:spacing w:after="0" w:line="69" w:lineRule="exact"/>
        <w:rPr>
          <w:sz w:val="20"/>
          <w:szCs w:val="20"/>
          <w:color w:val="auto"/>
        </w:rPr>
      </w:pPr>
    </w:p>
    <w:p>
      <w:pPr>
        <w:ind w:left="800" w:right="20" w:firstLine="482"/>
        <w:spacing w:after="0" w:line="248" w:lineRule="auto"/>
        <w:rPr>
          <w:sz w:val="20"/>
          <w:szCs w:val="20"/>
          <w:color w:val="auto"/>
        </w:rPr>
      </w:pPr>
      <w:r>
        <w:rPr>
          <w:rFonts w:ascii="Arial" w:cs="Arial" w:eastAsia="Arial" w:hAnsi="Arial"/>
          <w:sz w:val="15"/>
          <w:szCs w:val="15"/>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outbreak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 employees necessary to conduct our business, or otherwise cause operational failures due to changes in our normal business practices necessitated by the outbreak and related governmental actions. There is no guarantee that we will be as effective while working remotely because our team is dispersed, employees may have less capacity to work due to increased personal obligations (such as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440"/>
          </w:cols>
          <w:pgMar w:left="320" w:top="419" w:right="11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childcare, eldercare, or caring for family members who become sick), may become sick themselves and be unable to work, or may be otherwise negatively affected, mentally or physically, by the COVID-19 pandemic and prolonged social distancing.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179" w:lineRule="exact"/>
        <w:rPr>
          <w:sz w:val="20"/>
          <w:szCs w:val="20"/>
          <w:color w:val="auto"/>
        </w:rPr>
      </w:pPr>
    </w:p>
    <w:p>
      <w:pPr>
        <w:ind w:left="800" w:right="20" w:firstLine="482"/>
        <w:spacing w:after="0" w:line="251" w:lineRule="auto"/>
        <w:rPr>
          <w:sz w:val="20"/>
          <w:szCs w:val="20"/>
          <w:color w:val="auto"/>
        </w:rPr>
      </w:pPr>
      <w:r>
        <w:rPr>
          <w:rFonts w:ascii="Arial" w:cs="Arial" w:eastAsia="Arial" w:hAnsi="Arial"/>
          <w:sz w:val="15"/>
          <w:szCs w:val="15"/>
          <w:color w:val="auto"/>
        </w:rPr>
        <w:t>In addition, acts of war and other armed conflicts, disruptions in global trade, travel restrictions and quarantines, terrorism and other civil, political and geo-political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71" w:lineRule="exact"/>
        <w:rPr>
          <w:sz w:val="20"/>
          <w:szCs w:val="20"/>
          <w:color w:val="auto"/>
        </w:rPr>
      </w:pPr>
    </w:p>
    <w:p>
      <w:pPr>
        <w:jc w:val="both"/>
        <w:ind w:left="800" w:right="380" w:firstLine="482"/>
        <w:spacing w:after="0" w:line="269" w:lineRule="auto"/>
        <w:rPr>
          <w:sz w:val="20"/>
          <w:szCs w:val="20"/>
          <w:color w:val="auto"/>
        </w:rPr>
      </w:pPr>
      <w:r>
        <w:rPr>
          <w:rFonts w:ascii="Arial" w:cs="Arial" w:eastAsia="Arial" w:hAnsi="Arial"/>
          <w:sz w:val="15"/>
          <w:szCs w:val="15"/>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34" w:lineRule="exact"/>
        <w:rPr>
          <w:sz w:val="20"/>
          <w:szCs w:val="20"/>
          <w:color w:val="auto"/>
        </w:rPr>
      </w:pPr>
    </w:p>
    <w:p>
      <w:pPr>
        <w:ind w:left="800" w:right="40"/>
        <w:spacing w:after="0" w:line="26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85"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440"/>
          </w:cols>
          <w:pgMar w:left="320" w:top="419" w:right="11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580"/>
        <w:spacing w:after="0" w:line="260" w:lineRule="auto"/>
        <w:rPr>
          <w:sz w:val="20"/>
          <w:szCs w:val="20"/>
          <w:color w:val="auto"/>
        </w:rPr>
      </w:pPr>
      <w:r>
        <w:rPr>
          <w:rFonts w:ascii="Arial" w:cs="Arial" w:eastAsia="Arial" w:hAnsi="Arial"/>
          <w:sz w:val="16"/>
          <w:szCs w:val="16"/>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178" w:lineRule="exact"/>
        <w:rPr>
          <w:sz w:val="20"/>
          <w:szCs w:val="20"/>
          <w:color w:val="auto"/>
        </w:rPr>
      </w:pPr>
    </w:p>
    <w:p>
      <w:pPr>
        <w:ind w:left="800" w:right="220" w:firstLine="482"/>
        <w:spacing w:after="0" w:line="232"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420"/>
          </w:cols>
          <w:pgMar w:left="320" w:top="419" w:right="11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2" w:lineRule="auto"/>
        <w:rPr>
          <w:sz w:val="20"/>
          <w:szCs w:val="20"/>
          <w:color w:val="auto"/>
        </w:rPr>
      </w:pPr>
      <w:r>
        <w:rPr>
          <w:rFonts w:ascii="Arial" w:cs="Arial" w:eastAsia="Arial" w:hAnsi="Arial"/>
          <w:sz w:val="16"/>
          <w:szCs w:val="16"/>
          <w:color w:val="auto"/>
        </w:rPr>
        <w:t>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81"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 We expect to lose our “emerging growth company” status upon the filing of the Form 10-K for the year ending December 31, 2021.</w:t>
      </w:r>
    </w:p>
    <w:p>
      <w:pPr>
        <w:spacing w:after="0" w:line="257" w:lineRule="exact"/>
        <w:rPr>
          <w:sz w:val="20"/>
          <w:szCs w:val="20"/>
          <w:color w:val="auto"/>
        </w:rPr>
      </w:pPr>
    </w:p>
    <w:p>
      <w:pPr>
        <w:ind w:left="800" w:right="420"/>
        <w:spacing w:after="0" w:line="260" w:lineRule="auto"/>
        <w:rPr>
          <w:sz w:val="20"/>
          <w:szCs w:val="20"/>
          <w:color w:val="auto"/>
        </w:rPr>
      </w:pPr>
      <w:r>
        <w:rPr>
          <w:rFonts w:ascii="Arial" w:cs="Arial" w:eastAsia="Arial" w:hAnsi="Arial"/>
          <w:sz w:val="16"/>
          <w:szCs w:val="16"/>
          <w:b w:val="1"/>
          <w:bCs w:val="1"/>
          <w:i w:val="1"/>
          <w:iCs w:val="1"/>
          <w:color w:val="auto"/>
        </w:rPr>
        <w:t>Some of our market opportunity estimates, growth forecasts and key metrics included in this prospectus could prove to be inaccurate, and any real or perceived inaccuracies may harm our reputation and negatively affect our business.</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The estimates and forecasts in this prospectus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The variables that go into the calculation of our market opportunity are subject to change over time, and there is no guarantee that any particular number or percentage of the loans covered by our market opportunity estimates will generate any particular level of revenues for us. Even if the markets in which we compete meet the size estimates and growth forecasted in this prospectus,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440"/>
          </w:cols>
          <w:pgMar w:left="320" w:top="419" w:right="11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0"/>
        <w:spacing w:after="0" w:line="236" w:lineRule="auto"/>
        <w:rPr>
          <w:sz w:val="20"/>
          <w:szCs w:val="20"/>
          <w:color w:val="auto"/>
        </w:rPr>
      </w:pPr>
      <w:r>
        <w:rPr>
          <w:rFonts w:ascii="Arial" w:cs="Arial" w:eastAsia="Arial" w:hAnsi="Arial"/>
          <w:sz w:val="16"/>
          <w:szCs w:val="16"/>
          <w:color w:val="auto"/>
        </w:rPr>
        <w:t>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55" w:lineRule="exact"/>
        <w:rPr>
          <w:sz w:val="20"/>
          <w:szCs w:val="20"/>
          <w:color w:val="auto"/>
        </w:rPr>
      </w:pPr>
    </w:p>
    <w:p>
      <w:pPr>
        <w:ind w:left="800" w:right="160"/>
        <w:spacing w:after="0" w:line="260" w:lineRule="auto"/>
        <w:rPr>
          <w:sz w:val="20"/>
          <w:szCs w:val="20"/>
          <w:color w:val="auto"/>
        </w:rPr>
      </w:pPr>
      <w:r>
        <w:rPr>
          <w:rFonts w:ascii="Arial" w:cs="Arial" w:eastAsia="Arial" w:hAnsi="Arial"/>
          <w:sz w:val="16"/>
          <w:szCs w:val="16"/>
          <w:b w:val="1"/>
          <w:bCs w:val="1"/>
          <w:i w:val="1"/>
          <w:iCs w:val="1"/>
          <w:color w:val="auto"/>
        </w:rPr>
        <w:t>Some of our estimates, including our key metrics in this prospectus, are subject to inherent challenges in measurement, and any real or perceived inaccuracies may harm our reputation and negatively affect our business.</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Certain estimates and growth forecasts included in this prospectus, including those we have generated ourselves, are subject to significant uncertainty and are based on assumptions and estimates that may not prove to be accurate. The estimates and forecasts in this prospectus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prospectus,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300"/>
          </w:cols>
          <w:pgMar w:left="320" w:top="419" w:right="12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RISKS RELATED TO OUR INTELLECTUAL PROPERTY AND PLATFORM DEVELOPMENT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It may be difficult and costly to protect our intellectual property rights, and we may not be able to ensure their protection.</w:t>
      </w:r>
    </w:p>
    <w:p>
      <w:pPr>
        <w:spacing w:after="0" w:line="106"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75"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81" w:lineRule="exact"/>
        <w:rPr>
          <w:sz w:val="20"/>
          <w:szCs w:val="20"/>
          <w:color w:val="auto"/>
        </w:rPr>
      </w:pPr>
    </w:p>
    <w:p>
      <w:pPr>
        <w:ind w:left="800" w:right="120" w:firstLine="482"/>
        <w:spacing w:after="0" w:line="254" w:lineRule="auto"/>
        <w:rPr>
          <w:sz w:val="20"/>
          <w:szCs w:val="20"/>
          <w:color w:val="auto"/>
        </w:rPr>
      </w:pPr>
      <w:r>
        <w:rPr>
          <w:rFonts w:ascii="Arial" w:cs="Arial" w:eastAsia="Arial" w:hAnsi="Arial"/>
          <w:sz w:val="15"/>
          <w:szCs w:val="15"/>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45" w:lineRule="exact"/>
        <w:rPr>
          <w:sz w:val="20"/>
          <w:szCs w:val="20"/>
          <w:color w:val="auto"/>
        </w:rPr>
      </w:pPr>
    </w:p>
    <w:p>
      <w:pPr>
        <w:ind w:left="800" w:right="400"/>
        <w:spacing w:after="0" w:line="260" w:lineRule="auto"/>
        <w:rPr>
          <w:sz w:val="20"/>
          <w:szCs w:val="20"/>
          <w:color w:val="auto"/>
        </w:rPr>
      </w:pPr>
      <w:r>
        <w:rPr>
          <w:rFonts w:ascii="Arial" w:cs="Arial" w:eastAsia="Arial" w:hAnsi="Arial"/>
          <w:sz w:val="16"/>
          <w:szCs w:val="16"/>
          <w:b w:val="1"/>
          <w:bCs w:val="1"/>
          <w:i w:val="1"/>
          <w:i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69" w:lineRule="exact"/>
        <w:rPr>
          <w:sz w:val="20"/>
          <w:szCs w:val="20"/>
          <w:color w:val="auto"/>
        </w:rPr>
      </w:pPr>
    </w:p>
    <w:p>
      <w:pPr>
        <w:ind w:left="800" w:right="200" w:firstLine="482"/>
        <w:spacing w:after="0" w:line="238"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440"/>
          </w:cols>
          <w:pgMar w:left="320" w:top="419" w:right="11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2" w:lineRule="auto"/>
        <w:rPr>
          <w:sz w:val="20"/>
          <w:szCs w:val="20"/>
          <w:color w:val="auto"/>
        </w:rPr>
      </w:pPr>
      <w:r>
        <w:rPr>
          <w:rFonts w:ascii="Arial" w:cs="Arial" w:eastAsia="Arial" w:hAnsi="Arial"/>
          <w:sz w:val="16"/>
          <w:szCs w:val="16"/>
          <w:color w:val="auto"/>
        </w:rPr>
        <w:t>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85"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58" w:lineRule="exact"/>
        <w:rPr>
          <w:sz w:val="20"/>
          <w:szCs w:val="20"/>
          <w:color w:val="auto"/>
        </w:rPr>
      </w:pPr>
    </w:p>
    <w:p>
      <w:pPr>
        <w:ind w:left="800" w:right="160"/>
        <w:spacing w:after="0" w:line="260" w:lineRule="auto"/>
        <w:rPr>
          <w:sz w:val="20"/>
          <w:szCs w:val="20"/>
          <w:color w:val="auto"/>
        </w:rPr>
      </w:pPr>
      <w:r>
        <w:rPr>
          <w:rFonts w:ascii="Arial" w:cs="Arial" w:eastAsia="Arial" w:hAnsi="Arial"/>
          <w:sz w:val="16"/>
          <w:szCs w:val="16"/>
          <w:b w:val="1"/>
          <w:bCs w:val="1"/>
          <w:i w:val="1"/>
          <w:iCs w:val="1"/>
          <w:color w:val="auto"/>
        </w:rPr>
        <w:t>Our platform and internal systems rely on software that is highly technical, and if our software contains undetected errors, our business could be adversely affected.</w:t>
      </w:r>
    </w:p>
    <w:p>
      <w:pPr>
        <w:spacing w:after="0" w:line="69" w:lineRule="exact"/>
        <w:rPr>
          <w:sz w:val="20"/>
          <w:szCs w:val="20"/>
          <w:color w:val="auto"/>
        </w:rPr>
      </w:pPr>
    </w:p>
    <w:p>
      <w:pPr>
        <w:ind w:left="800" w:right="100" w:firstLine="482"/>
        <w:spacing w:after="0" w:line="232"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83"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Some aspects of our business processes include open source software, and any failure to comply with the terms of one or more of these open source licenses could negatively affect our business.</w:t>
      </w:r>
    </w:p>
    <w:p>
      <w:pPr>
        <w:spacing w:after="0" w:line="179" w:lineRule="exact"/>
        <w:rPr>
          <w:sz w:val="20"/>
          <w:szCs w:val="20"/>
          <w:color w:val="auto"/>
        </w:rPr>
      </w:pPr>
    </w:p>
    <w:p>
      <w:pPr>
        <w:jc w:val="both"/>
        <w:ind w:left="800" w:right="180" w:firstLine="482"/>
        <w:spacing w:after="0" w:line="235" w:lineRule="auto"/>
        <w:rPr>
          <w:sz w:val="20"/>
          <w:szCs w:val="20"/>
          <w:color w:val="auto"/>
        </w:rPr>
      </w:pPr>
      <w:r>
        <w:rPr>
          <w:rFonts w:ascii="Arial" w:cs="Arial" w:eastAsia="Arial" w:hAnsi="Arial"/>
          <w:sz w:val="16"/>
          <w:szCs w:val="16"/>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440"/>
          </w:cols>
          <w:pgMar w:left="320" w:top="419" w:right="11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Some open source licenses contain requirements that we make source code available at no cost for modifications or derivative works we create based upon the type of open source software we use.</w:t>
      </w:r>
    </w:p>
    <w:p>
      <w:pPr>
        <w:spacing w:after="0" w:line="179"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181"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320"/>
          </w:cols>
          <w:pgMar w:left="320" w:top="419" w:right="1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85" w:lineRule="exact"/>
        <w:rPr>
          <w:sz w:val="20"/>
          <w:szCs w:val="20"/>
          <w:color w:val="auto"/>
        </w:rPr>
      </w:pPr>
    </w:p>
    <w:p>
      <w:pPr>
        <w:ind w:left="800" w:right="40"/>
        <w:spacing w:after="0" w:line="246" w:lineRule="auto"/>
        <w:rPr>
          <w:sz w:val="20"/>
          <w:szCs w:val="20"/>
          <w:color w:val="auto"/>
        </w:rPr>
      </w:pPr>
      <w:r>
        <w:rPr>
          <w:rFonts w:ascii="Arial" w:cs="Arial" w:eastAsia="Arial" w:hAnsi="Arial"/>
          <w:sz w:val="16"/>
          <w:szCs w:val="16"/>
          <w:b w:val="1"/>
          <w:bCs w:val="1"/>
          <w:i w:val="1"/>
          <w:i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A significant number of consumers that apply for a loan on Upstart.com learn about and access Upstart.com through the website of a loan aggregator, typically with a hyperlink from such loan aggregator’s website to a landing page on our website. For example, for the year ended December 31, 2019 and 2020, 38% and 52%, respectively,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Upstart currently does not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 If traffic from Credit Karma decreases again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182" w:lineRule="exact"/>
        <w:rPr>
          <w:sz w:val="20"/>
          <w:szCs w:val="20"/>
          <w:color w:val="auto"/>
        </w:rPr>
      </w:pPr>
    </w:p>
    <w:p>
      <w:pPr>
        <w:jc w:val="both"/>
        <w:ind w:left="800" w:firstLine="482"/>
        <w:spacing w:after="0" w:line="246" w:lineRule="auto"/>
        <w:rPr>
          <w:sz w:val="20"/>
          <w:szCs w:val="20"/>
          <w:color w:val="auto"/>
        </w:rPr>
      </w:pPr>
      <w:r>
        <w:rPr>
          <w:rFonts w:ascii="Arial" w:cs="Arial" w:eastAsia="Arial" w:hAnsi="Arial"/>
          <w:sz w:val="15"/>
          <w:szCs w:val="15"/>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w:t>
      </w:r>
    </w:p>
    <w:p>
      <w:pPr>
        <w:spacing w:after="0" w:line="2" w:lineRule="exact"/>
        <w:rPr>
          <w:sz w:val="20"/>
          <w:szCs w:val="20"/>
          <w:color w:val="auto"/>
        </w:rPr>
      </w:pPr>
    </w:p>
    <w:p>
      <w:pPr>
        <w:ind w:left="800" w:right="20"/>
        <w:spacing w:after="0" w:line="235" w:lineRule="auto"/>
        <w:rPr>
          <w:sz w:val="20"/>
          <w:szCs w:val="20"/>
          <w:color w:val="auto"/>
        </w:rPr>
      </w:pPr>
      <w:r>
        <w:rPr>
          <w:rFonts w:ascii="Arial" w:cs="Arial" w:eastAsia="Arial" w:hAnsi="Arial"/>
          <w:sz w:val="16"/>
          <w:szCs w:val="16"/>
          <w:color w:val="auto"/>
        </w:rPr>
        <w:t>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178" w:lineRule="exact"/>
        <w:rPr>
          <w:sz w:val="20"/>
          <w:szCs w:val="20"/>
          <w:color w:val="auto"/>
        </w:rPr>
      </w:pPr>
    </w:p>
    <w:p>
      <w:pPr>
        <w:ind w:left="800" w:right="120" w:firstLine="482"/>
        <w:spacing w:after="0" w:line="235" w:lineRule="auto"/>
        <w:rPr>
          <w:sz w:val="20"/>
          <w:szCs w:val="20"/>
          <w:color w:val="auto"/>
        </w:rPr>
      </w:pPr>
      <w:r>
        <w:rPr>
          <w:rFonts w:ascii="Arial" w:cs="Arial" w:eastAsia="Arial" w:hAnsi="Arial"/>
          <w:sz w:val="16"/>
          <w:szCs w:val="16"/>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78" w:lineRule="exact"/>
        <w:rPr>
          <w:sz w:val="20"/>
          <w:szCs w:val="20"/>
          <w:color w:val="auto"/>
        </w:rPr>
      </w:pPr>
    </w:p>
    <w:p>
      <w:pPr>
        <w:ind w:left="800" w:right="60" w:firstLine="482"/>
        <w:spacing w:after="0" w:line="234"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440"/>
          </w:cols>
          <w:pgMar w:left="320" w:top="419" w:right="11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4" w:lineRule="auto"/>
        <w:rPr>
          <w:sz w:val="20"/>
          <w:szCs w:val="20"/>
          <w:color w:val="auto"/>
        </w:rPr>
      </w:pPr>
      <w:r>
        <w:rPr>
          <w:rFonts w:ascii="Arial" w:cs="Arial" w:eastAsia="Arial" w:hAnsi="Arial"/>
          <w:sz w:val="16"/>
          <w:szCs w:val="16"/>
          <w:color w:val="auto"/>
        </w:rPr>
        <w:t>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56" w:lineRule="exact"/>
        <w:rPr>
          <w:sz w:val="20"/>
          <w:szCs w:val="20"/>
          <w:color w:val="auto"/>
        </w:rPr>
      </w:pPr>
    </w:p>
    <w:p>
      <w:pPr>
        <w:ind w:left="800" w:right="160"/>
        <w:spacing w:after="0" w:line="260" w:lineRule="auto"/>
        <w:rPr>
          <w:sz w:val="20"/>
          <w:szCs w:val="20"/>
          <w:color w:val="auto"/>
        </w:rPr>
      </w:pPr>
      <w:r>
        <w:rPr>
          <w:rFonts w:ascii="Arial" w:cs="Arial" w:eastAsia="Arial" w:hAnsi="Arial"/>
          <w:sz w:val="16"/>
          <w:szCs w:val="16"/>
          <w:b w:val="1"/>
          <w:bCs w:val="1"/>
          <w:i w:val="1"/>
          <w:i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6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84"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17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In addition, if third party data used to train and improve our AI models is inaccurate, or access to such third-party data is limited or becomes unavailable to us, our ability to continue to improve our AI</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400"/>
          </w:cols>
          <w:pgMar w:left="320" w:top="419" w:right="117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5" w:lineRule="auto"/>
        <w:rPr>
          <w:sz w:val="20"/>
          <w:szCs w:val="20"/>
          <w:color w:val="auto"/>
        </w:rPr>
      </w:pPr>
      <w:r>
        <w:rPr>
          <w:rFonts w:ascii="Arial" w:cs="Arial" w:eastAsia="Arial" w:hAnsi="Arial"/>
          <w:sz w:val="16"/>
          <w:szCs w:val="16"/>
          <w:color w:val="auto"/>
        </w:rPr>
        <w:t>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55" w:lineRule="exact"/>
        <w:rPr>
          <w:sz w:val="20"/>
          <w:szCs w:val="20"/>
          <w:color w:val="auto"/>
        </w:rPr>
      </w:pPr>
    </w:p>
    <w:p>
      <w:pPr>
        <w:ind w:left="800" w:right="200"/>
        <w:spacing w:after="0" w:line="260" w:lineRule="auto"/>
        <w:rPr>
          <w:sz w:val="20"/>
          <w:szCs w:val="20"/>
          <w:color w:val="auto"/>
        </w:rPr>
      </w:pPr>
      <w:r>
        <w:rPr>
          <w:rFonts w:ascii="Arial" w:cs="Arial" w:eastAsia="Arial" w:hAnsi="Arial"/>
          <w:sz w:val="16"/>
          <w:szCs w:val="16"/>
          <w:b w:val="1"/>
          <w:bCs w:val="1"/>
          <w:i w:val="1"/>
          <w:i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69"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8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61" w:lineRule="exact"/>
        <w:rPr>
          <w:sz w:val="20"/>
          <w:szCs w:val="20"/>
          <w:color w:val="auto"/>
        </w:rPr>
      </w:pPr>
    </w:p>
    <w:p>
      <w:pPr>
        <w:ind w:left="800" w:right="960"/>
        <w:spacing w:after="0" w:line="260" w:lineRule="auto"/>
        <w:rPr>
          <w:sz w:val="20"/>
          <w:szCs w:val="20"/>
          <w:color w:val="auto"/>
        </w:rPr>
      </w:pPr>
      <w:r>
        <w:rPr>
          <w:rFonts w:ascii="Arial" w:cs="Arial" w:eastAsia="Arial" w:hAnsi="Arial"/>
          <w:sz w:val="16"/>
          <w:szCs w:val="16"/>
          <w:b w:val="1"/>
          <w:bCs w:val="1"/>
          <w:i w:val="1"/>
          <w:iCs w:val="1"/>
          <w:color w:val="auto"/>
        </w:rPr>
        <w:t>Failure by our third-party vendors or our failure to comply with legal or regulatory requirements or other contractual requirements could have an adverse effect on our business.</w:t>
      </w:r>
    </w:p>
    <w:p>
      <w:pPr>
        <w:spacing w:after="0" w:line="69" w:lineRule="exact"/>
        <w:rPr>
          <w:sz w:val="20"/>
          <w:szCs w:val="20"/>
          <w:color w:val="auto"/>
        </w:rPr>
      </w:pPr>
    </w:p>
    <w:p>
      <w:pPr>
        <w:ind w:left="800" w:right="80" w:firstLine="482"/>
        <w:spacing w:after="0" w:line="258" w:lineRule="auto"/>
        <w:rPr>
          <w:sz w:val="20"/>
          <w:szCs w:val="20"/>
          <w:color w:val="auto"/>
        </w:rPr>
      </w:pPr>
      <w:r>
        <w:rPr>
          <w:rFonts w:ascii="Arial" w:cs="Arial" w:eastAsia="Arial" w:hAnsi="Arial"/>
          <w:sz w:val="15"/>
          <w:szCs w:val="15"/>
          <w:color w:val="auto"/>
        </w:rPr>
        <w:t>We have significant vendors that provide us with a number of services to support our platform. If any third- 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440"/>
          </w:cols>
          <w:pgMar w:left="320" w:top="419" w:right="11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80"/>
        <w:spacing w:after="0" w:line="238" w:lineRule="auto"/>
        <w:rPr>
          <w:sz w:val="20"/>
          <w:szCs w:val="20"/>
          <w:color w:val="auto"/>
        </w:rPr>
      </w:pPr>
      <w:r>
        <w:rPr>
          <w:rFonts w:ascii="Arial" w:cs="Arial" w:eastAsia="Arial" w:hAnsi="Arial"/>
          <w:sz w:val="16"/>
          <w:szCs w:val="16"/>
          <w:color w:val="auto"/>
        </w:rPr>
        <w:t>and reputational harm that could harm our business. Further, we may incur significant costs to resolve any such disruptions in service or failure to provide contracted services, which could adversely affect our business.</w:t>
      </w:r>
    </w:p>
    <w:p>
      <w:pPr>
        <w:spacing w:after="0" w:line="179" w:lineRule="exact"/>
        <w:rPr>
          <w:sz w:val="20"/>
          <w:szCs w:val="20"/>
          <w:color w:val="auto"/>
        </w:rPr>
      </w:pPr>
    </w:p>
    <w:p>
      <w:pPr>
        <w:ind w:left="800" w:right="140" w:firstLine="482"/>
        <w:spacing w:after="0" w:line="234" w:lineRule="auto"/>
        <w:rPr>
          <w:sz w:val="20"/>
          <w:szCs w:val="20"/>
          <w:color w:val="auto"/>
        </w:rPr>
      </w:pPr>
      <w:r>
        <w:rPr>
          <w:rFonts w:ascii="Arial" w:cs="Arial" w:eastAsia="Arial" w:hAnsi="Arial"/>
          <w:sz w:val="16"/>
          <w:szCs w:val="16"/>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 party vendors is subject to increasing regulatory attention.</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 -party vendors. Moreover, if regulators conclude that we or our bank partners have not met the heightened standards for oversight of our third- 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258" w:lineRule="exact"/>
        <w:rPr>
          <w:sz w:val="20"/>
          <w:szCs w:val="20"/>
          <w:color w:val="auto"/>
        </w:rPr>
      </w:pPr>
    </w:p>
    <w:p>
      <w:pPr>
        <w:ind w:left="800" w:right="60"/>
        <w:spacing w:after="0" w:line="241" w:lineRule="auto"/>
        <w:rPr>
          <w:sz w:val="20"/>
          <w:szCs w:val="20"/>
          <w:color w:val="auto"/>
        </w:rPr>
      </w:pPr>
      <w:r>
        <w:rPr>
          <w:rFonts w:ascii="Arial" w:cs="Arial" w:eastAsia="Arial" w:hAnsi="Arial"/>
          <w:sz w:val="16"/>
          <w:szCs w:val="16"/>
          <w:b w:val="1"/>
          <w:bCs w:val="1"/>
          <w:i w:val="1"/>
          <w:i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p>
    <w:p>
      <w:pPr>
        <w:spacing w:after="0" w:line="83"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annual percentage rates of the loans facilitated through our platform typically range from approximately 6.5% to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8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440"/>
          </w:cols>
          <w:pgMar w:left="320" w:top="419" w:right="11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provided at origination because while such disclosures are not required of banks they may be required of non-bank lenders.</w:t>
      </w:r>
    </w:p>
    <w:p>
      <w:pPr>
        <w:spacing w:after="0" w:line="18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8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185"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addition, in June 2019 private plaintiffs filed class action complaints against multiple traditional credit card securitization programs, including, Petersen, et al. v. Chase Card Funding, LLC, et al., (No. 1:19-cv-00741- 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440"/>
          </w:cols>
          <w:pgMar w:left="320" w:top="419" w:right="11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3" w:lineRule="auto"/>
        <w:rPr>
          <w:sz w:val="20"/>
          <w:szCs w:val="20"/>
          <w:color w:val="auto"/>
        </w:rPr>
      </w:pPr>
      <w:r>
        <w:rPr>
          <w:rFonts w:ascii="Arial" w:cs="Arial" w:eastAsia="Arial" w:hAnsi="Arial"/>
          <w:sz w:val="16"/>
          <w:szCs w:val="16"/>
          <w:color w:val="auto"/>
        </w:rPr>
        <w:t>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79" w:lineRule="exact"/>
        <w:rPr>
          <w:sz w:val="20"/>
          <w:szCs w:val="20"/>
          <w:color w:val="auto"/>
        </w:rPr>
      </w:pPr>
    </w:p>
    <w:p>
      <w:pPr>
        <w:ind w:left="800" w:right="20" w:firstLine="482"/>
        <w:spacing w:after="0" w:line="249" w:lineRule="auto"/>
        <w:rPr>
          <w:sz w:val="20"/>
          <w:szCs w:val="20"/>
          <w:color w:val="auto"/>
        </w:rPr>
      </w:pPr>
      <w:r>
        <w:rPr>
          <w:rFonts w:ascii="Arial" w:cs="Arial" w:eastAsia="Arial" w:hAnsi="Arial"/>
          <w:sz w:val="15"/>
          <w:szCs w:val="15"/>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rule pertaining to the “true lender” issue, which was challenged by state attorneys general in a complaint filed January 5,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174"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2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440"/>
          </w:cols>
          <w:pgMar w:left="320" w:top="419" w:right="11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120"/>
        <w:spacing w:after="0" w:line="241" w:lineRule="auto"/>
        <w:rPr>
          <w:sz w:val="20"/>
          <w:szCs w:val="20"/>
          <w:color w:val="auto"/>
        </w:rPr>
      </w:pPr>
      <w:r>
        <w:rPr>
          <w:rFonts w:ascii="Arial" w:cs="Arial" w:eastAsia="Arial" w:hAnsi="Arial"/>
          <w:sz w:val="16"/>
          <w:szCs w:val="16"/>
          <w:b w:val="1"/>
          <w:bCs w:val="1"/>
          <w:i w:val="1"/>
          <w:i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78"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on January 5, 2021, Attorneys General from seven states – New York, California, Colorado, Massachusetts, Minnesota, New Jersey, and North Carolina—and the District of Columbia filed suit against the OCC in the U.S. District Court for the Southern District of New York, challenging the rule, and the outcome of the litigation is uncertain. In addition, the OCC rule does not apply to state-chartered banks and there can be no assurance that the FDIC will issue a similar rule applicable to state-chartered banks.</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440"/>
          </w:cols>
          <w:pgMar w:left="320" w:top="419" w:right="11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380"/>
          </w:cols>
          <w:pgMar w:left="320" w:top="419" w:right="119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RISKS RELATED TO OUR REGULATORY ENVIRONMENT</w:t>
      </w:r>
    </w:p>
    <w:p>
      <w:pPr>
        <w:spacing w:after="0" w:line="185" w:lineRule="exact"/>
        <w:rPr>
          <w:sz w:val="20"/>
          <w:szCs w:val="20"/>
          <w:color w:val="auto"/>
        </w:rPr>
      </w:pPr>
    </w:p>
    <w:p>
      <w:pPr>
        <w:ind w:left="800" w:right="340"/>
        <w:spacing w:after="0" w:line="260" w:lineRule="auto"/>
        <w:rPr>
          <w:sz w:val="20"/>
          <w:szCs w:val="20"/>
          <w:color w:val="auto"/>
        </w:rPr>
      </w:pPr>
      <w:r>
        <w:rPr>
          <w:rFonts w:ascii="Arial" w:cs="Arial" w:eastAsia="Arial" w:hAnsi="Arial"/>
          <w:sz w:val="16"/>
          <w:szCs w:val="16"/>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6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 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78" w:lineRule="exact"/>
        <w:rPr>
          <w:sz w:val="20"/>
          <w:szCs w:val="20"/>
          <w:color w:val="auto"/>
        </w:rPr>
      </w:pPr>
    </w:p>
    <w:p>
      <w:pPr>
        <w:ind w:left="800" w:firstLine="482"/>
        <w:spacing w:after="0" w:line="248" w:lineRule="auto"/>
        <w:rPr>
          <w:sz w:val="20"/>
          <w:szCs w:val="20"/>
          <w:color w:val="auto"/>
        </w:rPr>
      </w:pPr>
      <w:r>
        <w:rPr>
          <w:rFonts w:ascii="Arial" w:cs="Arial" w:eastAsia="Arial" w:hAnsi="Arial"/>
          <w:sz w:val="15"/>
          <w:szCs w:val="15"/>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79" w:lineRule="exact"/>
        <w:rPr>
          <w:sz w:val="20"/>
          <w:szCs w:val="20"/>
          <w:color w:val="auto"/>
        </w:rPr>
      </w:pPr>
    </w:p>
    <w:p>
      <w:pPr>
        <w:jc w:val="both"/>
        <w:ind w:left="800" w:right="460" w:firstLine="482"/>
        <w:spacing w:after="0" w:line="236" w:lineRule="auto"/>
        <w:rPr>
          <w:sz w:val="20"/>
          <w:szCs w:val="20"/>
          <w:color w:val="auto"/>
        </w:rPr>
      </w:pPr>
      <w:r>
        <w:rPr>
          <w:rFonts w:ascii="Arial" w:cs="Arial" w:eastAsia="Arial" w:hAnsi="Arial"/>
          <w:sz w:val="16"/>
          <w:szCs w:val="16"/>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79" w:lineRule="exact"/>
        <w:rPr>
          <w:sz w:val="20"/>
          <w:szCs w:val="20"/>
          <w:color w:val="auto"/>
        </w:rPr>
      </w:pPr>
    </w:p>
    <w:p>
      <w:pPr>
        <w:ind w:left="800" w:right="260" w:firstLine="482"/>
        <w:spacing w:after="0" w:line="236" w:lineRule="auto"/>
        <w:rPr>
          <w:sz w:val="20"/>
          <w:szCs w:val="20"/>
          <w:color w:val="auto"/>
        </w:rPr>
      </w:pPr>
      <w:r>
        <w:rPr>
          <w:rFonts w:ascii="Arial" w:cs="Arial" w:eastAsia="Arial" w:hAnsi="Arial"/>
          <w:sz w:val="16"/>
          <w:szCs w:val="16"/>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79"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 See the section titled “Risk Factors—Risks Related to our Intellectual Property and Platform Development.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440"/>
          </w:cols>
          <w:pgMar w:left="320" w:top="419" w:right="11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300"/>
        <w:spacing w:after="0" w:line="260" w:lineRule="auto"/>
        <w:rPr>
          <w:sz w:val="20"/>
          <w:szCs w:val="20"/>
          <w:color w:val="auto"/>
        </w:rPr>
      </w:pPr>
      <w:r>
        <w:rPr>
          <w:rFonts w:ascii="Arial" w:cs="Arial" w:eastAsia="Arial" w:hAnsi="Arial"/>
          <w:sz w:val="16"/>
          <w:szCs w:val="16"/>
          <w:b w:val="1"/>
          <w:bCs w:val="1"/>
          <w:i w:val="1"/>
          <w:iCs w:val="1"/>
          <w:color w:val="auto"/>
        </w:rPr>
        <w:t>We are subject to or facilitate compliance with a variety of federal, state, and local laws, including those related to consumer protection and loan financings.</w:t>
      </w:r>
    </w:p>
    <w:p>
      <w:pPr>
        <w:spacing w:after="0" w:line="69"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While these requirements will not immediately change with the incoming presidential administration, this new administration is expected to bring an increased focus on enforcement of federal consumer protection laws and appoint consumer-oriented regulators at federal agencies such as the CFPB,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partners), impacting our business, operations, and profitability.</w:t>
      </w:r>
    </w:p>
    <w:p>
      <w:pPr>
        <w:spacing w:after="0" w:line="185" w:lineRule="exact"/>
        <w:rPr>
          <w:sz w:val="20"/>
          <w:szCs w:val="20"/>
          <w:color w:val="auto"/>
        </w:rPr>
      </w:pPr>
    </w:p>
    <w:p>
      <w:pPr>
        <w:jc w:val="both"/>
        <w:ind w:left="800" w:right="20" w:firstLine="482"/>
        <w:spacing w:after="0" w:line="236" w:lineRule="auto"/>
        <w:rPr>
          <w:sz w:val="20"/>
          <w:szCs w:val="20"/>
          <w:color w:val="auto"/>
        </w:rPr>
      </w:pPr>
      <w:r>
        <w:rPr>
          <w:rFonts w:ascii="Arial" w:cs="Arial" w:eastAsia="Arial" w:hAnsi="Arial"/>
          <w:sz w:val="16"/>
          <w:szCs w:val="16"/>
          <w:color w:val="auto"/>
        </w:rPr>
        <w:t>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96" w:lineRule="exact"/>
        <w:rPr>
          <w:sz w:val="20"/>
          <w:szCs w:val="20"/>
          <w:color w:val="auto"/>
        </w:rPr>
      </w:pPr>
    </w:p>
    <w:p>
      <w:pPr>
        <w:ind w:left="1460" w:right="20" w:hanging="188"/>
        <w:spacing w:after="0" w:line="234"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96" w:lineRule="exact"/>
        <w:rPr>
          <w:rFonts w:ascii="Arial" w:cs="Arial" w:eastAsia="Arial" w:hAnsi="Arial"/>
          <w:sz w:val="16"/>
          <w:szCs w:val="16"/>
          <w:color w:val="auto"/>
        </w:rPr>
      </w:pPr>
    </w:p>
    <w:p>
      <w:pPr>
        <w:ind w:left="1460" w:right="140" w:hanging="188"/>
        <w:spacing w:after="0" w:line="235"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95" w:lineRule="exact"/>
        <w:rPr>
          <w:rFonts w:ascii="Arial" w:cs="Arial" w:eastAsia="Arial" w:hAnsi="Arial"/>
          <w:sz w:val="16"/>
          <w:szCs w:val="16"/>
          <w:color w:val="auto"/>
        </w:rPr>
      </w:pPr>
    </w:p>
    <w:p>
      <w:pPr>
        <w:ind w:left="1460" w:hanging="188"/>
        <w:spacing w:after="0" w:line="235" w:lineRule="auto"/>
        <w:tabs>
          <w:tab w:leader="none" w:pos="1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5" w:lineRule="exact"/>
        <w:rPr>
          <w:rFonts w:ascii="Arial" w:cs="Arial" w:eastAsia="Arial" w:hAnsi="Arial"/>
          <w:sz w:val="16"/>
          <w:szCs w:val="16"/>
          <w:color w:val="auto"/>
        </w:rPr>
      </w:pPr>
    </w:p>
    <w:p>
      <w:pPr>
        <w:ind w:left="1460" w:right="20" w:hanging="188"/>
        <w:spacing w:after="0" w:line="254" w:lineRule="auto"/>
        <w:tabs>
          <w:tab w:leader="none" w:pos="1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85" w:lineRule="exact"/>
        <w:rPr>
          <w:rFonts w:ascii="Arial" w:cs="Arial" w:eastAsia="Arial" w:hAnsi="Arial"/>
          <w:sz w:val="15"/>
          <w:szCs w:val="15"/>
          <w:color w:val="auto"/>
        </w:rPr>
      </w:pPr>
    </w:p>
    <w:p>
      <w:pPr>
        <w:ind w:left="1460" w:right="40" w:hanging="188"/>
        <w:spacing w:after="0" w:line="258" w:lineRule="auto"/>
        <w:tabs>
          <w:tab w:leader="none" w:pos="1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10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400"/>
          </w:cols>
          <w:pgMar w:left="320" w:top="419" w:right="117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240" w:hanging="188"/>
        <w:spacing w:after="0" w:line="236"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Credit Practices Rule which (i) prohibits lenders from using certain contract provisions that the Federal Trade Commission has found to be unfair to consumers; (ii) requires lenders to advise consumers who co- sign obligations about their potential liability if the primary obligor fails to pay; and (iii) prohibits certain late charges;</w:t>
      </w:r>
    </w:p>
    <w:p>
      <w:pPr>
        <w:spacing w:after="0" w:line="95" w:lineRule="exact"/>
        <w:rPr>
          <w:rFonts w:ascii="Arial" w:cs="Arial" w:eastAsia="Arial" w:hAnsi="Arial"/>
          <w:sz w:val="16"/>
          <w:szCs w:val="16"/>
          <w:color w:val="auto"/>
        </w:rPr>
      </w:pPr>
    </w:p>
    <w:p>
      <w:pPr>
        <w:jc w:val="both"/>
        <w:ind w:left="1460" w:right="120" w:hanging="188"/>
        <w:spacing w:after="0" w:line="236"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Fair Debt Collection Practices Act, Regulation F (including new federal requirements set to take effect November 30, 2021), and similar state debt collection laws, which provide guidelines and limitations on the conduct of third-party debt collectors (and some limitation on creditors collecting their own debts) in connection with the collection of consumer debts;</w:t>
      </w:r>
    </w:p>
    <w:p>
      <w:pPr>
        <w:spacing w:after="0" w:line="95" w:lineRule="exact"/>
        <w:rPr>
          <w:rFonts w:ascii="Arial" w:cs="Arial" w:eastAsia="Arial" w:hAnsi="Arial"/>
          <w:sz w:val="16"/>
          <w:szCs w:val="16"/>
          <w:color w:val="auto"/>
        </w:rPr>
      </w:pPr>
    </w:p>
    <w:p>
      <w:pPr>
        <w:ind w:left="1460" w:right="20" w:hanging="188"/>
        <w:spacing w:after="0" w:line="233"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99" w:lineRule="exact"/>
        <w:rPr>
          <w:rFonts w:ascii="Arial" w:cs="Arial" w:eastAsia="Arial" w:hAnsi="Arial"/>
          <w:sz w:val="16"/>
          <w:szCs w:val="16"/>
          <w:color w:val="auto"/>
        </w:rPr>
      </w:pPr>
    </w:p>
    <w:p>
      <w:pPr>
        <w:ind w:left="1460" w:right="360" w:hanging="188"/>
        <w:spacing w:after="0" w:line="238"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96" w:lineRule="exact"/>
        <w:rPr>
          <w:rFonts w:ascii="Arial" w:cs="Arial" w:eastAsia="Arial" w:hAnsi="Arial"/>
          <w:sz w:val="16"/>
          <w:szCs w:val="16"/>
          <w:color w:val="auto"/>
        </w:rPr>
      </w:pPr>
    </w:p>
    <w:p>
      <w:pPr>
        <w:ind w:left="1460" w:hanging="188"/>
        <w:spacing w:after="0" w:line="236"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95" w:lineRule="exact"/>
        <w:rPr>
          <w:rFonts w:ascii="Arial" w:cs="Arial" w:eastAsia="Arial" w:hAnsi="Arial"/>
          <w:sz w:val="16"/>
          <w:szCs w:val="16"/>
          <w:color w:val="auto"/>
        </w:rPr>
      </w:pPr>
    </w:p>
    <w:p>
      <w:pPr>
        <w:ind w:left="1460" w:right="300" w:hanging="188"/>
        <w:spacing w:after="0" w:line="234"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96" w:lineRule="exact"/>
        <w:rPr>
          <w:rFonts w:ascii="Arial" w:cs="Arial" w:eastAsia="Arial" w:hAnsi="Arial"/>
          <w:sz w:val="16"/>
          <w:szCs w:val="16"/>
          <w:color w:val="auto"/>
        </w:rPr>
      </w:pPr>
    </w:p>
    <w:p>
      <w:pPr>
        <w:ind w:left="1460" w:right="60" w:hanging="188"/>
        <w:spacing w:after="0" w:line="235"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95" w:lineRule="exact"/>
        <w:rPr>
          <w:rFonts w:ascii="Arial" w:cs="Arial" w:eastAsia="Arial" w:hAnsi="Arial"/>
          <w:sz w:val="16"/>
          <w:szCs w:val="16"/>
          <w:color w:val="auto"/>
        </w:rPr>
      </w:pPr>
    </w:p>
    <w:p>
      <w:pPr>
        <w:ind w:left="1460" w:right="40" w:hanging="188"/>
        <w:spacing w:after="0" w:line="235"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95" w:lineRule="exact"/>
        <w:rPr>
          <w:rFonts w:ascii="Arial" w:cs="Arial" w:eastAsia="Arial" w:hAnsi="Arial"/>
          <w:sz w:val="16"/>
          <w:szCs w:val="16"/>
          <w:color w:val="auto"/>
        </w:rPr>
      </w:pPr>
    </w:p>
    <w:p>
      <w:pPr>
        <w:ind w:left="1460" w:right="180" w:hanging="188"/>
        <w:spacing w:after="0" w:line="236"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95" w:lineRule="exact"/>
        <w:rPr>
          <w:rFonts w:ascii="Arial" w:cs="Arial" w:eastAsia="Arial" w:hAnsi="Arial"/>
          <w:sz w:val="16"/>
          <w:szCs w:val="16"/>
          <w:color w:val="auto"/>
        </w:rPr>
      </w:pPr>
    </w:p>
    <w:p>
      <w:pPr>
        <w:ind w:left="1460" w:right="240" w:hanging="188"/>
        <w:spacing w:after="0" w:line="235"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440"/>
          </w:cols>
          <w:pgMar w:left="320" w:top="419" w:right="11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40" w:hanging="188"/>
        <w:spacing w:after="0" w:line="238" w:lineRule="auto"/>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 to Financial Privacy Act and similar state laws enacted to provide the financial records of financial institution customers a reasonable amount of privacy from government scrutiny;</w:t>
      </w:r>
    </w:p>
    <w:p>
      <w:pPr>
        <w:spacing w:after="0" w:line="96" w:lineRule="exact"/>
        <w:rPr>
          <w:rFonts w:ascii="Arial" w:cs="Arial" w:eastAsia="Arial" w:hAnsi="Arial"/>
          <w:sz w:val="16"/>
          <w:szCs w:val="16"/>
          <w:color w:val="auto"/>
        </w:rPr>
      </w:pPr>
    </w:p>
    <w:p>
      <w:pPr>
        <w:ind w:left="1460" w:hanging="188"/>
        <w:spacing w:after="0" w:line="238" w:lineRule="auto"/>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Bank Secrecy Act and the USA PATRIOT Act, which relate to compliance with anti-money laundering, borrower due diligence and record-keeping policies and procedures;</w:t>
      </w:r>
    </w:p>
    <w:p>
      <w:pPr>
        <w:spacing w:after="0" w:line="96" w:lineRule="exact"/>
        <w:rPr>
          <w:rFonts w:ascii="Arial" w:cs="Arial" w:eastAsia="Arial" w:hAnsi="Arial"/>
          <w:sz w:val="16"/>
          <w:szCs w:val="16"/>
          <w:color w:val="auto"/>
        </w:rPr>
      </w:pPr>
    </w:p>
    <w:p>
      <w:pPr>
        <w:ind w:left="1460" w:right="480" w:hanging="188"/>
        <w:spacing w:after="0" w:line="258" w:lineRule="auto"/>
        <w:tabs>
          <w:tab w:leader="none" w:pos="1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82" w:lineRule="exact"/>
        <w:rPr>
          <w:rFonts w:ascii="Arial" w:cs="Arial" w:eastAsia="Arial" w:hAnsi="Arial"/>
          <w:sz w:val="15"/>
          <w:szCs w:val="15"/>
          <w:color w:val="auto"/>
        </w:rPr>
      </w:pPr>
    </w:p>
    <w:p>
      <w:pPr>
        <w:ind w:left="1460" w:right="340" w:hanging="188"/>
        <w:spacing w:after="0" w:line="235" w:lineRule="auto"/>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95" w:lineRule="exact"/>
        <w:rPr>
          <w:rFonts w:ascii="Arial" w:cs="Arial" w:eastAsia="Arial" w:hAnsi="Arial"/>
          <w:sz w:val="16"/>
          <w:szCs w:val="16"/>
          <w:color w:val="auto"/>
        </w:rPr>
      </w:pPr>
    </w:p>
    <w:p>
      <w:pPr>
        <w:ind w:left="1460" w:hanging="188"/>
        <w:spacing w:after="0"/>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state-specific and local laws and regulations.</w:t>
      </w:r>
    </w:p>
    <w:p>
      <w:pPr>
        <w:spacing w:after="0" w:line="18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recently enacted legislation to create a “mini-CFPB,” which could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 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81"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0440"/>
          </w:cols>
          <w:pgMar w:left="320" w:top="419" w:right="11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55" w:lineRule="exact"/>
        <w:rPr>
          <w:sz w:val="20"/>
          <w:szCs w:val="20"/>
          <w:color w:val="auto"/>
        </w:rPr>
      </w:pPr>
    </w:p>
    <w:p>
      <w:pPr>
        <w:ind w:left="800" w:right="340"/>
        <w:spacing w:after="0" w:line="260" w:lineRule="auto"/>
        <w:rPr>
          <w:sz w:val="20"/>
          <w:szCs w:val="20"/>
          <w:color w:val="auto"/>
        </w:rPr>
      </w:pPr>
      <w:r>
        <w:rPr>
          <w:rFonts w:ascii="Arial" w:cs="Arial" w:eastAsia="Arial" w:hAnsi="Arial"/>
          <w:sz w:val="16"/>
          <w:szCs w:val="16"/>
          <w:b w:val="1"/>
          <w:bCs w:val="1"/>
          <w:i w:val="1"/>
          <w:iCs w:val="1"/>
          <w:color w:val="auto"/>
        </w:rPr>
        <w:t>Internet-based loan origination processes may give rise to greater risks than paper-based processes and may not always be allowed under state law.</w:t>
      </w:r>
    </w:p>
    <w:p>
      <w:pPr>
        <w:spacing w:after="0" w:line="6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179"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56" w:lineRule="exact"/>
        <w:rPr>
          <w:sz w:val="20"/>
          <w:szCs w:val="20"/>
          <w:color w:val="auto"/>
        </w:rPr>
      </w:pPr>
    </w:p>
    <w:p>
      <w:pPr>
        <w:ind w:left="800" w:right="120"/>
        <w:spacing w:after="0" w:line="260" w:lineRule="auto"/>
        <w:rPr>
          <w:sz w:val="20"/>
          <w:szCs w:val="20"/>
          <w:color w:val="auto"/>
        </w:rPr>
      </w:pPr>
      <w:r>
        <w:rPr>
          <w:rFonts w:ascii="Arial" w:cs="Arial" w:eastAsia="Arial" w:hAnsi="Arial"/>
          <w:sz w:val="16"/>
          <w:szCs w:val="16"/>
          <w:b w:val="1"/>
          <w:bCs w:val="1"/>
          <w:i w:val="1"/>
          <w:iCs w:val="1"/>
          <w:color w:val="auto"/>
        </w:rPr>
        <w:t>If we are found to be operating without having obtained necessary state or local licenses, our business, financial condition and results of operations could be adversely affected.</w:t>
      </w:r>
    </w:p>
    <w:p>
      <w:pPr>
        <w:spacing w:after="0" w:line="69" w:lineRule="exact"/>
        <w:rPr>
          <w:sz w:val="20"/>
          <w:szCs w:val="20"/>
          <w:color w:val="auto"/>
        </w:rPr>
      </w:pPr>
    </w:p>
    <w:p>
      <w:pPr>
        <w:ind w:left="800" w:right="80" w:firstLine="482"/>
        <w:spacing w:after="0" w:line="248" w:lineRule="auto"/>
        <w:rPr>
          <w:sz w:val="20"/>
          <w:szCs w:val="20"/>
          <w:color w:val="auto"/>
        </w:rPr>
      </w:pPr>
      <w:r>
        <w:rPr>
          <w:rFonts w:ascii="Arial" w:cs="Arial" w:eastAsia="Arial" w:hAnsi="Arial"/>
          <w:sz w:val="15"/>
          <w:szCs w:val="15"/>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440"/>
          </w:cols>
          <w:pgMar w:left="320" w:top="419" w:right="11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200"/>
        <w:spacing w:after="0" w:line="294" w:lineRule="auto"/>
        <w:rPr>
          <w:sz w:val="20"/>
          <w:szCs w:val="20"/>
          <w:color w:val="auto"/>
        </w:rPr>
      </w:pPr>
      <w:r>
        <w:rPr>
          <w:rFonts w:ascii="Arial" w:cs="Arial" w:eastAsia="Arial" w:hAnsi="Arial"/>
          <w:sz w:val="15"/>
          <w:szCs w:val="15"/>
          <w:b w:val="1"/>
          <w:bCs w:val="1"/>
          <w:i w:val="1"/>
          <w:iCs w:val="1"/>
          <w:color w:val="auto"/>
        </w:rPr>
        <w:t>The CFPB is a relatively new agency that has sometimes taken expansive views of its authority to regulate consumer financial services, creating uncertainty as to how the agency’s actions or the actions of any other agency could impact our business.</w:t>
      </w:r>
    </w:p>
    <w:p>
      <w:pPr>
        <w:spacing w:after="0" w:line="45" w:lineRule="exact"/>
        <w:rPr>
          <w:sz w:val="20"/>
          <w:szCs w:val="20"/>
          <w:color w:val="auto"/>
        </w:rPr>
      </w:pPr>
    </w:p>
    <w:p>
      <w:pPr>
        <w:ind w:left="800" w:right="80" w:firstLine="482"/>
        <w:spacing w:after="0" w:line="232"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84"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There continues to be uncertainty about the future of the CFPB and as to how its strategies and priorities, including in both its examination and enforcement processes, will impact our business and our results of operations going forward.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74" w:lineRule="exact"/>
        <w:rPr>
          <w:sz w:val="20"/>
          <w:szCs w:val="20"/>
          <w:color w:val="auto"/>
        </w:rPr>
      </w:pPr>
    </w:p>
    <w:p>
      <w:pPr>
        <w:ind w:left="800" w:right="20" w:firstLine="482"/>
        <w:spacing w:after="0" w:line="249" w:lineRule="auto"/>
        <w:rPr>
          <w:sz w:val="20"/>
          <w:szCs w:val="20"/>
          <w:color w:val="auto"/>
        </w:rPr>
      </w:pPr>
      <w:r>
        <w:rPr>
          <w:rFonts w:ascii="Arial" w:cs="Arial" w:eastAsia="Arial" w:hAnsi="Arial"/>
          <w:sz w:val="15"/>
          <w:szCs w:val="15"/>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75" w:lineRule="exact"/>
        <w:rPr>
          <w:sz w:val="20"/>
          <w:szCs w:val="20"/>
          <w:color w:val="auto"/>
        </w:rPr>
      </w:pPr>
    </w:p>
    <w:p>
      <w:pPr>
        <w:jc w:val="both"/>
        <w:ind w:left="800" w:right="260" w:firstLine="482"/>
        <w:spacing w:after="0" w:line="236" w:lineRule="auto"/>
        <w:rPr>
          <w:sz w:val="20"/>
          <w:szCs w:val="20"/>
          <w:color w:val="auto"/>
        </w:rPr>
      </w:pPr>
      <w:r>
        <w:rPr>
          <w:rFonts w:ascii="Arial" w:cs="Arial" w:eastAsia="Arial" w:hAnsi="Arial"/>
          <w:sz w:val="16"/>
          <w:szCs w:val="16"/>
          <w:color w:val="auto"/>
        </w:rPr>
        <w:t>The new presidential administration is expected to appoint consumer-oriented regulators at federal agencies such as the CFPB, Federal Trade Commission, the OCC and the FDIC and the government’s focus on enforcement of federal consumer protection laws is expected to increase. It is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440"/>
          </w:cols>
          <w:pgMar w:left="320" w:top="419" w:right="11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80"/>
        <w:spacing w:after="0" w:line="233" w:lineRule="auto"/>
        <w:rPr>
          <w:sz w:val="20"/>
          <w:szCs w:val="20"/>
          <w:color w:val="auto"/>
        </w:rPr>
      </w:pPr>
      <w:r>
        <w:rPr>
          <w:rFonts w:ascii="Arial" w:cs="Arial" w:eastAsia="Arial" w:hAnsi="Arial"/>
          <w:sz w:val="16"/>
          <w:szCs w:val="16"/>
          <w:color w:val="auto"/>
        </w:rPr>
        <w:t>possible that these newly appointed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82"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have been in the past and may in the future be subject to federal and state regulatory inquiries regarding our business.</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180"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440"/>
          </w:cols>
          <w:pgMar w:left="320" w:top="419" w:right="11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00"/>
        <w:spacing w:after="0" w:line="249" w:lineRule="auto"/>
        <w:rPr>
          <w:sz w:val="20"/>
          <w:szCs w:val="20"/>
          <w:color w:val="auto"/>
        </w:rPr>
      </w:pPr>
      <w:r>
        <w:rPr>
          <w:rFonts w:ascii="Arial" w:cs="Arial" w:eastAsia="Arial" w:hAnsi="Arial"/>
          <w:sz w:val="15"/>
          <w:szCs w:val="15"/>
          <w:color w:val="auto"/>
        </w:rPr>
        <w:t>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175"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50" w:lineRule="exact"/>
        <w:rPr>
          <w:sz w:val="20"/>
          <w:szCs w:val="20"/>
          <w:color w:val="auto"/>
        </w:rPr>
      </w:pPr>
    </w:p>
    <w:p>
      <w:pPr>
        <w:ind w:left="800" w:right="300"/>
        <w:spacing w:after="0" w:line="260" w:lineRule="auto"/>
        <w:rPr>
          <w:sz w:val="20"/>
          <w:szCs w:val="20"/>
          <w:color w:val="auto"/>
        </w:rPr>
      </w:pPr>
      <w:r>
        <w:rPr>
          <w:rFonts w:ascii="Arial" w:cs="Arial" w:eastAsia="Arial" w:hAnsi="Arial"/>
          <w:sz w:val="16"/>
          <w:szCs w:val="16"/>
          <w:b w:val="1"/>
          <w:bCs w:val="1"/>
          <w:i w:val="1"/>
          <w:i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69"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440"/>
          </w:cols>
          <w:pgMar w:left="320" w:top="419" w:right="11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firstLine="482"/>
        <w:spacing w:after="0" w:line="248" w:lineRule="auto"/>
        <w:rPr>
          <w:sz w:val="20"/>
          <w:szCs w:val="20"/>
          <w:color w:val="auto"/>
        </w:rPr>
      </w:pPr>
      <w:r>
        <w:rPr>
          <w:rFonts w:ascii="Arial" w:cs="Arial" w:eastAsia="Arial" w:hAnsi="Arial"/>
          <w:sz w:val="15"/>
          <w:szCs w:val="15"/>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The CPRA creates obligations relating to consumer data beginning on January 1, 2022, with implementing regulations expected on or before July 1, 2022, and enforcement beginning July 1, 2023. Additionally, other U.S. states, such as Virginia,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53" w:lineRule="exact"/>
        <w:rPr>
          <w:sz w:val="20"/>
          <w:szCs w:val="20"/>
          <w:color w:val="auto"/>
        </w:rPr>
      </w:pPr>
    </w:p>
    <w:p>
      <w:pPr>
        <w:ind w:left="800" w:right="700"/>
        <w:spacing w:after="0" w:line="260" w:lineRule="auto"/>
        <w:rPr>
          <w:sz w:val="20"/>
          <w:szCs w:val="20"/>
          <w:color w:val="auto"/>
        </w:rPr>
      </w:pPr>
      <w:r>
        <w:rPr>
          <w:rFonts w:ascii="Arial" w:cs="Arial" w:eastAsia="Arial" w:hAnsi="Arial"/>
          <w:sz w:val="16"/>
          <w:szCs w:val="16"/>
          <w:b w:val="1"/>
          <w:bCs w:val="1"/>
          <w:i w:val="1"/>
          <w:iCs w:val="1"/>
          <w:color w:val="auto"/>
        </w:rPr>
        <w:t>As the regulatory framework for artificial intelligence and machine learning technology evolves, our business, financial condition and results of operations may be adversely affected.</w:t>
      </w:r>
    </w:p>
    <w:p>
      <w:pPr>
        <w:spacing w:after="0" w:line="6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56" w:lineRule="exact"/>
        <w:rPr>
          <w:sz w:val="20"/>
          <w:szCs w:val="20"/>
          <w:color w:val="auto"/>
        </w:rPr>
      </w:pPr>
    </w:p>
    <w:p>
      <w:pPr>
        <w:ind w:left="800" w:right="140"/>
        <w:spacing w:after="0" w:line="260" w:lineRule="auto"/>
        <w:rPr>
          <w:sz w:val="20"/>
          <w:szCs w:val="20"/>
          <w:color w:val="auto"/>
        </w:rPr>
      </w:pPr>
      <w:r>
        <w:rPr>
          <w:rFonts w:ascii="Arial" w:cs="Arial" w:eastAsia="Arial" w:hAnsi="Arial"/>
          <w:sz w:val="16"/>
          <w:szCs w:val="16"/>
          <w:b w:val="1"/>
          <w:bCs w:val="1"/>
          <w:i w:val="1"/>
          <w:iCs w:val="1"/>
          <w:color w:val="auto"/>
        </w:rPr>
        <w:t>If we are required to register under the Investment Company Act, our ability to conduct business could be materially adversely affected.</w:t>
      </w:r>
    </w:p>
    <w:p>
      <w:pPr>
        <w:spacing w:after="0" w:line="69"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 based lending platform to banks.</w:t>
      </w:r>
    </w:p>
    <w:p>
      <w:pPr>
        <w:spacing w:after="0" w:line="185"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420"/>
          </w:cols>
          <w:pgMar w:left="320" w:top="419" w:right="115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3" w:lineRule="auto"/>
        <w:rPr>
          <w:sz w:val="20"/>
          <w:szCs w:val="20"/>
          <w:color w:val="auto"/>
        </w:rPr>
      </w:pPr>
      <w:r>
        <w:rPr>
          <w:rFonts w:ascii="Arial" w:cs="Arial" w:eastAsia="Arial" w:hAnsi="Arial"/>
          <w:sz w:val="16"/>
          <w:szCs w:val="16"/>
          <w:color w:val="auto"/>
        </w:rPr>
        <w:t>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57" w:lineRule="exact"/>
        <w:rPr>
          <w:sz w:val="20"/>
          <w:szCs w:val="20"/>
          <w:color w:val="auto"/>
        </w:rPr>
      </w:pPr>
    </w:p>
    <w:p>
      <w:pPr>
        <w:ind w:left="800" w:right="220"/>
        <w:spacing w:after="0" w:line="260" w:lineRule="auto"/>
        <w:rPr>
          <w:sz w:val="20"/>
          <w:szCs w:val="20"/>
          <w:color w:val="auto"/>
        </w:rPr>
      </w:pPr>
      <w:r>
        <w:rPr>
          <w:rFonts w:ascii="Arial" w:cs="Arial" w:eastAsia="Arial" w:hAnsi="Arial"/>
          <w:sz w:val="16"/>
          <w:szCs w:val="16"/>
          <w:b w:val="1"/>
          <w:bCs w:val="1"/>
          <w:i w:val="1"/>
          <w:iCs w:val="1"/>
          <w:color w:val="auto"/>
        </w:rPr>
        <w:t>If we are required to register under the Investment Advisers Act, our ability to conduct business could be materially adversely affected.</w:t>
      </w:r>
    </w:p>
    <w:p>
      <w:pPr>
        <w:spacing w:after="0" w:line="69" w:lineRule="exact"/>
        <w:rPr>
          <w:sz w:val="20"/>
          <w:szCs w:val="20"/>
          <w:color w:val="auto"/>
        </w:rPr>
      </w:pPr>
    </w:p>
    <w:p>
      <w:pPr>
        <w:ind w:left="800" w:right="40" w:firstLine="482"/>
        <w:spacing w:after="0" w:line="252" w:lineRule="auto"/>
        <w:rPr>
          <w:sz w:val="20"/>
          <w:szCs w:val="20"/>
          <w:color w:val="auto"/>
        </w:rPr>
      </w:pPr>
      <w:r>
        <w:rPr>
          <w:rFonts w:ascii="Arial" w:cs="Arial" w:eastAsia="Arial" w:hAnsi="Arial"/>
          <w:sz w:val="15"/>
          <w:szCs w:val="15"/>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17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60" w:lineRule="exact"/>
        <w:rPr>
          <w:sz w:val="20"/>
          <w:szCs w:val="20"/>
          <w:color w:val="auto"/>
        </w:rPr>
      </w:pPr>
    </w:p>
    <w:p>
      <w:pPr>
        <w:ind w:left="800" w:right="160"/>
        <w:spacing w:after="0" w:line="270" w:lineRule="auto"/>
        <w:rPr>
          <w:sz w:val="20"/>
          <w:szCs w:val="20"/>
          <w:color w:val="auto"/>
        </w:rPr>
      </w:pPr>
      <w:r>
        <w:rPr>
          <w:rFonts w:ascii="Arial" w:cs="Arial" w:eastAsia="Arial" w:hAnsi="Arial"/>
          <w:sz w:val="15"/>
          <w:szCs w:val="15"/>
          <w:b w:val="1"/>
          <w:bCs w:val="1"/>
          <w:i w:val="1"/>
          <w:iCs w:val="1"/>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63"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Certain transactions in our loan funding programs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440"/>
          </w:cols>
          <w:pgMar w:left="320" w:top="419" w:right="11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20"/>
        <w:spacing w:after="0" w:line="236" w:lineRule="auto"/>
        <w:rPr>
          <w:sz w:val="20"/>
          <w:szCs w:val="20"/>
          <w:color w:val="auto"/>
        </w:rPr>
      </w:pPr>
      <w:r>
        <w:rPr>
          <w:rFonts w:ascii="Arial" w:cs="Arial" w:eastAsia="Arial" w:hAnsi="Arial"/>
          <w:sz w:val="16"/>
          <w:szCs w:val="16"/>
          <w:color w:val="auto"/>
        </w:rPr>
        <w:t>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57" w:lineRule="exact"/>
        <w:rPr>
          <w:sz w:val="20"/>
          <w:szCs w:val="20"/>
          <w:color w:val="auto"/>
        </w:rPr>
      </w:pPr>
    </w:p>
    <w:p>
      <w:pPr>
        <w:ind w:left="800" w:right="420"/>
        <w:spacing w:after="0" w:line="260" w:lineRule="auto"/>
        <w:rPr>
          <w:sz w:val="20"/>
          <w:szCs w:val="20"/>
          <w:color w:val="auto"/>
        </w:rPr>
      </w:pPr>
      <w:r>
        <w:rPr>
          <w:rFonts w:ascii="Arial" w:cs="Arial" w:eastAsia="Arial" w:hAnsi="Arial"/>
          <w:sz w:val="16"/>
          <w:szCs w:val="16"/>
          <w:b w:val="1"/>
          <w:bCs w:val="1"/>
          <w:i w:val="1"/>
          <w:iCs w:val="1"/>
          <w:color w:val="auto"/>
        </w:rPr>
        <w:t>If we are required to register with the SEC or under state securities laws as a broker-dealer, our ability to conduct business could be materially adversely affected.</w:t>
      </w:r>
    </w:p>
    <w:p>
      <w:pPr>
        <w:spacing w:after="0" w:line="69" w:lineRule="exact"/>
        <w:rPr>
          <w:sz w:val="20"/>
          <w:szCs w:val="20"/>
          <w:color w:val="auto"/>
        </w:rPr>
      </w:pPr>
    </w:p>
    <w:p>
      <w:pPr>
        <w:ind w:left="800" w:right="60" w:firstLine="482"/>
        <w:spacing w:after="0" w:line="232"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184"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255" w:lineRule="exact"/>
        <w:rPr>
          <w:sz w:val="20"/>
          <w:szCs w:val="20"/>
          <w:color w:val="auto"/>
        </w:rPr>
      </w:pPr>
    </w:p>
    <w:p>
      <w:pPr>
        <w:ind w:left="800" w:right="1060"/>
        <w:spacing w:after="0" w:line="260" w:lineRule="auto"/>
        <w:rPr>
          <w:sz w:val="20"/>
          <w:szCs w:val="20"/>
          <w:color w:val="auto"/>
        </w:rPr>
      </w:pPr>
      <w:r>
        <w:rPr>
          <w:rFonts w:ascii="Arial" w:cs="Arial" w:eastAsia="Arial" w:hAnsi="Arial"/>
          <w:sz w:val="16"/>
          <w:szCs w:val="16"/>
          <w:b w:val="1"/>
          <w:bCs w:val="1"/>
          <w:i w:val="1"/>
          <w:iCs w:val="1"/>
          <w:color w:val="auto"/>
        </w:rPr>
        <w:t>Anti-money laundering, anti-terrorism financing, anti-corruption and economic sanctions laws could have adverse consequences for us.</w:t>
      </w:r>
    </w:p>
    <w:p>
      <w:pPr>
        <w:spacing w:after="0" w:line="69" w:lineRule="exact"/>
        <w:rPr>
          <w:sz w:val="20"/>
          <w:szCs w:val="20"/>
          <w:color w:val="auto"/>
        </w:rPr>
      </w:pPr>
    </w:p>
    <w:p>
      <w:pPr>
        <w:ind w:left="800" w:right="200" w:firstLine="482"/>
        <w:spacing w:after="0" w:line="233"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420"/>
          </w:cols>
          <w:pgMar w:left="320" w:top="419" w:right="11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2" w:lineRule="auto"/>
        <w:rPr>
          <w:sz w:val="20"/>
          <w:szCs w:val="20"/>
          <w:color w:val="auto"/>
        </w:rPr>
      </w:pPr>
      <w:r>
        <w:rPr>
          <w:rFonts w:ascii="Arial" w:cs="Arial" w:eastAsia="Arial" w:hAnsi="Arial"/>
          <w:sz w:val="16"/>
          <w:szCs w:val="16"/>
          <w:color w:val="auto"/>
        </w:rPr>
        <w:t>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 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261" w:lineRule="exact"/>
        <w:rPr>
          <w:sz w:val="20"/>
          <w:szCs w:val="20"/>
          <w:color w:val="auto"/>
        </w:rPr>
      </w:pPr>
    </w:p>
    <w:p>
      <w:pPr>
        <w:ind w:left="800" w:right="60"/>
        <w:spacing w:after="0" w:line="246" w:lineRule="auto"/>
        <w:rPr>
          <w:sz w:val="20"/>
          <w:szCs w:val="20"/>
          <w:color w:val="auto"/>
        </w:rPr>
      </w:pPr>
      <w:r>
        <w:rPr>
          <w:rFonts w:ascii="Arial" w:cs="Arial" w:eastAsia="Arial" w:hAnsi="Arial"/>
          <w:sz w:val="16"/>
          <w:szCs w:val="16"/>
          <w:b w:val="1"/>
          <w:bCs w:val="1"/>
          <w:i w:val="1"/>
          <w:i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82"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 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81"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If it is not possible or economical for us to securitize loans in the future, we would need to seek alternative financing to support our loan funding programs and to meet our existing debt obligations.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420"/>
          </w:cols>
          <w:pgMar w:left="320" w:top="419" w:right="11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20"/>
        <w:spacing w:after="0" w:line="235" w:lineRule="auto"/>
        <w:rPr>
          <w:sz w:val="20"/>
          <w:szCs w:val="20"/>
          <w:color w:val="auto"/>
        </w:rPr>
      </w:pPr>
      <w:r>
        <w:rPr>
          <w:rFonts w:ascii="Arial" w:cs="Arial" w:eastAsia="Arial" w:hAnsi="Arial"/>
          <w:sz w:val="16"/>
          <w:szCs w:val="16"/>
          <w:color w:val="auto"/>
        </w:rPr>
        <w:t>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178"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96" w:lineRule="exact"/>
        <w:rPr>
          <w:sz w:val="20"/>
          <w:szCs w:val="20"/>
          <w:color w:val="auto"/>
        </w:rPr>
      </w:pPr>
    </w:p>
    <w:p>
      <w:pPr>
        <w:ind w:left="1460" w:right="160" w:hanging="188"/>
        <w:spacing w:after="0" w:line="238" w:lineRule="auto"/>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servicing fees and other expenses may reduce overall net return on purchased pools of loans;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actual or perceived credit performance and loan grade and term mix of the portfolios of loans offered for sale;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loan purchasers’ sector and company investment diversification requirements and strategies;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higher yielding investment opportunities at a risk profile deemed similar to our sold loan portfolios;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borrower prepayment behavior within the underlying pools;</w:t>
      </w:r>
    </w:p>
    <w:p>
      <w:pPr>
        <w:spacing w:after="0" w:line="99" w:lineRule="exact"/>
        <w:rPr>
          <w:rFonts w:ascii="Arial" w:cs="Arial" w:eastAsia="Arial" w:hAnsi="Arial"/>
          <w:sz w:val="16"/>
          <w:szCs w:val="16"/>
          <w:color w:val="auto"/>
        </w:rPr>
      </w:pPr>
    </w:p>
    <w:p>
      <w:pPr>
        <w:ind w:left="1460" w:right="120" w:hanging="188"/>
        <w:spacing w:after="0" w:line="238" w:lineRule="auto"/>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regulatory or investment practices related to maintaining net asset value, mark-to-market and similar metrics surrounding pools of purchased loans; and</w:t>
      </w:r>
    </w:p>
    <w:p>
      <w:pPr>
        <w:spacing w:after="0" w:line="96" w:lineRule="exact"/>
        <w:rPr>
          <w:rFonts w:ascii="Arial" w:cs="Arial" w:eastAsia="Arial" w:hAnsi="Arial"/>
          <w:sz w:val="16"/>
          <w:szCs w:val="16"/>
          <w:color w:val="auto"/>
        </w:rPr>
      </w:pPr>
    </w:p>
    <w:p>
      <w:pPr>
        <w:ind w:left="1460" w:right="60" w:hanging="188"/>
        <w:spacing w:after="0" w:line="236" w:lineRule="auto"/>
        <w:tabs>
          <w:tab w:leader="none" w:pos="1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9" w:lineRule="exact"/>
        <w:rPr>
          <w:sz w:val="20"/>
          <w:szCs w:val="20"/>
          <w:color w:val="auto"/>
        </w:rPr>
      </w:pPr>
    </w:p>
    <w:p>
      <w:pPr>
        <w:ind w:left="800" w:right="240" w:firstLine="482"/>
        <w:spacing w:after="0" w:line="234" w:lineRule="auto"/>
        <w:rPr>
          <w:sz w:val="20"/>
          <w:szCs w:val="20"/>
          <w:color w:val="auto"/>
        </w:rPr>
      </w:pPr>
      <w:r>
        <w:rPr>
          <w:rFonts w:ascii="Arial" w:cs="Arial" w:eastAsia="Arial" w:hAnsi="Arial"/>
          <w:sz w:val="16"/>
          <w:szCs w:val="16"/>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256" w:lineRule="exact"/>
        <w:rPr>
          <w:sz w:val="20"/>
          <w:szCs w:val="20"/>
          <w:color w:val="auto"/>
        </w:rPr>
      </w:pPr>
    </w:p>
    <w:p>
      <w:pPr>
        <w:ind w:left="800" w:right="100"/>
        <w:spacing w:after="0" w:line="260" w:lineRule="auto"/>
        <w:rPr>
          <w:sz w:val="20"/>
          <w:szCs w:val="20"/>
          <w:color w:val="auto"/>
        </w:rPr>
      </w:pPr>
      <w:r>
        <w:rPr>
          <w:rFonts w:ascii="Arial" w:cs="Arial" w:eastAsia="Arial" w:hAnsi="Arial"/>
          <w:sz w:val="16"/>
          <w:szCs w:val="16"/>
          <w:b w:val="1"/>
          <w:bCs w:val="1"/>
          <w:i w:val="1"/>
          <w:iCs w:val="1"/>
          <w:color w:val="auto"/>
        </w:rPr>
        <w:t>Our securitizations are subject to regulation under federal law, and failure to comply with those laws could adversely affect our business.</w:t>
      </w:r>
    </w:p>
    <w:p>
      <w:pPr>
        <w:spacing w:after="0" w:line="6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420"/>
          </w:cols>
          <w:pgMar w:left="320" w:top="419" w:right="11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50" w:lineRule="auto"/>
        <w:rPr>
          <w:sz w:val="20"/>
          <w:szCs w:val="20"/>
          <w:color w:val="auto"/>
        </w:rPr>
      </w:pPr>
      <w:r>
        <w:rPr>
          <w:rFonts w:ascii="Arial" w:cs="Arial" w:eastAsia="Arial" w:hAnsi="Arial"/>
          <w:sz w:val="15"/>
          <w:szCs w:val="15"/>
          <w:color w:val="auto"/>
        </w:rPr>
        <w:t>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7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2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420"/>
          </w:cols>
          <w:pgMar w:left="320" w:top="419" w:right="11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RISKS RELATED TO LOAN FUNDING AND INDEBTEDNESS</w:t>
      </w:r>
    </w:p>
    <w:p>
      <w:pPr>
        <w:spacing w:after="0" w:line="185" w:lineRule="exact"/>
        <w:rPr>
          <w:sz w:val="20"/>
          <w:szCs w:val="20"/>
          <w:color w:val="auto"/>
        </w:rPr>
      </w:pPr>
    </w:p>
    <w:p>
      <w:pPr>
        <w:ind w:left="800" w:right="40"/>
        <w:spacing w:after="0" w:line="260" w:lineRule="auto"/>
        <w:rPr>
          <w:sz w:val="20"/>
          <w:szCs w:val="20"/>
          <w:color w:val="auto"/>
        </w:rPr>
      </w:pPr>
      <w:r>
        <w:rPr>
          <w:rFonts w:ascii="Arial" w:cs="Arial" w:eastAsia="Arial" w:hAnsi="Arial"/>
          <w:sz w:val="16"/>
          <w:szCs w:val="16"/>
          <w:b w:val="1"/>
          <w:bCs w:val="1"/>
          <w:i w:val="1"/>
          <w:iCs w:val="1"/>
          <w:color w:val="auto"/>
        </w:rPr>
        <w:t>If we are unable to maintain a diverse and robust loan funding program, our growth prospects, business, financial condition and results of operations could be adversely affected.</w:t>
      </w:r>
    </w:p>
    <w:p>
      <w:pPr>
        <w:spacing w:after="0" w:line="69" w:lineRule="exact"/>
        <w:rPr>
          <w:sz w:val="20"/>
          <w:szCs w:val="20"/>
          <w:color w:val="auto"/>
        </w:rPr>
      </w:pPr>
    </w:p>
    <w:p>
      <w:pPr>
        <w:ind w:left="800" w:right="100" w:firstLine="482"/>
        <w:spacing w:after="0" w:line="250" w:lineRule="auto"/>
        <w:rPr>
          <w:sz w:val="20"/>
          <w:szCs w:val="20"/>
          <w:color w:val="auto"/>
        </w:rPr>
      </w:pPr>
      <w:r>
        <w:rPr>
          <w:rFonts w:ascii="Arial" w:cs="Arial" w:eastAsia="Arial" w:hAnsi="Arial"/>
          <w:sz w:val="15"/>
          <w:szCs w:val="15"/>
          <w:color w:val="auto"/>
        </w:rPr>
        <w:t>Our business depends on sourcing and maintaining a diverse and robust loan funding program to fund Upstart-powered loans that our bank partners are unable or unwilling to retain on their balance sheets. In the year ended December 31, 2020, approximately 21% of Upstart-powered loans were retained by the originating bank while approximately 77% of Upstart-powered loans were 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173" w:lineRule="exact"/>
        <w:rPr>
          <w:sz w:val="20"/>
          <w:szCs w:val="20"/>
          <w:color w:val="auto"/>
        </w:rPr>
      </w:pPr>
    </w:p>
    <w:p>
      <w:pPr>
        <w:ind w:left="800" w:right="80" w:firstLine="482"/>
        <w:spacing w:after="0" w:line="250" w:lineRule="auto"/>
        <w:rPr>
          <w:sz w:val="20"/>
          <w:szCs w:val="20"/>
          <w:color w:val="auto"/>
        </w:rPr>
      </w:pPr>
      <w:r>
        <w:rPr>
          <w:rFonts w:ascii="Arial" w:cs="Arial" w:eastAsia="Arial" w:hAnsi="Arial"/>
          <w:sz w:val="15"/>
          <w:szCs w:val="15"/>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48" w:lineRule="exact"/>
        <w:rPr>
          <w:sz w:val="20"/>
          <w:szCs w:val="20"/>
          <w:color w:val="auto"/>
        </w:rPr>
      </w:pPr>
    </w:p>
    <w:p>
      <w:pPr>
        <w:ind w:left="800" w:right="80"/>
        <w:spacing w:after="0" w:line="246" w:lineRule="auto"/>
        <w:rPr>
          <w:sz w:val="20"/>
          <w:szCs w:val="20"/>
          <w:color w:val="auto"/>
        </w:rPr>
      </w:pPr>
      <w:r>
        <w:rPr>
          <w:rFonts w:ascii="Arial" w:cs="Arial" w:eastAsia="Arial" w:hAnsi="Arial"/>
          <w:sz w:val="16"/>
          <w:szCs w:val="16"/>
          <w:b w:val="1"/>
          <w:bCs w:val="1"/>
          <w:i w:val="1"/>
          <w:iCs w:val="1"/>
          <w:color w:val="auto"/>
        </w:rPr>
        <w:t>In connection with our loan funding programs, we make representations and warranties to our bank partners regarding the loans underwritten and to loan purchasers and investors concerning the loans sold, and if such representations and warranties are not accurate when made, we could be required to indemnify our bank partners or repurchase the loans sold.</w:t>
      </w:r>
    </w:p>
    <w:p>
      <w:pPr>
        <w:spacing w:after="0" w:line="7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our loan funding programs, including loans originated and retained by bank partners and loans funded through asset-backed securitizations and whole loan sales, we make numerous representations and warranties concerning the characteristics of the Upstart-powered loans originated, sold and transferred in connection with such transactions, including representations and warranties that the loans meet the eligibility requirements of those partners and facilities and of investors in our loan funding programs. If we do not comply with contractual requirements relating to compliance with the underwriting guidelines of our bank partners, we may be obligated to indemnify them for losses that they incur. In addition, if representations and warranties that we make in connection with asset-backed securitizations and whole-loan sales were not accurate when made, we may be required to repurchase the underlying loans. Failure to repurchase so-called ineligible loans when required could constitute an event of default or termination event under the agreements governing our various loan funding programs. Through December 31, 2020, the number of repurchased Upstart-powered loans as a result of inaccurate representations and warranties represents less than 0.34% of all Upstart-powered loans. While we have not been required to make substantial indemnity payments to our bank partners in the past, and only a small number of Upstart-powered loans have been historically repurchased by us, we may find issues in the underwriting logic of our lending platform that could result in failures to comply with such underwriting guidelines or representations and warranties, and, due to the complexity of our lending platform, it is possible that such errors could be undiscovered for a substantial period of time. Although we have not incurred significant liabilities or obligations as a result of such errors in the past,</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440"/>
          </w:cols>
          <w:pgMar w:left="320" w:top="419" w:right="11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5" w:lineRule="auto"/>
        <w:rPr>
          <w:sz w:val="20"/>
          <w:szCs w:val="20"/>
          <w:color w:val="auto"/>
        </w:rPr>
      </w:pPr>
      <w:r>
        <w:rPr>
          <w:rFonts w:ascii="Arial" w:cs="Arial" w:eastAsia="Arial" w:hAnsi="Arial"/>
          <w:sz w:val="16"/>
          <w:szCs w:val="16"/>
          <w:color w:val="auto"/>
        </w:rPr>
        <w:t>we cannot be certain that we will not incur more significant indemnity obligations or obligations to repurchase loans in the future. Such indemnity or repurchase obligations could be limited in scope, relating to small pools of loans, or significant in scope, across multiple pools of loans. If we were subject to substantial indemnity or repurchase obligations, and if we do not have adequate liquidity to satisfy such obligations, our business, financial condition and results of operations could be adversely affected.</w:t>
      </w:r>
    </w:p>
    <w:p>
      <w:pPr>
        <w:spacing w:after="0" w:line="255" w:lineRule="exact"/>
        <w:rPr>
          <w:sz w:val="20"/>
          <w:szCs w:val="20"/>
          <w:color w:val="auto"/>
        </w:rPr>
      </w:pPr>
    </w:p>
    <w:p>
      <w:pPr>
        <w:ind w:left="800" w:right="140"/>
        <w:spacing w:after="0" w:line="260" w:lineRule="auto"/>
        <w:rPr>
          <w:sz w:val="20"/>
          <w:szCs w:val="20"/>
          <w:color w:val="auto"/>
        </w:rPr>
      </w:pPr>
      <w:r>
        <w:rPr>
          <w:rFonts w:ascii="Arial" w:cs="Arial" w:eastAsia="Arial" w:hAnsi="Arial"/>
          <w:sz w:val="16"/>
          <w:szCs w:val="16"/>
          <w:b w:val="1"/>
          <w:bCs w:val="1"/>
          <w:i w:val="1"/>
          <w:i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6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Our unsecured senior corporate debt currently has no rating, and we have never issued unsecured debt securities in the capital markets. Asset-backed securities sponsored or co-sponsored by us are 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81"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55" w:lineRule="exact"/>
        <w:rPr>
          <w:sz w:val="20"/>
          <w:szCs w:val="20"/>
          <w:color w:val="auto"/>
        </w:rPr>
      </w:pPr>
    </w:p>
    <w:p>
      <w:pPr>
        <w:ind w:left="800" w:right="380"/>
        <w:spacing w:after="0" w:line="260" w:lineRule="auto"/>
        <w:rPr>
          <w:sz w:val="20"/>
          <w:szCs w:val="20"/>
          <w:color w:val="auto"/>
        </w:rPr>
      </w:pPr>
      <w:r>
        <w:rPr>
          <w:rFonts w:ascii="Arial" w:cs="Arial" w:eastAsia="Arial" w:hAnsi="Arial"/>
          <w:sz w:val="16"/>
          <w:szCs w:val="16"/>
          <w:b w:val="1"/>
          <w:bCs w:val="1"/>
          <w:i w:val="1"/>
          <w:iCs w:val="1"/>
          <w:color w:val="auto"/>
        </w:rPr>
        <w:t>We rely on borrowings under our corporate and warehouse credit facility to fund certain aspects of our operations, and any inability to meet our obligations as they come due or to comply with various covenants could harm our business.</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Our corporate credit facilities consist of term loans and revolving loan facilities that we have drawn on to finance our operations and for other corporate purposes. As of December 31, 2020, we had $ 20.5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We have in the past, and may in the future, fail to comply with certain operating or financial covenants in our credit agreements, requiring a waiver from our lenders.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184"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In addition, 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420"/>
          </w:cols>
          <w:pgMar w:left="320" w:top="419" w:right="11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60"/>
        <w:spacing w:after="0" w:line="236" w:lineRule="auto"/>
        <w:rPr>
          <w:sz w:val="20"/>
          <w:szCs w:val="20"/>
          <w:color w:val="auto"/>
        </w:rPr>
      </w:pPr>
      <w:r>
        <w:rPr>
          <w:rFonts w:ascii="Arial" w:cs="Arial" w:eastAsia="Arial" w:hAnsi="Arial"/>
          <w:sz w:val="16"/>
          <w:szCs w:val="16"/>
          <w:color w:val="auto"/>
        </w:rPr>
        <w:t>indefinitely, including some loans that are the result of product development activities. On November 2, 2020, we repaid all outstanding borrowings under one of our warehouse credit facilities in the amount of $4.0 million and terminated the corresponding warehouse credit facility.</w:t>
      </w:r>
    </w:p>
    <w:p>
      <w:pPr>
        <w:spacing w:after="0" w:line="179"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Under our warehouse credit facility, we may borrow up to $ 100.0 million until May 2021, and any outstanding principal, together with any accrued and unpaid interest, are due and payable by the warehouse trust special purpose entity in May 2022. As of December 31, 2020, the amount borrowed under this credit facility was $35.0 million, and $60.2 million of aggregated fair value of loans purchased were pledged as collateral.</w:t>
      </w:r>
    </w:p>
    <w:p>
      <w:pPr>
        <w:spacing w:after="0" w:line="178"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184"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On March 5, 2021, the FCA announced that all LIBOR settings will either cease to be provided by any administrator, or no longer be representative immediately after December 31, 2021, for all GBP, EUR, CHF and JPY LIBOR settings and one-week and two-month US dollar LIBOR settings, and immediately after June 30, 2023 for the remaining US dollar LIBOR settings, including three-month US dollar LIBOR. As a result, while the FCA and the submitting LIBOR banks have indicated they will support the LIBOR indices through December 31, 2021 for certain settings specified above and through June 30, 2023 for certain settings specified above, in each case to allow for an orderly transition to an alternative reference rate, it is possible that beginning in 2022, certain LIBOR settings will no longer be available as a reference rate, with the remaining LIBOR settings becoming unavailable after June 30, 2023. In particular, the interest rate of borrowings under our warehouse credit facility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59" w:lineRule="exact"/>
        <w:rPr>
          <w:sz w:val="20"/>
          <w:szCs w:val="20"/>
          <w:color w:val="auto"/>
        </w:rPr>
      </w:pPr>
    </w:p>
    <w:p>
      <w:pPr>
        <w:ind w:left="800" w:right="300"/>
        <w:spacing w:after="0" w:line="260" w:lineRule="auto"/>
        <w:rPr>
          <w:sz w:val="20"/>
          <w:szCs w:val="20"/>
          <w:color w:val="auto"/>
        </w:rPr>
      </w:pPr>
      <w:r>
        <w:rPr>
          <w:rFonts w:ascii="Arial" w:cs="Arial" w:eastAsia="Arial" w:hAnsi="Arial"/>
          <w:sz w:val="16"/>
          <w:szCs w:val="16"/>
          <w:b w:val="1"/>
          <w:bCs w:val="1"/>
          <w:i w:val="1"/>
          <w:iCs w:val="1"/>
          <w:color w:val="auto"/>
        </w:rPr>
        <w:t>We may need to raise additional funds in the future, including through equity, debt or convertible debt financings, to support business growth and those funds may not be available on acceptable terms, or at all.</w:t>
      </w:r>
    </w:p>
    <w:p>
      <w:pPr>
        <w:spacing w:after="0" w:line="69" w:lineRule="exact"/>
        <w:rPr>
          <w:sz w:val="20"/>
          <w:szCs w:val="20"/>
          <w:color w:val="auto"/>
        </w:rPr>
      </w:pPr>
    </w:p>
    <w:p>
      <w:pPr>
        <w:ind w:left="800" w:right="240" w:firstLine="482"/>
        <w:spacing w:after="0" w:line="236"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440"/>
          </w:cols>
          <w:pgMar w:left="320" w:top="419" w:right="11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178"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420"/>
          </w:cols>
          <w:pgMar w:left="320" w:top="419" w:right="115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RISKS RELATED TO TAXES</w:t>
      </w:r>
    </w:p>
    <w:p>
      <w:pPr>
        <w:spacing w:after="0" w:line="185" w:lineRule="exact"/>
        <w:rPr>
          <w:sz w:val="20"/>
          <w:szCs w:val="20"/>
          <w:color w:val="auto"/>
        </w:rPr>
      </w:pPr>
    </w:p>
    <w:p>
      <w:pPr>
        <w:ind w:left="800" w:right="80"/>
        <w:spacing w:after="0" w:line="260" w:lineRule="auto"/>
        <w:rPr>
          <w:sz w:val="20"/>
          <w:szCs w:val="20"/>
          <w:color w:val="auto"/>
        </w:rPr>
      </w:pPr>
      <w:r>
        <w:rPr>
          <w:rFonts w:ascii="Arial" w:cs="Arial" w:eastAsia="Arial" w:hAnsi="Arial"/>
          <w:sz w:val="16"/>
          <w:szCs w:val="16"/>
          <w:b w:val="1"/>
          <w:bCs w:val="1"/>
          <w:i w:val="1"/>
          <w:iCs w:val="1"/>
          <w:color w:val="auto"/>
        </w:rPr>
        <w:t>Our ability to use our deferred tax assets to offset future taxable income may be subject to certain limitations that could subject our business to higher tax liability.</w:t>
      </w:r>
    </w:p>
    <w:p>
      <w:pPr>
        <w:spacing w:after="0" w:line="69"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in the Tax Act, as modified by the Coronavirus Aid, Relief, and Economic Security Act, or the CARES Act, NOLs arising in taxable years beginning after December 31, 2017 and before January 1, 2021 may be carried back to each of the five taxable years preceding the taxable year of such loss, but NOLs arising in taxable years beginning after December 31, 2020 may not be carried back. Additionally, under the Tax Act, as modified by the CARES Act, NOLs from taxable years that began after December 31, 2017 may offset no more than 80% of current taxable income annually for taxable years beginning after December 31, 2020, but the 80% limitation on the use of NOLs from taxable years that began after December 31, 2017 does not apply for taxable income in taxable years beginning before January 1, 2021. NOLs arising in taxable years ending after December 31, 2017 can be carried forward indefinitely, but NOLs generated in taxable years ending before January 1, 2018 will continue to have a two-year carryback and twenty-year carryforward period.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Changes in tax laws could have a material adverse effect on our business, financial condition and results of operations.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Changes in tax laws could have a material adverse effect on our business, financial condition and results of operations. For example, the Tax Act contained significant changes to U.S. tax law, including a reduction in the corporate tax rate and a transition to a new territorial system of taxation. The primary impact of the Tax Act on our provision for income taxes was a reduction of the future tax benefits of our deferred tax assets as a result of the reduction in the corporate tax rate. The impact of the Tax Act may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181"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the recent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440"/>
          </w:cols>
          <w:pgMar w:left="320" w:top="419" w:right="11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56" w:lineRule="exact"/>
        <w:rPr>
          <w:sz w:val="20"/>
          <w:szCs w:val="20"/>
          <w:color w:val="auto"/>
        </w:rPr>
      </w:pPr>
    </w:p>
    <w:p>
      <w:pPr>
        <w:ind w:left="800" w:right="100"/>
        <w:spacing w:after="0" w:line="246"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spacing w:after="0" w:line="17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79" w:lineRule="exact"/>
        <w:rPr>
          <w:sz w:val="20"/>
          <w:szCs w:val="20"/>
          <w:color w:val="auto"/>
        </w:rPr>
      </w:pPr>
    </w:p>
    <w:p>
      <w:pPr>
        <w:jc w:val="both"/>
        <w:ind w:left="800" w:right="360" w:firstLine="482"/>
        <w:spacing w:after="0" w:line="236" w:lineRule="auto"/>
        <w:rPr>
          <w:sz w:val="20"/>
          <w:szCs w:val="20"/>
          <w:color w:val="auto"/>
        </w:rPr>
      </w:pPr>
      <w:r>
        <w:rPr>
          <w:rFonts w:ascii="Arial" w:cs="Arial" w:eastAsia="Arial" w:hAnsi="Arial"/>
          <w:sz w:val="16"/>
          <w:szCs w:val="16"/>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440"/>
          </w:cols>
          <w:pgMar w:left="320" w:top="419" w:right="11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RISKS RELATED TO THIS OFFERING AND OWNERSHIP OF OUR COMMON STOCK</w:t>
      </w:r>
    </w:p>
    <w:p>
      <w:pPr>
        <w:spacing w:after="0" w:line="185" w:lineRule="exact"/>
        <w:rPr>
          <w:sz w:val="20"/>
          <w:szCs w:val="20"/>
          <w:color w:val="auto"/>
        </w:rPr>
      </w:pPr>
    </w:p>
    <w:p>
      <w:pPr>
        <w:ind w:left="800" w:right="220"/>
        <w:spacing w:after="0" w:line="260" w:lineRule="auto"/>
        <w:rPr>
          <w:sz w:val="20"/>
          <w:szCs w:val="20"/>
          <w:color w:val="auto"/>
        </w:rPr>
      </w:pPr>
      <w:r>
        <w:rPr>
          <w:rFonts w:ascii="Arial" w:cs="Arial" w:eastAsia="Arial" w:hAnsi="Arial"/>
          <w:sz w:val="16"/>
          <w:szCs w:val="16"/>
          <w:b w:val="1"/>
          <w:bCs w:val="1"/>
          <w:i w:val="1"/>
          <w:iCs w:val="1"/>
          <w:color w:val="auto"/>
        </w:rPr>
        <w:t>The trading price of our common stock has been and may continue to be highly volatile, and you could lose all or part of your investment.</w:t>
      </w:r>
    </w:p>
    <w:p>
      <w:pPr>
        <w:spacing w:after="0" w:line="6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trading price of our common stock has been and may continue to be highly volatile and could be subject to significant fluctuations in response to various factors, some of which are beyond our control. For example, since January 2021, the intraday trading price of our common stock has varied between a low of $38.05 on January 4, 2021 and a high of $165.66 on March 22, 2021. These fluctuations could cause you to lose all or part of your investment in our common stock. Factors that could cause fluctuations in the trading price of our common stock include:</w:t>
      </w:r>
    </w:p>
    <w:p>
      <w:pPr>
        <w:spacing w:after="0" w:line="96" w:lineRule="exact"/>
        <w:rPr>
          <w:sz w:val="20"/>
          <w:szCs w:val="20"/>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from time to time;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financial technology stocks;</w:t>
      </w:r>
    </w:p>
    <w:p>
      <w:pPr>
        <w:spacing w:after="0" w:line="99" w:lineRule="exact"/>
        <w:rPr>
          <w:rFonts w:ascii="Arial" w:cs="Arial" w:eastAsia="Arial" w:hAnsi="Arial"/>
          <w:sz w:val="16"/>
          <w:szCs w:val="16"/>
          <w:color w:val="auto"/>
        </w:rPr>
      </w:pPr>
    </w:p>
    <w:p>
      <w:pPr>
        <w:ind w:left="1460" w:right="640" w:hanging="188"/>
        <w:spacing w:after="0" w:line="238" w:lineRule="auto"/>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financial technology companies and technology companies that offer services to financial institutions;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of shares of our common stock by us or our stockholders;</w:t>
      </w:r>
    </w:p>
    <w:p>
      <w:pPr>
        <w:spacing w:after="0" w:line="99" w:lineRule="exact"/>
        <w:rPr>
          <w:rFonts w:ascii="Arial" w:cs="Arial" w:eastAsia="Arial" w:hAnsi="Arial"/>
          <w:sz w:val="16"/>
          <w:szCs w:val="16"/>
          <w:color w:val="auto"/>
        </w:rPr>
      </w:pPr>
    </w:p>
    <w:p>
      <w:pPr>
        <w:ind w:left="1460" w:right="340" w:hanging="188"/>
        <w:spacing w:after="0" w:line="238" w:lineRule="auto"/>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failure of securities analysts to maintain coverage of us, changes in financial estimates by securities analysts who follow our company, or our failure to meet these estimates or the expectations of investors;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111" w:lineRule="exact"/>
        <w:rPr>
          <w:rFonts w:ascii="Arial" w:cs="Arial" w:eastAsia="Arial" w:hAnsi="Arial"/>
          <w:sz w:val="15"/>
          <w:szCs w:val="15"/>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features, or services;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anticipated changes in our results of operations or fluctuations in our results of operations;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prevailing interest rates;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quarterly fluctuations in demand for the loans we facilitate through our platform;</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fluctuations in the trading volume of our shares or the size of our public float;</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anticipated developments in our business, our competitors’ businesses or the competitive landscape generally;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litigation involving us, our industry, or both, or investigations by regulators into our operations or those of our competitors;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compliance with government policies or regulations;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issuance of any cease-and-desist orders from regulatory agencies that we are subject to;</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actual or perceived data security breaches or other data security incidents;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announced or completed acquisitions of businesses, products, services, or technologies by us or our competitors;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420"/>
          </w:cols>
          <w:pgMar w:left="320" w:top="419" w:right="115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hanging="188"/>
        <w:spacing w:after="0"/>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99" w:lineRule="exact"/>
        <w:rPr>
          <w:rFonts w:ascii="Arial" w:cs="Arial" w:eastAsia="Arial" w:hAnsi="Arial"/>
          <w:sz w:val="16"/>
          <w:szCs w:val="16"/>
          <w:color w:val="auto"/>
        </w:rPr>
      </w:pPr>
    </w:p>
    <w:p>
      <w:pPr>
        <w:ind w:left="1460" w:right="60" w:hanging="188"/>
        <w:spacing w:after="0" w:line="238" w:lineRule="auto"/>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political unrest, natural disasters, pandemics or responses to these events; and</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w:t>
      </w:r>
    </w:p>
    <w:p>
      <w:pPr>
        <w:spacing w:after="0" w:line="183"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58" w:lineRule="exact"/>
        <w:rPr>
          <w:sz w:val="20"/>
          <w:szCs w:val="20"/>
          <w:color w:val="auto"/>
        </w:rPr>
      </w:pPr>
    </w:p>
    <w:p>
      <w:pPr>
        <w:ind w:left="800" w:right="520"/>
        <w:spacing w:after="0" w:line="260" w:lineRule="auto"/>
        <w:rPr>
          <w:sz w:val="20"/>
          <w:szCs w:val="20"/>
          <w:color w:val="auto"/>
        </w:rPr>
      </w:pPr>
      <w:r>
        <w:rPr>
          <w:rFonts w:ascii="Arial" w:cs="Arial" w:eastAsia="Arial" w:hAnsi="Arial"/>
          <w:sz w:val="16"/>
          <w:szCs w:val="16"/>
          <w:b w:val="1"/>
          <w:bCs w:val="1"/>
          <w:i w:val="1"/>
          <w:iCs w:val="1"/>
          <w:color w:val="auto"/>
        </w:rPr>
        <w:t>Certain insiders have significant voting power, which could limit your ability to influence the outcome of key transactions, including a change of control.</w:t>
      </w:r>
    </w:p>
    <w:p>
      <w:pPr>
        <w:spacing w:after="0" w:line="6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57" w:lineRule="exact"/>
        <w:rPr>
          <w:sz w:val="20"/>
          <w:szCs w:val="20"/>
          <w:color w:val="auto"/>
        </w:rPr>
      </w:pPr>
    </w:p>
    <w:p>
      <w:pPr>
        <w:ind w:left="800" w:right="80"/>
        <w:spacing w:after="0" w:line="246" w:lineRule="auto"/>
        <w:rPr>
          <w:sz w:val="20"/>
          <w:szCs w:val="20"/>
          <w:color w:val="auto"/>
        </w:rPr>
      </w:pPr>
      <w:r>
        <w:rPr>
          <w:rFonts w:ascii="Arial" w:cs="Arial" w:eastAsia="Arial" w:hAnsi="Arial"/>
          <w:sz w:val="16"/>
          <w:szCs w:val="16"/>
          <w:b w:val="1"/>
          <w:bCs w:val="1"/>
          <w:i w:val="1"/>
          <w:iCs w:val="1"/>
          <w:color w:val="auto"/>
        </w:rPr>
        <w:t>A substantial portion of the outstanding shares of our common stock are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79"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In connection with our initial public offering, or IPO, our executive officers, directors, and the holders of substantially all of our capital stock and securities convertible into or exchangeable for our capital stock entered into market standoff agreements with us or entered into lock-up agreements with the underwriters under which they have agreed, subject to specific exceptions, not to sell any of our stock for 180 days after December 15, 2020. We refer to such period as the lock-up period. In addition, the underwriter representatives may, in their discretion, release all or some portion of the shares subject to lock-up agreements prior to the expiration of the lock-up period.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8" w:lineRule="exact"/>
        <w:rPr>
          <w:sz w:val="20"/>
          <w:szCs w:val="20"/>
          <w:color w:val="auto"/>
        </w:rPr>
      </w:pPr>
    </w:p>
    <w:p>
      <w:pPr>
        <w:jc w:val="both"/>
        <w:ind w:left="800" w:firstLine="482"/>
        <w:spacing w:after="0" w:line="235" w:lineRule="auto"/>
        <w:rPr>
          <w:sz w:val="20"/>
          <w:szCs w:val="20"/>
          <w:color w:val="auto"/>
        </w:rPr>
      </w:pPr>
      <w:r>
        <w:rPr>
          <w:rFonts w:ascii="Arial" w:cs="Arial" w:eastAsia="Arial" w:hAnsi="Arial"/>
          <w:sz w:val="16"/>
          <w:szCs w:val="16"/>
          <w:color w:val="auto"/>
        </w:rPr>
        <w:t>Subject to the provisions of Rule 144 or Rule 701 under the Securities Act, beginning 181 days after December 15, 2020 (subject to the terms of the lock-up agreements and market standoff agreements described above), a significant number shares of our common stock will be eligible for sale in the public market from time to time thereafter, subject in some cases to the volume and other restrictions of Rule 144, as described below.</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440"/>
          </w:cols>
          <w:pgMar w:left="320" w:top="419" w:right="11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179"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common stock does not provide any rights directly related to the loans we hold.</w:t>
      </w:r>
    </w:p>
    <w:p>
      <w:pPr>
        <w:spacing w:after="0" w:line="106"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56" w:lineRule="exact"/>
        <w:rPr>
          <w:sz w:val="20"/>
          <w:szCs w:val="20"/>
          <w:color w:val="auto"/>
        </w:rPr>
      </w:pPr>
    </w:p>
    <w:p>
      <w:pPr>
        <w:ind w:left="800" w:right="880"/>
        <w:spacing w:after="0" w:line="260" w:lineRule="auto"/>
        <w:rPr>
          <w:sz w:val="20"/>
          <w:szCs w:val="20"/>
          <w:color w:val="auto"/>
        </w:rPr>
      </w:pPr>
      <w:r>
        <w:rPr>
          <w:rFonts w:ascii="Arial" w:cs="Arial" w:eastAsia="Arial" w:hAnsi="Arial"/>
          <w:sz w:val="16"/>
          <w:szCs w:val="16"/>
          <w:b w:val="1"/>
          <w:bCs w:val="1"/>
          <w:i w:val="1"/>
          <w:iCs w:val="1"/>
          <w:color w:val="auto"/>
        </w:rPr>
        <w:t>You may be diluted by the future issuance of additional common stock in connection with our equity incentive plans, acquisitions or otherwise.</w:t>
      </w:r>
    </w:p>
    <w:p>
      <w:pPr>
        <w:spacing w:after="0" w:line="6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Our amended and restated certificate of incorporation authorizes us to issue our 626,685,974 shares of authorized but unissued common stock and rights relating to common stock for the consideration and on the terms and conditions established by our Board of Directors in its sole discretion, whether in connection with acquisitions or otherwise. We have reserved 5,520,000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have broad discretion over the use of the net proceeds from this offering and we may not use them effectively.</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our management fails to apply these proceeds effectively, such failure could adversely affect our business, results of operations, financial condition, and the price of our common stock. Pending their use, we may invest our proceeds in a manner that does not produce income or that loses value. Our investments may not yield a favorable return to our investors and may negatively impact the price of our common stock.</w:t>
      </w:r>
    </w:p>
    <w:p>
      <w:pPr>
        <w:spacing w:after="0" w:line="256" w:lineRule="exact"/>
        <w:rPr>
          <w:sz w:val="20"/>
          <w:szCs w:val="20"/>
          <w:color w:val="auto"/>
        </w:rPr>
      </w:pPr>
    </w:p>
    <w:p>
      <w:pPr>
        <w:ind w:left="800" w:right="180"/>
        <w:spacing w:after="0" w:line="260"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69"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440"/>
          </w:cols>
          <w:pgMar w:left="320" w:top="419" w:right="11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95" w:lineRule="exact"/>
        <w:rPr>
          <w:sz w:val="20"/>
          <w:szCs w:val="20"/>
          <w:color w:val="auto"/>
        </w:rPr>
      </w:pPr>
    </w:p>
    <w:p>
      <w:pPr>
        <w:ind w:left="1460" w:right="100" w:hanging="188"/>
        <w:spacing w:after="0" w:line="238"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are only able to be removed from office for cause;</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vacancies on our Board of Directors will be able to be filled only by our Board of Directors and not by stockholders;</w:t>
      </w:r>
    </w:p>
    <w:p>
      <w:pPr>
        <w:spacing w:after="0" w:line="99" w:lineRule="exact"/>
        <w:rPr>
          <w:rFonts w:ascii="Arial" w:cs="Arial" w:eastAsia="Arial" w:hAnsi="Arial"/>
          <w:sz w:val="16"/>
          <w:szCs w:val="16"/>
          <w:color w:val="auto"/>
        </w:rPr>
      </w:pPr>
    </w:p>
    <w:p>
      <w:pPr>
        <w:ind w:left="1460" w:right="40" w:hanging="188"/>
        <w:spacing w:after="0" w:line="238"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only the Chair of our Board of Directors, our Chief Executive Officer, or a majority of our entire Board of Directors are authorized to call a special meeting of stockholders;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certain litigation against us can only be brought in Delaware;</w:t>
      </w:r>
    </w:p>
    <w:p>
      <w:pPr>
        <w:spacing w:after="0" w:line="99" w:lineRule="exact"/>
        <w:rPr>
          <w:rFonts w:ascii="Arial" w:cs="Arial" w:eastAsia="Arial" w:hAnsi="Arial"/>
          <w:sz w:val="16"/>
          <w:szCs w:val="16"/>
          <w:color w:val="auto"/>
        </w:rPr>
      </w:pPr>
    </w:p>
    <w:p>
      <w:pPr>
        <w:ind w:left="1460" w:right="80" w:hanging="188"/>
        <w:spacing w:after="0" w:line="238" w:lineRule="auto"/>
        <w:tabs>
          <w:tab w:leader="none" w:pos="1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advance notice procedures apply for stockholders to nominate candidates for election as directors or to bring matters before an annual meeting of stockholders; and</w:t>
      </w:r>
    </w:p>
    <w:p>
      <w:pPr>
        <w:spacing w:after="0" w:line="96" w:lineRule="exact"/>
        <w:rPr>
          <w:rFonts w:ascii="Arial" w:cs="Arial" w:eastAsia="Arial" w:hAnsi="Arial"/>
          <w:sz w:val="16"/>
          <w:szCs w:val="16"/>
          <w:color w:val="auto"/>
        </w:rPr>
      </w:pPr>
    </w:p>
    <w:p>
      <w:pPr>
        <w:ind w:left="1460" w:hanging="188"/>
        <w:spacing w:after="0" w:line="269" w:lineRule="auto"/>
        <w:tabs>
          <w:tab w:leader="none" w:pos="14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57" w:lineRule="exact"/>
        <w:rPr>
          <w:sz w:val="20"/>
          <w:szCs w:val="20"/>
          <w:color w:val="auto"/>
        </w:rPr>
      </w:pPr>
    </w:p>
    <w:p>
      <w:pPr>
        <w:ind w:left="800" w:right="120" w:firstLine="482"/>
        <w:spacing w:after="0" w:line="234" w:lineRule="auto"/>
        <w:rPr>
          <w:sz w:val="20"/>
          <w:szCs w:val="20"/>
          <w:color w:val="auto"/>
        </w:rPr>
      </w:pPr>
      <w:r>
        <w:rPr>
          <w:rFonts w:ascii="Arial" w:cs="Arial" w:eastAsia="Arial" w:hAnsi="Arial"/>
          <w:sz w:val="16"/>
          <w:szCs w:val="16"/>
          <w:color w:val="auto"/>
        </w:rPr>
        <w:t>These anti -takeover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56" w:lineRule="exact"/>
        <w:rPr>
          <w:sz w:val="20"/>
          <w:szCs w:val="20"/>
          <w:color w:val="auto"/>
        </w:rPr>
      </w:pPr>
    </w:p>
    <w:p>
      <w:pPr>
        <w:jc w:val="both"/>
        <w:ind w:left="800" w:right="40"/>
        <w:spacing w:after="0" w:line="246" w:lineRule="auto"/>
        <w:rPr>
          <w:sz w:val="20"/>
          <w:szCs w:val="20"/>
          <w:color w:val="auto"/>
        </w:rPr>
      </w:pPr>
      <w:r>
        <w:rPr>
          <w:rFonts w:ascii="Arial" w:cs="Arial" w:eastAsia="Arial" w:hAnsi="Arial"/>
          <w:sz w:val="16"/>
          <w:szCs w:val="16"/>
          <w:b w:val="1"/>
          <w:bCs w:val="1"/>
          <w:i w:val="1"/>
          <w:i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9" w:lineRule="exact"/>
        <w:rPr>
          <w:sz w:val="20"/>
          <w:szCs w:val="20"/>
          <w:color w:val="auto"/>
        </w:rPr>
      </w:pPr>
    </w:p>
    <w:p>
      <w:pPr>
        <w:ind w:left="800" w:right="20" w:firstLine="482"/>
        <w:spacing w:after="0" w:line="250" w:lineRule="auto"/>
        <w:rPr>
          <w:sz w:val="20"/>
          <w:szCs w:val="20"/>
          <w:color w:val="auto"/>
        </w:rPr>
      </w:pPr>
      <w:r>
        <w:rPr>
          <w:rFonts w:ascii="Arial" w:cs="Arial" w:eastAsia="Arial" w:hAnsi="Arial"/>
          <w:sz w:val="15"/>
          <w:szCs w:val="15"/>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3" w:lineRule="exact"/>
        <w:rPr>
          <w:sz w:val="20"/>
          <w:szCs w:val="20"/>
          <w:color w:val="auto"/>
        </w:rPr>
      </w:pPr>
    </w:p>
    <w:p>
      <w:pPr>
        <w:ind w:left="800" w:right="140" w:firstLine="482"/>
        <w:spacing w:after="0" w:line="251"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400"/>
          </w:cols>
          <w:pgMar w:left="320" w:top="419" w:right="117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82"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57" w:lineRule="exact"/>
        <w:rPr>
          <w:sz w:val="20"/>
          <w:szCs w:val="20"/>
          <w:color w:val="auto"/>
        </w:rPr>
      </w:pPr>
    </w:p>
    <w:p>
      <w:pPr>
        <w:ind w:left="800" w:right="440"/>
        <w:spacing w:after="0" w:line="260" w:lineRule="auto"/>
        <w:rPr>
          <w:sz w:val="20"/>
          <w:szCs w:val="20"/>
          <w:color w:val="auto"/>
        </w:rPr>
      </w:pPr>
      <w:r>
        <w:rPr>
          <w:rFonts w:ascii="Arial" w:cs="Arial" w:eastAsia="Arial" w:hAnsi="Arial"/>
          <w:sz w:val="16"/>
          <w:szCs w:val="16"/>
          <w:b w:val="1"/>
          <w:bCs w:val="1"/>
          <w:i w:val="1"/>
          <w:iCs w:val="1"/>
          <w:color w:val="auto"/>
        </w:rPr>
        <w:t>Our common stock market price and trading volume could decline if equity or industry analysts do not publish research or publish inaccurate or unfavorable research about our business.</w:t>
      </w:r>
    </w:p>
    <w:p>
      <w:pPr>
        <w:spacing w:after="0" w:line="6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58" w:lineRule="exact"/>
        <w:rPr>
          <w:sz w:val="20"/>
          <w:szCs w:val="20"/>
          <w:color w:val="auto"/>
        </w:rPr>
      </w:pPr>
    </w:p>
    <w:p>
      <w:pPr>
        <w:ind w:left="800" w:right="20"/>
        <w:spacing w:after="0" w:line="260"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9"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 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 We expect to lose our “emerging growth company” status upon filing of the Form 10-K for the year ending December 31, 2021.</w:t>
      </w:r>
    </w:p>
    <w:p>
      <w:pPr>
        <w:spacing w:after="0" w:line="12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420"/>
          </w:cols>
          <w:pgMar w:left="320" w:top="419" w:right="11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right="220"/>
        <w:spacing w:after="0" w:line="260"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6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As a public company, we are subject to the reporting requirements of the Exchange Act, the Sarbanes- 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9" w:lineRule="exact"/>
        <w:rPr>
          <w:sz w:val="20"/>
          <w:szCs w:val="20"/>
          <w:color w:val="auto"/>
        </w:rPr>
      </w:pPr>
    </w:p>
    <w:p>
      <w:pPr>
        <w:jc w:val="both"/>
        <w:ind w:left="800" w:right="220" w:firstLine="482"/>
        <w:spacing w:after="0" w:line="235" w:lineRule="auto"/>
        <w:rPr>
          <w:sz w:val="20"/>
          <w:szCs w:val="20"/>
          <w:color w:val="auto"/>
        </w:rPr>
      </w:pPr>
      <w:r>
        <w:rPr>
          <w:rFonts w:ascii="Arial" w:cs="Arial" w:eastAsia="Arial" w:hAnsi="Arial"/>
          <w:sz w:val="16"/>
          <w:szCs w:val="16"/>
          <w:color w:val="auto"/>
        </w:rPr>
        <w:t>We also expect that being a public company will make it more expensive for us to maintain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78"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 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06"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440"/>
          </w:cols>
          <w:pgMar w:left="320" w:top="419" w:right="11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3" w:lineRule="exact"/>
        <w:rPr>
          <w:sz w:val="20"/>
          <w:szCs w:val="20"/>
          <w:color w:val="auto"/>
        </w:rPr>
      </w:pPr>
    </w:p>
    <w:p>
      <w:pPr>
        <w:ind w:left="800" w:right="160" w:firstLine="482"/>
        <w:spacing w:after="0" w:line="251"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 -looking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88" w:lineRule="exact"/>
        <w:rPr>
          <w:sz w:val="20"/>
          <w:szCs w:val="20"/>
          <w:color w:val="auto"/>
        </w:rPr>
      </w:pPr>
    </w:p>
    <w:p>
      <w:pPr>
        <w:ind w:left="1460" w:right="58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future financial performance, including our expectations regarding our revenue, our operating expenses, our ability to determine reserves and our ability to remain profitable;</w:t>
      </w:r>
    </w:p>
    <w:p>
      <w:pPr>
        <w:spacing w:after="0" w:line="96" w:lineRule="exact"/>
        <w:rPr>
          <w:rFonts w:ascii="Arial" w:cs="Arial" w:eastAsia="Arial" w:hAnsi="Arial"/>
          <w:sz w:val="16"/>
          <w:szCs w:val="16"/>
          <w:color w:val="auto"/>
        </w:rPr>
      </w:pPr>
    </w:p>
    <w:p>
      <w:pPr>
        <w:ind w:left="1460" w:right="28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improve the effectiveness and predictiveness of our AI models and our expectations that improvements in our AI models can lead to higher approval rates and lower interest rates;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increase the volume of loans facilitated by our AI lending platform;</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enter into new and maintain existing bank partnerships;</w:t>
      </w:r>
    </w:p>
    <w:p>
      <w:pPr>
        <w:spacing w:after="0" w:line="99" w:lineRule="exact"/>
        <w:rPr>
          <w:rFonts w:ascii="Arial" w:cs="Arial" w:eastAsia="Arial" w:hAnsi="Arial"/>
          <w:sz w:val="16"/>
          <w:szCs w:val="16"/>
          <w:color w:val="auto"/>
        </w:rPr>
      </w:pPr>
    </w:p>
    <w:p>
      <w:pPr>
        <w:ind w:left="1460" w:right="38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maintain a diversified loan funding strategy, including bank partnerships and whole loan sales and securitization transactions;</w:t>
      </w:r>
    </w:p>
    <w:p>
      <w:pPr>
        <w:spacing w:after="0" w:line="96" w:lineRule="exact"/>
        <w:rPr>
          <w:rFonts w:ascii="Arial" w:cs="Arial" w:eastAsia="Arial" w:hAnsi="Arial"/>
          <w:sz w:val="16"/>
          <w:szCs w:val="16"/>
          <w:color w:val="auto"/>
        </w:rPr>
      </w:pPr>
    </w:p>
    <w:p>
      <w:pPr>
        <w:ind w:left="146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maintain competitive interest rates offered to borrowers on our platform, while enabling our bank partners to achieve an adequate return over their cost of funding;</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build our brand and protect our reputation from negative publicity;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increase the effectiveness of our marketing strategies, including our direct consumer marketing initiatives;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of the COVID-19 pandemic and any associated economic downturn on our business and results of operations;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and management of future growth, including expanding the number of potential borrowers;</w:t>
      </w:r>
    </w:p>
    <w:p>
      <w:pPr>
        <w:spacing w:after="0" w:line="99" w:lineRule="exact"/>
        <w:rPr>
          <w:rFonts w:ascii="Arial" w:cs="Arial" w:eastAsia="Arial" w:hAnsi="Arial"/>
          <w:sz w:val="16"/>
          <w:szCs w:val="16"/>
          <w:color w:val="auto"/>
        </w:rPr>
      </w:pPr>
    </w:p>
    <w:p>
      <w:pPr>
        <w:ind w:left="1460" w:right="28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adjust our proprietary AI models, products and services in a timely manner in response to changing macroeconomic conditions and fluctuations in the credit market;</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compliance with applicable local, state and federal laws;</w:t>
      </w:r>
    </w:p>
    <w:p>
      <w:pPr>
        <w:spacing w:after="0" w:line="99" w:lineRule="exact"/>
        <w:rPr>
          <w:rFonts w:ascii="Arial" w:cs="Arial" w:eastAsia="Arial" w:hAnsi="Arial"/>
          <w:sz w:val="16"/>
          <w:szCs w:val="16"/>
          <w:color w:val="auto"/>
        </w:rPr>
      </w:pPr>
    </w:p>
    <w:p>
      <w:pPr>
        <w:ind w:left="1460" w:right="54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comply with and successfully adapt to complex and evolving regulatory environments, including regulation of artificial intelligence and machine learning technology;</w:t>
      </w:r>
    </w:p>
    <w:p>
      <w:pPr>
        <w:spacing w:after="0" w:line="96" w:lineRule="exact"/>
        <w:rPr>
          <w:rFonts w:ascii="Arial" w:cs="Arial" w:eastAsia="Arial" w:hAnsi="Arial"/>
          <w:sz w:val="16"/>
          <w:szCs w:val="16"/>
          <w:color w:val="auto"/>
        </w:rPr>
      </w:pPr>
    </w:p>
    <w:p>
      <w:pPr>
        <w:ind w:left="1460" w:right="22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regarding regulatory support of our approach to AI-based lending, including our ongoing discussions with the CFPB;</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protect against increasingly sophisticated fraudulent borrowing and online theft;</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service loans and the ability of third-party collection agents, to pursue collection of delinquent and defaulted loans;</w:t>
      </w:r>
    </w:p>
    <w:p>
      <w:pPr>
        <w:spacing w:after="0" w:line="99" w:lineRule="exact"/>
        <w:rPr>
          <w:rFonts w:ascii="Arial" w:cs="Arial" w:eastAsia="Arial" w:hAnsi="Arial"/>
          <w:sz w:val="16"/>
          <w:szCs w:val="16"/>
          <w:color w:val="auto"/>
        </w:rPr>
      </w:pPr>
    </w:p>
    <w:p>
      <w:pPr>
        <w:ind w:left="1460" w:right="46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successfully compete with companies that are currently in, or may in the future enter, the markets in which we operate;</w:t>
      </w:r>
    </w:p>
    <w:p>
      <w:pPr>
        <w:spacing w:after="0" w:line="96" w:lineRule="exact"/>
        <w:rPr>
          <w:rFonts w:ascii="Arial" w:cs="Arial" w:eastAsia="Arial" w:hAnsi="Arial"/>
          <w:sz w:val="16"/>
          <w:szCs w:val="16"/>
          <w:color w:val="auto"/>
        </w:rPr>
      </w:pPr>
    </w:p>
    <w:p>
      <w:pPr>
        <w:ind w:left="1460" w:right="300" w:hanging="188"/>
        <w:spacing w:after="0" w:line="238" w:lineRule="auto"/>
        <w:tabs>
          <w:tab w:leader="none" w:pos="1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expectations regarding new and evolving markets and our ability enter into new markets and introduce new products and services, such as our recent introduction of auto loans;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440"/>
          </w:cols>
          <w:pgMar w:left="320" w:top="419" w:right="11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80" w:hanging="188"/>
        <w:spacing w:after="0" w:line="238" w:lineRule="auto"/>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effectively secure and maintain the confidentiality of the information received, accessed, stored, provided and used across our systems;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ability to successfully obtain and maintain funding and liquidity to support continued growth and general corporate purposes;</w:t>
      </w:r>
    </w:p>
    <w:p>
      <w:pPr>
        <w:spacing w:after="0" w:line="111" w:lineRule="exact"/>
        <w:rPr>
          <w:rFonts w:ascii="Arial" w:cs="Arial" w:eastAsia="Arial" w:hAnsi="Arial"/>
          <w:sz w:val="15"/>
          <w:szCs w:val="15"/>
          <w:color w:val="auto"/>
        </w:rPr>
      </w:pPr>
    </w:p>
    <w:p>
      <w:pPr>
        <w:ind w:left="1460" w:hanging="188"/>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attract, integrate and retain qualified employees;</w:t>
      </w:r>
    </w:p>
    <w:p>
      <w:pPr>
        <w:spacing w:after="0" w:line="99" w:lineRule="exact"/>
        <w:rPr>
          <w:rFonts w:ascii="Arial" w:cs="Arial" w:eastAsia="Arial" w:hAnsi="Arial"/>
          <w:sz w:val="16"/>
          <w:szCs w:val="16"/>
          <w:color w:val="auto"/>
        </w:rPr>
      </w:pPr>
    </w:p>
    <w:p>
      <w:pPr>
        <w:ind w:left="1460" w:right="560" w:hanging="188"/>
        <w:spacing w:after="0" w:line="238" w:lineRule="auto"/>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effectively manage and expand the capabilities of our operations teams, outsourcing relationships and other business operations;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expectations regarding outstanding litigation and regulatory investigations;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anticipated uses of net proceeds from this offering.</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We caution you that the foregoing list may not contain all of the forward-looking statements made in this prospectus.</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1" w:lineRule="exact"/>
        <w:rPr>
          <w:sz w:val="20"/>
          <w:szCs w:val="20"/>
          <w:color w:val="auto"/>
        </w:rPr>
      </w:pPr>
    </w:p>
    <w:p>
      <w:pPr>
        <w:ind w:left="800" w:right="160" w:firstLine="482"/>
        <w:spacing w:after="0" w:line="23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20"/>
          </w:cols>
          <w:pgMar w:left="320" w:top="419" w:right="11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INDUSTRY, MARKET AND OTHER DATA</w:t>
      </w:r>
    </w:p>
    <w:p>
      <w:pPr>
        <w:spacing w:after="0" w:line="20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content of, or accessibility through, the below sources and websites, except to the extent specifically set forth in this prospectus, does not constitute a portion of this prospectus and is not incorporated herein, and any websites are an inactive textual reference only.</w:t>
      </w:r>
    </w:p>
    <w:p>
      <w:pPr>
        <w:spacing w:after="0" w:line="178"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96" w:lineRule="exact"/>
        <w:rPr>
          <w:sz w:val="20"/>
          <w:szCs w:val="20"/>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Adrian D. Garcia, Bankrate: JPM, Big Banks Spend Billions on Tech but Innovation Lags, July 2018.</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Bain &amp; Company, Inc., Evolving the Customer Experience in Banking, 2017.</w:t>
      </w:r>
    </w:p>
    <w:p>
      <w:pPr>
        <w:spacing w:after="0" w:line="99" w:lineRule="exact"/>
        <w:rPr>
          <w:rFonts w:ascii="Arial" w:cs="Arial" w:eastAsia="Arial" w:hAnsi="Arial"/>
          <w:sz w:val="16"/>
          <w:szCs w:val="16"/>
          <w:color w:val="auto"/>
        </w:rPr>
      </w:pPr>
    </w:p>
    <w:p>
      <w:pPr>
        <w:ind w:left="1460" w:right="200" w:hanging="188"/>
        <w:spacing w:after="0" w:line="236" w:lineRule="auto"/>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December 2019.</w:t>
      </w:r>
    </w:p>
    <w:p>
      <w:pPr>
        <w:spacing w:after="0" w:line="95"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Eldar Beiseitov, Federal Reserve Bank of St. Louis: Unsecured Personal Loans Get a Boost From Fintech Lenders, July 2019.</w:t>
      </w:r>
    </w:p>
    <w:p>
      <w:pPr>
        <w:spacing w:after="0" w:line="99" w:lineRule="exact"/>
        <w:rPr>
          <w:rFonts w:ascii="Arial" w:cs="Arial" w:eastAsia="Arial" w:hAnsi="Arial"/>
          <w:sz w:val="16"/>
          <w:szCs w:val="16"/>
          <w:color w:val="auto"/>
        </w:rPr>
      </w:pPr>
    </w:p>
    <w:p>
      <w:pPr>
        <w:ind w:left="1460" w:right="340" w:hanging="188"/>
        <w:spacing w:after="0" w:line="238" w:lineRule="auto"/>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Consumer Financial Protection Bureau, No-Action Letter to Upstart Network, Inc. dated September 14, 2017, as modified on September 11, 2020.</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Consumer Financial Protection Bureau, Policy on No-Action Letters, September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Federal Home Loan Bank of San Francisco, Cost of Funds Index, December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Federal Deposit Insurance Corporation, Statistics on Depository Institutions, December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Reserve Board, Statistical Release: Consumer Credit, December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Federal Reserve Board, Household Debt Service and Financial Obligations Ratios, December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Forbes, citing Temkin Group Insight Report, NPS Benchmark Study, 2018, October 2018.</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Matt Komos, TransUnion: Consumer Credit Origination, Balance and Delinquency Trends: Q2 2020, September 2020.</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Matt Komos, TransUnion: Consumer Credit Origination, Balance and Delinquency Trends: Q1 2020, June 2020.</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Matt Komos, TransUnion: Consumer Credit Origination, Balance and Delinquency Trends: Q4 2019, March 2020.</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Matt Komos, TransUnion: Consumer Credit Origination, Balance and Delinquency Trends: Q3 2019, November 2019.</w:t>
      </w:r>
    </w:p>
    <w:p>
      <w:pPr>
        <w:spacing w:after="0" w:line="99" w:lineRule="exact"/>
        <w:rPr>
          <w:rFonts w:ascii="Arial" w:cs="Arial" w:eastAsia="Arial" w:hAnsi="Arial"/>
          <w:sz w:val="16"/>
          <w:szCs w:val="16"/>
          <w:color w:val="auto"/>
        </w:rPr>
      </w:pPr>
    </w:p>
    <w:p>
      <w:pPr>
        <w:ind w:left="1460" w:right="760" w:hanging="188"/>
        <w:spacing w:after="0" w:line="238" w:lineRule="auto"/>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Kathleen L. Kraninger, Consumer Financial Protection Bureau: Director Kraninger’s Remarks at TCH-BPI Conference, November 2019.</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440"/>
          </w:cols>
          <w:pgMar w:left="320" w:top="419" w:right="11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Kirsten Wysen, Open Source Solutions: Why Credit Scores and Payday Lending Matter for Health, October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Kroll Bond Rating Agency, KBRA Surveillance Reports, December 2019.</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McKinsey Global Institute, Notes From the AI Frontier: Modeling the Impact of AI on the World Economy, September 2018.</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Naeem Siddiqi, Intelligent Credit Scoring: Building and Implementing Better Credit Risk Scorecards—2nd Edition, 2017.</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Northwestern Mutual, 2019 Planning &amp; Progress Study: The Debt Debacle, 2019.</w:t>
      </w:r>
    </w:p>
    <w:p>
      <w:pPr>
        <w:spacing w:after="0" w:line="99" w:lineRule="exact"/>
        <w:rPr>
          <w:rFonts w:ascii="Arial" w:cs="Arial" w:eastAsia="Arial" w:hAnsi="Arial"/>
          <w:sz w:val="16"/>
          <w:szCs w:val="16"/>
          <w:color w:val="auto"/>
        </w:rPr>
      </w:pPr>
    </w:p>
    <w:p>
      <w:pPr>
        <w:ind w:left="1460" w:hanging="188"/>
        <w:spacing w:after="0" w:line="238"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Patrice Ficklin and Paul Watkins, Consumer Financial Protection Bureau Blog: An Update on Credit Access and the Bureau’s First No-Action Letter, August 2019.</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PricewaterhouseCoopers LLP, Experience Is Everything: Here’s How to Get It Right, 2018.</w:t>
      </w:r>
    </w:p>
    <w:p>
      <w:pPr>
        <w:spacing w:after="0" w:line="99" w:lineRule="exact"/>
        <w:rPr>
          <w:rFonts w:ascii="Arial" w:cs="Arial" w:eastAsia="Arial" w:hAnsi="Arial"/>
          <w:sz w:val="16"/>
          <w:szCs w:val="16"/>
          <w:color w:val="auto"/>
        </w:rPr>
      </w:pPr>
    </w:p>
    <w:p>
      <w:pPr>
        <w:ind w:left="1460" w:right="120" w:hanging="188"/>
        <w:spacing w:after="0" w:line="238" w:lineRule="auto"/>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RedPoint Global and the Harris Poll, Addressing the Gaps in Customer Experience: A Benchmark Study Exploring the Ever Evolving Customer Experience and How Marketers and Consumers Are Adapting, March 2019.</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Rob Kaufman, myFico Blog: The History of the FICO Score, August 2018.</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Statista: Value of Loans of all Commercial Banks in the United States from March 2014 to August 2020, September 2020.</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Wei Wu, Vadim Verkhoglyad and Alex Kale, dv01 Insights: Covid-19 Performance Report Volume 9, July 2020.</w:t>
      </w:r>
    </w:p>
    <w:p>
      <w:pPr>
        <w:spacing w:after="0" w:line="183"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References to market size estimates are based on quarterly U.S. loan origination data published by TransUnion as part of its quarterly Consumer Credit Origination, Balance and Delinquency Trends reports.</w:t>
      </w:r>
    </w:p>
    <w:p>
      <w:pPr>
        <w:spacing w:after="0" w:line="179" w:lineRule="exact"/>
        <w:rPr>
          <w:sz w:val="20"/>
          <w:szCs w:val="20"/>
          <w:color w:val="auto"/>
        </w:rPr>
      </w:pPr>
    </w:p>
    <w:p>
      <w:pPr>
        <w:ind w:left="800" w:right="160" w:firstLine="482"/>
        <w:spacing w:after="0" w:line="236" w:lineRule="auto"/>
        <w:rPr>
          <w:sz w:val="20"/>
          <w:szCs w:val="20"/>
          <w:color w:val="auto"/>
        </w:rPr>
      </w:pPr>
      <w:r>
        <w:rPr>
          <w:rFonts w:ascii="Arial" w:cs="Arial" w:eastAsia="Arial" w:hAnsi="Arial"/>
          <w:sz w:val="16"/>
          <w:szCs w:val="16"/>
          <w:color w:val="auto"/>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160"/>
          </w:cols>
          <w:pgMar w:left="320" w:top="419" w:right="141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USE OF PROCEEDS</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We estimate that the net proceeds to us from the sale of shares of our common stock in this offering will be approximately</w:t>
      </w:r>
    </w:p>
    <w:p>
      <w:pPr>
        <w:ind w:left="800"/>
        <w:spacing w:after="0"/>
        <w:rPr>
          <w:sz w:val="20"/>
          <w:szCs w:val="20"/>
          <w:color w:val="auto"/>
        </w:rPr>
      </w:pPr>
      <w:r>
        <w:rPr>
          <w:rFonts w:ascii="Arial" w:cs="Arial" w:eastAsia="Arial" w:hAnsi="Arial"/>
          <w:sz w:val="15"/>
          <w:szCs w:val="15"/>
          <w:color w:val="auto"/>
        </w:rPr>
        <w:t>$271.8 million, based upon an assumed public offering price of $140.52 per share, the last reported sale price of our common stock on the</w:t>
      </w:r>
    </w:p>
    <w:p>
      <w:pPr>
        <w:ind w:left="800"/>
        <w:spacing w:after="0" w:line="237" w:lineRule="auto"/>
        <w:rPr>
          <w:sz w:val="20"/>
          <w:szCs w:val="20"/>
          <w:color w:val="auto"/>
        </w:rPr>
      </w:pPr>
      <w:r>
        <w:rPr>
          <w:rFonts w:ascii="Arial" w:cs="Arial" w:eastAsia="Arial" w:hAnsi="Arial"/>
          <w:sz w:val="16"/>
          <w:szCs w:val="16"/>
          <w:color w:val="auto"/>
        </w:rPr>
        <w:t>Nasdaq Global Select Market on April 5, 2021, and after deducting estimated underwriting discounts and commissions and estimated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offering expenses payable by us. If the underwriters’ option to purchase additional shares of our common stock from us is exercised in full,</w:t>
      </w:r>
    </w:p>
    <w:p>
      <w:pPr>
        <w:ind w:left="800"/>
        <w:spacing w:after="0" w:line="237" w:lineRule="auto"/>
        <w:rPr>
          <w:sz w:val="20"/>
          <w:szCs w:val="20"/>
          <w:color w:val="auto"/>
        </w:rPr>
      </w:pPr>
      <w:r>
        <w:rPr>
          <w:rFonts w:ascii="Arial" w:cs="Arial" w:eastAsia="Arial" w:hAnsi="Arial"/>
          <w:sz w:val="16"/>
          <w:szCs w:val="16"/>
          <w:color w:val="auto"/>
        </w:rPr>
        <w:t>we estimate that the net proceeds to us would be approximately $312.7 million, after deducting estimated underwriting discounts and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commissions and estimated offering expenses payable by us.</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Each $1.00 increase or decrease in the assumed public offering price of $140.52 per share, the last reported sale price of our common stock on the Nasdaq Global Select Market on April 5, 2021, would increase or decrease the net proceeds that we receive from this offering by approximately $1.9 million,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common stock offered by us would increase or decrease the net proceeds that we receive from this offering by approximately $136.3 million, assuming the assumed public offering price remains the same and after deducting the estimated underwriting discounts and commissions payable by us.</w:t>
      </w:r>
    </w:p>
    <w:p>
      <w:pPr>
        <w:spacing w:after="0" w:line="18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principal purposes of this offering are to increase financial flexibility, obtain additional capital and increase our public float.</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other than as described elsewhere in this prospectus, we do not have agreements or commitments for any acquisitions or investments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2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440"/>
          </w:cols>
          <w:pgMar w:left="320" w:top="419" w:right="11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MARKET INFORMATION RELATING TO OUR COMMON STOCK</w:t>
      </w:r>
    </w:p>
    <w:p>
      <w:pPr>
        <w:spacing w:after="0" w:line="203"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Our common stock began trading on the Nasdaq Global Select Market on December 16, 2020 under the symbol “UPST”. Prior to that date, there was no public trading market for our common stock.</w:t>
      </w:r>
    </w:p>
    <w:p>
      <w:pPr>
        <w:spacing w:after="0" w:line="179"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As of December 31, 2020, we had 214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280"/>
          </w:cols>
          <w:pgMar w:left="320" w:top="419" w:right="129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DIVIDEND POLICY</w:t>
      </w:r>
    </w:p>
    <w:p>
      <w:pPr>
        <w:spacing w:after="0" w:line="20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Additionally, our ability to pay cash dividends on our common stock is limited by restrictions under the terms of our credit facilities with Silicon Valley Bank.</w:t>
      </w:r>
    </w:p>
    <w:p>
      <w:pPr>
        <w:spacing w:after="0" w:line="12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360"/>
          </w:cols>
          <w:pgMar w:left="320" w:top="419" w:right="121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CAPITALIZATION</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sets forth our cash and capitalization as of December 31, 2020 as follows:</w:t>
      </w:r>
    </w:p>
    <w:p>
      <w:pPr>
        <w:spacing w:after="0" w:line="100" w:lineRule="exact"/>
        <w:rPr>
          <w:sz w:val="20"/>
          <w:szCs w:val="20"/>
          <w:color w:val="auto"/>
        </w:rPr>
      </w:pPr>
    </w:p>
    <w:p>
      <w:pPr>
        <w:ind w:left="1460" w:hanging="188"/>
        <w:spacing w:after="0"/>
        <w:tabs>
          <w:tab w:leader="none" w:pos="1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actual basis;</w:t>
      </w:r>
    </w:p>
    <w:p>
      <w:pPr>
        <w:spacing w:after="0" w:line="99" w:lineRule="exact"/>
        <w:rPr>
          <w:rFonts w:ascii="Arial" w:cs="Arial" w:eastAsia="Arial" w:hAnsi="Arial"/>
          <w:sz w:val="16"/>
          <w:szCs w:val="16"/>
          <w:color w:val="auto"/>
        </w:rPr>
      </w:pPr>
    </w:p>
    <w:p>
      <w:pPr>
        <w:ind w:left="1460" w:right="220" w:hanging="188"/>
        <w:spacing w:after="0" w:line="235" w:lineRule="auto"/>
        <w:tabs>
          <w:tab w:leader="none" w:pos="1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an as adjusted basis, giving effect to the sale and issuance by us of 2,000,000 shares of our common stock in this offering, based upon the assumed public offering price of $140.52 per share, the last reported sale price of our common stock on the Nasdaq Global Select Market on April 5, 2021, and after deducting estimated underwriting discounts and commissions and estimated offering expenses payable by us.</w:t>
      </w:r>
    </w:p>
    <w:p>
      <w:pPr>
        <w:spacing w:after="0" w:line="178" w:lineRule="exact"/>
        <w:rPr>
          <w:sz w:val="20"/>
          <w:szCs w:val="20"/>
          <w:color w:val="auto"/>
        </w:rPr>
      </w:pPr>
    </w:p>
    <w:p>
      <w:pPr>
        <w:ind w:left="800" w:right="120" w:firstLine="482"/>
        <w:spacing w:after="0" w:line="235" w:lineRule="auto"/>
        <w:rPr>
          <w:sz w:val="20"/>
          <w:szCs w:val="20"/>
          <w:color w:val="auto"/>
        </w:rPr>
      </w:pPr>
      <w:r>
        <w:rPr>
          <w:rFonts w:ascii="Arial" w:cs="Arial" w:eastAsia="Arial" w:hAnsi="Arial"/>
          <w:sz w:val="16"/>
          <w:szCs w:val="16"/>
          <w:color w:val="auto"/>
        </w:rPr>
        <w:t>The as adjusted information set forth in the table below is illustrative only and will be adjusted based on the actual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As of December 31,</w:t>
            </w:r>
          </w:p>
        </w:tc>
      </w:tr>
      <w:tr>
        <w:trPr>
          <w:trHeight w:val="154"/>
        </w:trPr>
        <w:tc>
          <w:tcPr>
            <w:tcW w:w="38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54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r>
      <w:tr>
        <w:trPr>
          <w:trHeight w:val="119"/>
        </w:trPr>
        <w:tc>
          <w:tcPr>
            <w:tcW w:w="38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right"/>
              <w:ind w:right="192"/>
              <w:spacing w:after="0" w:line="119" w:lineRule="exact"/>
              <w:rPr>
                <w:sz w:val="20"/>
                <w:szCs w:val="20"/>
                <w:color w:val="auto"/>
              </w:rPr>
            </w:pPr>
            <w:r>
              <w:rPr>
                <w:rFonts w:ascii="Arial" w:cs="Arial" w:eastAsia="Arial" w:hAnsi="Arial"/>
                <w:sz w:val="13"/>
                <w:szCs w:val="13"/>
                <w:b w:val="1"/>
                <w:bCs w:val="1"/>
                <w:color w:val="auto"/>
              </w:rPr>
              <w:t>As</w:t>
            </w:r>
          </w:p>
        </w:tc>
        <w:tc>
          <w:tcPr>
            <w:tcW w:w="80" w:type="dxa"/>
            <w:vAlign w:val="bottom"/>
          </w:tcPr>
          <w:p>
            <w:pPr>
              <w:spacing w:after="0"/>
              <w:rPr>
                <w:sz w:val="10"/>
                <w:szCs w:val="10"/>
                <w:color w:val="auto"/>
              </w:rPr>
            </w:pPr>
          </w:p>
        </w:tc>
      </w:tr>
      <w:tr>
        <w:trPr>
          <w:trHeight w:val="156"/>
        </w:trPr>
        <w:tc>
          <w:tcPr>
            <w:tcW w:w="3800" w:type="dxa"/>
            <w:vAlign w:val="bottom"/>
          </w:tcPr>
          <w:p>
            <w:pPr>
              <w:spacing w:after="0"/>
              <w:rPr>
                <w:sz w:val="20"/>
                <w:szCs w:val="20"/>
                <w:color w:val="auto"/>
              </w:rPr>
            </w:pPr>
            <w:r>
              <w:rPr>
                <w:rFonts w:ascii="Arial" w:cs="Arial" w:eastAsia="Arial" w:hAnsi="Arial"/>
                <w:sz w:val="13"/>
                <w:szCs w:val="13"/>
                <w:i w:val="1"/>
                <w:iCs w:val="1"/>
                <w:color w:val="auto"/>
              </w:rPr>
              <w:t>(In thousands, except share and per share amounts)</w:t>
            </w:r>
          </w:p>
        </w:tc>
        <w:tc>
          <w:tcPr>
            <w:tcW w:w="42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Actual</w:t>
            </w:r>
          </w:p>
        </w:tc>
        <w:tc>
          <w:tcPr>
            <w:tcW w:w="740" w:type="dxa"/>
            <w:vAlign w:val="bottom"/>
            <w:gridSpan w:val="2"/>
          </w:tcPr>
          <w:p>
            <w:pPr>
              <w:jc w:val="right"/>
              <w:ind w:right="80"/>
              <w:spacing w:after="0" w:line="157"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8"/>
                <w:szCs w:val="18"/>
                <w:b w:val="1"/>
                <w:bCs w:val="1"/>
                <w:color w:val="auto"/>
                <w:vertAlign w:val="superscript"/>
              </w:rPr>
              <w:t>(1)</w:t>
            </w:r>
          </w:p>
        </w:tc>
      </w:tr>
      <w:tr>
        <w:trPr>
          <w:trHeight w:val="157"/>
        </w:trPr>
        <w:tc>
          <w:tcPr>
            <w:tcW w:w="380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Cash</w:t>
            </w:r>
          </w:p>
        </w:tc>
        <w:tc>
          <w:tcPr>
            <w:tcW w:w="42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250,819</w:t>
            </w:r>
          </w:p>
        </w:tc>
        <w:tc>
          <w:tcPr>
            <w:tcW w:w="2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$ 522,635</w:t>
            </w:r>
          </w:p>
        </w:tc>
        <w:tc>
          <w:tcPr>
            <w:tcW w:w="80" w:type="dxa"/>
            <w:vAlign w:val="bottom"/>
            <w:tcBorders>
              <w:top w:val="single" w:sz="8" w:color="CCEEFF"/>
            </w:tcBorders>
            <w:shd w:val="clear" w:color="auto" w:fill="CCEEFF"/>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3"/>
        </w:trPr>
        <w:tc>
          <w:tcPr>
            <w:tcW w:w="3800" w:type="dxa"/>
            <w:vAlign w:val="bottom"/>
          </w:tcPr>
          <w:p>
            <w:pPr>
              <w:spacing w:after="0" w:line="153" w:lineRule="exact"/>
              <w:rPr>
                <w:sz w:val="20"/>
                <w:szCs w:val="20"/>
                <w:color w:val="auto"/>
              </w:rPr>
            </w:pPr>
            <w:r>
              <w:rPr>
                <w:rFonts w:ascii="Arial" w:cs="Arial" w:eastAsia="Arial" w:hAnsi="Arial"/>
                <w:sz w:val="14"/>
                <w:szCs w:val="14"/>
                <w:color w:val="auto"/>
              </w:rPr>
              <w:t>Total borrowings</w:t>
            </w:r>
          </w:p>
        </w:tc>
        <w:tc>
          <w:tcPr>
            <w:tcW w:w="4220" w:type="dxa"/>
            <w:vAlign w:val="bottom"/>
          </w:tcPr>
          <w:p>
            <w:pPr>
              <w:spacing w:after="0"/>
              <w:rPr>
                <w:sz w:val="13"/>
                <w:szCs w:val="13"/>
                <w:color w:val="auto"/>
              </w:rPr>
            </w:pPr>
          </w:p>
        </w:tc>
        <w:tc>
          <w:tcPr>
            <w:tcW w:w="600" w:type="dxa"/>
            <w:vAlign w:val="bottom"/>
          </w:tcPr>
          <w:p>
            <w:pPr>
              <w:jc w:val="right"/>
              <w:spacing w:after="0" w:line="153" w:lineRule="exact"/>
              <w:rPr>
                <w:sz w:val="20"/>
                <w:szCs w:val="20"/>
                <w:color w:val="auto"/>
              </w:rPr>
            </w:pPr>
            <w:r>
              <w:rPr>
                <w:rFonts w:ascii="Arial" w:cs="Arial" w:eastAsia="Arial" w:hAnsi="Arial"/>
                <w:sz w:val="14"/>
                <w:szCs w:val="14"/>
                <w:color w:val="auto"/>
              </w:rPr>
              <w:t>62,626</w:t>
            </w:r>
          </w:p>
        </w:tc>
        <w:tc>
          <w:tcPr>
            <w:tcW w:w="280" w:type="dxa"/>
            <w:vAlign w:val="bottom"/>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62,626</w:t>
            </w:r>
          </w:p>
        </w:tc>
        <w:tc>
          <w:tcPr>
            <w:tcW w:w="80" w:type="dxa"/>
            <w:vAlign w:val="bottom"/>
          </w:tcPr>
          <w:p>
            <w:pPr>
              <w:spacing w:after="0"/>
              <w:rPr>
                <w:sz w:val="13"/>
                <w:szCs w:val="13"/>
                <w:color w:val="auto"/>
              </w:rPr>
            </w:pPr>
          </w:p>
        </w:tc>
      </w:tr>
      <w:tr>
        <w:trPr>
          <w:trHeight w:val="166"/>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4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8020" w:type="dxa"/>
            <w:vAlign w:val="bottom"/>
            <w:gridSpan w:val="2"/>
          </w:tcPr>
          <w:p>
            <w:pPr>
              <w:ind w:left="280"/>
              <w:spacing w:after="0"/>
              <w:rPr>
                <w:sz w:val="20"/>
                <w:szCs w:val="20"/>
                <w:color w:val="auto"/>
              </w:rPr>
            </w:pPr>
            <w:r>
              <w:rPr>
                <w:rFonts w:ascii="Arial" w:cs="Arial" w:eastAsia="Arial" w:hAnsi="Arial"/>
                <w:sz w:val="14"/>
                <w:szCs w:val="14"/>
                <w:color w:val="auto"/>
              </w:rPr>
              <w:t>Common stock, par value $0.0001 per share: 700,000,000 shares authorized, 73,314,026 shares issued and</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3800" w:type="dxa"/>
            <w:vAlign w:val="bottom"/>
          </w:tcPr>
          <w:p>
            <w:pPr>
              <w:ind w:left="420"/>
              <w:spacing w:after="0"/>
              <w:rPr>
                <w:sz w:val="20"/>
                <w:szCs w:val="20"/>
                <w:color w:val="auto"/>
              </w:rPr>
            </w:pPr>
            <w:r>
              <w:rPr>
                <w:rFonts w:ascii="Arial" w:cs="Arial" w:eastAsia="Arial" w:hAnsi="Arial"/>
                <w:sz w:val="14"/>
                <w:szCs w:val="14"/>
                <w:color w:val="auto"/>
              </w:rPr>
              <w:t>outstanding, actual; 700,000,000 shares authorized,</w:t>
            </w:r>
          </w:p>
        </w:tc>
        <w:tc>
          <w:tcPr>
            <w:tcW w:w="4220" w:type="dxa"/>
            <w:vAlign w:val="bottom"/>
          </w:tcPr>
          <w:p>
            <w:pPr>
              <w:ind w:left="120"/>
              <w:spacing w:after="0"/>
              <w:rPr>
                <w:sz w:val="20"/>
                <w:szCs w:val="20"/>
                <w:color w:val="auto"/>
              </w:rPr>
            </w:pPr>
            <w:r>
              <w:rPr>
                <w:rFonts w:ascii="Arial" w:cs="Arial" w:eastAsia="Arial" w:hAnsi="Arial"/>
                <w:sz w:val="14"/>
                <w:szCs w:val="14"/>
                <w:color w:val="auto"/>
              </w:rPr>
              <w:t>shares issued and outstanding, as adjusted</w:t>
            </w: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r>
      <w:tr>
        <w:trPr>
          <w:trHeight w:val="166"/>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4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369,467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641,282</w:t>
            </w:r>
          </w:p>
        </w:tc>
        <w:tc>
          <w:tcPr>
            <w:tcW w:w="80" w:type="dxa"/>
            <w:vAlign w:val="bottom"/>
            <w:shd w:val="clear" w:color="auto" w:fill="CCEEFF"/>
          </w:tcPr>
          <w:p>
            <w:pPr>
              <w:spacing w:after="0"/>
              <w:rPr>
                <w:sz w:val="14"/>
                <w:szCs w:val="14"/>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4"/>
                <w:szCs w:val="14"/>
                <w:color w:val="auto"/>
              </w:rPr>
              <w:t>Accumulated deficit</w:t>
            </w:r>
          </w:p>
        </w:tc>
        <w:tc>
          <w:tcPr>
            <w:tcW w:w="42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(69,222)</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(69,222)</w:t>
            </w:r>
          </w:p>
        </w:tc>
      </w:tr>
      <w:tr>
        <w:trPr>
          <w:trHeight w:val="166"/>
        </w:trPr>
        <w:tc>
          <w:tcPr>
            <w:tcW w:w="3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4220" w:type="dxa"/>
            <w:vAlign w:val="bottom"/>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572,068</w:t>
            </w:r>
          </w:p>
        </w:tc>
        <w:tc>
          <w:tcPr>
            <w:tcW w:w="80" w:type="dxa"/>
            <w:vAlign w:val="bottom"/>
            <w:shd w:val="clear" w:color="auto" w:fill="CCEEFF"/>
          </w:tcPr>
          <w:p>
            <w:pPr>
              <w:spacing w:after="0"/>
              <w:rPr>
                <w:sz w:val="14"/>
                <w:szCs w:val="14"/>
                <w:color w:val="auto"/>
              </w:rPr>
            </w:pPr>
          </w:p>
        </w:tc>
      </w:tr>
      <w:tr>
        <w:trPr>
          <w:trHeight w:val="169"/>
        </w:trPr>
        <w:tc>
          <w:tcPr>
            <w:tcW w:w="3800" w:type="dxa"/>
            <w:vAlign w:val="bottom"/>
          </w:tcPr>
          <w:p>
            <w:pPr>
              <w:ind w:left="560"/>
              <w:spacing w:after="0"/>
              <w:rPr>
                <w:sz w:val="20"/>
                <w:szCs w:val="20"/>
                <w:color w:val="auto"/>
              </w:rPr>
            </w:pPr>
            <w:r>
              <w:rPr>
                <w:rFonts w:ascii="Arial" w:cs="Arial" w:eastAsia="Arial" w:hAnsi="Arial"/>
                <w:sz w:val="14"/>
                <w:szCs w:val="14"/>
                <w:color w:val="auto"/>
              </w:rPr>
              <w:t>Total capitalization</w:t>
            </w:r>
          </w:p>
        </w:tc>
        <w:tc>
          <w:tcPr>
            <w:tcW w:w="42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362,878</w:t>
            </w: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$ 634,694</w:t>
            </w:r>
          </w:p>
        </w:tc>
        <w:tc>
          <w:tcPr>
            <w:tcW w:w="8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82550</wp:posOffset>
            </wp:positionV>
            <wp:extent cx="6756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62" w:lineRule="exact"/>
        <w:rPr>
          <w:sz w:val="20"/>
          <w:szCs w:val="20"/>
          <w:color w:val="auto"/>
        </w:rPr>
      </w:pPr>
    </w:p>
    <w:p>
      <w:pPr>
        <w:ind w:left="1280" w:hanging="481"/>
        <w:spacing w:after="0" w:line="251" w:lineRule="auto"/>
        <w:tabs>
          <w:tab w:leader="none" w:pos="128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Each $1.00 increase or decrease in the assumed public offering price of $140.52 per share, which is the last reported sale price of our common stock on the Nasdaq Global Select Market on April 5, 2021, would increase or decrease the amount of our as adjusted cash, additional paid-in capital, total stockholders’ equity and total capitalization by approximately $1.9 million, assuming that the number of shares offered by us, as set forth on the cover page of this prospectus, remains the same and after deducting estimated underwriting discounts and commissions payable by us. An increase or decrease of 1.0 million shares in the number of shares offered by us would increase or decrease, as applicable, the amount of our as adjusted cash, additional paid-in capital, total stockholders’ equity, and total capitalization by $136.3 million, assuming the public offering price remains the same, and after deducting estimated underwriting discounts and commissions payable by us.</w:t>
      </w:r>
    </w:p>
    <w:p>
      <w:pPr>
        <w:spacing w:after="0" w:line="170" w:lineRule="exact"/>
        <w:rPr>
          <w:sz w:val="20"/>
          <w:szCs w:val="20"/>
          <w:color w:val="auto"/>
        </w:rPr>
      </w:pPr>
    </w:p>
    <w:p>
      <w:pPr>
        <w:ind w:left="800" w:right="380" w:firstLine="482"/>
        <w:spacing w:after="0" w:line="236" w:lineRule="auto"/>
        <w:rPr>
          <w:sz w:val="20"/>
          <w:szCs w:val="20"/>
          <w:color w:val="auto"/>
        </w:rPr>
      </w:pPr>
      <w:r>
        <w:rPr>
          <w:rFonts w:ascii="Arial" w:cs="Arial" w:eastAsia="Arial" w:hAnsi="Arial"/>
          <w:sz w:val="16"/>
          <w:szCs w:val="16"/>
          <w:color w:val="auto"/>
        </w:rPr>
        <w:t>If the underwriters’ option to purchase additional shares of our common stock from us were exercised in full, as adjusted cash, additional paid-in capital, total stockholders’ equity, total capitalization, and shares outstanding as of December 31, 2020 would be $563.5 million, $682.2 million, $613.0 million, $675.6 million, and 75,614,026, respectively.</w:t>
      </w:r>
    </w:p>
    <w:p>
      <w:pPr>
        <w:spacing w:after="0" w:line="17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as adjusted column in the table above are based on 75,314,026 shares of our common stock outstanding as of December 31, 2020, and excludes:</w:t>
      </w:r>
    </w:p>
    <w:p>
      <w:pPr>
        <w:spacing w:after="0" w:line="96" w:lineRule="exact"/>
        <w:rPr>
          <w:sz w:val="20"/>
          <w:szCs w:val="20"/>
          <w:color w:val="auto"/>
        </w:rPr>
      </w:pPr>
    </w:p>
    <w:p>
      <w:pPr>
        <w:ind w:left="1460" w:right="640" w:hanging="188"/>
        <w:spacing w:after="0" w:line="238" w:lineRule="auto"/>
        <w:tabs>
          <w:tab w:leader="none" w:pos="1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19,600,223 shares of our common stock issuable upon the exercise of options to purchase shares of our common stock outstanding as of December 31, 2020, with a weighted-average exercise price of $4.27 per share;</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440"/>
          </w:cols>
          <w:pgMar w:left="320" w:top="419" w:right="11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160" w:hanging="188"/>
        <w:spacing w:after="0" w:line="238" w:lineRule="auto"/>
        <w:tabs>
          <w:tab w:leader="none" w:pos="1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606,830 shares of our common stock issuable upon the exercise of options to purchase shares of our common stock that were granted after December 31, 2020, with a weighted-average exercise price of $104.82 per share;</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835,307 restricted stock units, or RSUs, of Upstart Holdings, Inc. that were granted after December 31, 2020; and</w:t>
      </w:r>
    </w:p>
    <w:p>
      <w:pPr>
        <w:spacing w:after="0" w:line="99" w:lineRule="exact"/>
        <w:rPr>
          <w:rFonts w:ascii="Arial" w:cs="Arial" w:eastAsia="Arial" w:hAnsi="Arial"/>
          <w:sz w:val="16"/>
          <w:szCs w:val="16"/>
          <w:color w:val="auto"/>
        </w:rPr>
      </w:pPr>
    </w:p>
    <w:p>
      <w:pPr>
        <w:ind w:left="1460" w:right="200" w:hanging="188"/>
        <w:spacing w:after="0" w:line="238" w:lineRule="auto"/>
        <w:tabs>
          <w:tab w:leader="none" w:pos="1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9,437,181 shares of our common stock reserved for future issuance under our equity compensation plans as of December 31, 2020, consisting of:</w:t>
      </w:r>
    </w:p>
    <w:p>
      <w:pPr>
        <w:spacing w:after="0" w:line="96" w:lineRule="exact"/>
        <w:rPr>
          <w:rFonts w:ascii="Arial" w:cs="Arial" w:eastAsia="Arial" w:hAnsi="Arial"/>
          <w:sz w:val="16"/>
          <w:szCs w:val="16"/>
          <w:color w:val="auto"/>
        </w:rPr>
      </w:pPr>
    </w:p>
    <w:p>
      <w:pPr>
        <w:ind w:left="1860" w:right="340" w:hanging="387"/>
        <w:spacing w:after="0" w:line="238" w:lineRule="auto"/>
        <w:tabs>
          <w:tab w:leader="none" w:pos="18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8,057,181 shares of our common stock reserved for future issuance under our 2020 Equity Incentive Plan, or our 2020 Plan; and</w:t>
      </w:r>
    </w:p>
    <w:p>
      <w:pPr>
        <w:spacing w:after="0" w:line="96" w:lineRule="exact"/>
        <w:rPr>
          <w:rFonts w:ascii="Arial" w:cs="Arial" w:eastAsia="Arial" w:hAnsi="Arial"/>
          <w:sz w:val="16"/>
          <w:szCs w:val="16"/>
          <w:color w:val="auto"/>
        </w:rPr>
      </w:pPr>
    </w:p>
    <w:p>
      <w:pPr>
        <w:ind w:left="1860" w:hanging="387"/>
        <w:spacing w:after="0" w:line="238" w:lineRule="auto"/>
        <w:tabs>
          <w:tab w:leader="none" w:pos="18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1,380,000 shares of our common stock reserved for future issuance under our 2020 Employee Stock Purchase Plan, or our ESPP.</w:t>
      </w:r>
    </w:p>
    <w:p>
      <w:pPr>
        <w:spacing w:after="0" w:line="179"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 Employee Benefit and Stock Plans.”</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440"/>
          </w:cols>
          <w:pgMar w:left="320" w:top="419" w:right="11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SELECTED CONSOLIDATED FINANCIAL AND OTHER DATA</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selected consolidated statements of operations data for the years ended December 31, 2018, 2019, and 2020 and</w:t>
      </w:r>
    </w:p>
    <w:p>
      <w:pPr>
        <w:ind w:left="800"/>
        <w:spacing w:after="0" w:line="231" w:lineRule="auto"/>
        <w:rPr>
          <w:sz w:val="20"/>
          <w:szCs w:val="20"/>
          <w:color w:val="auto"/>
        </w:rPr>
      </w:pPr>
      <w:r>
        <w:rPr>
          <w:rFonts w:ascii="Arial" w:cs="Arial" w:eastAsia="Arial" w:hAnsi="Arial"/>
          <w:sz w:val="16"/>
          <w:szCs w:val="16"/>
          <w:color w:val="auto"/>
        </w:rPr>
        <w:t>the consolidated balance sheet data as of December 31, 2019 and 2020 have been derived from our audited consolidated financial</w:t>
      </w:r>
    </w:p>
    <w:p>
      <w:pPr>
        <w:ind w:left="800"/>
        <w:spacing w:after="0"/>
        <w:rPr>
          <w:sz w:val="20"/>
          <w:szCs w:val="20"/>
          <w:color w:val="auto"/>
        </w:rPr>
      </w:pPr>
      <w:r>
        <w:rPr>
          <w:rFonts w:ascii="Arial" w:cs="Arial" w:eastAsia="Arial" w:hAnsi="Arial"/>
          <w:sz w:val="15"/>
          <w:szCs w:val="15"/>
          <w:color w:val="auto"/>
        </w:rPr>
        <w:t>statements included elsewhere in this prospectus. Our historical results are not necessarily indicative of the results that may be expected</w:t>
      </w:r>
    </w:p>
    <w:p>
      <w:pPr>
        <w:ind w:left="800"/>
        <w:spacing w:after="0" w:line="237" w:lineRule="auto"/>
        <w:rPr>
          <w:sz w:val="20"/>
          <w:szCs w:val="20"/>
          <w:color w:val="auto"/>
        </w:rPr>
      </w:pPr>
      <w:r>
        <w:rPr>
          <w:rFonts w:ascii="Arial" w:cs="Arial" w:eastAsia="Arial" w:hAnsi="Arial"/>
          <w:sz w:val="16"/>
          <w:szCs w:val="16"/>
          <w:color w:val="auto"/>
        </w:rPr>
        <w:t>in the future. You should read the following selected consolidated financial and other data below in conjunction with the section titled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and our consolidated financial statements and</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related notes included elsewhere in this prospectus.</w:t>
      </w:r>
    </w:p>
    <w:p>
      <w:pPr>
        <w:spacing w:after="0" w:line="163"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Consolidated Statements of Operations Data</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860" w:type="dxa"/>
            <w:vAlign w:val="bottom"/>
            <w:gridSpan w:val="3"/>
            <w:vMerge w:val="restart"/>
          </w:tcPr>
          <w:p>
            <w:pPr>
              <w:spacing w:after="0"/>
              <w:rPr>
                <w:sz w:val="20"/>
                <w:szCs w:val="20"/>
                <w:color w:val="auto"/>
              </w:rPr>
            </w:pPr>
            <w:r>
              <w:rPr>
                <w:rFonts w:ascii="Arial" w:cs="Arial" w:eastAsia="Arial" w:hAnsi="Arial"/>
                <w:sz w:val="13"/>
                <w:szCs w:val="13"/>
                <w:i w:val="1"/>
                <w:iCs w:val="1"/>
                <w:color w:val="auto"/>
              </w:rPr>
              <w:t>(In thousands, except share and per share amounts)</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7"/>
              </w:rPr>
              <w:t>Year Ended December 31,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8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206"/>
              <w:spacing w:after="0" w:line="134"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26"/>
              <w:spacing w:after="0" w:line="134"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26"/>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40" w:type="dxa"/>
            <w:vAlign w:val="bottom"/>
            <w:tcBorders>
              <w:top w:val="single" w:sz="8" w:color="CCEEFF"/>
            </w:tcBorders>
            <w:gridSpan w:val="2"/>
            <w:shd w:val="clear" w:color="auto" w:fill="CCEEFF"/>
          </w:tcPr>
          <w:p>
            <w:pPr>
              <w:spacing w:after="0" w:line="146" w:lineRule="exact"/>
              <w:rPr>
                <w:sz w:val="20"/>
                <w:szCs w:val="20"/>
                <w:color w:val="auto"/>
              </w:rPr>
            </w:pPr>
            <w:r>
              <w:rPr>
                <w:rFonts w:ascii="Arial" w:cs="Arial" w:eastAsia="Arial" w:hAnsi="Arial"/>
                <w:sz w:val="15"/>
                <w:szCs w:val="15"/>
                <w:color w:val="auto"/>
              </w:rPr>
              <w:t>Revenue:</w:t>
            </w: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Revenue from fees, net</w:t>
            </w: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88,482</w:t>
            </w:r>
          </w:p>
        </w:tc>
        <w:tc>
          <w:tcPr>
            <w:tcW w:w="200" w:type="dxa"/>
            <w:vAlign w:val="bottom"/>
          </w:tcPr>
          <w:p>
            <w:pPr>
              <w:spacing w:after="0"/>
              <w:rPr>
                <w:sz w:val="14"/>
                <w:szCs w:val="14"/>
                <w:color w:val="auto"/>
              </w:rPr>
            </w:pPr>
          </w:p>
        </w:tc>
        <w:tc>
          <w:tcPr>
            <w:tcW w:w="5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80"/>
              <w:spacing w:after="0" w:line="166" w:lineRule="exact"/>
              <w:rPr>
                <w:sz w:val="20"/>
                <w:szCs w:val="20"/>
                <w:color w:val="auto"/>
              </w:rPr>
            </w:pPr>
            <w:r>
              <w:rPr>
                <w:rFonts w:ascii="Arial" w:cs="Arial" w:eastAsia="Arial" w:hAnsi="Arial"/>
                <w:sz w:val="15"/>
                <w:szCs w:val="15"/>
                <w:color w:val="auto"/>
              </w:rPr>
              <w:t>159,847</w:t>
            </w:r>
          </w:p>
        </w:tc>
        <w:tc>
          <w:tcPr>
            <w:tcW w:w="22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228,600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ind w:left="280"/>
              <w:spacing w:after="0" w:line="166" w:lineRule="exact"/>
              <w:rPr>
                <w:sz w:val="20"/>
                <w:szCs w:val="20"/>
                <w:color w:val="auto"/>
              </w:rPr>
            </w:pPr>
            <w:r>
              <w:rPr>
                <w:rFonts w:ascii="Arial" w:cs="Arial" w:eastAsia="Arial" w:hAnsi="Arial"/>
                <w:sz w:val="15"/>
                <w:szCs w:val="15"/>
                <w:color w:val="auto"/>
              </w:rPr>
              <w:t>Interest income and fair value adjustments, net</w:t>
            </w: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10,831</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4,342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4,816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gridSpan w:val="2"/>
          </w:tcPr>
          <w:p>
            <w:pPr>
              <w:ind w:left="580"/>
              <w:spacing w:after="0" w:line="169" w:lineRule="exact"/>
              <w:rPr>
                <w:sz w:val="20"/>
                <w:szCs w:val="20"/>
                <w:color w:val="auto"/>
              </w:rPr>
            </w:pPr>
            <w:r>
              <w:rPr>
                <w:rFonts w:ascii="Arial" w:cs="Arial" w:eastAsia="Arial" w:hAnsi="Arial"/>
                <w:sz w:val="15"/>
                <w:szCs w:val="15"/>
                <w:color w:val="auto"/>
              </w:rPr>
              <w:t>Total revenue</w:t>
            </w:r>
          </w:p>
        </w:tc>
        <w:tc>
          <w:tcPr>
            <w:tcW w:w="80" w:type="dxa"/>
            <w:vAlign w:val="bottom"/>
          </w:tcPr>
          <w:p>
            <w:pPr>
              <w:spacing w:after="0"/>
              <w:rPr>
                <w:sz w:val="15"/>
                <w:szCs w:val="15"/>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99,313</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164,189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233,416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Operating expenses:</w:t>
            </w:r>
          </w:p>
        </w:tc>
        <w:tc>
          <w:tcPr>
            <w:tcW w:w="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Sales and marketing</w:t>
            </w: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63,633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line="166" w:lineRule="exact"/>
              <w:rPr>
                <w:sz w:val="20"/>
                <w:szCs w:val="20"/>
                <w:color w:val="auto"/>
              </w:rPr>
            </w:pPr>
            <w:r>
              <w:rPr>
                <w:rFonts w:ascii="Arial" w:cs="Arial" w:eastAsia="Arial" w:hAnsi="Arial"/>
                <w:sz w:val="15"/>
                <w:szCs w:val="15"/>
                <w:color w:val="auto"/>
              </w:rPr>
              <w:t>93,175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99,659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ind w:left="280"/>
              <w:spacing w:after="0" w:line="166" w:lineRule="exact"/>
              <w:rPr>
                <w:sz w:val="20"/>
                <w:szCs w:val="20"/>
                <w:color w:val="auto"/>
              </w:rPr>
            </w:pPr>
            <w:r>
              <w:rPr>
                <w:rFonts w:ascii="Arial" w:cs="Arial" w:eastAsia="Arial" w:hAnsi="Arial"/>
                <w:sz w:val="15"/>
                <w:szCs w:val="15"/>
                <w:color w:val="auto"/>
              </w:rPr>
              <w:t>Customer operations</w:t>
            </w: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15,416</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line="166" w:lineRule="exact"/>
              <w:rPr>
                <w:sz w:val="20"/>
                <w:szCs w:val="20"/>
                <w:color w:val="auto"/>
              </w:rPr>
            </w:pPr>
            <w:r>
              <w:rPr>
                <w:rFonts w:ascii="Arial" w:cs="Arial" w:eastAsia="Arial" w:hAnsi="Arial"/>
                <w:sz w:val="15"/>
                <w:szCs w:val="15"/>
                <w:color w:val="auto"/>
              </w:rPr>
              <w:t>24,947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37,581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ind w:left="280"/>
              <w:spacing w:after="0" w:line="166" w:lineRule="exact"/>
              <w:rPr>
                <w:sz w:val="20"/>
                <w:szCs w:val="20"/>
                <w:color w:val="auto"/>
              </w:rPr>
            </w:pPr>
            <w:r>
              <w:rPr>
                <w:rFonts w:ascii="Arial" w:cs="Arial" w:eastAsia="Arial" w:hAnsi="Arial"/>
                <w:sz w:val="15"/>
                <w:szCs w:val="15"/>
                <w:color w:val="auto"/>
              </w:rPr>
              <w:t>Engineering and product development</w:t>
            </w: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8,415</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line="166" w:lineRule="exact"/>
              <w:rPr>
                <w:sz w:val="20"/>
                <w:szCs w:val="20"/>
                <w:color w:val="auto"/>
              </w:rPr>
            </w:pPr>
            <w:r>
              <w:rPr>
                <w:rFonts w:ascii="Arial" w:cs="Arial" w:eastAsia="Arial" w:hAnsi="Arial"/>
                <w:sz w:val="15"/>
                <w:szCs w:val="15"/>
                <w:color w:val="auto"/>
              </w:rPr>
              <w:t>18,777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38,802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ind w:left="280"/>
              <w:spacing w:after="0" w:line="166" w:lineRule="exact"/>
              <w:rPr>
                <w:sz w:val="20"/>
                <w:szCs w:val="20"/>
                <w:color w:val="auto"/>
              </w:rPr>
            </w:pPr>
            <w:r>
              <w:rPr>
                <w:rFonts w:ascii="Arial" w:cs="Arial" w:eastAsia="Arial" w:hAnsi="Arial"/>
                <w:sz w:val="15"/>
                <w:szCs w:val="15"/>
                <w:color w:val="auto"/>
              </w:rPr>
              <w:t>General, administrative, and other</w:t>
            </w:r>
            <w:r>
              <w:rPr>
                <w:rFonts w:ascii="Arial" w:cs="Arial" w:eastAsia="Arial" w:hAnsi="Arial"/>
                <w:sz w:val="12"/>
                <w:szCs w:val="12"/>
                <w:color w:val="auto"/>
              </w:rPr>
              <w:t>(1)</w:t>
            </w: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19,820</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31,865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45,609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gridSpan w:val="2"/>
          </w:tcPr>
          <w:p>
            <w:pPr>
              <w:ind w:left="580"/>
              <w:spacing w:after="0" w:line="169" w:lineRule="exact"/>
              <w:rPr>
                <w:sz w:val="20"/>
                <w:szCs w:val="20"/>
                <w:color w:val="auto"/>
              </w:rPr>
            </w:pPr>
            <w:r>
              <w:rPr>
                <w:rFonts w:ascii="Arial" w:cs="Arial" w:eastAsia="Arial" w:hAnsi="Arial"/>
                <w:sz w:val="15"/>
                <w:szCs w:val="15"/>
                <w:color w:val="auto"/>
              </w:rPr>
              <w:t>Total operating expenses</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107,284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168,764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221,651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Income (loss) from operations</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(7,971)</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(4,575)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6" w:lineRule="exact"/>
              <w:rPr>
                <w:sz w:val="20"/>
                <w:szCs w:val="20"/>
                <w:color w:val="auto"/>
              </w:rPr>
            </w:pPr>
            <w:r>
              <w:rPr>
                <w:rFonts w:ascii="Arial" w:cs="Arial" w:eastAsia="Arial" w:hAnsi="Arial"/>
                <w:sz w:val="15"/>
                <w:szCs w:val="15"/>
                <w:color w:val="auto"/>
              </w:rPr>
              <w:t>11,765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spacing w:after="0" w:line="166" w:lineRule="exact"/>
              <w:rPr>
                <w:sz w:val="20"/>
                <w:szCs w:val="20"/>
                <w:color w:val="auto"/>
              </w:rPr>
            </w:pPr>
            <w:r>
              <w:rPr>
                <w:rFonts w:ascii="Arial" w:cs="Arial" w:eastAsia="Arial" w:hAnsi="Arial"/>
                <w:sz w:val="15"/>
                <w:szCs w:val="15"/>
                <w:color w:val="auto"/>
              </w:rPr>
              <w:t>Other income</w:t>
            </w:r>
          </w:p>
        </w:tc>
        <w:tc>
          <w:tcPr>
            <w:tcW w:w="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487</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line="166" w:lineRule="exact"/>
              <w:rPr>
                <w:sz w:val="20"/>
                <w:szCs w:val="20"/>
                <w:color w:val="auto"/>
              </w:rPr>
            </w:pPr>
            <w:r>
              <w:rPr>
                <w:rFonts w:ascii="Arial" w:cs="Arial" w:eastAsia="Arial" w:hAnsi="Arial"/>
                <w:sz w:val="15"/>
                <w:szCs w:val="15"/>
                <w:color w:val="auto"/>
              </w:rPr>
              <w:t>1,036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5,549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Expense on warrants and other non-operating expenses, net</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(3,734)</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(1,407)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(11,364)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spacing w:after="0" w:line="166" w:lineRule="exact"/>
              <w:rPr>
                <w:sz w:val="20"/>
                <w:szCs w:val="20"/>
                <w:color w:val="auto"/>
              </w:rPr>
            </w:pPr>
            <w:r>
              <w:rPr>
                <w:rFonts w:ascii="Arial" w:cs="Arial" w:eastAsia="Arial" w:hAnsi="Arial"/>
                <w:sz w:val="15"/>
                <w:szCs w:val="15"/>
                <w:color w:val="auto"/>
              </w:rPr>
              <w:t>Net income (loss) before income taxes</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(11,218)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6" w:lineRule="exact"/>
              <w:rPr>
                <w:sz w:val="20"/>
                <w:szCs w:val="20"/>
                <w:color w:val="auto"/>
              </w:rPr>
            </w:pPr>
            <w:r>
              <w:rPr>
                <w:rFonts w:ascii="Arial" w:cs="Arial" w:eastAsia="Arial" w:hAnsi="Arial"/>
                <w:sz w:val="15"/>
                <w:szCs w:val="15"/>
                <w:color w:val="auto"/>
              </w:rPr>
              <w:t>(4,946)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6" w:lineRule="exact"/>
              <w:rPr>
                <w:sz w:val="20"/>
                <w:szCs w:val="20"/>
                <w:color w:val="auto"/>
              </w:rPr>
            </w:pPr>
            <w:r>
              <w:rPr>
                <w:rFonts w:ascii="Arial" w:cs="Arial" w:eastAsia="Arial" w:hAnsi="Arial"/>
                <w:sz w:val="15"/>
                <w:szCs w:val="15"/>
                <w:color w:val="auto"/>
              </w:rPr>
              <w:t>5,950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Provision for income taxes</w:t>
            </w: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3"/>
          </w:tcPr>
          <w:p>
            <w:pPr>
              <w:spacing w:after="0" w:line="169" w:lineRule="exact"/>
              <w:rPr>
                <w:sz w:val="20"/>
                <w:szCs w:val="20"/>
                <w:color w:val="auto"/>
              </w:rPr>
            </w:pPr>
            <w:r>
              <w:rPr>
                <w:rFonts w:ascii="Arial" w:cs="Arial" w:eastAsia="Arial" w:hAnsi="Arial"/>
                <w:sz w:val="15"/>
                <w:szCs w:val="15"/>
                <w:color w:val="auto"/>
              </w:rPr>
              <w:t>Net income (loss) before attribution to noncontrolling interests</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(11,218)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(5,020)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5,579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shd w:val="clear" w:color="auto" w:fill="CCEEFF"/>
          </w:tcPr>
          <w:p>
            <w:pPr>
              <w:spacing w:after="0" w:line="166" w:lineRule="exact"/>
              <w:rPr>
                <w:sz w:val="20"/>
                <w:szCs w:val="20"/>
                <w:color w:val="auto"/>
              </w:rPr>
            </w:pPr>
            <w:r>
              <w:rPr>
                <w:rFonts w:ascii="Arial" w:cs="Arial" w:eastAsia="Arial" w:hAnsi="Arial"/>
                <w:sz w:val="15"/>
                <w:szCs w:val="15"/>
                <w:color w:val="auto"/>
              </w:rPr>
              <w:t>Net income (loss) attributable to noncontrolling interests</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1,101</w:t>
            </w: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6" w:lineRule="exact"/>
              <w:rPr>
                <w:sz w:val="20"/>
                <w:szCs w:val="20"/>
                <w:color w:val="auto"/>
              </w:rPr>
            </w:pPr>
            <w:r>
              <w:rPr>
                <w:rFonts w:ascii="Arial" w:cs="Arial" w:eastAsia="Arial" w:hAnsi="Arial"/>
                <w:sz w:val="15"/>
                <w:szCs w:val="15"/>
                <w:color w:val="auto"/>
              </w:rPr>
              <w:t>(4,554)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line="166" w:lineRule="exact"/>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5"/>
                <w:szCs w:val="15"/>
                <w:color w:val="auto"/>
              </w:rPr>
              <w:t>Net income (loss) attributable to Upstart Holdings, Inc. common stockholders</w:t>
            </w: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860" w:type="dxa"/>
            <w:vAlign w:val="bottom"/>
            <w:gridSpan w:val="3"/>
            <w:vMerge w:val="continue"/>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(12,319)</w:t>
            </w:r>
          </w:p>
        </w:tc>
        <w:tc>
          <w:tcPr>
            <w:tcW w:w="5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340"/>
              <w:spacing w:after="0" w:line="169" w:lineRule="exact"/>
              <w:rPr>
                <w:sz w:val="20"/>
                <w:szCs w:val="20"/>
                <w:color w:val="auto"/>
              </w:rPr>
            </w:pPr>
            <w:r>
              <w:rPr>
                <w:rFonts w:ascii="Arial" w:cs="Arial" w:eastAsia="Arial" w:hAnsi="Arial"/>
                <w:sz w:val="15"/>
                <w:szCs w:val="15"/>
                <w:color w:val="auto"/>
              </w:rPr>
              <w:t>(466)</w:t>
            </w:r>
          </w:p>
        </w:tc>
        <w:tc>
          <w:tcPr>
            <w:tcW w:w="22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5,983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8" w:lineRule="exact"/>
              <w:rPr>
                <w:sz w:val="20"/>
                <w:szCs w:val="20"/>
                <w:color w:val="auto"/>
              </w:rPr>
            </w:pPr>
            <w:r>
              <w:rPr>
                <w:rFonts w:ascii="Arial" w:cs="Arial" w:eastAsia="Arial" w:hAnsi="Arial"/>
                <w:sz w:val="15"/>
                <w:szCs w:val="15"/>
                <w:color w:val="auto"/>
              </w:rPr>
              <w:t>Net income (loss) per share attributable to Upstart Holdings, Inc. common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shd w:val="clear" w:color="auto" w:fill="CCEEFF"/>
          </w:tcPr>
          <w:p>
            <w:pPr>
              <w:ind w:left="120"/>
              <w:spacing w:after="0" w:line="171" w:lineRule="exact"/>
              <w:rPr>
                <w:sz w:val="20"/>
                <w:szCs w:val="20"/>
                <w:color w:val="auto"/>
              </w:rPr>
            </w:pPr>
            <w:r>
              <w:rPr>
                <w:rFonts w:ascii="Arial" w:cs="Arial" w:eastAsia="Arial" w:hAnsi="Arial"/>
                <w:sz w:val="15"/>
                <w:szCs w:val="15"/>
                <w:color w:val="auto"/>
              </w:rPr>
              <w:t>stockholders, basic and diluted.</w:t>
            </w:r>
            <w:r>
              <w:rPr>
                <w:rFonts w:ascii="Arial" w:cs="Arial" w:eastAsia="Arial" w:hAnsi="Arial"/>
                <w:sz w:val="12"/>
                <w:szCs w:val="12"/>
                <w:color w:val="auto"/>
              </w:rPr>
              <w:t>(2)</w:t>
            </w:r>
          </w:p>
        </w:tc>
        <w:tc>
          <w:tcPr>
            <w:tcW w:w="8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(0.87 ) $</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71" w:lineRule="exact"/>
              <w:rPr>
                <w:sz w:val="20"/>
                <w:szCs w:val="20"/>
                <w:color w:val="auto"/>
              </w:rPr>
            </w:pPr>
            <w:r>
              <w:rPr>
                <w:rFonts w:ascii="Arial" w:cs="Arial" w:eastAsia="Arial" w:hAnsi="Arial"/>
                <w:sz w:val="15"/>
                <w:szCs w:val="15"/>
                <w:color w:val="auto"/>
              </w:rPr>
              <w:t>(0.03)</w:t>
            </w:r>
          </w:p>
        </w:tc>
        <w:tc>
          <w:tcPr>
            <w:tcW w:w="22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60"/>
              <w:spacing w:after="0" w:line="17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5"/>
                <w:szCs w:val="15"/>
                <w:color w:val="auto"/>
              </w:rPr>
              <w:t>Weighted-average number of shares outstanding used in computing 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840" w:type="dxa"/>
            <w:vAlign w:val="bottom"/>
            <w:gridSpan w:val="2"/>
          </w:tcPr>
          <w:p>
            <w:pPr>
              <w:ind w:left="120"/>
              <w:spacing w:after="0" w:line="166" w:lineRule="exact"/>
              <w:rPr>
                <w:sz w:val="20"/>
                <w:szCs w:val="20"/>
                <w:color w:val="auto"/>
              </w:rPr>
            </w:pPr>
            <w:r>
              <w:rPr>
                <w:rFonts w:ascii="Arial" w:cs="Arial" w:eastAsia="Arial" w:hAnsi="Arial"/>
                <w:sz w:val="15"/>
                <w:szCs w:val="15"/>
                <w:color w:val="auto"/>
              </w:rPr>
              <w:t>(loss) per share attributable to Upstart Holdings, Inc. common stockholders,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gridSpan w:val="2"/>
          </w:tcPr>
          <w:p>
            <w:pPr>
              <w:ind w:left="120"/>
              <w:spacing w:after="0" w:line="171" w:lineRule="exact"/>
              <w:rPr>
                <w:sz w:val="20"/>
                <w:szCs w:val="20"/>
                <w:color w:val="auto"/>
              </w:rPr>
            </w:pPr>
            <w:r>
              <w:rPr>
                <w:rFonts w:ascii="Arial" w:cs="Arial" w:eastAsia="Arial" w:hAnsi="Arial"/>
                <w:sz w:val="15"/>
                <w:szCs w:val="15"/>
                <w:color w:val="auto"/>
              </w:rPr>
              <w:t>basic and diluted</w:t>
            </w:r>
            <w:r>
              <w:rPr>
                <w:rFonts w:ascii="Arial" w:cs="Arial" w:eastAsia="Arial" w:hAnsi="Arial"/>
                <w:sz w:val="12"/>
                <w:szCs w:val="12"/>
                <w:color w:val="auto"/>
              </w:rPr>
              <w:t>(2)</w:t>
            </w:r>
          </w:p>
        </w:tc>
        <w:tc>
          <w:tcPr>
            <w:tcW w:w="80" w:type="dxa"/>
            <w:vAlign w:val="bottom"/>
          </w:tcPr>
          <w:p>
            <w:pPr>
              <w:spacing w:after="0"/>
              <w:rPr>
                <w:sz w:val="14"/>
                <w:szCs w:val="14"/>
                <w:color w:val="auto"/>
              </w:rPr>
            </w:pPr>
          </w:p>
        </w:tc>
        <w:tc>
          <w:tcPr>
            <w:tcW w:w="760" w:type="dxa"/>
            <w:vAlign w:val="bottom"/>
          </w:tcPr>
          <w:p>
            <w:pPr>
              <w:jc w:val="right"/>
              <w:spacing w:after="0" w:line="171" w:lineRule="exact"/>
              <w:rPr>
                <w:sz w:val="20"/>
                <w:szCs w:val="20"/>
                <w:color w:val="auto"/>
              </w:rPr>
            </w:pPr>
            <w:r>
              <w:rPr>
                <w:rFonts w:ascii="Arial" w:cs="Arial" w:eastAsia="Arial" w:hAnsi="Arial"/>
                <w:sz w:val="15"/>
                <w:szCs w:val="15"/>
                <w:color w:val="auto"/>
                <w:w w:val="98"/>
              </w:rPr>
              <w:t>14,128,183</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line="171" w:lineRule="exact"/>
              <w:rPr>
                <w:sz w:val="20"/>
                <w:szCs w:val="20"/>
                <w:color w:val="auto"/>
              </w:rPr>
            </w:pPr>
            <w:r>
              <w:rPr>
                <w:rFonts w:ascii="Arial" w:cs="Arial" w:eastAsia="Arial" w:hAnsi="Arial"/>
                <w:sz w:val="15"/>
                <w:szCs w:val="15"/>
                <w:color w:val="auto"/>
                <w:w w:val="98"/>
              </w:rPr>
              <w:t>14,335,611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71" w:lineRule="exact"/>
              <w:rPr>
                <w:sz w:val="20"/>
                <w:szCs w:val="20"/>
                <w:color w:val="auto"/>
              </w:rPr>
            </w:pPr>
            <w:r>
              <w:rPr>
                <w:rFonts w:ascii="Arial" w:cs="Arial" w:eastAsia="Arial" w:hAnsi="Arial"/>
                <w:sz w:val="15"/>
                <w:szCs w:val="15"/>
                <w:color w:val="auto"/>
                <w:w w:val="98"/>
              </w:rPr>
              <w:t>17,513,670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280" w:hanging="481"/>
        <w:spacing w:after="0"/>
        <w:tabs>
          <w:tab w:leader="none" w:pos="1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53" w:lineRule="exact"/>
        <w:rPr>
          <w:sz w:val="20"/>
          <w:szCs w:val="20"/>
          <w:color w:val="auto"/>
        </w:rPr>
      </w:pPr>
    </w:p>
    <w:tbl>
      <w:tblPr>
        <w:tblLayout w:type="fixed"/>
        <w:tblInd w:w="12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9"/>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Borders>
              <w:bottom w:val="single" w:sz="8" w:color="CCEEFF"/>
            </w:tcBorders>
          </w:tcPr>
          <w:p>
            <w:pPr>
              <w:spacing w:after="0"/>
              <w:rPr>
                <w:sz w:val="11"/>
                <w:szCs w:val="11"/>
                <w:color w:val="auto"/>
              </w:rPr>
            </w:pPr>
          </w:p>
        </w:tc>
        <w:tc>
          <w:tcPr>
            <w:tcW w:w="36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6"/>
              <w:spacing w:after="0" w:line="134" w:lineRule="exact"/>
              <w:rPr>
                <w:sz w:val="20"/>
                <w:szCs w:val="20"/>
                <w:color w:val="auto"/>
              </w:rPr>
            </w:pPr>
            <w:r>
              <w:rPr>
                <w:rFonts w:ascii="Arial" w:cs="Arial" w:eastAsia="Arial" w:hAnsi="Arial"/>
                <w:sz w:val="13"/>
                <w:szCs w:val="13"/>
                <w:b w:val="1"/>
                <w:bCs w:val="1"/>
                <w:color w:val="auto"/>
                <w:w w:val="96"/>
              </w:rPr>
              <w:t>2018</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4"/>
              <w:spacing w:after="0" w:line="134"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04"/>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Sales and marketing</w:t>
            </w:r>
          </w:p>
        </w:tc>
        <w:tc>
          <w:tcPr>
            <w:tcW w:w="36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40" w:type="dxa"/>
            <w:vAlign w:val="bottom"/>
          </w:tcPr>
          <w:p>
            <w:pPr>
              <w:spacing w:after="0" w:line="178" w:lineRule="exact"/>
              <w:rPr>
                <w:sz w:val="20"/>
                <w:szCs w:val="20"/>
                <w:color w:val="auto"/>
              </w:rPr>
            </w:pPr>
            <w:r>
              <w:rPr>
                <w:rFonts w:ascii="Arial" w:cs="Arial" w:eastAsia="Arial" w:hAnsi="Arial"/>
                <w:sz w:val="16"/>
                <w:szCs w:val="16"/>
                <w:color w:val="auto"/>
              </w:rPr>
              <w:t>Customer operations</w:t>
            </w: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auto"/>
              </w:rPr>
              <w:t>433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898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Engineering and product development</w:t>
            </w:r>
          </w:p>
        </w:tc>
        <w:tc>
          <w:tcPr>
            <w:tcW w:w="3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w w:val="94"/>
              </w:rPr>
              <w:t>1,803</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4,844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40" w:type="dxa"/>
            <w:vAlign w:val="bottom"/>
          </w:tcPr>
          <w:p>
            <w:pPr>
              <w:spacing w:after="0" w:line="178" w:lineRule="exact"/>
              <w:rPr>
                <w:sz w:val="20"/>
                <w:szCs w:val="20"/>
                <w:color w:val="auto"/>
              </w:rPr>
            </w:pPr>
            <w:r>
              <w:rPr>
                <w:rFonts w:ascii="Arial" w:cs="Arial" w:eastAsia="Arial" w:hAnsi="Arial"/>
                <w:sz w:val="16"/>
                <w:szCs w:val="16"/>
                <w:color w:val="auto"/>
              </w:rPr>
              <w:t>General, administrative, and other</w:t>
            </w: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931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w w:val="94"/>
              </w:rPr>
              <w:t>1,292</w:t>
            </w:r>
          </w:p>
        </w:tc>
        <w:tc>
          <w:tcPr>
            <w:tcW w:w="120" w:type="dxa"/>
            <w:vAlign w:val="bottom"/>
          </w:tcPr>
          <w:p>
            <w:pPr>
              <w:spacing w:after="0"/>
              <w:rPr>
                <w:sz w:val="15"/>
                <w:szCs w:val="15"/>
                <w:color w:val="auto"/>
              </w:rPr>
            </w:pPr>
          </w:p>
        </w:tc>
        <w:tc>
          <w:tcPr>
            <w:tcW w:w="5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4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stock-based compensation</w:t>
            </w:r>
          </w:p>
        </w:tc>
        <w:tc>
          <w:tcPr>
            <w:tcW w:w="36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rPr>
              <w:t>$</w:t>
            </w:r>
          </w:p>
        </w:tc>
        <w:tc>
          <w:tcPr>
            <w:tcW w:w="5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w w:val="94"/>
              </w:rPr>
              <w:t>2,045</w:t>
            </w:r>
          </w:p>
        </w:tc>
        <w:tc>
          <w:tcPr>
            <w:tcW w:w="2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w w:val="94"/>
              </w:rPr>
              <w:t>3,806</w:t>
            </w:r>
          </w:p>
        </w:tc>
        <w:tc>
          <w:tcPr>
            <w:tcW w:w="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w w:val="98"/>
              </w:rPr>
              <w:t>11,513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0" w:type="dxa"/>
            <w:vAlign w:val="bottom"/>
            <w:vMerge w:val="restart"/>
          </w:tcPr>
          <w:p>
            <w:pPr>
              <w:jc w:val="right"/>
              <w:ind w:right="2541"/>
              <w:spacing w:after="0"/>
              <w:rPr>
                <w:sz w:val="20"/>
                <w:szCs w:val="20"/>
                <w:color w:val="auto"/>
              </w:rPr>
            </w:pPr>
            <w:r>
              <w:rPr>
                <w:rFonts w:ascii="Arial" w:cs="Arial" w:eastAsia="Arial" w:hAnsi="Arial"/>
                <w:sz w:val="16"/>
                <w:szCs w:val="16"/>
                <w:color w:val="auto"/>
              </w:rPr>
              <w:t>90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280" w:right="340" w:hanging="481"/>
        <w:spacing w:after="0" w:line="236" w:lineRule="auto"/>
        <w:tabs>
          <w:tab w:leader="none" w:pos="1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Note 15 to our consolidated financial statements for an explanation of the calculations of our basic and diluted net loss per share attributable to Upstart Holdings, Inc. common stockholders, net income per share attributable to Upstart Holdings, Inc. common stockholders and the weighted-average number of shares used in the computation of the per share amounts.</w:t>
      </w:r>
    </w:p>
    <w:p>
      <w:pPr>
        <w:spacing w:after="0" w:line="253"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Condensed Consolidated Balance Sheet Data</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56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656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121"/>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w:t>
            </w:r>
          </w:p>
        </w:tc>
        <w:tc>
          <w:tcPr>
            <w:tcW w:w="1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44,389</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$250,819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tcPr>
          <w:p>
            <w:pPr>
              <w:spacing w:after="0" w:line="178" w:lineRule="exact"/>
              <w:rPr>
                <w:sz w:val="20"/>
                <w:szCs w:val="20"/>
                <w:color w:val="auto"/>
              </w:rPr>
            </w:pPr>
            <w:r>
              <w:rPr>
                <w:rFonts w:ascii="Arial" w:cs="Arial" w:eastAsia="Arial" w:hAnsi="Arial"/>
                <w:sz w:val="16"/>
                <w:szCs w:val="16"/>
                <w:color w:val="auto"/>
              </w:rPr>
              <w:t>Loans (at fair value)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w w:val="96"/>
              </w:rPr>
              <w:t>232,305</w:t>
            </w:r>
          </w:p>
        </w:tc>
        <w:tc>
          <w:tcPr>
            <w:tcW w:w="90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78,460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Notes receivable and residual certificates (at fair value)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34,116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19,074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540" w:type="dxa"/>
            <w:vAlign w:val="bottom"/>
          </w:tcPr>
          <w:p>
            <w:pPr>
              <w:ind w:left="300"/>
              <w:spacing w:after="0" w:line="181" w:lineRule="exact"/>
              <w:rPr>
                <w:sz w:val="20"/>
                <w:szCs w:val="20"/>
                <w:color w:val="auto"/>
              </w:rPr>
            </w:pPr>
            <w:r>
              <w:rPr>
                <w:rFonts w:ascii="Arial" w:cs="Arial" w:eastAsia="Arial" w:hAnsi="Arial"/>
                <w:sz w:val="16"/>
                <w:szCs w:val="16"/>
                <w:color w:val="auto"/>
              </w:rPr>
              <w:t>Total assets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393,462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477,255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Borrowings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6"/>
              </w:rPr>
              <w:t>118,609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62,626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40" w:type="dxa"/>
            <w:vAlign w:val="bottom"/>
          </w:tcPr>
          <w:p>
            <w:pPr>
              <w:spacing w:after="0" w:line="178" w:lineRule="exact"/>
              <w:rPr>
                <w:sz w:val="20"/>
                <w:szCs w:val="20"/>
                <w:color w:val="auto"/>
              </w:rPr>
            </w:pPr>
            <w:r>
              <w:rPr>
                <w:rFonts w:ascii="Arial" w:cs="Arial" w:eastAsia="Arial" w:hAnsi="Arial"/>
                <w:sz w:val="16"/>
                <w:szCs w:val="16"/>
                <w:color w:val="auto"/>
              </w:rPr>
              <w:t>Payable to securitization note holders and residual certificate holders</w:t>
            </w:r>
          </w:p>
        </w:tc>
        <w:tc>
          <w:tcPr>
            <w:tcW w:w="1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96,107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rPr>
              <w:t>Total liabilities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6"/>
              </w:rPr>
              <w:t>292,604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177,003</w:t>
            </w:r>
          </w:p>
        </w:tc>
        <w:tc>
          <w:tcPr>
            <w:tcW w:w="0" w:type="dxa"/>
            <w:vAlign w:val="bottom"/>
          </w:tcPr>
          <w:p>
            <w:pPr>
              <w:spacing w:after="0"/>
              <w:rPr>
                <w:sz w:val="1"/>
                <w:szCs w:val="1"/>
                <w:color w:val="auto"/>
              </w:rPr>
            </w:pPr>
          </w:p>
        </w:tc>
      </w:tr>
      <w:tr>
        <w:trPr>
          <w:trHeight w:val="181"/>
        </w:trPr>
        <w:tc>
          <w:tcPr>
            <w:tcW w:w="6560" w:type="dxa"/>
            <w:vAlign w:val="bottom"/>
            <w:gridSpan w:val="2"/>
          </w:tcPr>
          <w:p>
            <w:pPr>
              <w:spacing w:after="0" w:line="181" w:lineRule="exact"/>
              <w:rPr>
                <w:sz w:val="20"/>
                <w:szCs w:val="20"/>
                <w:color w:val="auto"/>
              </w:rPr>
            </w:pPr>
            <w:r>
              <w:rPr>
                <w:rFonts w:ascii="Arial" w:cs="Arial" w:eastAsia="Arial" w:hAnsi="Arial"/>
                <w:sz w:val="16"/>
                <w:szCs w:val="16"/>
                <w:color w:val="auto"/>
              </w:rPr>
              <w:t>Convertible preferred stock</w:t>
            </w:r>
          </w:p>
        </w:tc>
        <w:tc>
          <w:tcPr>
            <w:tcW w:w="1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color w:val="auto"/>
                <w:w w:val="96"/>
              </w:rPr>
              <w:t>162,546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jc w:val="right"/>
              <w:ind w:right="1"/>
              <w:spacing w:after="0" w:line="18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Accumulated deficit</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(75,205)</w:t>
            </w:r>
          </w:p>
        </w:tc>
        <w:tc>
          <w:tcPr>
            <w:tcW w:w="90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(69,222)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tcPr>
          <w:p>
            <w:pPr>
              <w:ind w:left="300"/>
              <w:spacing w:after="0" w:line="178" w:lineRule="exact"/>
              <w:rPr>
                <w:sz w:val="20"/>
                <w:szCs w:val="20"/>
                <w:color w:val="auto"/>
              </w:rPr>
            </w:pPr>
            <w:r>
              <w:rPr>
                <w:rFonts w:ascii="Arial" w:cs="Arial" w:eastAsia="Arial" w:hAnsi="Arial"/>
                <w:sz w:val="16"/>
                <w:szCs w:val="16"/>
                <w:color w:val="auto"/>
              </w:rPr>
              <w:t>Total Upstart Holdings, Inc. stockholders’ equity (deficit)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(62,714)</w:t>
            </w:r>
          </w:p>
        </w:tc>
        <w:tc>
          <w:tcPr>
            <w:tcW w:w="90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300,252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Noncontrolling interests</w:t>
            </w:r>
          </w:p>
        </w:tc>
        <w:tc>
          <w:tcPr>
            <w:tcW w:w="1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1,026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540" w:type="dxa"/>
            <w:vAlign w:val="bottom"/>
          </w:tcPr>
          <w:p>
            <w:pPr>
              <w:ind w:left="300"/>
              <w:spacing w:after="0" w:line="181" w:lineRule="exact"/>
              <w:rPr>
                <w:sz w:val="20"/>
                <w:szCs w:val="20"/>
                <w:color w:val="auto"/>
              </w:rPr>
            </w:pPr>
            <w:r>
              <w:rPr>
                <w:rFonts w:ascii="Arial" w:cs="Arial" w:eastAsia="Arial" w:hAnsi="Arial"/>
                <w:sz w:val="16"/>
                <w:szCs w:val="16"/>
                <w:color w:val="auto"/>
              </w:rPr>
              <w:t>Total stockholders’ equity (deficit)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(61,688)</w:t>
            </w:r>
          </w:p>
        </w:tc>
        <w:tc>
          <w:tcPr>
            <w:tcW w:w="90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300,252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liabilities, convertible preferred stock and stockholders’ equity (deficit)</w:t>
            </w:r>
          </w:p>
        </w:tc>
        <w:tc>
          <w:tcPr>
            <w:tcW w:w="14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w w:val="96"/>
              </w:rPr>
              <w:t>393,462</w:t>
            </w:r>
          </w:p>
        </w:tc>
        <w:tc>
          <w:tcPr>
            <w:tcW w:w="900" w:type="dxa"/>
            <w:vAlign w:val="bottom"/>
            <w:gridSpan w:val="3"/>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$477,255</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Key Operating Metrics and Non-GAAP Measures</w:t>
      </w:r>
    </w:p>
    <w:p>
      <w:pPr>
        <w:spacing w:after="0" w:line="108"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We focus on several key operating and financial metrics to measure the performance of our business and help determine strategic direction.</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8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8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4"/>
              <w:spacing w:after="0" w:line="134"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Number of Loans Transacted</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114,125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215,122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300,379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Conversion Rate</w:t>
            </w:r>
          </w:p>
        </w:tc>
        <w:tc>
          <w:tcPr>
            <w:tcW w:w="10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9.1%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13.1%</w:t>
            </w:r>
          </w:p>
        </w:tc>
        <w:tc>
          <w:tcPr>
            <w:tcW w:w="100" w:type="dxa"/>
            <w:vAlign w:val="bottom"/>
          </w:tcPr>
          <w:p>
            <w:pPr>
              <w:spacing w:after="0"/>
              <w:rPr>
                <w:sz w:val="15"/>
                <w:szCs w:val="15"/>
                <w:color w:val="auto"/>
              </w:rPr>
            </w:pP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Percentage of Loans Fully Automated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Contribution Profit</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13,098</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48,940</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w w:val="96"/>
              </w:rPr>
              <w:t>105,088</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Contribution Margin</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Adjusted EBITDA</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(6,226)</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5,595</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31,509</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Adjusted EBITDA Margin</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Adjusted Net Income (Loss)</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(10,274)</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3,340</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17,496</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Adjusted Net Income (Loss) per Share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860" w:type="dxa"/>
            <w:vAlign w:val="bottom"/>
          </w:tcPr>
          <w:p>
            <w:pPr>
              <w:ind w:left="320"/>
              <w:spacing w:after="0" w:line="178" w:lineRule="exact"/>
              <w:rPr>
                <w:sz w:val="20"/>
                <w:szCs w:val="20"/>
                <w:color w:val="auto"/>
              </w:rPr>
            </w:pPr>
            <w:r>
              <w:rPr>
                <w:rFonts w:ascii="Arial" w:cs="Arial" w:eastAsia="Arial" w:hAnsi="Arial"/>
                <w:sz w:val="16"/>
                <w:szCs w:val="16"/>
                <w:color w:val="auto"/>
              </w:rPr>
              <w:t>Basic</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(0.73)</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0.23</w:t>
            </w:r>
          </w:p>
        </w:tc>
        <w:tc>
          <w:tcPr>
            <w:tcW w:w="32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Diluted</w:t>
            </w: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(0.73)</w:t>
            </w: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0.05</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29" w:lineRule="exact"/>
        <w:rPr>
          <w:sz w:val="20"/>
          <w:szCs w:val="20"/>
          <w:color w:val="auto"/>
        </w:rPr>
      </w:pPr>
    </w:p>
    <w:p>
      <w:pPr>
        <w:ind w:left="1280" w:right="180" w:hanging="481"/>
        <w:spacing w:after="0" w:line="258" w:lineRule="auto"/>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a non-GAAP financial measure. See the section titled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Operations—Reconciliation of Non-GAAP Financial Measures</w:t>
      </w:r>
      <w:r>
        <w:rPr>
          <w:rFonts w:ascii="Arial" w:cs="Arial" w:eastAsia="Arial" w:hAnsi="Arial"/>
          <w:sz w:val="16"/>
          <w:szCs w:val="16"/>
          <w:color w:val="auto"/>
        </w:rPr>
        <w:t>” for further information.</w:t>
      </w:r>
    </w:p>
    <w:p>
      <w:pPr>
        <w:spacing w:after="0" w:line="148" w:lineRule="exact"/>
        <w:rPr>
          <w:sz w:val="20"/>
          <w:szCs w:val="20"/>
          <w:color w:val="auto"/>
        </w:rPr>
      </w:pPr>
    </w:p>
    <w:p>
      <w:pPr>
        <w:ind w:left="800" w:right="240" w:firstLine="482"/>
        <w:spacing w:after="0" w:line="258" w:lineRule="auto"/>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Operations—Key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Metrics</w:t>
      </w:r>
      <w:r>
        <w:rPr>
          <w:rFonts w:ascii="Arial" w:cs="Arial" w:eastAsia="Arial" w:hAnsi="Arial"/>
          <w:sz w:val="16"/>
          <w:szCs w:val="16"/>
          <w:color w:val="auto"/>
        </w:rPr>
        <w:t>” for more information.</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440"/>
          </w:cols>
          <w:pgMar w:left="320" w:top="419" w:right="11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87" w:lineRule="exact"/>
        <w:rPr>
          <w:sz w:val="20"/>
          <w:szCs w:val="20"/>
          <w:color w:val="auto"/>
        </w:rPr>
      </w:pPr>
    </w:p>
    <w:p>
      <w:pPr>
        <w:ind w:left="800" w:right="40" w:firstLine="482"/>
        <w:spacing w:after="0" w:line="23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Factors that could cause or contribute to such differences include those identified below and those discussed in the section titled “Risk Factors” and other parts of this prospectus. Our historical results are not necessarily indicative of the results that may be expected for any period in the future.</w:t>
      </w:r>
    </w:p>
    <w:p>
      <w:pPr>
        <w:spacing w:after="0" w:line="25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Overview</w:t>
      </w:r>
    </w:p>
    <w:p>
      <w:pPr>
        <w:spacing w:after="0" w:line="203"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8" w:lineRule="exact"/>
        <w:rPr>
          <w:sz w:val="20"/>
          <w:szCs w:val="20"/>
          <w:color w:val="auto"/>
        </w:rPr>
      </w:pPr>
    </w:p>
    <w:p>
      <w:pPr>
        <w:ind w:left="800" w:right="240" w:firstLine="482"/>
        <w:spacing w:after="0" w:line="235" w:lineRule="auto"/>
        <w:rPr>
          <w:sz w:val="20"/>
          <w:szCs w:val="20"/>
          <w:color w:val="auto"/>
        </w:rPr>
      </w:pPr>
      <w:r>
        <w:rPr>
          <w:rFonts w:ascii="Arial" w:cs="Arial" w:eastAsia="Arial" w:hAnsi="Arial"/>
          <w:sz w:val="16"/>
          <w:szCs w:val="16"/>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178"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In the fourth quarter of 2020, 18% of the loans funded through our platform were retained by the originating bank (compared to 21% in the fourth quarter of 2019). 81% of loans were purchased by institutional investors through our loan funding programs in the fourth quarter of 2020 (compared to 72% in the fourth quarter of 2019), and the remaining 1% were funded through our balance sheet (compared to 7% in the fourth quarter of 2019). Over the last few years, the percentage of loans purchased by institutional investors and retained by bank partners has fluctuated from quarter-to-quarter, but generally increased, while the percentage of loans funded through our balance sheet has generally decreased.</w:t>
      </w:r>
    </w:p>
    <w:p>
      <w:pPr>
        <w:spacing w:after="0" w:line="25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Our Economic Model</w:t>
      </w:r>
    </w:p>
    <w:p>
      <w:pPr>
        <w:spacing w:after="0" w:line="203" w:lineRule="exact"/>
        <w:rPr>
          <w:sz w:val="20"/>
          <w:szCs w:val="20"/>
          <w:color w:val="auto"/>
        </w:rPr>
      </w:pPr>
    </w:p>
    <w:p>
      <w:pPr>
        <w:ind w:left="800" w:right="20" w:firstLine="482"/>
        <w:spacing w:after="0" w:line="252" w:lineRule="auto"/>
        <w:rPr>
          <w:sz w:val="20"/>
          <w:szCs w:val="20"/>
          <w:color w:val="auto"/>
        </w:rPr>
      </w:pPr>
      <w:r>
        <w:rPr>
          <w:rFonts w:ascii="Arial" w:cs="Arial" w:eastAsia="Arial" w:hAnsi="Arial"/>
          <w:sz w:val="15"/>
          <w:szCs w:val="15"/>
          <w:color w:val="auto"/>
        </w:rPr>
        <w:t>Upstart’s revenues are primarily earned in the form of three separate usage-based fees, which can be either dollar or percentage based depending on the contractual arrangement. We charge our bank partners a referral fee each time we refer a borrower who obtains a loan. Separately, we charge bank partners a platform fee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440"/>
          </w:cols>
          <w:pgMar w:left="320" w:top="419" w:right="11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We also charge the holder of the loan (either a bank or institutional investor) an ongoing annualized servicing fee based on the outstanding principal over the lifetime of the loan for ongoing servicing of the loan. In addition, we earn a small portion of our revenue from interest income and our securitization activities.</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cost and borrower verification and servicing cost are highly correlated with the Number of Loans Transacted on our platform and trended upwards on an annual basis. A small number of loans were sourced directly through bank partners in which we received no referral fee and incurred no acquisition cost. The rising level of automation and continued improvements to our Conversion Rate achieved through our increasingly sophisticated risk models and our evolving channel mix have contributed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COVID-19 Pandemic Impact</w:t>
      </w:r>
    </w:p>
    <w:p>
      <w:pPr>
        <w:spacing w:after="0" w:line="106"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onset of the COVID-19 pandemic began to impact origination volumes on our platform in the second half of March 2020. A rapid rise in unemployment in the United States led to the potential for increased losses for new originations by our AI models, reduction in originations by bank partners, and a temporary 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79"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8" w:lineRule="exact"/>
        <w:rPr>
          <w:sz w:val="20"/>
          <w:szCs w:val="20"/>
          <w:color w:val="auto"/>
        </w:rPr>
      </w:pPr>
    </w:p>
    <w:p>
      <w:pPr>
        <w:ind w:left="800" w:right="160" w:firstLine="482"/>
        <w:spacing w:after="0" w:line="236" w:lineRule="auto"/>
        <w:rPr>
          <w:sz w:val="20"/>
          <w:szCs w:val="20"/>
          <w:color w:val="auto"/>
        </w:rPr>
      </w:pPr>
      <w:r>
        <w:rPr>
          <w:rFonts w:ascii="Arial" w:cs="Arial" w:eastAsia="Arial" w:hAnsi="Arial"/>
          <w:sz w:val="16"/>
          <w:szCs w:val="16"/>
          <w:color w:val="auto"/>
        </w:rPr>
        <w:t>Origination volumes recovered quickly, beginning in June 2020, as unemployment plateaued. For the year ended December 31, 2020, the Number of Loans Transacted was 300,379, representing a 40% increase compared to the Number of Loans Transacted in the year ended December 31, 2019.</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 Since this time, approximately 95% of these impacted borrowers have exited the hardship program and resumed making loan payments. Due to the strength of our AI model, we expect that the COVID-19 pandemic will have minimal impact on bank partners and institutional investor performance for Upstart-powered loans originated prior to the second quarter of 2020.</w:t>
      </w:r>
    </w:p>
    <w:p>
      <w:pPr>
        <w:spacing w:after="0" w:line="182"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420"/>
          </w:cols>
          <w:pgMar w:left="320" w:top="419" w:right="115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320"/>
        <w:spacing w:after="0"/>
        <w:rPr>
          <w:sz w:val="20"/>
          <w:szCs w:val="20"/>
          <w:color w:val="auto"/>
        </w:rPr>
      </w:pPr>
      <w:r>
        <w:rPr>
          <w:rFonts w:ascii="Arial" w:cs="Arial" w:eastAsia="Arial" w:hAnsi="Arial"/>
          <w:sz w:val="16"/>
          <w:szCs w:val="16"/>
          <w:b w:val="1"/>
          <w:bCs w:val="1"/>
          <w:color w:val="auto"/>
        </w:rPr>
        <w:t>Factors Affecting Our Performance</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Continued Improvements to Our AI Models</w:t>
      </w:r>
    </w:p>
    <w:p>
      <w:pPr>
        <w:spacing w:after="0" w:line="106"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182" w:lineRule="exact"/>
        <w:rPr>
          <w:sz w:val="20"/>
          <w:szCs w:val="20"/>
          <w:color w:val="auto"/>
        </w:rPr>
      </w:pPr>
    </w:p>
    <w:p>
      <w:pPr>
        <w:ind w:left="800" w:firstLine="482"/>
        <w:spacing w:after="0" w:line="254" w:lineRule="auto"/>
        <w:rPr>
          <w:sz w:val="20"/>
          <w:szCs w:val="20"/>
          <w:color w:val="auto"/>
        </w:rPr>
      </w:pPr>
      <w:r>
        <w:rPr>
          <w:rFonts w:ascii="Arial" w:cs="Arial" w:eastAsia="Arial" w:hAnsi="Arial"/>
          <w:sz w:val="15"/>
          <w:szCs w:val="15"/>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 us to unlock new marketing channels over time that have previously been unprofitable.</w:t>
      </w:r>
    </w:p>
    <w:p>
      <w:pPr>
        <w:spacing w:after="0" w:line="169" w:lineRule="exact"/>
        <w:rPr>
          <w:sz w:val="20"/>
          <w:szCs w:val="20"/>
          <w:color w:val="auto"/>
        </w:rPr>
      </w:pPr>
    </w:p>
    <w:p>
      <w:pPr>
        <w:jc w:val="both"/>
        <w:ind w:left="800" w:right="100" w:firstLine="482"/>
        <w:spacing w:after="0" w:line="258" w:lineRule="auto"/>
        <w:rPr>
          <w:sz w:val="20"/>
          <w:szCs w:val="20"/>
          <w:color w:val="auto"/>
        </w:rPr>
      </w:pPr>
      <w:r>
        <w:rPr>
          <w:rFonts w:ascii="Arial" w:cs="Arial" w:eastAsia="Arial" w:hAnsi="Arial"/>
          <w:sz w:val="15"/>
          <w:szCs w:val="15"/>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Bank and Market Adoption</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w:t>
      </w:r>
    </w:p>
    <w:p>
      <w:pPr>
        <w:spacing w:after="0" w:line="178"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78"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Product Expansion and Innovation</w:t>
      </w:r>
    </w:p>
    <w:p>
      <w:pPr>
        <w:spacing w:after="0" w:line="106" w:lineRule="exact"/>
        <w:rPr>
          <w:sz w:val="20"/>
          <w:szCs w:val="20"/>
          <w:color w:val="auto"/>
        </w:rPr>
      </w:pPr>
    </w:p>
    <w:p>
      <w:pPr>
        <w:ind w:left="800" w:right="320" w:firstLine="482"/>
        <w:spacing w:after="0" w:line="236" w:lineRule="auto"/>
        <w:rPr>
          <w:sz w:val="20"/>
          <w:szCs w:val="20"/>
          <w:color w:val="auto"/>
        </w:rPr>
      </w:pPr>
      <w:r>
        <w:rPr>
          <w:rFonts w:ascii="Arial" w:cs="Arial" w:eastAsia="Arial" w:hAnsi="Arial"/>
          <w:sz w:val="16"/>
          <w:szCs w:val="16"/>
          <w:color w:val="auto"/>
        </w:rPr>
        <w:t>We intend to continue developing new financial products that address a broader set of consumer needs over time. We recently announced our entry into the auto lending market and we believe that significant growth opportunities exist to apply our evolving technology to additional segments of credit,</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420"/>
          </w:cols>
          <w:pgMar w:left="320" w:top="419" w:right="115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3" w:lineRule="auto"/>
        <w:rPr>
          <w:sz w:val="20"/>
          <w:szCs w:val="20"/>
          <w:color w:val="auto"/>
        </w:rPr>
      </w:pPr>
      <w:r>
        <w:rPr>
          <w:rFonts w:ascii="Arial" w:cs="Arial" w:eastAsia="Arial" w:hAnsi="Arial"/>
          <w:sz w:val="16"/>
          <w:szCs w:val="16"/>
          <w:color w:val="auto"/>
        </w:rPr>
        <w:t>such as credit cards, mortgages, student loans, point-of-sale loans, and HELOCs. In addition, we aim to serve a broader role of technology enablement for banks, which we believe will seek more comprehensive technology solutions from their suppliers. For example, we recently began offering an application programming interface product to banks that allows them to utilize our AI underwriting models to support their loan origination process for personal, auto, and student loans. We will incur expenses and opportunity cost to develop and launch new products. Monetization prospects for new products are uncertain, and costs associated with developing and marketing new products might not be recovered, which could weigh on our top-line growth and profitability.</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Impact of Macroeconomic Cycles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Economic cycles can impact our financial performance and related metrics, including consumer demand for loans, conversion rates and the interest rates our bank partners and institutional investors 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55"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Key Operating and Financial Metrics</w:t>
      </w:r>
    </w:p>
    <w:p>
      <w:pPr>
        <w:spacing w:after="0" w:line="203"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We focus on several key operating and financial metrics to measure the performance of our business and help determine strategic direction.</w:t>
      </w:r>
    </w:p>
    <w:p>
      <w:pPr>
        <w:spacing w:after="0" w:line="227"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86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8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4"/>
              <w:spacing w:after="0" w:line="134"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Number of Loans Transacted</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114,125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215,122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300,379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Conversion Rate</w:t>
            </w:r>
          </w:p>
        </w:tc>
        <w:tc>
          <w:tcPr>
            <w:tcW w:w="10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9.1%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13.1%</w:t>
            </w:r>
          </w:p>
        </w:tc>
        <w:tc>
          <w:tcPr>
            <w:tcW w:w="100" w:type="dxa"/>
            <w:vAlign w:val="bottom"/>
          </w:tcPr>
          <w:p>
            <w:pPr>
              <w:spacing w:after="0"/>
              <w:rPr>
                <w:sz w:val="15"/>
                <w:szCs w:val="15"/>
                <w:color w:val="auto"/>
              </w:rPr>
            </w:pP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Percentage of Loans Fully Automated</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Contribution Profit</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13,098</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48,940</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w w:val="96"/>
              </w:rPr>
              <w:t>105,088</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Contribution Margin</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Adjusted EBITDA</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(6,226)</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5,595</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31,509</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Adjusted EBITDA Margin</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7"/>
        </w:trPr>
        <w:tc>
          <w:tcPr>
            <w:tcW w:w="6860" w:type="dxa"/>
            <w:vAlign w:val="bottom"/>
          </w:tcPr>
          <w:p>
            <w:pPr>
              <w:spacing w:after="0" w:line="178" w:lineRule="exact"/>
              <w:rPr>
                <w:sz w:val="20"/>
                <w:szCs w:val="20"/>
                <w:color w:val="auto"/>
              </w:rPr>
            </w:pPr>
            <w:r>
              <w:rPr>
                <w:rFonts w:ascii="Arial" w:cs="Arial" w:eastAsia="Arial" w:hAnsi="Arial"/>
                <w:sz w:val="16"/>
                <w:szCs w:val="16"/>
                <w:color w:val="auto"/>
              </w:rPr>
              <w:t>Adjusted Net Income (Loss)</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(10,274)</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3,340</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17,496</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Adjusted Net Income (Loss) per Share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860" w:type="dxa"/>
            <w:vAlign w:val="bottom"/>
          </w:tcPr>
          <w:p>
            <w:pPr>
              <w:ind w:left="320"/>
              <w:spacing w:after="0" w:line="178" w:lineRule="exact"/>
              <w:rPr>
                <w:sz w:val="20"/>
                <w:szCs w:val="20"/>
                <w:color w:val="auto"/>
              </w:rPr>
            </w:pPr>
            <w:r>
              <w:rPr>
                <w:rFonts w:ascii="Arial" w:cs="Arial" w:eastAsia="Arial" w:hAnsi="Arial"/>
                <w:sz w:val="16"/>
                <w:szCs w:val="16"/>
                <w:color w:val="auto"/>
              </w:rPr>
              <w:t>Basic</w:t>
            </w: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(0.73)</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0.23</w:t>
            </w:r>
          </w:p>
        </w:tc>
        <w:tc>
          <w:tcPr>
            <w:tcW w:w="320" w:type="dxa"/>
            <w:vAlign w:val="bottom"/>
          </w:tcPr>
          <w:p>
            <w:pPr>
              <w:spacing w:after="0"/>
              <w:rPr>
                <w:sz w:val="15"/>
                <w:szCs w:val="15"/>
                <w:color w:val="auto"/>
              </w:rPr>
            </w:pP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77"/>
        </w:trPr>
        <w:tc>
          <w:tcPr>
            <w:tcW w:w="68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Diluted</w:t>
            </w: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(0.73)</w:t>
            </w: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0.05</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29" w:lineRule="exact"/>
        <w:rPr>
          <w:sz w:val="20"/>
          <w:szCs w:val="20"/>
          <w:color w:val="auto"/>
        </w:rPr>
      </w:pPr>
    </w:p>
    <w:p>
      <w:pPr>
        <w:ind w:left="1280" w:right="180" w:hanging="481"/>
        <w:spacing w:after="0" w:line="258" w:lineRule="auto"/>
        <w:tabs>
          <w:tab w:leader="none" w:pos="12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 non-GAAP financial measure. See the section titled “</w:t>
      </w:r>
      <w:r>
        <w:rPr>
          <w:rFonts w:ascii="Arial" w:cs="Arial" w:eastAsia="Arial" w:hAnsi="Arial"/>
          <w:sz w:val="16"/>
          <w:szCs w:val="16"/>
          <w:i w:val="1"/>
          <w:iCs w:val="1"/>
          <w:color w:val="auto"/>
        </w:rPr>
        <w:t>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and Results of Operations—Reconciliation of Non-GAAP Financial Measures</w:t>
      </w:r>
      <w:r>
        <w:rPr>
          <w:rFonts w:ascii="Arial" w:cs="Arial" w:eastAsia="Arial" w:hAnsi="Arial"/>
          <w:sz w:val="16"/>
          <w:szCs w:val="16"/>
          <w:color w:val="auto"/>
        </w:rPr>
        <w:t>” for further information.</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Number of Loans Transacted</w:t>
      </w:r>
    </w:p>
    <w:p>
      <w:pPr>
        <w:spacing w:after="0" w:line="106"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We define the Number of Loans Transacted as the transaction volume, measured by number of loans facilitated on our platform, between a borrower and originating bank during the period presented. We believe this metric to be a good proxy for our overall scale and reach as a platform.</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Conversion Rate</w:t>
      </w:r>
    </w:p>
    <w:p>
      <w:pPr>
        <w:spacing w:after="0" w:line="106"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We define Conversion Rate as the Number of Loans Transacted in a period divided by the number of rate inquiries received, which we record when a borrower requests a loan offer on our</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440"/>
          </w:cols>
          <w:pgMar w:left="320" w:top="419" w:right="11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4" w:lineRule="auto"/>
        <w:rPr>
          <w:sz w:val="20"/>
          <w:szCs w:val="20"/>
          <w:color w:val="auto"/>
        </w:rPr>
      </w:pPr>
      <w:r>
        <w:rPr>
          <w:rFonts w:ascii="Arial" w:cs="Arial" w:eastAsia="Arial" w:hAnsi="Arial"/>
          <w:sz w:val="16"/>
          <w:szCs w:val="16"/>
          <w:color w:val="auto"/>
        </w:rPr>
        <w:t>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Percentage of Loans Fully Automated</w:t>
      </w:r>
    </w:p>
    <w:p>
      <w:pPr>
        <w:spacing w:after="0" w:line="106" w:lineRule="exact"/>
        <w:rPr>
          <w:sz w:val="20"/>
          <w:szCs w:val="20"/>
          <w:color w:val="auto"/>
        </w:rPr>
      </w:pPr>
    </w:p>
    <w:p>
      <w:pPr>
        <w:ind w:left="800" w:firstLine="482"/>
        <w:spacing w:after="0" w:line="250" w:lineRule="auto"/>
        <w:rPr>
          <w:sz w:val="20"/>
          <w:szCs w:val="20"/>
          <w:color w:val="auto"/>
        </w:rPr>
      </w:pPr>
      <w:r>
        <w:rPr>
          <w:rFonts w:ascii="Arial" w:cs="Arial" w:eastAsia="Arial" w:hAnsi="Arial"/>
          <w:sz w:val="15"/>
          <w:szCs w:val="15"/>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Number of Loans Transacted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Contribution Profit and Contribution Margin</w:t>
      </w:r>
    </w:p>
    <w:p>
      <w:pPr>
        <w:spacing w:after="0" w:line="106" w:lineRule="exact"/>
        <w:rPr>
          <w:sz w:val="20"/>
          <w:szCs w:val="20"/>
          <w:color w:val="auto"/>
        </w:rPr>
      </w:pPr>
    </w:p>
    <w:p>
      <w:pPr>
        <w:ind w:left="800" w:right="520" w:firstLine="482"/>
        <w:spacing w:after="0" w:line="269" w:lineRule="auto"/>
        <w:rPr>
          <w:sz w:val="20"/>
          <w:szCs w:val="20"/>
          <w:color w:val="auto"/>
        </w:rPr>
      </w:pPr>
      <w:r>
        <w:rPr>
          <w:rFonts w:ascii="Arial" w:cs="Arial" w:eastAsia="Arial" w:hAnsi="Arial"/>
          <w:sz w:val="15"/>
          <w:szCs w:val="15"/>
          <w:color w:val="auto"/>
        </w:rPr>
        <w:t>To derive Contribution Profit, we subtract from revenue from fees, net our borrower acquisition costs as well as our borrower verification and servicing costs. To calculate Contribution Margin we divide Contribution Profit by revenue from fees, net.</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provides a calculation of Contribution Profit and Contribution Margin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3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6"/>
              </w:rPr>
              <w:t>Year Ended December 31,</w:t>
            </w: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4"/>
        </w:trPr>
        <w:tc>
          <w:tcPr>
            <w:tcW w:w="63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3"/>
              <w:spacing w:after="0" w:line="13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3"/>
              <w:spacing w:after="0" w:line="134"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43"/>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1"/>
                <w:szCs w:val="11"/>
                <w:color w:val="auto"/>
              </w:rPr>
            </w:pPr>
          </w:p>
        </w:tc>
      </w:tr>
      <w:tr>
        <w:trPr>
          <w:trHeight w:val="169"/>
        </w:trPr>
        <w:tc>
          <w:tcPr>
            <w:tcW w:w="63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Referral fees, net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$ 53,869</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90,672</w:t>
            </w:r>
          </w:p>
        </w:tc>
        <w:tc>
          <w:tcPr>
            <w:tcW w:w="5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$ 133,425</w:t>
            </w:r>
          </w:p>
        </w:tc>
        <w:tc>
          <w:tcPr>
            <w:tcW w:w="180" w:type="dxa"/>
            <w:vAlign w:val="bottom"/>
            <w:shd w:val="clear" w:color="auto" w:fill="CCEEFF"/>
          </w:tcPr>
          <w:p>
            <w:pPr>
              <w:spacing w:after="0"/>
              <w:rPr>
                <w:sz w:val="14"/>
                <w:szCs w:val="14"/>
                <w:color w:val="auto"/>
              </w:rPr>
            </w:pPr>
          </w:p>
        </w:tc>
      </w:tr>
      <w:tr>
        <w:trPr>
          <w:trHeight w:val="177"/>
        </w:trPr>
        <w:tc>
          <w:tcPr>
            <w:tcW w:w="6320" w:type="dxa"/>
            <w:vAlign w:val="bottom"/>
          </w:tcPr>
          <w:p>
            <w:pPr>
              <w:spacing w:after="0" w:line="178" w:lineRule="exact"/>
              <w:rPr>
                <w:sz w:val="20"/>
                <w:szCs w:val="20"/>
                <w:color w:val="auto"/>
              </w:rPr>
            </w:pPr>
            <w:r>
              <w:rPr>
                <w:rFonts w:ascii="Arial" w:cs="Arial" w:eastAsia="Arial" w:hAnsi="Arial"/>
                <w:sz w:val="16"/>
                <w:szCs w:val="16"/>
                <w:color w:val="auto"/>
              </w:rPr>
              <w:t>Platform fees, net</w:t>
            </w:r>
          </w:p>
        </w:tc>
        <w:tc>
          <w:tcPr>
            <w:tcW w:w="78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29,512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540"/>
              <w:spacing w:after="0" w:line="178" w:lineRule="exact"/>
              <w:rPr>
                <w:sz w:val="20"/>
                <w:szCs w:val="20"/>
                <w:color w:val="auto"/>
              </w:rPr>
            </w:pPr>
            <w:r>
              <w:rPr>
                <w:rFonts w:ascii="Arial" w:cs="Arial" w:eastAsia="Arial" w:hAnsi="Arial"/>
                <w:sz w:val="16"/>
                <w:szCs w:val="16"/>
                <w:color w:val="auto"/>
              </w:rPr>
              <w:t>53,383</w:t>
            </w:r>
          </w:p>
        </w:tc>
        <w:tc>
          <w:tcPr>
            <w:tcW w:w="9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66,832</w:t>
            </w:r>
          </w:p>
        </w:tc>
      </w:tr>
      <w:tr>
        <w:trPr>
          <w:trHeight w:val="177"/>
        </w:trPr>
        <w:tc>
          <w:tcPr>
            <w:tcW w:w="6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Servicing fees, net</w:t>
            </w: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5,101</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540"/>
              <w:spacing w:after="0" w:line="178" w:lineRule="exact"/>
              <w:rPr>
                <w:sz w:val="20"/>
                <w:szCs w:val="20"/>
                <w:color w:val="auto"/>
              </w:rPr>
            </w:pPr>
            <w:r>
              <w:rPr>
                <w:rFonts w:ascii="Arial" w:cs="Arial" w:eastAsia="Arial" w:hAnsi="Arial"/>
                <w:sz w:val="16"/>
                <w:szCs w:val="16"/>
                <w:color w:val="auto"/>
              </w:rPr>
              <w:t>15,792</w:t>
            </w:r>
          </w:p>
        </w:tc>
        <w:tc>
          <w:tcPr>
            <w:tcW w:w="90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28,343</w:t>
            </w:r>
          </w:p>
        </w:tc>
      </w:tr>
      <w:tr>
        <w:trPr>
          <w:trHeight w:val="20"/>
        </w:trPr>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1"/>
        </w:trPr>
        <w:tc>
          <w:tcPr>
            <w:tcW w:w="6320" w:type="dxa"/>
            <w:vAlign w:val="bottom"/>
          </w:tcPr>
          <w:p>
            <w:pPr>
              <w:ind w:left="320"/>
              <w:spacing w:after="0" w:line="181" w:lineRule="exact"/>
              <w:rPr>
                <w:sz w:val="20"/>
                <w:szCs w:val="20"/>
                <w:color w:val="auto"/>
              </w:rPr>
            </w:pPr>
            <w:r>
              <w:rPr>
                <w:rFonts w:ascii="Arial" w:cs="Arial" w:eastAsia="Arial" w:hAnsi="Arial"/>
                <w:sz w:val="16"/>
                <w:szCs w:val="16"/>
                <w:color w:val="auto"/>
              </w:rPr>
              <w:t>Revenue from fees, net</w:t>
            </w:r>
          </w:p>
        </w:tc>
        <w:tc>
          <w:tcPr>
            <w:tcW w:w="640" w:type="dxa"/>
            <w:vAlign w:val="bottom"/>
          </w:tcPr>
          <w:p>
            <w:pPr>
              <w:jc w:val="right"/>
              <w:spacing w:after="0" w:line="181" w:lineRule="exact"/>
              <w:rPr>
                <w:sz w:val="20"/>
                <w:szCs w:val="20"/>
                <w:color w:val="auto"/>
              </w:rPr>
            </w:pPr>
            <w:r>
              <w:rPr>
                <w:rFonts w:ascii="Arial" w:cs="Arial" w:eastAsia="Arial" w:hAnsi="Arial"/>
                <w:sz w:val="16"/>
                <w:szCs w:val="16"/>
                <w:color w:val="auto"/>
              </w:rPr>
              <w:t>88,482</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540"/>
              <w:spacing w:after="0" w:line="181" w:lineRule="exact"/>
              <w:rPr>
                <w:sz w:val="20"/>
                <w:szCs w:val="20"/>
                <w:color w:val="auto"/>
              </w:rPr>
            </w:pPr>
            <w:r>
              <w:rPr>
                <w:rFonts w:ascii="Arial" w:cs="Arial" w:eastAsia="Arial" w:hAnsi="Arial"/>
                <w:sz w:val="16"/>
                <w:szCs w:val="16"/>
                <w:color w:val="auto"/>
              </w:rPr>
              <w:t>159,847</w:t>
            </w:r>
          </w:p>
        </w:tc>
        <w:tc>
          <w:tcPr>
            <w:tcW w:w="9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228,600</w:t>
            </w:r>
          </w:p>
        </w:tc>
      </w:tr>
      <w:tr>
        <w:trPr>
          <w:trHeight w:val="177"/>
        </w:trPr>
        <w:tc>
          <w:tcPr>
            <w:tcW w:w="6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Borrower acquisition costs</w:t>
            </w:r>
            <w:r>
              <w:rPr>
                <w:rFonts w:ascii="Arial" w:cs="Arial" w:eastAsia="Arial" w:hAnsi="Arial"/>
                <w:sz w:val="13"/>
                <w:szCs w:val="13"/>
                <w:color w:val="auto"/>
              </w:rPr>
              <w:t>(1)</w:t>
            </w:r>
          </w:p>
        </w:tc>
        <w:tc>
          <w:tcPr>
            <w:tcW w:w="7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(61,658)</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80"/>
              <w:spacing w:after="0" w:line="178" w:lineRule="exact"/>
              <w:rPr>
                <w:sz w:val="20"/>
                <w:szCs w:val="20"/>
                <w:color w:val="auto"/>
              </w:rPr>
            </w:pPr>
            <w:r>
              <w:rPr>
                <w:rFonts w:ascii="Arial" w:cs="Arial" w:eastAsia="Arial" w:hAnsi="Arial"/>
                <w:sz w:val="16"/>
                <w:szCs w:val="16"/>
                <w:color w:val="auto"/>
              </w:rPr>
              <w:t>(89,569)</w:t>
            </w:r>
          </w:p>
        </w:tc>
        <w:tc>
          <w:tcPr>
            <w:tcW w:w="9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(91,700)</w:t>
            </w:r>
          </w:p>
        </w:tc>
      </w:tr>
      <w:tr>
        <w:trPr>
          <w:trHeight w:val="177"/>
        </w:trPr>
        <w:tc>
          <w:tcPr>
            <w:tcW w:w="6320" w:type="dxa"/>
            <w:vAlign w:val="bottom"/>
          </w:tcPr>
          <w:p>
            <w:pPr>
              <w:spacing w:after="0" w:line="178" w:lineRule="exact"/>
              <w:rPr>
                <w:sz w:val="20"/>
                <w:szCs w:val="20"/>
                <w:color w:val="auto"/>
              </w:rPr>
            </w:pPr>
            <w:r>
              <w:rPr>
                <w:rFonts w:ascii="Arial" w:cs="Arial" w:eastAsia="Arial" w:hAnsi="Arial"/>
                <w:sz w:val="16"/>
                <w:szCs w:val="16"/>
                <w:color w:val="auto"/>
              </w:rPr>
              <w:t>Borrower verification and servicing costs</w:t>
            </w:r>
            <w:r>
              <w:rPr>
                <w:rFonts w:ascii="Arial" w:cs="Arial" w:eastAsia="Arial" w:hAnsi="Arial"/>
                <w:sz w:val="13"/>
                <w:szCs w:val="13"/>
                <w:color w:val="auto"/>
              </w:rPr>
              <w:t>(2)</w:t>
            </w:r>
          </w:p>
        </w:tc>
        <w:tc>
          <w:tcPr>
            <w:tcW w:w="7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(13,726)</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80"/>
              <w:spacing w:after="0" w:line="178" w:lineRule="exact"/>
              <w:rPr>
                <w:sz w:val="20"/>
                <w:szCs w:val="20"/>
                <w:color w:val="auto"/>
              </w:rPr>
            </w:pPr>
            <w:r>
              <w:rPr>
                <w:rFonts w:ascii="Arial" w:cs="Arial" w:eastAsia="Arial" w:hAnsi="Arial"/>
                <w:sz w:val="16"/>
                <w:szCs w:val="16"/>
                <w:color w:val="auto"/>
              </w:rPr>
              <w:t>(21,338)</w:t>
            </w:r>
          </w:p>
        </w:tc>
        <w:tc>
          <w:tcPr>
            <w:tcW w:w="9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(31,812)</w:t>
            </w:r>
          </w:p>
        </w:tc>
      </w:tr>
      <w:tr>
        <w:trPr>
          <w:trHeight w:val="20"/>
        </w:trPr>
        <w:tc>
          <w:tcPr>
            <w:tcW w:w="6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5"/>
        </w:trPr>
        <w:tc>
          <w:tcPr>
            <w:tcW w:w="6320" w:type="dxa"/>
            <w:vAlign w:val="bottom"/>
            <w:shd w:val="clear" w:color="auto" w:fill="CCEEFF"/>
          </w:tcPr>
          <w:p>
            <w:pPr>
              <w:ind w:left="320"/>
              <w:spacing w:after="0" w:line="165" w:lineRule="exact"/>
              <w:rPr>
                <w:sz w:val="20"/>
                <w:szCs w:val="20"/>
                <w:color w:val="auto"/>
              </w:rPr>
            </w:pPr>
            <w:r>
              <w:rPr>
                <w:rFonts w:ascii="Arial" w:cs="Arial" w:eastAsia="Arial" w:hAnsi="Arial"/>
                <w:sz w:val="16"/>
                <w:szCs w:val="16"/>
                <w:color w:val="auto"/>
              </w:rPr>
              <w:t>Total direct expenses</w:t>
            </w:r>
          </w:p>
        </w:tc>
        <w:tc>
          <w:tcPr>
            <w:tcW w:w="780" w:type="dxa"/>
            <w:vAlign w:val="bottom"/>
            <w:gridSpan w:val="2"/>
            <w:shd w:val="clear" w:color="auto" w:fill="CCEEFF"/>
          </w:tcPr>
          <w:p>
            <w:pPr>
              <w:jc w:val="right"/>
              <w:ind w:right="100"/>
              <w:spacing w:after="0" w:line="165" w:lineRule="exact"/>
              <w:rPr>
                <w:sz w:val="20"/>
                <w:szCs w:val="20"/>
                <w:color w:val="auto"/>
              </w:rPr>
            </w:pPr>
            <w:r>
              <w:rPr>
                <w:rFonts w:ascii="Arial" w:cs="Arial" w:eastAsia="Arial" w:hAnsi="Arial"/>
                <w:sz w:val="16"/>
                <w:szCs w:val="16"/>
                <w:color w:val="auto"/>
              </w:rPr>
              <w:t>(75,384)</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80"/>
              <w:spacing w:after="0" w:line="165" w:lineRule="exact"/>
              <w:rPr>
                <w:sz w:val="20"/>
                <w:szCs w:val="20"/>
                <w:color w:val="auto"/>
              </w:rPr>
            </w:pPr>
            <w:r>
              <w:rPr>
                <w:rFonts w:ascii="Arial" w:cs="Arial" w:eastAsia="Arial" w:hAnsi="Arial"/>
                <w:sz w:val="16"/>
                <w:szCs w:val="16"/>
                <w:color w:val="auto"/>
                <w:w w:val="96"/>
              </w:rPr>
              <w:t>(110,907)</w:t>
            </w:r>
          </w:p>
        </w:tc>
        <w:tc>
          <w:tcPr>
            <w:tcW w:w="900" w:type="dxa"/>
            <w:vAlign w:val="bottom"/>
            <w:gridSpan w:val="2"/>
            <w:shd w:val="clear" w:color="auto" w:fill="CCEEFF"/>
          </w:tcPr>
          <w:p>
            <w:pPr>
              <w:jc w:val="right"/>
              <w:ind w:right="120"/>
              <w:spacing w:after="0" w:line="165" w:lineRule="exact"/>
              <w:rPr>
                <w:sz w:val="20"/>
                <w:szCs w:val="20"/>
                <w:color w:val="auto"/>
              </w:rPr>
            </w:pPr>
            <w:r>
              <w:rPr>
                <w:rFonts w:ascii="Arial" w:cs="Arial" w:eastAsia="Arial" w:hAnsi="Arial"/>
                <w:sz w:val="16"/>
                <w:szCs w:val="16"/>
                <w:color w:val="auto"/>
              </w:rPr>
              <w:t>(123,512)</w:t>
            </w:r>
          </w:p>
        </w:tc>
      </w:tr>
      <w:tr>
        <w:trPr>
          <w:trHeight w:val="20"/>
        </w:trPr>
        <w:tc>
          <w:tcPr>
            <w:tcW w:w="6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1"/>
        </w:trPr>
        <w:tc>
          <w:tcPr>
            <w:tcW w:w="6320" w:type="dxa"/>
            <w:vAlign w:val="bottom"/>
          </w:tcPr>
          <w:p>
            <w:pPr>
              <w:ind w:left="320"/>
              <w:spacing w:after="0" w:line="181" w:lineRule="exact"/>
              <w:rPr>
                <w:sz w:val="20"/>
                <w:szCs w:val="20"/>
                <w:color w:val="auto"/>
              </w:rPr>
            </w:pPr>
            <w:r>
              <w:rPr>
                <w:rFonts w:ascii="Arial" w:cs="Arial" w:eastAsia="Arial" w:hAnsi="Arial"/>
                <w:sz w:val="16"/>
                <w:szCs w:val="16"/>
                <w:color w:val="auto"/>
              </w:rPr>
              <w:t>Contribution Profit</w:t>
            </w:r>
          </w:p>
        </w:tc>
        <w:tc>
          <w:tcPr>
            <w:tcW w:w="640" w:type="dxa"/>
            <w:vAlign w:val="bottom"/>
          </w:tcPr>
          <w:p>
            <w:pPr>
              <w:jc w:val="right"/>
              <w:spacing w:after="0" w:line="181" w:lineRule="exact"/>
              <w:rPr>
                <w:sz w:val="20"/>
                <w:szCs w:val="20"/>
                <w:color w:val="auto"/>
              </w:rPr>
            </w:pPr>
            <w:r>
              <w:rPr>
                <w:rFonts w:ascii="Arial" w:cs="Arial" w:eastAsia="Arial" w:hAnsi="Arial"/>
                <w:sz w:val="16"/>
                <w:szCs w:val="16"/>
                <w:color w:val="auto"/>
                <w:w w:val="99"/>
              </w:rPr>
              <w:t>$ 13,098</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540"/>
              <w:spacing w:after="0" w:line="181" w:lineRule="exact"/>
              <w:rPr>
                <w:sz w:val="20"/>
                <w:szCs w:val="20"/>
                <w:color w:val="auto"/>
              </w:rPr>
            </w:pPr>
            <w:r>
              <w:rPr>
                <w:rFonts w:ascii="Arial" w:cs="Arial" w:eastAsia="Arial" w:hAnsi="Arial"/>
                <w:sz w:val="16"/>
                <w:szCs w:val="16"/>
                <w:color w:val="auto"/>
              </w:rPr>
              <w:t>48,940</w:t>
            </w:r>
          </w:p>
        </w:tc>
        <w:tc>
          <w:tcPr>
            <w:tcW w:w="90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w w:val="98"/>
              </w:rPr>
              <w:t>$ 105,088</w:t>
            </w:r>
          </w:p>
        </w:tc>
      </w:tr>
      <w:tr>
        <w:trPr>
          <w:trHeight w:val="177"/>
        </w:trPr>
        <w:tc>
          <w:tcPr>
            <w:tcW w:w="632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i w:val="1"/>
                <w:iCs w:val="1"/>
                <w:color w:val="auto"/>
              </w:rPr>
              <w:t>Contribution Margin</w:t>
            </w:r>
          </w:p>
        </w:tc>
        <w:tc>
          <w:tcPr>
            <w:tcW w:w="7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15%</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31%</w:t>
            </w:r>
          </w:p>
        </w:tc>
        <w:tc>
          <w:tcPr>
            <w:tcW w:w="9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7" w:lineRule="exact"/>
        <w:rPr>
          <w:sz w:val="20"/>
          <w:szCs w:val="20"/>
          <w:color w:val="auto"/>
        </w:rPr>
      </w:pPr>
    </w:p>
    <w:p>
      <w:pPr>
        <w:ind w:left="1280" w:right="220" w:hanging="481"/>
        <w:spacing w:after="0" w:line="246" w:lineRule="auto"/>
        <w:tabs>
          <w:tab w:leader="none" w:pos="12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4"/>
          <w:szCs w:val="14"/>
          <w:color w:val="auto"/>
        </w:rPr>
      </w:pPr>
    </w:p>
    <w:p>
      <w:pPr>
        <w:ind w:left="1280" w:right="120" w:hanging="481"/>
        <w:spacing w:after="0" w:line="253" w:lineRule="auto"/>
        <w:tabs>
          <w:tab w:leader="none" w:pos="12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 based compensation for certain members of our customer operations team whose work is not directly attributable to onboarding and servicing loans.</w:t>
      </w:r>
    </w:p>
    <w:p>
      <w:pPr>
        <w:spacing w:after="0" w:line="158" w:lineRule="exact"/>
        <w:rPr>
          <w:sz w:val="20"/>
          <w:szCs w:val="20"/>
          <w:color w:val="auto"/>
        </w:rPr>
      </w:pPr>
    </w:p>
    <w:p>
      <w:pPr>
        <w:ind w:left="800" w:right="80" w:firstLine="482"/>
        <w:spacing w:after="0" w:line="258" w:lineRule="auto"/>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Operations—Reconciliation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a reconciliation of income (loss) from operations to Contribution Profit.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440"/>
          </w:cols>
          <w:pgMar w:left="320" w:top="419" w:right="11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06"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We calculate Adjusted EBITDA as net income (loss) attributable to Upstart Holdings, Inc. stockholders adjusted to exclude stock-based compensation expense, depreciation and amortization, expense on warrants and other non-operating expenses, net and provision for income taxes.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Operations—Reconciliation of Non-GAAP Financial Measure</w:t>
      </w:r>
      <w:r>
        <w:rPr>
          <w:rFonts w:ascii="Arial" w:cs="Arial" w:eastAsia="Arial" w:hAnsi="Arial"/>
          <w:sz w:val="16"/>
          <w:szCs w:val="16"/>
          <w:color w:val="auto"/>
        </w:rPr>
        <w:t>s” for a reconciliation of net loss attributable to Upstart Holdings, Inc.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to Adjusted EBITDA and Adjusted EBITDA Margin.</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Adjusted Net Income (Loss) and Adjusted Net Income (Loss) Per Share</w:t>
      </w:r>
    </w:p>
    <w:p>
      <w:pPr>
        <w:spacing w:after="0" w:line="90" w:lineRule="exact"/>
        <w:rPr>
          <w:sz w:val="20"/>
          <w:szCs w:val="20"/>
          <w:color w:val="auto"/>
        </w:rPr>
      </w:pPr>
    </w:p>
    <w:p>
      <w:pPr>
        <w:ind w:left="800" w:right="80" w:firstLine="482"/>
        <w:spacing w:after="0" w:line="244" w:lineRule="auto"/>
        <w:rPr>
          <w:sz w:val="20"/>
          <w:szCs w:val="20"/>
          <w:color w:val="auto"/>
        </w:rPr>
      </w:pPr>
      <w:r>
        <w:rPr>
          <w:rFonts w:ascii="Arial" w:cs="Arial" w:eastAsia="Arial" w:hAnsi="Arial"/>
          <w:sz w:val="16"/>
          <w:szCs w:val="16"/>
          <w:color w:val="auto"/>
        </w:rPr>
        <w:t>See the section titled “</w:t>
      </w:r>
      <w:r>
        <w:rPr>
          <w:rFonts w:ascii="Arial" w:cs="Arial" w:eastAsia="Arial" w:hAnsi="Arial"/>
          <w:sz w:val="16"/>
          <w:szCs w:val="16"/>
          <w:i w:val="1"/>
          <w:iCs w:val="1"/>
          <w:color w:val="auto"/>
        </w:rPr>
        <w:t>Management’s Discussion and Analysis of Financial Condition and Results of Operations—Reconciliation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a reconciliation of net income (loss) attributable to Upstart Holdings, Inc. common stockholders to</w:t>
      </w:r>
      <w:r>
        <w:rPr>
          <w:rFonts w:ascii="Arial" w:cs="Arial" w:eastAsia="Arial" w:hAnsi="Arial"/>
          <w:sz w:val="16"/>
          <w:szCs w:val="16"/>
          <w:i w:val="1"/>
          <w:iCs w:val="1"/>
          <w:color w:val="auto"/>
        </w:rPr>
        <w:t xml:space="preserve"> </w:t>
      </w:r>
      <w:r>
        <w:rPr>
          <w:rFonts w:ascii="Arial" w:cs="Arial" w:eastAsia="Arial" w:hAnsi="Arial"/>
          <w:sz w:val="16"/>
          <w:szCs w:val="16"/>
          <w:color w:val="auto"/>
        </w:rPr>
        <w:t>Adjusted Net Income (Loss) and Adjusted Net Income (Loss) Per Share.</w:t>
      </w:r>
    </w:p>
    <w:p>
      <w:pPr>
        <w:spacing w:after="0" w:line="251"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Components of Results of Operations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Revenue from Fees, Net</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Platform and Referral Fees, Net</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consolidated financial statements included in this prospectus for more information about loan premium fees and trailing fees.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Servicing Fees, Net</w:t>
      </w:r>
    </w:p>
    <w:p>
      <w:pPr>
        <w:spacing w:after="0" w:line="106"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platform.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Interest Income and Fair Value Adjustments, Net</w:t>
      </w:r>
    </w:p>
    <w:p>
      <w:pPr>
        <w:spacing w:after="0" w:line="106"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consolidated balance sheets as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440"/>
          </w:cols>
          <w:pgMar w:left="320" w:top="419" w:right="11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0"/>
        <w:spacing w:after="0" w:line="233" w:lineRule="auto"/>
        <w:rPr>
          <w:sz w:val="20"/>
          <w:szCs w:val="20"/>
          <w:color w:val="auto"/>
        </w:rPr>
      </w:pPr>
      <w:r>
        <w:rPr>
          <w:rFonts w:ascii="Arial" w:cs="Arial" w:eastAsia="Arial" w:hAnsi="Arial"/>
          <w:sz w:val="16"/>
          <w:szCs w:val="16"/>
          <w:color w:val="auto"/>
        </w:rPr>
        <w:t>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income (loss) attributable to noncontrolling interests on our consolidated statements of operations and comprehensive income (loss).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06"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Customer Operations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Number of Loans Transacted.</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Engineering and Product Development</w:t>
      </w:r>
    </w:p>
    <w:p>
      <w:pPr>
        <w:spacing w:after="0" w:line="106"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General, Administrative and Other</w:t>
      </w:r>
    </w:p>
    <w:p>
      <w:pPr>
        <w:spacing w:after="0" w:line="106" w:lineRule="exact"/>
        <w:rPr>
          <w:sz w:val="20"/>
          <w:szCs w:val="20"/>
          <w:color w:val="auto"/>
        </w:rPr>
      </w:pPr>
    </w:p>
    <w:p>
      <w:pPr>
        <w:ind w:left="800" w:right="20" w:firstLine="482"/>
        <w:spacing w:after="0" w:line="251" w:lineRule="auto"/>
        <w:rPr>
          <w:sz w:val="20"/>
          <w:szCs w:val="20"/>
          <w:color w:val="auto"/>
        </w:rPr>
      </w:pPr>
      <w:r>
        <w:rPr>
          <w:rFonts w:ascii="Arial" w:cs="Arial" w:eastAsia="Arial" w:hAnsi="Arial"/>
          <w:sz w:val="15"/>
          <w:szCs w:val="15"/>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our IPO in December 2020, we expect to continue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420"/>
          </w:cols>
          <w:pgMar w:left="320" w:top="419" w:right="115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6" w:lineRule="auto"/>
        <w:rPr>
          <w:sz w:val="20"/>
          <w:szCs w:val="20"/>
          <w:color w:val="auto"/>
        </w:rPr>
      </w:pPr>
      <w:r>
        <w:rPr>
          <w:rFonts w:ascii="Arial" w:cs="Arial" w:eastAsia="Arial" w:hAnsi="Arial"/>
          <w:sz w:val="16"/>
          <w:szCs w:val="16"/>
          <w:color w:val="auto"/>
        </w:rPr>
        <w:t>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Other Income</w:t>
      </w:r>
    </w:p>
    <w:p>
      <w:pPr>
        <w:spacing w:after="0" w:line="106" w:lineRule="exact"/>
        <w:rPr>
          <w:sz w:val="20"/>
          <w:szCs w:val="20"/>
          <w:color w:val="auto"/>
        </w:rPr>
      </w:pPr>
    </w:p>
    <w:p>
      <w:pPr>
        <w:ind w:left="800" w:right="160" w:firstLine="482"/>
        <w:spacing w:after="0" w:line="250" w:lineRule="auto"/>
        <w:rPr>
          <w:sz w:val="20"/>
          <w:szCs w:val="20"/>
          <w:color w:val="auto"/>
        </w:rPr>
      </w:pPr>
      <w:r>
        <w:rPr>
          <w:rFonts w:ascii="Arial" w:cs="Arial" w:eastAsia="Arial" w:hAnsi="Arial"/>
          <w:sz w:val="15"/>
          <w:szCs w:val="15"/>
          <w:color w:val="auto"/>
        </w:rPr>
        <w:t>Other income primarily consists of dividend income earned on our unrestricted cash balances and in 2018 also included sublease income. Other income is recognized in the period earned. During the year ended December 31, 2020, other income also included the proceeds from a forgivable loan under the Paycheck Protection Program. For additional details, refer to “</w:t>
      </w:r>
      <w:r>
        <w:rPr>
          <w:rFonts w:ascii="Arial" w:cs="Arial" w:eastAsia="Arial" w:hAnsi="Arial"/>
          <w:sz w:val="15"/>
          <w:szCs w:val="15"/>
          <w:i w:val="1"/>
          <w:iCs w:val="1"/>
          <w:color w:val="auto"/>
        </w:rPr>
        <w:t>Note 1. Description of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and Significant Accounting Policie</w:t>
      </w:r>
      <w:r>
        <w:rPr>
          <w:rFonts w:ascii="Arial" w:cs="Arial" w:eastAsia="Arial" w:hAnsi="Arial"/>
          <w:sz w:val="15"/>
          <w:szCs w:val="15"/>
          <w:color w:val="auto"/>
        </w:rPr>
        <w:t>s” of our consolidated financial statements included in this prospectus. In March 2021,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approved a voluntarily repayment of the proceeds received under the Paycheck Protection Program in the second quarter of 2021. There has been no change in our assessment that forgiveness of the loan under the CARES Act is reasonably assured. Upon repayment, our other income will be reduced by the repayment amount by approximately $5.3 million.</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Expense on Warrants and Other Non-Operating Expenses</w:t>
      </w:r>
    </w:p>
    <w:p>
      <w:pPr>
        <w:spacing w:after="0" w:line="106"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Expense on warrants and other non-operating expenses is primarily comprised of the net changes in the fair value of our common and convertible preferred stock warrant liabilities, as well as interest expense on convertible notes outstanding in 2018.</w:t>
      </w:r>
    </w:p>
    <w:p>
      <w:pPr>
        <w:spacing w:after="0" w:line="254"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Results of Operations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summarizes our historical consolidated statements of operations data:</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9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 except share and per share amounts)</w:t>
            </w:r>
          </w:p>
        </w:tc>
        <w:tc>
          <w:tcPr>
            <w:tcW w:w="100" w:type="dxa"/>
            <w:vAlign w:val="bottom"/>
          </w:tcPr>
          <w:p>
            <w:pPr>
              <w:spacing w:after="0"/>
              <w:rPr>
                <w:sz w:val="13"/>
                <w:szCs w:val="13"/>
                <w:color w:val="auto"/>
              </w:rPr>
            </w:pPr>
          </w:p>
        </w:tc>
        <w:tc>
          <w:tcPr>
            <w:tcW w:w="2620" w:type="dxa"/>
            <w:vAlign w:val="bottom"/>
            <w:gridSpan w:val="10"/>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692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23"/>
              <w:spacing w:after="0" w:line="134"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22"/>
              <w:spacing w:after="0" w:line="13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22"/>
              <w:spacing w:after="0" w:line="134"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Revenue:</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tcPr>
          <w:p>
            <w:pPr>
              <w:ind w:left="300"/>
              <w:spacing w:after="0" w:line="178" w:lineRule="exact"/>
              <w:rPr>
                <w:sz w:val="20"/>
                <w:szCs w:val="20"/>
                <w:color w:val="auto"/>
              </w:rPr>
            </w:pPr>
            <w:r>
              <w:rPr>
                <w:rFonts w:ascii="Arial" w:cs="Arial" w:eastAsia="Arial" w:hAnsi="Arial"/>
                <w:sz w:val="16"/>
                <w:szCs w:val="16"/>
                <w:color w:val="auto"/>
              </w:rPr>
              <w:t>Revenue from fees, net</w:t>
            </w:r>
          </w:p>
        </w:tc>
        <w:tc>
          <w:tcPr>
            <w:tcW w:w="100" w:type="dxa"/>
            <w:vAlign w:val="bottom"/>
          </w:tcPr>
          <w:p>
            <w:pPr>
              <w:jc w:val="right"/>
              <w:spacing w:after="0" w:line="178" w:lineRule="exact"/>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88,482</w:t>
            </w:r>
          </w:p>
        </w:tc>
        <w:tc>
          <w:tcPr>
            <w:tcW w:w="22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w w:val="96"/>
              </w:rPr>
              <w:t>159,847</w:t>
            </w:r>
          </w:p>
        </w:tc>
        <w:tc>
          <w:tcPr>
            <w:tcW w:w="2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w w:val="96"/>
              </w:rPr>
              <w:t>228,600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rPr>
              <w:t>Interest income and fair value adjustments, net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10,831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4,342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Pr>
          <w:p>
            <w:pPr>
              <w:ind w:left="600"/>
              <w:spacing w:after="0" w:line="181" w:lineRule="exact"/>
              <w:rPr>
                <w:sz w:val="20"/>
                <w:szCs w:val="20"/>
                <w:color w:val="auto"/>
              </w:rPr>
            </w:pPr>
            <w:r>
              <w:rPr>
                <w:rFonts w:ascii="Arial" w:cs="Arial" w:eastAsia="Arial" w:hAnsi="Arial"/>
                <w:sz w:val="16"/>
                <w:szCs w:val="16"/>
                <w:color w:val="auto"/>
              </w:rPr>
              <w:t>Total revenue</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1" w:lineRule="exact"/>
              <w:rPr>
                <w:sz w:val="20"/>
                <w:szCs w:val="20"/>
                <w:color w:val="auto"/>
              </w:rPr>
            </w:pPr>
            <w:r>
              <w:rPr>
                <w:rFonts w:ascii="Arial" w:cs="Arial" w:eastAsia="Arial" w:hAnsi="Arial"/>
                <w:sz w:val="16"/>
                <w:szCs w:val="16"/>
                <w:color w:val="auto"/>
              </w:rPr>
              <w:t>99,313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w w:val="96"/>
              </w:rPr>
              <w:t>164,189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w w:val="96"/>
              </w:rPr>
              <w:t>233,416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Operating expenses:</w:t>
            </w: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tcPr>
          <w:p>
            <w:pPr>
              <w:ind w:left="300"/>
              <w:spacing w:after="0" w:line="178" w:lineRule="exact"/>
              <w:rPr>
                <w:sz w:val="20"/>
                <w:szCs w:val="20"/>
                <w:color w:val="auto"/>
              </w:rPr>
            </w:pPr>
            <w:r>
              <w:rPr>
                <w:rFonts w:ascii="Arial" w:cs="Arial" w:eastAsia="Arial" w:hAnsi="Arial"/>
                <w:sz w:val="16"/>
                <w:szCs w:val="16"/>
                <w:color w:val="auto"/>
              </w:rPr>
              <w:t>Sales and marketing</w:t>
            </w: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63,633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93,175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99,659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rPr>
              <w:t>Customer operations</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15,416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24,947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37,581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tcPr>
          <w:p>
            <w:pPr>
              <w:ind w:left="300"/>
              <w:spacing w:after="0" w:line="178" w:lineRule="exact"/>
              <w:rPr>
                <w:sz w:val="20"/>
                <w:szCs w:val="20"/>
                <w:color w:val="auto"/>
              </w:rPr>
            </w:pPr>
            <w:r>
              <w:rPr>
                <w:rFonts w:ascii="Arial" w:cs="Arial" w:eastAsia="Arial" w:hAnsi="Arial"/>
                <w:sz w:val="16"/>
                <w:szCs w:val="16"/>
                <w:color w:val="auto"/>
              </w:rPr>
              <w:t>Engineering and product development</w:t>
            </w: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8,415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18,777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rPr>
              <w:t>General, administrative, and other</w:t>
            </w: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19,820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31,865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45,609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900" w:type="dxa"/>
            <w:vAlign w:val="bottom"/>
          </w:tcPr>
          <w:p>
            <w:pPr>
              <w:ind w:left="600"/>
              <w:spacing w:after="0" w:line="181" w:lineRule="exact"/>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107,284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w w:val="96"/>
              </w:rPr>
              <w:t>168,764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w w:val="96"/>
              </w:rPr>
              <w:t>221,651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(7,971)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(4,575)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11,765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tcPr>
          <w:p>
            <w:pPr>
              <w:spacing w:after="0" w:line="178" w:lineRule="exact"/>
              <w:rPr>
                <w:sz w:val="20"/>
                <w:szCs w:val="20"/>
                <w:color w:val="auto"/>
              </w:rPr>
            </w:pPr>
            <w:r>
              <w:rPr>
                <w:rFonts w:ascii="Arial" w:cs="Arial" w:eastAsia="Arial" w:hAnsi="Arial"/>
                <w:sz w:val="16"/>
                <w:szCs w:val="16"/>
                <w:color w:val="auto"/>
              </w:rPr>
              <w:t>Other income</w:t>
            </w:r>
          </w:p>
        </w:tc>
        <w:tc>
          <w:tcPr>
            <w:tcW w:w="100" w:type="dxa"/>
            <w:vAlign w:val="bottom"/>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487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1,036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5,549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Expense on warrants and other non-operating expenses, net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(3,734)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(1,407)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(11,364)</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20" w:type="dxa"/>
            <w:vAlign w:val="bottom"/>
            <w:gridSpan w:val="2"/>
          </w:tcPr>
          <w:p>
            <w:pPr>
              <w:spacing w:after="0" w:line="181" w:lineRule="exact"/>
              <w:rPr>
                <w:sz w:val="20"/>
                <w:szCs w:val="20"/>
                <w:color w:val="auto"/>
              </w:rPr>
            </w:pPr>
            <w:r>
              <w:rPr>
                <w:rFonts w:ascii="Arial" w:cs="Arial" w:eastAsia="Arial" w:hAnsi="Arial"/>
                <w:sz w:val="16"/>
                <w:szCs w:val="16"/>
                <w:color w:val="auto"/>
              </w:rPr>
              <w:t>Net income (loss) before income taxes</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(11,218)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(4,946)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5,950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line="178"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20" w:type="dxa"/>
            <w:vAlign w:val="bottom"/>
            <w:gridSpan w:val="2"/>
          </w:tcPr>
          <w:p>
            <w:pPr>
              <w:spacing w:after="0" w:line="181" w:lineRule="exact"/>
              <w:rPr>
                <w:sz w:val="20"/>
                <w:szCs w:val="20"/>
                <w:color w:val="auto"/>
              </w:rPr>
            </w:pPr>
            <w:r>
              <w:rPr>
                <w:rFonts w:ascii="Arial" w:cs="Arial" w:eastAsia="Arial" w:hAnsi="Arial"/>
                <w:sz w:val="16"/>
                <w:szCs w:val="16"/>
                <w:color w:val="auto"/>
              </w:rPr>
              <w:t>Net income (loss) before attribution to noncontrolling interests</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(11,218)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(5,020)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5,579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9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1,101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(4,554)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920" w:type="dxa"/>
            <w:vAlign w:val="bottom"/>
            <w:gridSpan w:val="2"/>
          </w:tcPr>
          <w:p>
            <w:pPr>
              <w:spacing w:after="0" w:line="181" w:lineRule="exact"/>
              <w:rPr>
                <w:sz w:val="20"/>
                <w:szCs w:val="20"/>
                <w:color w:val="auto"/>
              </w:rPr>
            </w:pPr>
            <w:r>
              <w:rPr>
                <w:rFonts w:ascii="Arial" w:cs="Arial" w:eastAsia="Arial" w:hAnsi="Arial"/>
                <w:sz w:val="16"/>
                <w:szCs w:val="16"/>
                <w:color w:val="auto"/>
              </w:rPr>
              <w:t>Net income (loss) attributable to Upstart Holdings, Inc. common stockholders</w:t>
            </w:r>
          </w:p>
        </w:tc>
        <w:tc>
          <w:tcPr>
            <w:tcW w:w="10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(12,319)</w:t>
            </w:r>
          </w:p>
        </w:tc>
        <w:tc>
          <w:tcPr>
            <w:tcW w:w="22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(466)</w:t>
            </w:r>
          </w:p>
        </w:tc>
        <w:tc>
          <w:tcPr>
            <w:tcW w:w="2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line="181" w:lineRule="exact"/>
              <w:rPr>
                <w:sz w:val="20"/>
                <w:szCs w:val="20"/>
                <w:color w:val="auto"/>
              </w:rPr>
            </w:pPr>
            <w:r>
              <w:rPr>
                <w:rFonts w:ascii="Arial" w:cs="Arial" w:eastAsia="Arial" w:hAnsi="Arial"/>
                <w:sz w:val="16"/>
                <w:szCs w:val="16"/>
                <w:color w:val="auto"/>
              </w:rPr>
              <w:t>5,983</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4740"/>
              <w:spacing w:after="0"/>
              <w:rPr>
                <w:sz w:val="20"/>
                <w:szCs w:val="20"/>
                <w:color w:val="auto"/>
              </w:rPr>
            </w:pPr>
            <w:r>
              <w:rPr>
                <w:rFonts w:ascii="Arial" w:cs="Arial" w:eastAsia="Arial" w:hAnsi="Arial"/>
                <w:sz w:val="16"/>
                <w:szCs w:val="16"/>
                <w:color w:val="auto"/>
              </w:rPr>
              <w:t>99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9" w:right="11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254000</wp:posOffset>
            </wp:positionV>
            <wp:extent cx="6756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80" w:hanging="481"/>
        <w:spacing w:after="0"/>
        <w:tabs>
          <w:tab w:leader="none" w:pos="12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tbl>
      <w:tblPr>
        <w:tblLayout w:type="fixed"/>
        <w:tblInd w:w="12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9"/>
          </w:tcPr>
          <w:p>
            <w:pPr>
              <w:ind w:left="180"/>
              <w:spacing w:after="0" w:line="145" w:lineRule="exact"/>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40" w:type="dxa"/>
            <w:vAlign w:val="bottom"/>
            <w:tcBorders>
              <w:bottom w:val="single" w:sz="8" w:color="CCEEFF"/>
            </w:tcBorders>
          </w:tcPr>
          <w:p>
            <w:pPr>
              <w:spacing w:after="0"/>
              <w:rPr>
                <w:sz w:val="11"/>
                <w:szCs w:val="11"/>
                <w:color w:val="auto"/>
              </w:rPr>
            </w:pPr>
          </w:p>
        </w:tc>
        <w:tc>
          <w:tcPr>
            <w:tcW w:w="2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6"/>
              <w:spacing w:after="0" w:line="134" w:lineRule="exact"/>
              <w:rPr>
                <w:sz w:val="20"/>
                <w:szCs w:val="20"/>
                <w:color w:val="auto"/>
              </w:rPr>
            </w:pPr>
            <w:r>
              <w:rPr>
                <w:rFonts w:ascii="Arial" w:cs="Arial" w:eastAsia="Arial" w:hAnsi="Arial"/>
                <w:sz w:val="13"/>
                <w:szCs w:val="13"/>
                <w:b w:val="1"/>
                <w:bCs w:val="1"/>
                <w:color w:val="auto"/>
                <w:w w:val="96"/>
              </w:rPr>
              <w:t>2018</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4"/>
              <w:spacing w:after="0" w:line="134" w:lineRule="exact"/>
              <w:rPr>
                <w:sz w:val="20"/>
                <w:szCs w:val="20"/>
                <w:color w:val="auto"/>
              </w:rPr>
            </w:pPr>
            <w:r>
              <w:rPr>
                <w:rFonts w:ascii="Arial" w:cs="Arial" w:eastAsia="Arial" w:hAnsi="Arial"/>
                <w:sz w:val="13"/>
                <w:szCs w:val="13"/>
                <w:b w:val="1"/>
                <w:bCs w:val="1"/>
                <w:color w:val="auto"/>
                <w:w w:val="89"/>
              </w:rPr>
              <w:t>2019</w:t>
            </w: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04"/>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Sales and marketing</w:t>
            </w:r>
          </w:p>
        </w:tc>
        <w:tc>
          <w:tcPr>
            <w:tcW w:w="2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278</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40" w:type="dxa"/>
            <w:vAlign w:val="bottom"/>
          </w:tcPr>
          <w:p>
            <w:pPr>
              <w:spacing w:after="0" w:line="178" w:lineRule="exact"/>
              <w:rPr>
                <w:sz w:val="20"/>
                <w:szCs w:val="20"/>
                <w:color w:val="auto"/>
              </w:rPr>
            </w:pPr>
            <w:r>
              <w:rPr>
                <w:rFonts w:ascii="Arial" w:cs="Arial" w:eastAsia="Arial" w:hAnsi="Arial"/>
                <w:sz w:val="16"/>
                <w:szCs w:val="16"/>
                <w:color w:val="auto"/>
              </w:rPr>
              <w:t>Customer operations</w:t>
            </w: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auto"/>
              </w:rPr>
              <w:t>433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898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Engineering and product development</w:t>
            </w:r>
          </w:p>
        </w:tc>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w w:val="94"/>
              </w:rPr>
              <w:t>1,803</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4,844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40" w:type="dxa"/>
            <w:vAlign w:val="bottom"/>
          </w:tcPr>
          <w:p>
            <w:pPr>
              <w:spacing w:after="0" w:line="178" w:lineRule="exact"/>
              <w:rPr>
                <w:sz w:val="20"/>
                <w:szCs w:val="20"/>
                <w:color w:val="auto"/>
              </w:rPr>
            </w:pPr>
            <w:r>
              <w:rPr>
                <w:rFonts w:ascii="Arial" w:cs="Arial" w:eastAsia="Arial" w:hAnsi="Arial"/>
                <w:sz w:val="16"/>
                <w:szCs w:val="16"/>
                <w:color w:val="auto"/>
              </w:rPr>
              <w:t>General, administrative, and other</w:t>
            </w: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931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w w:val="94"/>
              </w:rPr>
              <w:t>1,292</w:t>
            </w:r>
          </w:p>
        </w:tc>
        <w:tc>
          <w:tcPr>
            <w:tcW w:w="120" w:type="dxa"/>
            <w:vAlign w:val="bottom"/>
          </w:tcPr>
          <w:p>
            <w:pPr>
              <w:spacing w:after="0"/>
              <w:rPr>
                <w:sz w:val="15"/>
                <w:szCs w:val="15"/>
                <w:color w:val="auto"/>
              </w:rPr>
            </w:pPr>
          </w:p>
        </w:tc>
        <w:tc>
          <w:tcPr>
            <w:tcW w:w="5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8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stock-based compensation</w:t>
            </w:r>
          </w:p>
        </w:tc>
        <w:tc>
          <w:tcPr>
            <w:tcW w:w="22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rPr>
              <w:t>$</w:t>
            </w:r>
          </w:p>
        </w:tc>
        <w:tc>
          <w:tcPr>
            <w:tcW w:w="52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w w:val="94"/>
              </w:rPr>
              <w:t>2,045</w:t>
            </w:r>
          </w:p>
        </w:tc>
        <w:tc>
          <w:tcPr>
            <w:tcW w:w="2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w w:val="94"/>
              </w:rPr>
              <w:t>3,806</w:t>
            </w:r>
          </w:p>
        </w:tc>
        <w:tc>
          <w:tcPr>
            <w:tcW w:w="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w w:val="98"/>
              </w:rPr>
              <w:t>11,513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Revenue</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Revenue from Fees, Net</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set forth our revenue from fees, net in the periods shown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4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gridSpan w:val="6"/>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13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2018 to 2019</w:t>
            </w: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2019 to 2020</w:t>
            </w:r>
          </w:p>
        </w:tc>
      </w:tr>
      <w:tr>
        <w:trPr>
          <w:trHeight w:val="134"/>
        </w:trPr>
        <w:tc>
          <w:tcPr>
            <w:tcW w:w="418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5"/>
              <w:spacing w:after="0" w:line="134" w:lineRule="exact"/>
              <w:rPr>
                <w:sz w:val="20"/>
                <w:szCs w:val="20"/>
                <w:color w:val="auto"/>
              </w:rPr>
            </w:pPr>
            <w:r>
              <w:rPr>
                <w:rFonts w:ascii="Arial" w:cs="Arial" w:eastAsia="Arial" w:hAnsi="Arial"/>
                <w:sz w:val="13"/>
                <w:szCs w:val="13"/>
                <w:b w:val="1"/>
                <w:bCs w:val="1"/>
                <w:color w:val="auto"/>
              </w:rPr>
              <w:t>2018</w:t>
            </w:r>
          </w:p>
        </w:tc>
        <w:tc>
          <w:tcPr>
            <w:tcW w:w="2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4"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26"/>
              <w:spacing w:after="0" w:line="134"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5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180" w:type="dxa"/>
            <w:vAlign w:val="bottom"/>
            <w:tcBorders>
              <w:bottom w:val="single" w:sz="8" w:color="CCEEFF"/>
            </w:tcBorders>
          </w:tcPr>
          <w:p>
            <w:pPr>
              <w:spacing w:after="0"/>
              <w:rPr>
                <w:sz w:val="11"/>
                <w:szCs w:val="11"/>
                <w:color w:val="auto"/>
              </w:rPr>
            </w:pPr>
          </w:p>
        </w:tc>
      </w:tr>
      <w:tr>
        <w:trPr>
          <w:trHeight w:val="169"/>
        </w:trPr>
        <w:tc>
          <w:tcPr>
            <w:tcW w:w="41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Platform and referral fees, net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$83,381</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$144,055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$200,257</w:t>
            </w:r>
          </w:p>
        </w:tc>
        <w:tc>
          <w:tcPr>
            <w:tcW w:w="4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6"/>
                <w:szCs w:val="16"/>
                <w:color w:val="auto"/>
              </w:rPr>
              <w:t>73%</w:t>
            </w:r>
          </w:p>
        </w:tc>
        <w:tc>
          <w:tcPr>
            <w:tcW w:w="9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39%</w:t>
            </w:r>
          </w:p>
        </w:tc>
      </w:tr>
      <w:tr>
        <w:trPr>
          <w:trHeight w:val="181"/>
        </w:trPr>
        <w:tc>
          <w:tcPr>
            <w:tcW w:w="4180" w:type="dxa"/>
            <w:vAlign w:val="bottom"/>
          </w:tcPr>
          <w:p>
            <w:pPr>
              <w:spacing w:after="0" w:line="178" w:lineRule="exact"/>
              <w:rPr>
                <w:sz w:val="20"/>
                <w:szCs w:val="20"/>
                <w:color w:val="auto"/>
              </w:rPr>
            </w:pPr>
            <w:r>
              <w:rPr>
                <w:rFonts w:ascii="Arial" w:cs="Arial" w:eastAsia="Arial" w:hAnsi="Arial"/>
                <w:sz w:val="16"/>
                <w:szCs w:val="16"/>
                <w:color w:val="auto"/>
              </w:rPr>
              <w:t>Servicing fees, net</w:t>
            </w:r>
          </w:p>
        </w:tc>
        <w:tc>
          <w:tcPr>
            <w:tcW w:w="5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5,101</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15,792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28,343</w:t>
            </w:r>
          </w:p>
        </w:tc>
        <w:tc>
          <w:tcPr>
            <w:tcW w:w="420" w:type="dxa"/>
            <w:vAlign w:val="bottom"/>
          </w:tcPr>
          <w:p>
            <w:pPr>
              <w:spacing w:after="0"/>
              <w:rPr>
                <w:sz w:val="15"/>
                <w:szCs w:val="15"/>
                <w:color w:val="auto"/>
              </w:rPr>
            </w:pPr>
          </w:p>
        </w:tc>
        <w:tc>
          <w:tcPr>
            <w:tcW w:w="1320" w:type="dxa"/>
            <w:vAlign w:val="bottom"/>
            <w:gridSpan w:val="2"/>
          </w:tcPr>
          <w:p>
            <w:pPr>
              <w:jc w:val="right"/>
              <w:ind w:right="420"/>
              <w:spacing w:after="0" w:line="178" w:lineRule="exact"/>
              <w:rPr>
                <w:sz w:val="20"/>
                <w:szCs w:val="20"/>
                <w:color w:val="auto"/>
              </w:rPr>
            </w:pPr>
            <w:r>
              <w:rPr>
                <w:rFonts w:ascii="Arial" w:cs="Arial" w:eastAsia="Arial" w:hAnsi="Arial"/>
                <w:sz w:val="16"/>
                <w:szCs w:val="16"/>
                <w:color w:val="auto"/>
              </w:rPr>
              <w:t>210%</w:t>
            </w:r>
          </w:p>
        </w:tc>
        <w:tc>
          <w:tcPr>
            <w:tcW w:w="9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79%</w:t>
            </w:r>
          </w:p>
        </w:tc>
      </w:tr>
      <w:tr>
        <w:trPr>
          <w:trHeight w:val="177"/>
        </w:trPr>
        <w:tc>
          <w:tcPr>
            <w:tcW w:w="418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Total revenue from fees, net</w:t>
            </w:r>
          </w:p>
        </w:tc>
        <w:tc>
          <w:tcPr>
            <w:tcW w:w="6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u w:val="single" w:color="auto"/>
                <w:color w:val="auto"/>
                <w:w w:val="96"/>
              </w:rPr>
              <w:t>$</w:t>
            </w:r>
            <w:r>
              <w:rPr>
                <w:rFonts w:ascii="Arial" w:cs="Arial" w:eastAsia="Arial" w:hAnsi="Arial"/>
                <w:sz w:val="16"/>
                <w:szCs w:val="16"/>
                <w:color w:val="auto"/>
                <w:w w:val="96"/>
              </w:rPr>
              <w:t>88,482</w:t>
            </w:r>
          </w:p>
        </w:tc>
        <w:tc>
          <w:tcPr>
            <w:tcW w:w="1280" w:type="dxa"/>
            <w:vAlign w:val="bottom"/>
            <w:gridSpan w:val="3"/>
            <w:shd w:val="clear" w:color="auto" w:fill="CCEEFF"/>
          </w:tcPr>
          <w:p>
            <w:pPr>
              <w:jc w:val="right"/>
              <w:ind w:right="200"/>
              <w:spacing w:after="0" w:line="178"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159,847</w:t>
            </w:r>
          </w:p>
        </w:tc>
        <w:tc>
          <w:tcPr>
            <w:tcW w:w="1320" w:type="dxa"/>
            <w:vAlign w:val="bottom"/>
            <w:gridSpan w:val="3"/>
            <w:shd w:val="clear" w:color="auto" w:fill="CCEEFF"/>
          </w:tcPr>
          <w:p>
            <w:pPr>
              <w:jc w:val="right"/>
              <w:ind w:right="420"/>
              <w:spacing w:after="0" w:line="178"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228,600</w:t>
            </w:r>
          </w:p>
        </w:tc>
        <w:tc>
          <w:tcPr>
            <w:tcW w:w="1320" w:type="dxa"/>
            <w:vAlign w:val="bottom"/>
            <w:gridSpan w:val="2"/>
            <w:shd w:val="clear" w:color="auto" w:fill="CCEEFF"/>
          </w:tcPr>
          <w:p>
            <w:pPr>
              <w:jc w:val="right"/>
              <w:ind w:right="420"/>
              <w:spacing w:after="0" w:line="178" w:lineRule="exact"/>
              <w:rPr>
                <w:sz w:val="20"/>
                <w:szCs w:val="20"/>
                <w:color w:val="auto"/>
              </w:rPr>
            </w:pPr>
            <w:r>
              <w:rPr>
                <w:rFonts w:ascii="Arial" w:cs="Arial" w:eastAsia="Arial" w:hAnsi="Arial"/>
                <w:sz w:val="16"/>
                <w:szCs w:val="16"/>
                <w:color w:val="auto"/>
              </w:rPr>
              <w:t>81%</w:t>
            </w:r>
          </w:p>
        </w:tc>
        <w:tc>
          <w:tcPr>
            <w:tcW w:w="9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43%</w:t>
            </w:r>
          </w:p>
        </w:tc>
      </w:tr>
      <w:tr>
        <w:trPr>
          <w:trHeight w:val="20"/>
        </w:trPr>
        <w:tc>
          <w:tcPr>
            <w:tcW w:w="4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40" w:firstLine="482"/>
        <w:spacing w:after="0" w:line="251" w:lineRule="auto"/>
        <w:rPr>
          <w:sz w:val="20"/>
          <w:szCs w:val="20"/>
          <w:color w:val="auto"/>
        </w:rPr>
      </w:pPr>
      <w:r>
        <w:rPr>
          <w:rFonts w:ascii="Arial" w:cs="Arial" w:eastAsia="Arial" w:hAnsi="Arial"/>
          <w:sz w:val="15"/>
          <w:szCs w:val="15"/>
          <w:color w:val="auto"/>
        </w:rPr>
        <w:t>Revenue from fees, net increased $68.8 million, or 43%, in the year ended December 31, 2020, compared to the prior year, which included an increase of $56.2 million in revenue from platform and referral fees, net and an increase of $ 12.6 million in servicing fees, net. The increase of the platform and referral fees, net was primarily driven by a 40% increase in the Number of Loans Transacted from 215,122 in the year ended December 31, 2019 to 300,379 in the year ended December 31, 2020 as well as an increase in prices of our services in response to the market conditions caused by the COVID-19 pandemic. The increase in the servicing fees, net was primarily due to an 96% increase in outstanding loan principal, as well as a downward revaluation to the net liability of our servicing obligation.</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60" w:firstLine="482"/>
        <w:spacing w:after="0" w:line="234" w:lineRule="auto"/>
        <w:rPr>
          <w:sz w:val="20"/>
          <w:szCs w:val="20"/>
          <w:color w:val="auto"/>
        </w:rPr>
      </w:pPr>
      <w:r>
        <w:rPr>
          <w:rFonts w:ascii="Arial" w:cs="Arial" w:eastAsia="Arial" w:hAnsi="Arial"/>
          <w:sz w:val="16"/>
          <w:szCs w:val="16"/>
          <w:color w:val="auto"/>
        </w:rPr>
        <w:t>Revenue from fees, net increased $71.4 million, or 81%, in the year ended December 31, 2019, compared to the prior year. The increase was primarily due to an increase of $60.7 million in revenue from platform and referral fees, net. This increase was primarily driven by an 88% increase in the Number of Loans Transacted from 114,125 in 2018 to 215,122 in 2019. Servicing fees, net increased by $10.7 million due to a doubling in average outstanding loan principal, as well as a downward revaluation to the net liability of our servicing obligation.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440"/>
          </w:cols>
          <w:pgMar w:left="320" w:top="419" w:right="11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Interest Income and Fair Value Adjustments, Net</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84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5"/>
              </w:rPr>
              <w:t>2018 to 2019</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2019 to 2020</w:t>
            </w:r>
          </w:p>
        </w:tc>
        <w:tc>
          <w:tcPr>
            <w:tcW w:w="0" w:type="dxa"/>
            <w:vAlign w:val="bottom"/>
          </w:tcPr>
          <w:p>
            <w:pPr>
              <w:spacing w:after="0"/>
              <w:rPr>
                <w:sz w:val="1"/>
                <w:szCs w:val="1"/>
                <w:color w:val="auto"/>
              </w:rPr>
            </w:pPr>
          </w:p>
        </w:tc>
      </w:tr>
      <w:tr>
        <w:trPr>
          <w:trHeight w:val="134"/>
        </w:trPr>
        <w:tc>
          <w:tcPr>
            <w:tcW w:w="3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4"/>
              <w:spacing w:after="0" w:line="134" w:lineRule="exact"/>
              <w:rPr>
                <w:sz w:val="20"/>
                <w:szCs w:val="20"/>
                <w:color w:val="auto"/>
              </w:rPr>
            </w:pPr>
            <w:r>
              <w:rPr>
                <w:rFonts w:ascii="Arial" w:cs="Arial" w:eastAsia="Arial" w:hAnsi="Arial"/>
                <w:sz w:val="13"/>
                <w:szCs w:val="13"/>
                <w:b w:val="1"/>
                <w:bCs w:val="1"/>
                <w:color w:val="auto"/>
              </w:rPr>
              <w:t>2018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03"/>
              <w:spacing w:after="0" w:line="134" w:lineRule="exact"/>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03"/>
              <w:spacing w:after="0" w:line="134"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1"/>
                <w:szCs w:val="11"/>
                <w:color w:val="auto"/>
              </w:rPr>
            </w:pPr>
          </w:p>
        </w:tc>
        <w:tc>
          <w:tcPr>
            <w:tcW w:w="1360" w:type="dxa"/>
            <w:vAlign w:val="bottom"/>
            <w:gridSpan w:val="2"/>
          </w:tcPr>
          <w:p>
            <w:pPr>
              <w:jc w:val="right"/>
              <w:ind w:right="680"/>
              <w:spacing w:after="0" w:line="134" w:lineRule="exact"/>
              <w:rPr>
                <w:sz w:val="20"/>
                <w:szCs w:val="20"/>
                <w:color w:val="auto"/>
              </w:rPr>
            </w:pPr>
            <w:r>
              <w:rPr>
                <w:rFonts w:ascii="Arial" w:cs="Arial" w:eastAsia="Arial" w:hAnsi="Arial"/>
                <w:sz w:val="13"/>
                <w:szCs w:val="13"/>
                <w:b w:val="1"/>
                <w:bCs w:val="1"/>
                <w:color w:val="auto"/>
              </w:rPr>
              <w:t>% change</w:t>
            </w:r>
          </w:p>
        </w:tc>
        <w:tc>
          <w:tcPr>
            <w:tcW w:w="980" w:type="dxa"/>
            <w:vAlign w:val="bottom"/>
            <w:gridSpan w:val="2"/>
          </w:tcPr>
          <w:p>
            <w:pPr>
              <w:jc w:val="right"/>
              <w:ind w:right="320"/>
              <w:spacing w:after="0" w:line="134" w:lineRule="exact"/>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57"/>
        </w:trPr>
        <w:tc>
          <w:tcPr>
            <w:tcW w:w="38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6"/>
                <w:szCs w:val="16"/>
                <w:color w:val="auto"/>
              </w:rPr>
              <w:t>Operating entities</w:t>
            </w:r>
            <w:r>
              <w:rPr>
                <w:rFonts w:ascii="Arial" w:cs="Arial" w:eastAsia="Arial" w:hAnsi="Arial"/>
                <w:sz w:val="13"/>
                <w:szCs w:val="13"/>
                <w:color w:val="auto"/>
              </w:rPr>
              <w:t>(1)</w:t>
            </w: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Interest income</w:t>
            </w:r>
          </w:p>
        </w:tc>
        <w:tc>
          <w:tcPr>
            <w:tcW w:w="3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9,924</w:t>
            </w:r>
          </w:p>
        </w:tc>
        <w:tc>
          <w:tcPr>
            <w:tcW w:w="2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16,092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19,582</w:t>
            </w:r>
          </w:p>
        </w:tc>
        <w:tc>
          <w:tcPr>
            <w:tcW w:w="136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62%</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rPr>
              <w:t>(4,818)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(7,184)</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(5,634)</w:t>
            </w:r>
          </w:p>
        </w:tc>
        <w:tc>
          <w:tcPr>
            <w:tcW w:w="136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49%</w:t>
            </w:r>
          </w:p>
        </w:tc>
        <w:tc>
          <w:tcPr>
            <w:tcW w:w="9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Fair value adjustments, net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rPr>
              <w:t>(1,619)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(796)</w:t>
            </w:r>
          </w:p>
        </w:tc>
        <w:tc>
          <w:tcPr>
            <w:tcW w:w="100" w:type="dxa"/>
            <w:vAlign w:val="bottom"/>
          </w:tcPr>
          <w:p>
            <w:pPr>
              <w:spacing w:after="0"/>
              <w:rPr>
                <w:sz w:val="15"/>
                <w:szCs w:val="15"/>
                <w:color w:val="auto"/>
              </w:rPr>
            </w:pPr>
          </w:p>
        </w:tc>
        <w:tc>
          <w:tcPr>
            <w:tcW w:w="98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w w:val="97"/>
              </w:rPr>
              <w:t>(10,230)</w:t>
            </w:r>
          </w:p>
        </w:tc>
        <w:tc>
          <w:tcPr>
            <w:tcW w:w="136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51%</w:t>
            </w:r>
          </w:p>
        </w:tc>
        <w:tc>
          <w:tcPr>
            <w:tcW w:w="9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 consolidated entities</w:t>
            </w:r>
            <w:r>
              <w:rPr>
                <w:rFonts w:ascii="Arial" w:cs="Arial" w:eastAsia="Arial" w:hAnsi="Arial"/>
                <w:sz w:val="13"/>
                <w:szCs w:val="13"/>
                <w:color w:val="auto"/>
              </w:rPr>
              <w:t>(2)</w:t>
            </w: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66,759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47,221</w:t>
            </w:r>
          </w:p>
        </w:tc>
        <w:tc>
          <w:tcPr>
            <w:tcW w:w="100" w:type="dxa"/>
            <w:vAlign w:val="bottom"/>
          </w:tcPr>
          <w:p>
            <w:pPr>
              <w:spacing w:after="0"/>
              <w:rPr>
                <w:sz w:val="15"/>
                <w:szCs w:val="15"/>
                <w:color w:val="auto"/>
              </w:rPr>
            </w:pPr>
          </w:p>
        </w:tc>
        <w:tc>
          <w:tcPr>
            <w:tcW w:w="98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6,826</w:t>
            </w:r>
          </w:p>
        </w:tc>
        <w:tc>
          <w:tcPr>
            <w:tcW w:w="136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(29)%</w:t>
            </w:r>
          </w:p>
        </w:tc>
        <w:tc>
          <w:tcPr>
            <w:tcW w:w="9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w w:val="97"/>
              </w:rPr>
              <w:t>(21,665)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w w:val="97"/>
              </w:rPr>
              <w:t>(19,301)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(2,392)</w:t>
            </w:r>
          </w:p>
        </w:tc>
        <w:tc>
          <w:tcPr>
            <w:tcW w:w="136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(11)%</w:t>
            </w:r>
          </w:p>
        </w:tc>
        <w:tc>
          <w:tcPr>
            <w:tcW w:w="9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Fair value adjustments, net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w w:val="97"/>
              </w:rPr>
              <w:t>(37,750)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w w:val="97"/>
              </w:rPr>
              <w:t>(31,690)</w:t>
            </w:r>
          </w:p>
        </w:tc>
        <w:tc>
          <w:tcPr>
            <w:tcW w:w="100" w:type="dxa"/>
            <w:vAlign w:val="bottom"/>
          </w:tcPr>
          <w:p>
            <w:pPr>
              <w:spacing w:after="0"/>
              <w:rPr>
                <w:sz w:val="15"/>
                <w:szCs w:val="15"/>
                <w:color w:val="auto"/>
              </w:rPr>
            </w:pPr>
          </w:p>
        </w:tc>
        <w:tc>
          <w:tcPr>
            <w:tcW w:w="98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(3,336)</w:t>
            </w:r>
          </w:p>
        </w:tc>
        <w:tc>
          <w:tcPr>
            <w:tcW w:w="136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(16)%</w:t>
            </w:r>
          </w:p>
        </w:tc>
        <w:tc>
          <w:tcPr>
            <w:tcW w:w="9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Company:</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76,683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63,313</w:t>
            </w:r>
          </w:p>
        </w:tc>
        <w:tc>
          <w:tcPr>
            <w:tcW w:w="100" w:type="dxa"/>
            <w:vAlign w:val="bottom"/>
          </w:tcPr>
          <w:p>
            <w:pPr>
              <w:spacing w:after="0"/>
              <w:rPr>
                <w:sz w:val="15"/>
                <w:szCs w:val="15"/>
                <w:color w:val="auto"/>
              </w:rPr>
            </w:pPr>
          </w:p>
        </w:tc>
        <w:tc>
          <w:tcPr>
            <w:tcW w:w="980" w:type="dxa"/>
            <w:vAlign w:val="bottom"/>
            <w:gridSpan w:val="2"/>
          </w:tcPr>
          <w:p>
            <w:pPr>
              <w:jc w:val="right"/>
              <w:ind w:right="440"/>
              <w:spacing w:after="0" w:line="178" w:lineRule="exact"/>
              <w:rPr>
                <w:sz w:val="20"/>
                <w:szCs w:val="20"/>
                <w:color w:val="auto"/>
              </w:rPr>
            </w:pPr>
            <w:r>
              <w:rPr>
                <w:rFonts w:ascii="Arial" w:cs="Arial" w:eastAsia="Arial" w:hAnsi="Arial"/>
                <w:sz w:val="16"/>
                <w:szCs w:val="16"/>
                <w:color w:val="auto"/>
              </w:rPr>
              <w:t>26,408</w:t>
            </w:r>
          </w:p>
        </w:tc>
        <w:tc>
          <w:tcPr>
            <w:tcW w:w="136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(17)%</w:t>
            </w:r>
          </w:p>
        </w:tc>
        <w:tc>
          <w:tcPr>
            <w:tcW w:w="9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line="178" w:lineRule="exact"/>
              <w:rPr>
                <w:sz w:val="20"/>
                <w:szCs w:val="20"/>
                <w:color w:val="auto"/>
              </w:rPr>
            </w:pPr>
            <w:r>
              <w:rPr>
                <w:rFonts w:ascii="Arial" w:cs="Arial" w:eastAsia="Arial" w:hAnsi="Arial"/>
                <w:sz w:val="16"/>
                <w:szCs w:val="16"/>
                <w:color w:val="auto"/>
                <w:w w:val="97"/>
              </w:rPr>
              <w:t>(26,483)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w w:val="97"/>
              </w:rPr>
              <w:t>(26,485)</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(8,026)</w:t>
            </w:r>
          </w:p>
        </w:tc>
        <w:tc>
          <w:tcPr>
            <w:tcW w:w="136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0%</w:t>
            </w:r>
          </w:p>
        </w:tc>
        <w:tc>
          <w:tcPr>
            <w:tcW w:w="9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77"/>
        </w:trPr>
        <w:tc>
          <w:tcPr>
            <w:tcW w:w="3840" w:type="dxa"/>
            <w:vAlign w:val="bottom"/>
          </w:tcPr>
          <w:p>
            <w:pPr>
              <w:ind w:left="320"/>
              <w:spacing w:after="0" w:line="178" w:lineRule="exact"/>
              <w:rPr>
                <w:sz w:val="20"/>
                <w:szCs w:val="20"/>
                <w:color w:val="auto"/>
              </w:rPr>
            </w:pPr>
            <w:r>
              <w:rPr>
                <w:rFonts w:ascii="Arial" w:cs="Arial" w:eastAsia="Arial" w:hAnsi="Arial"/>
                <w:sz w:val="16"/>
                <w:szCs w:val="16"/>
                <w:color w:val="auto"/>
              </w:rPr>
              <w:t>Fair value adjustments, net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line="178" w:lineRule="exact"/>
              <w:rPr>
                <w:sz w:val="20"/>
                <w:szCs w:val="20"/>
                <w:color w:val="auto"/>
              </w:rPr>
            </w:pPr>
            <w:r>
              <w:rPr>
                <w:rFonts w:ascii="Arial" w:cs="Arial" w:eastAsia="Arial" w:hAnsi="Arial"/>
                <w:sz w:val="16"/>
                <w:szCs w:val="16"/>
                <w:color w:val="auto"/>
                <w:w w:val="97"/>
              </w:rPr>
              <w:t>(39,369)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w w:val="97"/>
              </w:rPr>
              <w:t>(32,486)</w:t>
            </w:r>
          </w:p>
        </w:tc>
        <w:tc>
          <w:tcPr>
            <w:tcW w:w="100" w:type="dxa"/>
            <w:vAlign w:val="bottom"/>
          </w:tcPr>
          <w:p>
            <w:pPr>
              <w:spacing w:after="0"/>
              <w:rPr>
                <w:sz w:val="15"/>
                <w:szCs w:val="15"/>
                <w:color w:val="auto"/>
              </w:rPr>
            </w:pPr>
          </w:p>
        </w:tc>
        <w:tc>
          <w:tcPr>
            <w:tcW w:w="98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w w:val="97"/>
              </w:rPr>
              <w:t>(13,566)</w:t>
            </w:r>
          </w:p>
        </w:tc>
        <w:tc>
          <w:tcPr>
            <w:tcW w:w="1360" w:type="dxa"/>
            <w:vAlign w:val="bottom"/>
            <w:gridSpan w:val="2"/>
          </w:tcPr>
          <w:p>
            <w:pPr>
              <w:jc w:val="right"/>
              <w:ind w:right="400"/>
              <w:spacing w:after="0" w:line="178" w:lineRule="exact"/>
              <w:rPr>
                <w:sz w:val="20"/>
                <w:szCs w:val="20"/>
                <w:color w:val="auto"/>
              </w:rPr>
            </w:pPr>
            <w:r>
              <w:rPr>
                <w:rFonts w:ascii="Arial" w:cs="Arial" w:eastAsia="Arial" w:hAnsi="Arial"/>
                <w:sz w:val="16"/>
                <w:szCs w:val="16"/>
                <w:color w:val="auto"/>
              </w:rPr>
              <w:t>(17)%</w:t>
            </w:r>
          </w:p>
        </w:tc>
        <w:tc>
          <w:tcPr>
            <w:tcW w:w="9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7"/>
        </w:trPr>
        <w:tc>
          <w:tcPr>
            <w:tcW w:w="38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interest income and fair value adjustments, net</w:t>
            </w:r>
          </w:p>
        </w:tc>
        <w:tc>
          <w:tcPr>
            <w:tcW w:w="3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line="178" w:lineRule="exact"/>
              <w:rPr>
                <w:sz w:val="20"/>
                <w:szCs w:val="20"/>
                <w:color w:val="auto"/>
              </w:rPr>
            </w:pPr>
            <w:r>
              <w:rPr>
                <w:rFonts w:ascii="Arial" w:cs="Arial" w:eastAsia="Arial" w:hAnsi="Arial"/>
                <w:sz w:val="16"/>
                <w:szCs w:val="16"/>
                <w:color w:val="auto"/>
              </w:rPr>
              <w:t>10,831</w:t>
            </w:r>
          </w:p>
        </w:tc>
        <w:tc>
          <w:tcPr>
            <w:tcW w:w="2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40"/>
              <w:spacing w:after="0" w:line="178" w:lineRule="exact"/>
              <w:rPr>
                <w:sz w:val="20"/>
                <w:szCs w:val="20"/>
                <w:color w:val="auto"/>
              </w:rPr>
            </w:pPr>
            <w:r>
              <w:rPr>
                <w:rFonts w:ascii="Arial" w:cs="Arial" w:eastAsia="Arial" w:hAnsi="Arial"/>
                <w:sz w:val="16"/>
                <w:szCs w:val="16"/>
                <w:color w:val="auto"/>
              </w:rPr>
              <w:t>4,342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line="178" w:lineRule="exact"/>
              <w:rPr>
                <w:sz w:val="20"/>
                <w:szCs w:val="20"/>
                <w:color w:val="auto"/>
              </w:rPr>
            </w:pPr>
            <w:r>
              <w:rPr>
                <w:rFonts w:ascii="Arial" w:cs="Arial" w:eastAsia="Arial" w:hAnsi="Arial"/>
                <w:sz w:val="16"/>
                <w:szCs w:val="16"/>
                <w:color w:val="auto"/>
              </w:rPr>
              <w:t>4,816</w:t>
            </w:r>
          </w:p>
        </w:tc>
        <w:tc>
          <w:tcPr>
            <w:tcW w:w="1360" w:type="dxa"/>
            <w:vAlign w:val="bottom"/>
            <w:gridSpan w:val="2"/>
            <w:shd w:val="clear" w:color="auto" w:fill="CCEEFF"/>
          </w:tcPr>
          <w:p>
            <w:pPr>
              <w:jc w:val="right"/>
              <w:ind w:right="400"/>
              <w:spacing w:after="0" w:line="178" w:lineRule="exact"/>
              <w:rPr>
                <w:sz w:val="20"/>
                <w:szCs w:val="20"/>
                <w:color w:val="auto"/>
              </w:rPr>
            </w:pPr>
            <w:r>
              <w:rPr>
                <w:rFonts w:ascii="Arial" w:cs="Arial" w:eastAsia="Arial" w:hAnsi="Arial"/>
                <w:sz w:val="16"/>
                <w:szCs w:val="16"/>
                <w:color w:val="auto"/>
              </w:rPr>
              <w:t>(60)%</w:t>
            </w:r>
          </w:p>
        </w:tc>
        <w:tc>
          <w:tcPr>
            <w:tcW w:w="98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2" w:lineRule="exact"/>
        <w:rPr>
          <w:sz w:val="20"/>
          <w:szCs w:val="20"/>
          <w:color w:val="auto"/>
        </w:rPr>
      </w:pPr>
    </w:p>
    <w:p>
      <w:pPr>
        <w:ind w:left="1280" w:hanging="481"/>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 of balances recognized by entities participating in ongoing operating activities of the Company, including warehouse entities.</w:t>
      </w:r>
    </w:p>
    <w:p>
      <w:pPr>
        <w:ind w:left="1280" w:hanging="481"/>
        <w:spacing w:after="0"/>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balances recognized by other entities, including securitization entities and the fractional loan program (discontinued in 2019).</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Interest income and fair value adjustments, net increased $0.5 million, or 11%, in the year ended December 31, 2020, compared to</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prior year. The increase was driven by a $40.4 million decline in interest income partially offset by a decline in interest expense and fair</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value adjustments, of $16.9 million and $28.4 million, respectively, recognized by other consolidated entities. These decreases were due</w:t>
      </w:r>
    </w:p>
    <w:p>
      <w:pPr>
        <w:ind w:left="800"/>
        <w:spacing w:after="0" w:line="237" w:lineRule="auto"/>
        <w:rPr>
          <w:sz w:val="20"/>
          <w:szCs w:val="20"/>
          <w:color w:val="auto"/>
        </w:rPr>
      </w:pPr>
      <w:r>
        <w:rPr>
          <w:rFonts w:ascii="Arial" w:cs="Arial" w:eastAsia="Arial" w:hAnsi="Arial"/>
          <w:sz w:val="16"/>
          <w:szCs w:val="16"/>
          <w:color w:val="auto"/>
        </w:rPr>
        <w:t>to a reduction of consolidated loan balances from securitization-related VIEs caused by the deconsolidation of previously consolidated</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securitizations 2017-1, 2017-2, and 2018-1. The deconsolidation of these entities was a result of the expiration of the related risk retention</w:t>
      </w:r>
    </w:p>
    <w:p>
      <w:pPr>
        <w:ind w:left="800"/>
        <w:spacing w:after="0" w:line="237" w:lineRule="auto"/>
        <w:rPr>
          <w:sz w:val="20"/>
          <w:szCs w:val="20"/>
          <w:color w:val="auto"/>
        </w:rPr>
      </w:pPr>
      <w:r>
        <w:rPr>
          <w:rFonts w:ascii="Arial" w:cs="Arial" w:eastAsia="Arial" w:hAnsi="Arial"/>
          <w:sz w:val="16"/>
          <w:szCs w:val="16"/>
          <w:color w:val="auto"/>
        </w:rPr>
        <w:t>requirements, which caused us to conclude that we are no longer a primary beneficiary of these entities. For additional details, refer to</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Note 3. Securitizations and Variable Interest Entities</w:t>
      </w:r>
      <w:r>
        <w:rPr>
          <w:rFonts w:ascii="Arial" w:cs="Arial" w:eastAsia="Arial" w:hAnsi="Arial"/>
          <w:sz w:val="15"/>
          <w:szCs w:val="15"/>
          <w:color w:val="auto"/>
        </w:rPr>
        <w:t>” of our consolidated financial statements included in this prospectus. The decrease</w:t>
      </w:r>
    </w:p>
    <w:p>
      <w:pPr>
        <w:ind w:left="800"/>
        <w:spacing w:after="0" w:line="237" w:lineRule="auto"/>
        <w:rPr>
          <w:sz w:val="20"/>
          <w:szCs w:val="20"/>
          <w:color w:val="auto"/>
        </w:rPr>
      </w:pPr>
      <w:r>
        <w:rPr>
          <w:rFonts w:ascii="Arial" w:cs="Arial" w:eastAsia="Arial" w:hAnsi="Arial"/>
          <w:sz w:val="16"/>
          <w:szCs w:val="16"/>
          <w:color w:val="auto"/>
        </w:rPr>
        <w:t>of the total net interest income and fair value adjustments, net was also caused by an increase of $9.4 million of fair value adjustments</w:t>
      </w:r>
    </w:p>
    <w:p>
      <w:pPr>
        <w:ind w:left="800"/>
        <w:spacing w:after="0" w:line="232" w:lineRule="auto"/>
        <w:rPr>
          <w:sz w:val="20"/>
          <w:szCs w:val="20"/>
          <w:color w:val="auto"/>
        </w:rPr>
      </w:pPr>
      <w:r>
        <w:rPr>
          <w:rFonts w:ascii="Arial" w:cs="Arial" w:eastAsia="Arial" w:hAnsi="Arial"/>
          <w:sz w:val="16"/>
          <w:szCs w:val="16"/>
          <w:color w:val="auto"/>
        </w:rPr>
        <w:t>recognized by the operating entities. These negative adjustments were primarily due to the market changes caused by the COVID-19</w:t>
      </w:r>
    </w:p>
    <w:p>
      <w:pPr>
        <w:ind w:left="800"/>
        <w:spacing w:after="0"/>
        <w:rPr>
          <w:sz w:val="20"/>
          <w:szCs w:val="20"/>
          <w:color w:val="auto"/>
        </w:rPr>
      </w:pPr>
      <w:r>
        <w:rPr>
          <w:rFonts w:ascii="Arial" w:cs="Arial" w:eastAsia="Arial" w:hAnsi="Arial"/>
          <w:sz w:val="15"/>
          <w:szCs w:val="15"/>
          <w:color w:val="auto"/>
        </w:rPr>
        <w:t>pandemic. This increase was partially offset by an increase of $3.5 million of interest income in these entities. This increase was a result of</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an increased average loan balances held by the operating entities during these periods.</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Interest income and fair value adjustments, net decreased $6.5 million, or 60%, in the year ended December 31, 2019 compared to the prior year. The decrease was primarily driven by a $19.5 million decline in interest income due to a reduction of consolidated loan balances from other consolidated entities, including securitization-related VIEs, in the year ended December 31, 2019. This reduction was primarily a result of the change in the structure of the risk retention for securitizations sponsored by the Company, which allowed the Company to conclude that it is not a primary beneficiary of securitizations completed after the first half of 2018. For additional details, refer to “</w:t>
      </w:r>
      <w:r>
        <w:rPr>
          <w:rFonts w:ascii="Arial" w:cs="Arial" w:eastAsia="Arial" w:hAnsi="Arial"/>
          <w:sz w:val="16"/>
          <w:szCs w:val="16"/>
          <w:i w:val="1"/>
          <w:iCs w:val="1"/>
          <w:color w:val="auto"/>
        </w:rPr>
        <w:t>Note 3. Securitizations and Variable Interest Entities</w:t>
      </w:r>
      <w:r>
        <w:rPr>
          <w:rFonts w:ascii="Arial" w:cs="Arial" w:eastAsia="Arial" w:hAnsi="Arial"/>
          <w:sz w:val="16"/>
          <w:szCs w:val="16"/>
          <w:color w:val="auto"/>
        </w:rPr>
        <w:t>” of our consolidated financial statements included in this prospectus. This decrease was partially offset by the increase of $6.2 million in the amount of interest</w:t>
      </w:r>
    </w:p>
    <w:p>
      <w:pPr>
        <w:spacing w:after="0" w:line="1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440"/>
          </w:cols>
          <w:pgMar w:left="320" w:top="419" w:right="11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right="20"/>
        <w:spacing w:after="0" w:line="236" w:lineRule="auto"/>
        <w:rPr>
          <w:sz w:val="20"/>
          <w:szCs w:val="20"/>
          <w:color w:val="auto"/>
        </w:rPr>
      </w:pPr>
      <w:r>
        <w:rPr>
          <w:rFonts w:ascii="Arial" w:cs="Arial" w:eastAsia="Arial" w:hAnsi="Arial"/>
          <w:sz w:val="16"/>
          <w:szCs w:val="16"/>
          <w:color w:val="auto"/>
        </w:rPr>
        <w:t>income recognized by the operating entities due to a higher average loan balances held by operating entities as well as the lower amount of fair value adjustments to consolidated assets held by the other consolidated entities, which decreased by $6.0 million, primarily due to a reduction of consolidated loan balances from these entities.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8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9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2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292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164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5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57"/>
        </w:trPr>
        <w:tc>
          <w:tcPr>
            <w:tcW w:w="29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Sales and marketing</w:t>
            </w:r>
          </w:p>
        </w:tc>
        <w:tc>
          <w:tcPr>
            <w:tcW w:w="21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$63,633</w:t>
            </w: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$93,175</w:t>
            </w:r>
          </w:p>
        </w:tc>
        <w:tc>
          <w:tcPr>
            <w:tcW w:w="9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$99,659</w:t>
            </w:r>
          </w:p>
        </w:tc>
        <w:tc>
          <w:tcPr>
            <w:tcW w:w="1740" w:type="dxa"/>
            <w:vAlign w:val="bottom"/>
            <w:gridSpan w:val="3"/>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46%</w:t>
            </w:r>
          </w:p>
        </w:tc>
        <w:tc>
          <w:tcPr>
            <w:tcW w:w="9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Sales and marketing expenses increased by $6.5 million, or 7%, in the year ended December 31, 2020 compared to the prior year. The increase was primarily due to a $3.0 million increase in payroll and other personnel- related expenses driven by increased headcount, as well as a $2.1 million increase in advertising and other traffic acquisition costs. As a percentage of total revenue, sales and marketing expenses decreased from 57% to 43%.</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Sales and marketing expenses increased by $29.5 million, or 46%, in the year ended December 31, 2019 compared to the prior year. The increase was primarily due to increased spending of $26.8 million for partnerships with parties providing borrower referrals and a $1.6 million increase in payroll and other personnel-related expenses driven by increased headcount, as well as a $1.1 million increase in advertising and other traffic acquisition costs. As a percentage of total revenue, sales and marketing expenses decreased from 64% to 57%.</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Customer Operations</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2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294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16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5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57"/>
        </w:trPr>
        <w:tc>
          <w:tcPr>
            <w:tcW w:w="29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Customer operations</w:t>
            </w:r>
          </w:p>
        </w:tc>
        <w:tc>
          <w:tcPr>
            <w:tcW w:w="21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$15,416</w:t>
            </w: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$24,947</w:t>
            </w:r>
          </w:p>
        </w:tc>
        <w:tc>
          <w:tcPr>
            <w:tcW w:w="9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$37,581</w:t>
            </w:r>
          </w:p>
        </w:tc>
        <w:tc>
          <w:tcPr>
            <w:tcW w:w="1740" w:type="dxa"/>
            <w:vAlign w:val="bottom"/>
            <w:gridSpan w:val="3"/>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62%</w:t>
            </w:r>
          </w:p>
        </w:tc>
        <w:tc>
          <w:tcPr>
            <w:tcW w:w="9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51%</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140" w:firstLine="482"/>
        <w:spacing w:after="0" w:line="254" w:lineRule="auto"/>
        <w:rPr>
          <w:sz w:val="20"/>
          <w:szCs w:val="20"/>
          <w:color w:val="auto"/>
        </w:rPr>
      </w:pPr>
      <w:r>
        <w:rPr>
          <w:rFonts w:ascii="Arial" w:cs="Arial" w:eastAsia="Arial" w:hAnsi="Arial"/>
          <w:sz w:val="15"/>
          <w:szCs w:val="15"/>
          <w:color w:val="auto"/>
        </w:rPr>
        <w:t>Customer operations expenses increased by $12.6 million, or 51%, in the year ended December 31, 2020, compared to the prior year. The increase was primarily due to an increase of $ 9.4 million in payroll and other personnel-related expenses due to an increase in headcount as well as increased spending of $3.1 million in information verification and platform operations due to a growing volume of loans facilitated through our platform. As a percentage of total revenue, customer operations expenses increased from 15% to 16%.</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jc w:val="both"/>
        <w:ind w:left="800" w:right="280" w:firstLine="482"/>
        <w:spacing w:after="0" w:line="254" w:lineRule="auto"/>
        <w:rPr>
          <w:sz w:val="20"/>
          <w:szCs w:val="20"/>
          <w:color w:val="auto"/>
        </w:rPr>
      </w:pPr>
      <w:r>
        <w:rPr>
          <w:rFonts w:ascii="Arial" w:cs="Arial" w:eastAsia="Arial" w:hAnsi="Arial"/>
          <w:sz w:val="15"/>
          <w:szCs w:val="15"/>
          <w:color w:val="auto"/>
        </w:rPr>
        <w:t>Customer operations expenses increased by $9.5 million, or 62%, in the year ended December 31, 2019 compared to the prior year. The increase was primarily due to an increase of $5.0 million in payroll and other personnel-related expenses due to increases in headcount, as well as increased spending of $4.4 million in information verification and platform operations due to a growing volume of loans facilitated through our platform. As a percentage of total revenue, customer operations expenses decreased from 16% to 15%.</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440"/>
          </w:cols>
          <w:pgMar w:left="320" w:top="419" w:right="11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Engineering and Product Development</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2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8"/>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376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1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17"/>
              <w:spacing w:after="0" w:line="134"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5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69"/>
        </w:trPr>
        <w:tc>
          <w:tcPr>
            <w:tcW w:w="37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Engineering and product development</w:t>
            </w:r>
          </w:p>
        </w:tc>
        <w:tc>
          <w:tcPr>
            <w:tcW w:w="19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$8,415</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$18,777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$38,802</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123%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107%</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Engineering and product development expenses increased by $20.0 million, or 107%, year ended December 31, 2020, compared to the prior year. The increase was primarily due to an increase of $15.7 million in payroll and other personnel-related expenses driven by an increase in headcount, as well as a $4.3 million increase in spending on consultants and other engineering support services. As a percentage of total revenue, engineering and product development expenses increased from 11% to 17%.</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Engineering and product development expenses increased by $10.4 million, or 123%, in the year ended December 31, 2019 compared to the prior year. The increase was primarily due to an increase of $8.9 million in payroll and other personnel-related expenses driven by an increase in headcount, as well as a $1.5 million increase in spending on consultants and other engineering services. As a percentage of total revenue, engineering and product development expenses increased from 8% to 11%.</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General, Administrative, and Other</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0" w:type="dxa"/>
            <w:vAlign w:val="bottom"/>
            <w:tcBorders>
              <w:bottom w:val="single" w:sz="8" w:color="auto"/>
            </w:tcBorders>
            <w:gridSpan w:val="5"/>
          </w:tcPr>
          <w:p>
            <w:pPr>
              <w:ind w:left="44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Pr>
          <w:p>
            <w:pPr>
              <w:spacing w:after="0"/>
              <w:rPr>
                <w:sz w:val="13"/>
                <w:szCs w:val="13"/>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5"/>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348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1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5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69"/>
        </w:trPr>
        <w:tc>
          <w:tcPr>
            <w:tcW w:w="3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General, administrative, and other</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$19,820</w:t>
            </w: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$31,865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$45,609</w:t>
            </w:r>
          </w:p>
        </w:tc>
        <w:tc>
          <w:tcPr>
            <w:tcW w:w="174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General, administrative, and other expenses increased by $13.7 million, or 43%, in the year ended December 31, 2020, compared to the prior year. The increase was primarily due to an increase of $6.2 million in personnel- related costs as a result of increased headcount; an increase of $2.3 million in office rent and other facility-related expenses due to the opening of our second headquarters in Columbus, Ohio, and relocation of our first headquarters from San Carlos, California to San Mateo, California; an increase of $1.9 million in legal and compliance-related expenses. As a percentage of total revenue, general, administrative, and other expenses increased from 19% to 20%.</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General, administrative, and other expenses increased by $12.0 million, or 61%, in the year ended December 31, 2019 compared to the prior year. The increase was primarily due to an increase of $6.0 million in personnel-related costs as a result of increased headcount; an increase of $2.6 million in office rent and other facility-related expenses due to the opening of our second headquarters in Columbus, Ohio, and relocation of our first headquarters from San Carlos, California to San Mateo, California; an increase of $1.1 million in legal and compliance-related expenses; and an increase of $1.0 million in professional services fees. As a percentage of total revenue, general, administrative, and other expenses decreased from 20% to 19%.</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440"/>
          </w:cols>
          <w:pgMar w:left="320" w:top="419" w:right="11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Other Income</w:t>
      </w:r>
    </w:p>
    <w:p>
      <w:pPr>
        <w:spacing w:after="0" w:line="213"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0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360" w:type="dxa"/>
            <w:vAlign w:val="bottom"/>
            <w:gridSpan w:val="7"/>
          </w:tcPr>
          <w:p>
            <w:pPr>
              <w:ind w:left="220"/>
              <w:spacing w:after="0"/>
              <w:rPr>
                <w:sz w:val="20"/>
                <w:szCs w:val="20"/>
                <w:color w:val="auto"/>
              </w:rPr>
            </w:pPr>
            <w:r>
              <w:rPr>
                <w:rFonts w:ascii="Arial" w:cs="Arial" w:eastAsia="Arial" w:hAnsi="Arial"/>
                <w:sz w:val="13"/>
                <w:szCs w:val="13"/>
                <w:b w:val="1"/>
                <w:bCs w:val="1"/>
                <w:color w:val="auto"/>
              </w:rPr>
              <w:t>Year Ended December 31,</w:t>
            </w: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8"/>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302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208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2018</w:t>
            </w:r>
          </w:p>
        </w:tc>
        <w:tc>
          <w:tcPr>
            <w:tcW w:w="3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3"/>
              <w:spacing w:after="0" w:line="134"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8"/>
              </w:rPr>
              <w:t>% change</w:t>
            </w:r>
          </w:p>
        </w:tc>
        <w:tc>
          <w:tcPr>
            <w:tcW w:w="5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69"/>
        </w:trPr>
        <w:tc>
          <w:tcPr>
            <w:tcW w:w="30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income</w:t>
            </w:r>
          </w:p>
        </w:tc>
        <w:tc>
          <w:tcPr>
            <w:tcW w:w="278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$487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4"/>
              </w:rPr>
              <w:t>$ 1,036</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$ 5,549</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436%</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Other income increased by $4.5 million, or 436%, in the year ended December 31, 2020, compared to the prior year. The increase was primarily due to receipt of funds under the PPP, totaling $5.3 million, which was partially offset by a decrease in dividend income of $0.8 million.</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Other income increased by $0.5 million, or 113%, in the year ended December 31, 2019 compared to the prior year. The increase was primarily due to an increase in unrestricted cash balances held in interest-bearing deposit accounts throughout the year at commercial banks.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Expense on Warrants and Other Non-operating Expenses, Net</w:t>
      </w:r>
    </w:p>
    <w:p>
      <w:pPr>
        <w:spacing w:after="0" w:line="5"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22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44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5"/>
              </w:rPr>
              <w:t>2018 to 2019</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2019 to 2020</w:t>
            </w:r>
          </w:p>
        </w:tc>
      </w:tr>
      <w:tr>
        <w:trPr>
          <w:trHeight w:val="134"/>
        </w:trPr>
        <w:tc>
          <w:tcPr>
            <w:tcW w:w="464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i w:val="1"/>
                <w:iCs w:val="1"/>
                <w:color w:val="auto"/>
              </w:rPr>
              <w:t>(in thousands)</w:t>
            </w:r>
          </w:p>
        </w:tc>
        <w:tc>
          <w:tcPr>
            <w:tcW w:w="440" w:type="dxa"/>
            <w:vAlign w:val="bottom"/>
            <w:tcBorders>
              <w:bottom w:val="single" w:sz="8" w:color="auto"/>
            </w:tcBorders>
          </w:tcPr>
          <w:p>
            <w:pPr>
              <w:jc w:val="right"/>
              <w:ind w:right="14"/>
              <w:spacing w:after="0" w:line="134" w:lineRule="exact"/>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ind w:right="33"/>
              <w:spacing w:after="0" w:line="13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6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5"/>
              </w:rPr>
              <w:t>% change</w:t>
            </w:r>
          </w:p>
        </w:tc>
        <w:tc>
          <w:tcPr>
            <w:tcW w:w="160" w:type="dxa"/>
            <w:vAlign w:val="bottom"/>
            <w:tcBorders>
              <w:bottom w:val="single" w:sz="8" w:color="CCEEFF"/>
            </w:tcBorders>
          </w:tcPr>
          <w:p>
            <w:pPr>
              <w:spacing w:after="0"/>
              <w:rPr>
                <w:sz w:val="11"/>
                <w:szCs w:val="11"/>
                <w:color w:val="auto"/>
              </w:rPr>
            </w:pPr>
          </w:p>
        </w:tc>
      </w:tr>
      <w:tr>
        <w:trPr>
          <w:trHeight w:val="157"/>
        </w:trPr>
        <w:tc>
          <w:tcPr>
            <w:tcW w:w="46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Expense on warrants and other non-operating expenses, net</w:t>
            </w:r>
          </w:p>
        </w:tc>
        <w:tc>
          <w:tcPr>
            <w:tcW w:w="88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w w:val="97"/>
              </w:rPr>
              <w:t>$3,734</w:t>
            </w:r>
          </w:p>
        </w:tc>
        <w:tc>
          <w:tcPr>
            <w:tcW w:w="88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$1,407</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$11,364</w:t>
            </w:r>
          </w:p>
        </w:tc>
        <w:tc>
          <w:tcPr>
            <w:tcW w:w="1800" w:type="dxa"/>
            <w:vAlign w:val="bottom"/>
            <w:gridSpan w:val="3"/>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(62)%</w:t>
            </w:r>
          </w:p>
        </w:tc>
        <w:tc>
          <w:tcPr>
            <w:tcW w:w="92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708%</w:t>
            </w:r>
          </w:p>
        </w:tc>
      </w:tr>
    </w:tbl>
    <w:p>
      <w:pPr>
        <w:spacing w:after="0" w:line="26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2019 Compared to 2020</w:t>
      </w:r>
    </w:p>
    <w:p>
      <w:pPr>
        <w:spacing w:after="0" w:line="104"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Expense on warrants and other non-operating expenses, net increased by $10.0 million, or 708%, in the year ended December 31, 2020, compared to the prior year. The increase was primarily a result of a $5.9 million increase in the fair value of convertible preferred stock warrants and $4.1 million increase in the fair value of common stock warrants driven by the increase in the fair value of our common stock.</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2018 Compared to 2019</w:t>
      </w:r>
    </w:p>
    <w:p>
      <w:pPr>
        <w:spacing w:after="0" w:line="104" w:lineRule="exact"/>
        <w:rPr>
          <w:sz w:val="20"/>
          <w:szCs w:val="20"/>
          <w:color w:val="auto"/>
        </w:rPr>
      </w:pPr>
    </w:p>
    <w:p>
      <w:pPr>
        <w:ind w:left="800" w:right="100" w:firstLine="482"/>
        <w:spacing w:after="0" w:line="252" w:lineRule="auto"/>
        <w:rPr>
          <w:sz w:val="20"/>
          <w:szCs w:val="20"/>
          <w:color w:val="auto"/>
        </w:rPr>
      </w:pPr>
      <w:r>
        <w:rPr>
          <w:rFonts w:ascii="Arial" w:cs="Arial" w:eastAsia="Arial" w:hAnsi="Arial"/>
          <w:sz w:val="15"/>
          <w:szCs w:val="15"/>
          <w:color w:val="auto"/>
        </w:rPr>
        <w:t>Expense on warrants and other non-operating expenses, net decreased by $2.3 million, or 62%, in the year ended December 31, 2019 compared to the prior year. The decrease was primarily due to a decrease of $2.1 million in the fair value of outstanding convertible preferred stock warrants as a result of warrants exercised or repurchased and retired during the year, and a decrease in interest expense on convertible notes of $0.7 million as the convertible notes were converted into convertible preferred stock in the year ended December 31, 2018. The decrease was partially offset by an increase of $0.5 million in the fair value of common stock warrants.</w:t>
      </w:r>
    </w:p>
    <w:p>
      <w:pPr>
        <w:spacing w:after="0" w:line="24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Quarterly Results of Operations</w:t>
      </w:r>
    </w:p>
    <w:p>
      <w:pPr>
        <w:spacing w:after="0" w:line="203"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The following table sets forth our unaudited quarterly consolidated results of operations for each of the quarterly periods for the last eight quarters.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a fair presentation of the results of operations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440"/>
          </w:cols>
          <w:pgMar w:left="320" w:top="419" w:right="11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6" w:lineRule="auto"/>
        <w:rPr>
          <w:sz w:val="20"/>
          <w:szCs w:val="20"/>
          <w:color w:val="auto"/>
        </w:rPr>
      </w:pPr>
      <w:r>
        <w:rPr>
          <w:rFonts w:ascii="Arial" w:cs="Arial" w:eastAsia="Arial" w:hAnsi="Arial"/>
          <w:sz w:val="16"/>
          <w:szCs w:val="16"/>
          <w:color w:val="auto"/>
        </w:rPr>
        <w:t>for these periods. Our historical results are not necessarily indicative of the results that may be expected in the future. The following unaudited quarterly consolidated results of operations should be read in conjunction with our consolidated financial statements and related notes included elsewhere in this prospectus.</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4340" w:type="dxa"/>
            <w:vAlign w:val="bottom"/>
            <w:vMerge w:val="restart"/>
          </w:tcPr>
          <w:p>
            <w:pPr>
              <w:spacing w:after="0"/>
              <w:rPr>
                <w:sz w:val="20"/>
                <w:szCs w:val="20"/>
                <w:color w:val="auto"/>
              </w:rPr>
            </w:pPr>
            <w:r>
              <w:rPr>
                <w:rFonts w:ascii="Arial" w:cs="Arial" w:eastAsia="Arial" w:hAnsi="Arial"/>
                <w:sz w:val="13"/>
                <w:szCs w:val="13"/>
                <w:i w:val="1"/>
                <w:iCs w:val="1"/>
                <w:color w:val="auto"/>
              </w:rPr>
              <w:t>(in thousands, except share and per share</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40" w:type="dxa"/>
            <w:vAlign w:val="bottom"/>
            <w:vMerge w:val="continue"/>
          </w:tcPr>
          <w:p>
            <w:pPr>
              <w:spacing w:after="0"/>
              <w:rPr>
                <w:sz w:val="10"/>
                <w:szCs w:val="10"/>
                <w:color w:val="auto"/>
              </w:rPr>
            </w:pP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3"/>
                <w:szCs w:val="13"/>
                <w:b w:val="1"/>
                <w:bCs w:val="1"/>
                <w:color w:val="auto"/>
                <w:w w:val="90"/>
              </w:rPr>
              <w:t>Mar. 31,</w:t>
            </w: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3"/>
                <w:szCs w:val="13"/>
                <w:b w:val="1"/>
                <w:bCs w:val="1"/>
                <w:color w:val="auto"/>
                <w:w w:val="94"/>
              </w:rPr>
              <w:t>Jun. 30,</w:t>
            </w:r>
          </w:p>
        </w:tc>
        <w:tc>
          <w:tcPr>
            <w:tcW w:w="80" w:type="dxa"/>
            <w:vAlign w:val="bottom"/>
          </w:tcPr>
          <w:p>
            <w:pPr>
              <w:spacing w:after="0"/>
              <w:rPr>
                <w:sz w:val="10"/>
                <w:szCs w:val="10"/>
                <w:color w:val="auto"/>
              </w:rPr>
            </w:pPr>
          </w:p>
        </w:tc>
        <w:tc>
          <w:tcPr>
            <w:tcW w:w="60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Sep. 30,</w:t>
            </w:r>
          </w:p>
        </w:tc>
        <w:tc>
          <w:tcPr>
            <w:tcW w:w="6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Dec. 31,</w:t>
            </w:r>
          </w:p>
        </w:tc>
        <w:tc>
          <w:tcPr>
            <w:tcW w:w="60" w:type="dxa"/>
            <w:vAlign w:val="bottom"/>
          </w:tcPr>
          <w:p>
            <w:pPr>
              <w:spacing w:after="0"/>
              <w:rPr>
                <w:sz w:val="10"/>
                <w:szCs w:val="10"/>
                <w:color w:val="auto"/>
              </w:rPr>
            </w:pPr>
          </w:p>
        </w:tc>
        <w:tc>
          <w:tcPr>
            <w:tcW w:w="6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Mar. 31,</w:t>
            </w:r>
          </w:p>
        </w:tc>
        <w:tc>
          <w:tcPr>
            <w:tcW w:w="700" w:type="dxa"/>
            <w:vAlign w:val="bottom"/>
            <w:gridSpan w:val="3"/>
          </w:tcPr>
          <w:p>
            <w:pPr>
              <w:jc w:val="right"/>
              <w:ind w:right="200"/>
              <w:spacing w:after="0" w:line="122" w:lineRule="exact"/>
              <w:rPr>
                <w:sz w:val="20"/>
                <w:szCs w:val="20"/>
                <w:color w:val="auto"/>
              </w:rPr>
            </w:pPr>
            <w:r>
              <w:rPr>
                <w:rFonts w:ascii="Arial" w:cs="Arial" w:eastAsia="Arial" w:hAnsi="Arial"/>
                <w:sz w:val="13"/>
                <w:szCs w:val="13"/>
                <w:b w:val="1"/>
                <w:bCs w:val="1"/>
                <w:color w:val="auto"/>
                <w:w w:val="99"/>
              </w:rPr>
              <w:t>Jun. 30,</w:t>
            </w:r>
          </w:p>
        </w:tc>
        <w:tc>
          <w:tcPr>
            <w:tcW w:w="6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34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amounts)</w:t>
            </w: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4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Revenue:</w:t>
            </w: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40" w:type="dxa"/>
            <w:vAlign w:val="bottom"/>
          </w:tcPr>
          <w:p>
            <w:pPr>
              <w:ind w:left="120"/>
              <w:spacing w:after="0" w:line="142" w:lineRule="exact"/>
              <w:rPr>
                <w:sz w:val="20"/>
                <w:szCs w:val="20"/>
                <w:color w:val="auto"/>
              </w:rPr>
            </w:pPr>
            <w:r>
              <w:rPr>
                <w:rFonts w:ascii="Arial" w:cs="Arial" w:eastAsia="Arial" w:hAnsi="Arial"/>
                <w:sz w:val="13"/>
                <w:szCs w:val="13"/>
                <w:color w:val="auto"/>
              </w:rPr>
              <w:t>Revenue from fees, net</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w w:val="90"/>
              </w:rPr>
              <w:t>$ 22,242</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w w:val="94"/>
              </w:rPr>
              <w:t>$ 28,558</w:t>
            </w:r>
          </w:p>
        </w:tc>
        <w:tc>
          <w:tcPr>
            <w:tcW w:w="160" w:type="dxa"/>
            <w:vAlign w:val="bottom"/>
            <w:gridSpan w:val="2"/>
          </w:tcPr>
          <w:p>
            <w:pPr>
              <w:ind w:left="80"/>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w w:val="95"/>
              </w:rPr>
              <w:t>47,899</w:t>
            </w:r>
          </w:p>
        </w:tc>
        <w:tc>
          <w:tcPr>
            <w:tcW w:w="16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w w:val="95"/>
              </w:rPr>
              <w:t>61,148</w:t>
            </w:r>
          </w:p>
        </w:tc>
        <w:tc>
          <w:tcPr>
            <w:tcW w:w="140" w:type="dxa"/>
            <w:vAlign w:val="bottom"/>
            <w:gridSpan w:val="2"/>
          </w:tcPr>
          <w:p>
            <w:pPr>
              <w:ind w:left="60"/>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w w:val="95"/>
              </w:rPr>
              <w:t>68,013</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13,305</w:t>
            </w:r>
          </w:p>
        </w:tc>
        <w:tc>
          <w:tcPr>
            <w:tcW w:w="80" w:type="dxa"/>
            <w:vAlign w:val="bottom"/>
          </w:tcPr>
          <w:p>
            <w:pPr>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62,861</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84,421</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Interest income and fair value adjustments, net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(2,631)</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3,961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1,588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1,424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(4,019)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4,048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2,498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2,289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40" w:type="dxa"/>
            <w:vAlign w:val="bottom"/>
          </w:tcPr>
          <w:p>
            <w:pPr>
              <w:ind w:left="260"/>
              <w:spacing w:after="0" w:line="146" w:lineRule="exact"/>
              <w:rPr>
                <w:sz w:val="20"/>
                <w:szCs w:val="20"/>
                <w:color w:val="auto"/>
              </w:rPr>
            </w:pPr>
            <w:r>
              <w:rPr>
                <w:rFonts w:ascii="Arial" w:cs="Arial" w:eastAsia="Arial" w:hAnsi="Arial"/>
                <w:sz w:val="13"/>
                <w:szCs w:val="13"/>
                <w:color w:val="auto"/>
              </w:rPr>
              <w:t>Total revenue</w:t>
            </w: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19,611</w:t>
            </w:r>
          </w:p>
        </w:tc>
        <w:tc>
          <w:tcPr>
            <w:tcW w:w="1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32,519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49,487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62,572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95"/>
              </w:rPr>
              <w:t>63,994</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17,353</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65,359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86,710</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Operating expenses:</w:t>
            </w: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tcPr>
          <w:p>
            <w:pPr>
              <w:ind w:left="120"/>
              <w:spacing w:after="0" w:line="142" w:lineRule="exact"/>
              <w:rPr>
                <w:sz w:val="20"/>
                <w:szCs w:val="20"/>
                <w:color w:val="auto"/>
              </w:rPr>
            </w:pPr>
            <w:r>
              <w:rPr>
                <w:rFonts w:ascii="Arial" w:cs="Arial" w:eastAsia="Arial" w:hAnsi="Arial"/>
                <w:sz w:val="10"/>
                <w:szCs w:val="10"/>
                <w:color w:val="auto"/>
              </w:rPr>
              <w:t>Sales and marketing</w:t>
            </w:r>
            <w:r>
              <w:rPr>
                <w:rFonts w:ascii="Arial" w:cs="Arial" w:eastAsia="Arial" w:hAnsi="Arial"/>
                <w:sz w:val="16"/>
                <w:szCs w:val="16"/>
                <w:color w:val="auto"/>
                <w:vertAlign w:val="superscript"/>
              </w:rPr>
              <w:t>(1)</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14,593</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19,314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w w:val="95"/>
              </w:rPr>
              <w:t>27,329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w w:val="95"/>
              </w:rPr>
              <w:t>31,939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w w:val="95"/>
              </w:rPr>
              <w:t>35,952</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5,436</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23,725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34,546</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ind w:left="120"/>
              <w:spacing w:after="0" w:line="142" w:lineRule="exact"/>
              <w:rPr>
                <w:sz w:val="20"/>
                <w:szCs w:val="20"/>
                <w:color w:val="auto"/>
              </w:rPr>
            </w:pPr>
            <w:r>
              <w:rPr>
                <w:rFonts w:ascii="Arial" w:cs="Arial" w:eastAsia="Arial" w:hAnsi="Arial"/>
                <w:sz w:val="10"/>
                <w:szCs w:val="10"/>
                <w:color w:val="auto"/>
              </w:rPr>
              <w:t>Customer operations</w:t>
            </w:r>
            <w:r>
              <w:rPr>
                <w:rFonts w:ascii="Arial" w:cs="Arial" w:eastAsia="Arial" w:hAnsi="Arial"/>
                <w:sz w:val="16"/>
                <w:szCs w:val="16"/>
                <w:color w:val="auto"/>
                <w:vertAlign w:val="superscript"/>
              </w:rPr>
              <w:t>(1)</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4,518</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5,386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6,689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8,354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8,811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6,621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9,360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12,789</w:t>
            </w:r>
          </w:p>
        </w:tc>
        <w:tc>
          <w:tcPr>
            <w:tcW w:w="0" w:type="dxa"/>
            <w:vAlign w:val="bottom"/>
          </w:tcPr>
          <w:p>
            <w:pPr>
              <w:spacing w:after="0"/>
              <w:rPr>
                <w:sz w:val="1"/>
                <w:szCs w:val="1"/>
                <w:color w:val="auto"/>
              </w:rPr>
            </w:pPr>
          </w:p>
        </w:tc>
      </w:tr>
      <w:tr>
        <w:trPr>
          <w:trHeight w:val="142"/>
        </w:trPr>
        <w:tc>
          <w:tcPr>
            <w:tcW w:w="4340" w:type="dxa"/>
            <w:vAlign w:val="bottom"/>
          </w:tcPr>
          <w:p>
            <w:pPr>
              <w:ind w:left="120"/>
              <w:spacing w:after="0" w:line="142" w:lineRule="exact"/>
              <w:rPr>
                <w:sz w:val="20"/>
                <w:szCs w:val="20"/>
                <w:color w:val="auto"/>
              </w:rPr>
            </w:pPr>
            <w:r>
              <w:rPr>
                <w:rFonts w:ascii="Arial" w:cs="Arial" w:eastAsia="Arial" w:hAnsi="Arial"/>
                <w:sz w:val="10"/>
                <w:szCs w:val="10"/>
                <w:color w:val="auto"/>
              </w:rPr>
              <w:t>Engineering and product development</w:t>
            </w:r>
            <w:r>
              <w:rPr>
                <w:rFonts w:ascii="Arial" w:cs="Arial" w:eastAsia="Arial" w:hAnsi="Arial"/>
                <w:sz w:val="16"/>
                <w:szCs w:val="16"/>
                <w:color w:val="auto"/>
                <w:vertAlign w:val="superscript"/>
              </w:rPr>
              <w:t>(1)</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2,932</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3,485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5,063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7,297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7,018</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7,667</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9,966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14,151</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ind w:left="120"/>
              <w:spacing w:after="0" w:line="142" w:lineRule="exact"/>
              <w:rPr>
                <w:sz w:val="20"/>
                <w:szCs w:val="20"/>
                <w:color w:val="auto"/>
              </w:rPr>
            </w:pPr>
            <w:r>
              <w:rPr>
                <w:rFonts w:ascii="Arial" w:cs="Arial" w:eastAsia="Arial" w:hAnsi="Arial"/>
                <w:sz w:val="10"/>
                <w:szCs w:val="10"/>
                <w:color w:val="auto"/>
              </w:rPr>
              <w:t>General, administrative, and other</w:t>
            </w:r>
            <w:r>
              <w:rPr>
                <w:rFonts w:ascii="Arial" w:cs="Arial" w:eastAsia="Arial" w:hAnsi="Arial"/>
                <w:sz w:val="16"/>
                <w:szCs w:val="16"/>
                <w:color w:val="auto"/>
                <w:vertAlign w:val="superscript"/>
              </w:rPr>
              <w:t>(1)</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6,022</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5,959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8,418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w w:val="95"/>
              </w:rPr>
              <w:t>11,466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w w:val="95"/>
              </w:rPr>
              <w:t>11,660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9,017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10,101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14,831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340" w:type="dxa"/>
            <w:vAlign w:val="bottom"/>
          </w:tcPr>
          <w:p>
            <w:pPr>
              <w:ind w:left="260"/>
              <w:spacing w:after="0" w:line="146" w:lineRule="exact"/>
              <w:rPr>
                <w:sz w:val="20"/>
                <w:szCs w:val="20"/>
                <w:color w:val="auto"/>
              </w:rPr>
            </w:pPr>
            <w:r>
              <w:rPr>
                <w:rFonts w:ascii="Arial" w:cs="Arial" w:eastAsia="Arial" w:hAnsi="Arial"/>
                <w:sz w:val="13"/>
                <w:szCs w:val="13"/>
                <w:color w:val="auto"/>
              </w:rPr>
              <w:t>Total operating expenses</w:t>
            </w: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28,065</w:t>
            </w:r>
          </w:p>
        </w:tc>
        <w:tc>
          <w:tcPr>
            <w:tcW w:w="16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34,144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47,499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59,056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95"/>
              </w:rPr>
              <w:t>63,441</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28,741</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53,152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76,317</w:t>
            </w:r>
          </w:p>
        </w:tc>
        <w:tc>
          <w:tcPr>
            <w:tcW w:w="0" w:type="dxa"/>
            <w:vAlign w:val="bottom"/>
          </w:tcPr>
          <w:p>
            <w:pPr>
              <w:spacing w:after="0"/>
              <w:rPr>
                <w:sz w:val="1"/>
                <w:szCs w:val="1"/>
                <w:color w:val="auto"/>
              </w:rPr>
            </w:pPr>
          </w:p>
        </w:tc>
      </w:tr>
      <w:tr>
        <w:trPr>
          <w:trHeight w:val="24"/>
        </w:trPr>
        <w:tc>
          <w:tcPr>
            <w:tcW w:w="4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(loss) from operations</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(8,454)</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(1,625)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1,988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3,516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w w:val="94"/>
              </w:rPr>
              <w:t>(11,388)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12,207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10,393</w:t>
            </w:r>
          </w:p>
        </w:tc>
        <w:tc>
          <w:tcPr>
            <w:tcW w:w="0" w:type="dxa"/>
            <w:vAlign w:val="bottom"/>
          </w:tcPr>
          <w:p>
            <w:pPr>
              <w:spacing w:after="0"/>
              <w:rPr>
                <w:sz w:val="1"/>
                <w:szCs w:val="1"/>
                <w:color w:val="auto"/>
              </w:rPr>
            </w:pPr>
          </w:p>
        </w:tc>
      </w:tr>
      <w:tr>
        <w:trPr>
          <w:trHeight w:val="142"/>
        </w:trPr>
        <w:tc>
          <w:tcPr>
            <w:tcW w:w="4340" w:type="dxa"/>
            <w:vAlign w:val="bottom"/>
          </w:tcPr>
          <w:p>
            <w:pPr>
              <w:spacing w:after="0" w:line="142" w:lineRule="exact"/>
              <w:rPr>
                <w:sz w:val="20"/>
                <w:szCs w:val="20"/>
                <w:color w:val="auto"/>
              </w:rPr>
            </w:pPr>
            <w:r>
              <w:rPr>
                <w:rFonts w:ascii="Arial" w:cs="Arial" w:eastAsia="Arial" w:hAnsi="Arial"/>
                <w:sz w:val="13"/>
                <w:szCs w:val="13"/>
                <w:color w:val="auto"/>
              </w:rPr>
              <w:t>Other income</w:t>
            </w:r>
          </w:p>
        </w:tc>
        <w:tc>
          <w:tcPr>
            <w:tcW w:w="64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358</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150</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5,297</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(expense) on warrants and other non-operating expenses, net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(89)</w:t>
            </w:r>
          </w:p>
        </w:tc>
        <w:tc>
          <w:tcPr>
            <w:tcW w:w="6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(2,418)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1,219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(2,588)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(9,047)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340" w:type="dxa"/>
            <w:vAlign w:val="bottom"/>
          </w:tcPr>
          <w:p>
            <w:pPr>
              <w:spacing w:after="0" w:line="146" w:lineRule="exact"/>
              <w:rPr>
                <w:sz w:val="20"/>
                <w:szCs w:val="20"/>
                <w:color w:val="auto"/>
              </w:rPr>
            </w:pPr>
            <w:r>
              <w:rPr>
                <w:rFonts w:ascii="Arial" w:cs="Arial" w:eastAsia="Arial" w:hAnsi="Arial"/>
                <w:sz w:val="13"/>
                <w:szCs w:val="13"/>
                <w:color w:val="auto"/>
              </w:rPr>
              <w:t>Net income (loss) before income taxes</w:t>
            </w:r>
          </w:p>
        </w:tc>
        <w:tc>
          <w:tcPr>
            <w:tcW w:w="6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(8,185)</w:t>
            </w: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4,939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992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(6,109)</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9,669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1,398</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Provision for income taxes</w:t>
            </w:r>
          </w:p>
        </w:tc>
        <w:tc>
          <w:tcPr>
            <w:tcW w:w="480" w:type="dxa"/>
            <w:vAlign w:val="bottom"/>
            <w:shd w:val="clear" w:color="auto" w:fill="CCEEF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74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340" w:type="dxa"/>
            <w:vAlign w:val="bottom"/>
          </w:tcPr>
          <w:p>
            <w:pPr>
              <w:spacing w:after="0" w:line="146" w:lineRule="exact"/>
              <w:rPr>
                <w:sz w:val="20"/>
                <w:szCs w:val="20"/>
                <w:color w:val="auto"/>
              </w:rPr>
            </w:pPr>
            <w:r>
              <w:rPr>
                <w:rFonts w:ascii="Arial" w:cs="Arial" w:eastAsia="Arial" w:hAnsi="Arial"/>
                <w:sz w:val="13"/>
                <w:szCs w:val="13"/>
                <w:color w:val="auto"/>
              </w:rPr>
              <w:t>Net income (loss) before attribution to noncontrolling interests</w:t>
            </w:r>
          </w:p>
        </w:tc>
        <w:tc>
          <w:tcPr>
            <w:tcW w:w="6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(8,185)</w:t>
            </w:r>
          </w:p>
        </w:tc>
        <w:tc>
          <w:tcPr>
            <w:tcW w:w="60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(1,495)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(205)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4,865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992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(6,109)</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9,669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42"/>
        </w:trPr>
        <w:tc>
          <w:tcPr>
            <w:tcW w:w="4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(loss) attributable to noncontrolling interests</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(3,720)</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(1,186)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(488)</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0"/>
        </w:trPr>
        <w:tc>
          <w:tcPr>
            <w:tcW w:w="4340" w:type="dxa"/>
            <w:vAlign w:val="bottom"/>
          </w:tcPr>
          <w:p>
            <w:pPr>
              <w:spacing w:after="0"/>
              <w:rPr>
                <w:sz w:val="20"/>
                <w:szCs w:val="20"/>
                <w:color w:val="auto"/>
              </w:rPr>
            </w:pPr>
            <w:r>
              <w:rPr>
                <w:rFonts w:ascii="Arial" w:cs="Arial" w:eastAsia="Arial" w:hAnsi="Arial"/>
                <w:sz w:val="13"/>
                <w:szCs w:val="13"/>
                <w:color w:val="auto"/>
              </w:rPr>
              <w:t>Net income (loss) attributable to Upstart Holdings, Inc. common</w:t>
            </w: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40" w:type="dxa"/>
            <w:vAlign w:val="bottom"/>
          </w:tcPr>
          <w:p>
            <w:pPr>
              <w:ind w:left="120"/>
              <w:spacing w:after="0" w:line="138" w:lineRule="exact"/>
              <w:rPr>
                <w:sz w:val="20"/>
                <w:szCs w:val="20"/>
                <w:color w:val="auto"/>
              </w:rPr>
            </w:pPr>
            <w:r>
              <w:rPr>
                <w:rFonts w:ascii="Arial" w:cs="Arial" w:eastAsia="Arial" w:hAnsi="Arial"/>
                <w:sz w:val="13"/>
                <w:szCs w:val="13"/>
                <w:color w:val="auto"/>
              </w:rPr>
              <w:t>stockholders</w:t>
            </w:r>
          </w:p>
        </w:tc>
        <w:tc>
          <w:tcPr>
            <w:tcW w:w="64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w w:val="96"/>
              </w:rPr>
              <w:t>$ (4,465)</w:t>
            </w:r>
          </w:p>
        </w:tc>
        <w:tc>
          <w:tcPr>
            <w:tcW w:w="6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w w:val="99"/>
              </w:rPr>
              <w:t>$ (1,730)</w:t>
            </w:r>
          </w:p>
        </w:tc>
        <w:tc>
          <w:tcPr>
            <w:tcW w:w="160" w:type="dxa"/>
            <w:vAlign w:val="bottom"/>
            <w:gridSpan w:val="2"/>
          </w:tcPr>
          <w:p>
            <w:pPr>
              <w:ind w:left="80"/>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(322)</w:t>
            </w:r>
          </w:p>
        </w:tc>
        <w:tc>
          <w:tcPr>
            <w:tcW w:w="16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6,051</w:t>
            </w:r>
          </w:p>
        </w:tc>
        <w:tc>
          <w:tcPr>
            <w:tcW w:w="140" w:type="dxa"/>
            <w:vAlign w:val="bottom"/>
            <w:gridSpan w:val="2"/>
          </w:tcPr>
          <w:p>
            <w:pPr>
              <w:ind w:left="60"/>
              <w:spacing w:after="0" w:line="138"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1,480</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(6,193)</w:t>
            </w:r>
          </w:p>
        </w:tc>
        <w:tc>
          <w:tcPr>
            <w:tcW w:w="80" w:type="dxa"/>
            <w:vAlign w:val="bottom"/>
          </w:tcPr>
          <w:p>
            <w:pPr>
              <w:spacing w:after="0" w:line="138" w:lineRule="exact"/>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9,669</w:t>
            </w:r>
          </w:p>
        </w:tc>
        <w:tc>
          <w:tcPr>
            <w:tcW w:w="1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1280" w:hanging="481"/>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 (in thousands):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7"/>
          </w:tcPr>
          <w:p>
            <w:pPr>
              <w:ind w:left="8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3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Mar. 31,</w:t>
            </w:r>
          </w:p>
        </w:tc>
        <w:tc>
          <w:tcPr>
            <w:tcW w:w="5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5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0"/>
                <w:szCs w:val="10"/>
                <w:color w:val="auto"/>
              </w:rPr>
            </w:pPr>
          </w:p>
        </w:tc>
        <w:tc>
          <w:tcPr>
            <w:tcW w:w="70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Dec. 31,</w:t>
            </w:r>
          </w:p>
        </w:tc>
        <w:tc>
          <w:tcPr>
            <w:tcW w:w="6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Mar. 31,</w:t>
            </w:r>
          </w:p>
        </w:tc>
        <w:tc>
          <w:tcPr>
            <w:tcW w:w="5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5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5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93"/>
              </w:rPr>
              <w:t>Dec. 31,</w:t>
            </w:r>
          </w:p>
        </w:tc>
        <w:tc>
          <w:tcPr>
            <w:tcW w:w="20" w:type="dxa"/>
            <w:vAlign w:val="bottom"/>
          </w:tcPr>
          <w:p>
            <w:pPr>
              <w:spacing w:after="0"/>
              <w:rPr>
                <w:sz w:val="10"/>
                <w:szCs w:val="10"/>
                <w:color w:val="auto"/>
              </w:rPr>
            </w:pPr>
          </w:p>
        </w:tc>
      </w:tr>
      <w:tr>
        <w:trPr>
          <w:trHeight w:val="154"/>
        </w:trPr>
        <w:tc>
          <w:tcPr>
            <w:tcW w:w="322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2019</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2020</w:t>
            </w:r>
          </w:p>
        </w:tc>
        <w:tc>
          <w:tcPr>
            <w:tcW w:w="20" w:type="dxa"/>
            <w:vAlign w:val="bottom"/>
            <w:tcBorders>
              <w:bottom w:val="single" w:sz="8" w:color="CCEEFF"/>
            </w:tcBorders>
          </w:tcPr>
          <w:p>
            <w:pPr>
              <w:spacing w:after="0"/>
              <w:rPr>
                <w:sz w:val="13"/>
                <w:szCs w:val="13"/>
                <w:color w:val="auto"/>
              </w:rPr>
            </w:pPr>
          </w:p>
        </w:tc>
      </w:tr>
      <w:tr>
        <w:trPr>
          <w:trHeight w:val="134"/>
        </w:trPr>
        <w:tc>
          <w:tcPr>
            <w:tcW w:w="3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Sales and marketing</w:t>
            </w:r>
          </w:p>
        </w:tc>
        <w:tc>
          <w:tcPr>
            <w:tcW w:w="1160" w:type="dxa"/>
            <w:vAlign w:val="bottom"/>
            <w:gridSpan w:val="2"/>
            <w:shd w:val="clear" w:color="auto" w:fill="CCEEFF"/>
          </w:tcPr>
          <w:p>
            <w:pPr>
              <w:ind w:left="1080"/>
              <w:spacing w:after="0" w:line="13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55</w:t>
            </w:r>
          </w:p>
        </w:tc>
        <w:tc>
          <w:tcPr>
            <w:tcW w:w="18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51</w:t>
            </w:r>
          </w:p>
        </w:tc>
        <w:tc>
          <w:tcPr>
            <w:tcW w:w="20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line="134" w:lineRule="exact"/>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405</w:t>
            </w:r>
          </w:p>
        </w:tc>
        <w:tc>
          <w:tcPr>
            <w:tcW w:w="200" w:type="dxa"/>
            <w:vAlign w:val="bottom"/>
            <w:gridSpan w:val="2"/>
            <w:shd w:val="clear" w:color="auto" w:fill="CCEEFF"/>
          </w:tcPr>
          <w:p>
            <w:pPr>
              <w:ind w:left="120"/>
              <w:spacing w:after="0" w:line="134"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447</w:t>
            </w:r>
          </w:p>
        </w:tc>
        <w:tc>
          <w:tcPr>
            <w:tcW w:w="20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
              <w:spacing w:after="0" w:line="134" w:lineRule="exact"/>
              <w:rPr>
                <w:sz w:val="20"/>
                <w:szCs w:val="20"/>
                <w:color w:val="auto"/>
              </w:rPr>
            </w:pPr>
            <w:r>
              <w:rPr>
                <w:rFonts w:ascii="Arial" w:cs="Arial" w:eastAsia="Arial" w:hAnsi="Arial"/>
                <w:sz w:val="13"/>
                <w:szCs w:val="13"/>
                <w:color w:val="auto"/>
              </w:rPr>
              <w:t>426</w:t>
            </w: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Customer operations</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59</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181</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199</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273</w:t>
            </w: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Engineering and product development</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376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871</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1,112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1,663</w:t>
            </w: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General, administrative, and other</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233</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312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318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429</w:t>
            </w: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556</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807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2,049</w:t>
            </w:r>
          </w:p>
        </w:tc>
      </w:tr>
      <w:tr>
        <w:trPr>
          <w:trHeight w:val="24"/>
        </w:trPr>
        <w:tc>
          <w:tcPr>
            <w:tcW w:w="3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stock-based compensation</w:t>
            </w:r>
          </w:p>
        </w:tc>
        <w:tc>
          <w:tcPr>
            <w:tcW w:w="1160" w:type="dxa"/>
            <w:vAlign w:val="bottom"/>
            <w:gridSpan w:val="2"/>
            <w:shd w:val="clear" w:color="auto" w:fill="CCEEFF"/>
          </w:tcPr>
          <w:p>
            <w:pPr>
              <w:ind w:left="1080"/>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780</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847</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1,602</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1,965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2,519</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2,618</w:t>
            </w: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4,411</w:t>
            </w:r>
          </w:p>
        </w:tc>
      </w:tr>
      <w:tr>
        <w:trPr>
          <w:trHeight w:val="20"/>
        </w:trPr>
        <w:tc>
          <w:tcPr>
            <w:tcW w:w="3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provides the key operating metrics we use to evaluate our business for each of the last eight quarters: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2"/>
        </w:trPr>
        <w:tc>
          <w:tcPr>
            <w:tcW w:w="3200" w:type="dxa"/>
            <w:vAlign w:val="bottom"/>
          </w:tcPr>
          <w:p>
            <w:pPr>
              <w:spacing w:after="0"/>
              <w:rPr>
                <w:sz w:val="10"/>
                <w:szCs w:val="10"/>
                <w:color w:val="auto"/>
              </w:rPr>
            </w:pP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9"/>
              </w:rPr>
              <w:t>Mar. 31,</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3"/>
                <w:szCs w:val="13"/>
                <w:b w:val="1"/>
                <w:bCs w:val="1"/>
                <w:color w:val="auto"/>
                <w:w w:val="99"/>
              </w:rPr>
              <w:t>Jun. 30,</w:t>
            </w:r>
          </w:p>
        </w:tc>
        <w:tc>
          <w:tcPr>
            <w:tcW w:w="140" w:type="dxa"/>
            <w:vAlign w:val="bottom"/>
          </w:tcPr>
          <w:p>
            <w:pPr>
              <w:spacing w:after="0"/>
              <w:rPr>
                <w:sz w:val="10"/>
                <w:szCs w:val="10"/>
                <w:color w:val="auto"/>
              </w:rPr>
            </w:pP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7"/>
              </w:rPr>
              <w:t>Sep. 30,</w:t>
            </w:r>
          </w:p>
        </w:tc>
        <w:tc>
          <w:tcPr>
            <w:tcW w:w="8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Dec. 31,</w:t>
            </w: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9"/>
              </w:rPr>
              <w:t>Mar. 31,</w:t>
            </w: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9"/>
              </w:rPr>
              <w:t>Jun. 30,</w:t>
            </w:r>
          </w:p>
        </w:tc>
        <w:tc>
          <w:tcPr>
            <w:tcW w:w="82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rPr>
              <w:t>Sep. 30,</w:t>
            </w:r>
          </w:p>
        </w:tc>
        <w:tc>
          <w:tcPr>
            <w:tcW w:w="620" w:type="dxa"/>
            <w:vAlign w:val="bottom"/>
          </w:tcPr>
          <w:p>
            <w:pPr>
              <w:jc w:val="right"/>
              <w:ind w:right="7"/>
              <w:spacing w:after="0" w:line="122" w:lineRule="exact"/>
              <w:rPr>
                <w:sz w:val="20"/>
                <w:szCs w:val="20"/>
                <w:color w:val="auto"/>
              </w:rPr>
            </w:pPr>
            <w:r>
              <w:rPr>
                <w:rFonts w:ascii="Arial" w:cs="Arial" w:eastAsia="Arial" w:hAnsi="Arial"/>
                <w:sz w:val="13"/>
                <w:szCs w:val="13"/>
                <w:b w:val="1"/>
                <w:bCs w:val="1"/>
                <w:color w:val="auto"/>
              </w:rPr>
              <w:t>Dec. 31,</w:t>
            </w:r>
          </w:p>
        </w:tc>
        <w:tc>
          <w:tcPr>
            <w:tcW w:w="180" w:type="dxa"/>
            <w:vAlign w:val="bottom"/>
          </w:tcPr>
          <w:p>
            <w:pPr>
              <w:spacing w:after="0"/>
              <w:rPr>
                <w:sz w:val="10"/>
                <w:szCs w:val="10"/>
                <w:color w:val="auto"/>
              </w:rPr>
            </w:pPr>
          </w:p>
        </w:tc>
      </w:tr>
      <w:tr>
        <w:trPr>
          <w:trHeight w:val="154"/>
        </w:trPr>
        <w:tc>
          <w:tcPr>
            <w:tcW w:w="3200" w:type="dxa"/>
            <w:vAlign w:val="bottom"/>
          </w:tcPr>
          <w:p>
            <w:pPr>
              <w:spacing w:after="0"/>
              <w:rPr>
                <w:sz w:val="13"/>
                <w:szCs w:val="13"/>
                <w:color w:val="auto"/>
              </w:rPr>
            </w:pPr>
          </w:p>
        </w:tc>
        <w:tc>
          <w:tcPr>
            <w:tcW w:w="540" w:type="dxa"/>
            <w:vAlign w:val="bottom"/>
          </w:tcPr>
          <w:p>
            <w:pPr>
              <w:jc w:val="right"/>
              <w:ind w:right="47"/>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3"/>
                <w:szCs w:val="13"/>
                <w:color w:val="auto"/>
              </w:rPr>
            </w:pPr>
          </w:p>
        </w:tc>
        <w:tc>
          <w:tcPr>
            <w:tcW w:w="540" w:type="dxa"/>
            <w:vAlign w:val="bottom"/>
          </w:tcPr>
          <w:p>
            <w:pPr>
              <w:jc w:val="right"/>
              <w:ind w:right="47"/>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66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2019</w:t>
            </w:r>
          </w:p>
        </w:tc>
        <w:tc>
          <w:tcPr>
            <w:tcW w:w="28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540" w:type="dxa"/>
            <w:vAlign w:val="bottom"/>
          </w:tcPr>
          <w:p>
            <w:pPr>
              <w:jc w:val="right"/>
              <w:ind w:right="47"/>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540" w:type="dxa"/>
            <w:vAlign w:val="bottom"/>
          </w:tcPr>
          <w:p>
            <w:pPr>
              <w:jc w:val="right"/>
              <w:ind w:right="47"/>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3"/>
                <w:szCs w:val="13"/>
                <w:color w:val="auto"/>
              </w:rPr>
            </w:pPr>
          </w:p>
        </w:tc>
        <w:tc>
          <w:tcPr>
            <w:tcW w:w="620" w:type="dxa"/>
            <w:vAlign w:val="bottom"/>
          </w:tcPr>
          <w:p>
            <w:pPr>
              <w:jc w:val="right"/>
              <w:ind w:right="10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r>
      <w:tr>
        <w:trPr>
          <w:trHeight w:val="169"/>
        </w:trPr>
        <w:tc>
          <w:tcPr>
            <w:tcW w:w="32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Number of Loans Transacted</w:t>
            </w: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30,998</w:t>
            </w: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41,211</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64,259</w:t>
            </w:r>
          </w:p>
        </w:tc>
        <w:tc>
          <w:tcPr>
            <w:tcW w:w="2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6"/>
                <w:szCs w:val="16"/>
                <w:color w:val="auto"/>
                <w:w w:val="98"/>
              </w:rPr>
              <w:t>78,654</w:t>
            </w:r>
          </w:p>
        </w:tc>
        <w:tc>
          <w:tcPr>
            <w:tcW w:w="2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84,214</w:t>
            </w: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11,876</w:t>
            </w: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80,893</w:t>
            </w:r>
          </w:p>
        </w:tc>
        <w:tc>
          <w:tcPr>
            <w:tcW w:w="2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123,396</w:t>
            </w:r>
          </w:p>
        </w:tc>
        <w:tc>
          <w:tcPr>
            <w:tcW w:w="180" w:type="dxa"/>
            <w:vAlign w:val="bottom"/>
            <w:tcBorders>
              <w:top w:val="single" w:sz="8" w:color="CCEEFF"/>
            </w:tcBorders>
            <w:shd w:val="clear" w:color="auto" w:fill="CCEEFF"/>
          </w:tcPr>
          <w:p>
            <w:pPr>
              <w:spacing w:after="0"/>
              <w:rPr>
                <w:sz w:val="14"/>
                <w:szCs w:val="14"/>
                <w:color w:val="auto"/>
              </w:rPr>
            </w:pPr>
          </w:p>
        </w:tc>
      </w:tr>
      <w:tr>
        <w:trPr>
          <w:trHeight w:val="177"/>
        </w:trPr>
        <w:tc>
          <w:tcPr>
            <w:tcW w:w="3200" w:type="dxa"/>
            <w:vAlign w:val="bottom"/>
          </w:tcPr>
          <w:p>
            <w:pPr>
              <w:spacing w:after="0" w:line="178" w:lineRule="exact"/>
              <w:rPr>
                <w:sz w:val="20"/>
                <w:szCs w:val="20"/>
                <w:color w:val="auto"/>
              </w:rPr>
            </w:pPr>
            <w:r>
              <w:rPr>
                <w:rFonts w:ascii="Arial" w:cs="Arial" w:eastAsia="Arial" w:hAnsi="Arial"/>
                <w:sz w:val="16"/>
                <w:szCs w:val="16"/>
                <w:color w:val="auto"/>
              </w:rPr>
              <w:t>Conversion Rate</w:t>
            </w:r>
          </w:p>
        </w:tc>
        <w:tc>
          <w:tcPr>
            <w:tcW w:w="8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10.8%</w:t>
            </w:r>
          </w:p>
        </w:tc>
        <w:tc>
          <w:tcPr>
            <w:tcW w:w="6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11.3%</w:t>
            </w:r>
          </w:p>
        </w:tc>
        <w:tc>
          <w:tcPr>
            <w:tcW w:w="940" w:type="dxa"/>
            <w:vAlign w:val="bottom"/>
            <w:gridSpan w:val="3"/>
          </w:tcPr>
          <w:p>
            <w:pPr>
              <w:jc w:val="right"/>
              <w:ind w:right="140"/>
              <w:spacing w:after="0" w:line="178" w:lineRule="exact"/>
              <w:rPr>
                <w:sz w:val="20"/>
                <w:szCs w:val="20"/>
                <w:color w:val="auto"/>
              </w:rPr>
            </w:pPr>
            <w:r>
              <w:rPr>
                <w:rFonts w:ascii="Arial" w:cs="Arial" w:eastAsia="Arial" w:hAnsi="Arial"/>
                <w:sz w:val="16"/>
                <w:szCs w:val="16"/>
                <w:color w:val="auto"/>
              </w:rPr>
              <w:t>13.8%</w:t>
            </w:r>
          </w:p>
        </w:tc>
        <w:tc>
          <w:tcPr>
            <w:tcW w:w="80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14.9%</w:t>
            </w:r>
          </w:p>
        </w:tc>
        <w:tc>
          <w:tcPr>
            <w:tcW w:w="8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14.1%</w:t>
            </w:r>
          </w:p>
        </w:tc>
        <w:tc>
          <w:tcPr>
            <w:tcW w:w="800" w:type="dxa"/>
            <w:vAlign w:val="bottom"/>
            <w:gridSpan w:val="2"/>
          </w:tcPr>
          <w:p>
            <w:pPr>
              <w:jc w:val="right"/>
              <w:ind w:right="120"/>
              <w:spacing w:after="0" w:line="178" w:lineRule="exact"/>
              <w:rPr>
                <w:sz w:val="20"/>
                <w:szCs w:val="20"/>
                <w:color w:val="auto"/>
              </w:rPr>
            </w:pPr>
            <w:r>
              <w:rPr>
                <w:rFonts w:ascii="Arial" w:cs="Arial" w:eastAsia="Arial" w:hAnsi="Arial"/>
                <w:sz w:val="16"/>
                <w:szCs w:val="16"/>
                <w:color w:val="auto"/>
              </w:rPr>
              <w:t>8.7%</w:t>
            </w:r>
          </w:p>
        </w:tc>
        <w:tc>
          <w:tcPr>
            <w:tcW w:w="820" w:type="dxa"/>
            <w:vAlign w:val="bottom"/>
            <w:gridSpan w:val="2"/>
          </w:tcPr>
          <w:p>
            <w:pPr>
              <w:jc w:val="right"/>
              <w:ind w:right="140"/>
              <w:spacing w:after="0" w:line="178" w:lineRule="exact"/>
              <w:rPr>
                <w:sz w:val="20"/>
                <w:szCs w:val="20"/>
                <w:color w:val="auto"/>
              </w:rPr>
            </w:pPr>
            <w:r>
              <w:rPr>
                <w:rFonts w:ascii="Arial" w:cs="Arial" w:eastAsia="Arial" w:hAnsi="Arial"/>
                <w:sz w:val="16"/>
                <w:szCs w:val="16"/>
                <w:color w:val="auto"/>
              </w:rPr>
              <w:t>15.2%</w:t>
            </w:r>
          </w:p>
        </w:tc>
        <w:tc>
          <w:tcPr>
            <w:tcW w:w="80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17.4%</w:t>
            </w:r>
          </w:p>
        </w:tc>
      </w:tr>
      <w:tr>
        <w:trPr>
          <w:trHeight w:val="177"/>
        </w:trPr>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Percentage of Loans Fully Automated</w:t>
            </w:r>
          </w:p>
        </w:tc>
        <w:tc>
          <w:tcPr>
            <w:tcW w:w="8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59%</w:t>
            </w:r>
          </w:p>
        </w:tc>
        <w:tc>
          <w:tcPr>
            <w:tcW w:w="6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64%</w:t>
            </w:r>
          </w:p>
        </w:tc>
        <w:tc>
          <w:tcPr>
            <w:tcW w:w="940" w:type="dxa"/>
            <w:vAlign w:val="bottom"/>
            <w:gridSpan w:val="3"/>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67%</w:t>
            </w:r>
          </w:p>
        </w:tc>
        <w:tc>
          <w:tcPr>
            <w:tcW w:w="80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69%</w:t>
            </w:r>
          </w:p>
        </w:tc>
        <w:tc>
          <w:tcPr>
            <w:tcW w:w="8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70%</w:t>
            </w:r>
          </w:p>
        </w:tc>
        <w:tc>
          <w:tcPr>
            <w:tcW w:w="80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58%</w:t>
            </w:r>
          </w:p>
        </w:tc>
        <w:tc>
          <w:tcPr>
            <w:tcW w:w="820" w:type="dxa"/>
            <w:vAlign w:val="bottom"/>
            <w:gridSpan w:val="2"/>
            <w:shd w:val="clear" w:color="auto" w:fill="CCEEFF"/>
          </w:tcPr>
          <w:p>
            <w:pPr>
              <w:jc w:val="right"/>
              <w:ind w:right="140"/>
              <w:spacing w:after="0" w:line="178" w:lineRule="exact"/>
              <w:rPr>
                <w:sz w:val="20"/>
                <w:szCs w:val="20"/>
                <w:color w:val="auto"/>
              </w:rPr>
            </w:pPr>
            <w:r>
              <w:rPr>
                <w:rFonts w:ascii="Arial" w:cs="Arial" w:eastAsia="Arial" w:hAnsi="Arial"/>
                <w:sz w:val="16"/>
                <w:szCs w:val="16"/>
                <w:color w:val="auto"/>
              </w:rPr>
              <w:t>69%</w:t>
            </w:r>
          </w:p>
        </w:tc>
        <w:tc>
          <w:tcPr>
            <w:tcW w:w="8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71%</w:t>
            </w:r>
          </w:p>
        </w:tc>
      </w:tr>
      <w:tr>
        <w:trPr>
          <w:trHeight w:val="318"/>
        </w:trPr>
        <w:tc>
          <w:tcPr>
            <w:tcW w:w="3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309"/>
              <w:spacing w:after="0"/>
              <w:rPr>
                <w:sz w:val="20"/>
                <w:szCs w:val="20"/>
                <w:color w:val="auto"/>
              </w:rPr>
            </w:pPr>
            <w:r>
              <w:rPr>
                <w:rFonts w:ascii="Arial" w:cs="Arial" w:eastAsia="Arial" w:hAnsi="Arial"/>
                <w:sz w:val="16"/>
                <w:szCs w:val="16"/>
                <w:color w:val="auto"/>
                <w:w w:val="97"/>
              </w:rPr>
              <w:t>105</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440"/>
          </w:cols>
          <w:pgMar w:left="320" w:top="419" w:right="11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The following table provides the non-GAAP financial measures we use to evaluate our business for each of the last eight quarters: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44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(in thousands except share and</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3"/>
                <w:szCs w:val="13"/>
                <w:b w:val="1"/>
                <w:bCs w:val="1"/>
                <w:color w:val="auto"/>
                <w:w w:val="99"/>
              </w:rPr>
              <w:t>Three Months Ended</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4"/>
              </w:rPr>
              <w:t>Mar. 31,</w:t>
            </w:r>
          </w:p>
        </w:tc>
        <w:tc>
          <w:tcPr>
            <w:tcW w:w="280" w:type="dxa"/>
            <w:vAlign w:val="bottom"/>
          </w:tcPr>
          <w:p>
            <w:pPr>
              <w:spacing w:after="0"/>
              <w:rPr>
                <w:sz w:val="10"/>
                <w:szCs w:val="10"/>
                <w:color w:val="auto"/>
              </w:rPr>
            </w:pPr>
          </w:p>
        </w:tc>
        <w:tc>
          <w:tcPr>
            <w:tcW w:w="580" w:type="dxa"/>
            <w:vAlign w:val="bottom"/>
            <w:gridSpan w:val="6"/>
          </w:tcPr>
          <w:p>
            <w:pPr>
              <w:jc w:val="right"/>
              <w:ind w:right="100"/>
              <w:spacing w:after="0" w:line="122" w:lineRule="exact"/>
              <w:rPr>
                <w:sz w:val="20"/>
                <w:szCs w:val="20"/>
                <w:color w:val="auto"/>
              </w:rPr>
            </w:pPr>
            <w:r>
              <w:rPr>
                <w:rFonts w:ascii="Arial" w:cs="Arial" w:eastAsia="Arial" w:hAnsi="Arial"/>
                <w:sz w:val="13"/>
                <w:szCs w:val="13"/>
                <w:b w:val="1"/>
                <w:bCs w:val="1"/>
                <w:color w:val="auto"/>
                <w:w w:val="94"/>
              </w:rPr>
              <w:t>Jun. 30,</w:t>
            </w:r>
          </w:p>
        </w:tc>
        <w:tc>
          <w:tcPr>
            <w:tcW w:w="280" w:type="dxa"/>
            <w:vAlign w:val="bottom"/>
          </w:tcPr>
          <w:p>
            <w:pPr>
              <w:spacing w:after="0"/>
              <w:rPr>
                <w:sz w:val="10"/>
                <w:szCs w:val="10"/>
                <w:color w:val="auto"/>
              </w:rPr>
            </w:pPr>
          </w:p>
        </w:tc>
        <w:tc>
          <w:tcPr>
            <w:tcW w:w="880" w:type="dxa"/>
            <w:vAlign w:val="bottom"/>
            <w:gridSpan w:val="5"/>
          </w:tcPr>
          <w:p>
            <w:pPr>
              <w:jc w:val="right"/>
              <w:ind w:right="360"/>
              <w:spacing w:after="0" w:line="122" w:lineRule="exact"/>
              <w:rPr>
                <w:sz w:val="20"/>
                <w:szCs w:val="20"/>
                <w:color w:val="auto"/>
              </w:rPr>
            </w:pPr>
            <w:r>
              <w:rPr>
                <w:rFonts w:ascii="Arial" w:cs="Arial" w:eastAsia="Arial" w:hAnsi="Arial"/>
                <w:sz w:val="13"/>
                <w:szCs w:val="13"/>
                <w:b w:val="1"/>
                <w:bCs w:val="1"/>
                <w:color w:val="auto"/>
              </w:rPr>
              <w:t>Sep. 30,</w:t>
            </w:r>
          </w:p>
        </w:tc>
        <w:tc>
          <w:tcPr>
            <w:tcW w:w="860" w:type="dxa"/>
            <w:vAlign w:val="bottom"/>
            <w:gridSpan w:val="5"/>
          </w:tcPr>
          <w:p>
            <w:pPr>
              <w:jc w:val="right"/>
              <w:ind w:right="340"/>
              <w:spacing w:after="0" w:line="122" w:lineRule="exact"/>
              <w:rPr>
                <w:sz w:val="20"/>
                <w:szCs w:val="20"/>
                <w:color w:val="auto"/>
              </w:rPr>
            </w:pPr>
            <w:r>
              <w:rPr>
                <w:rFonts w:ascii="Arial" w:cs="Arial" w:eastAsia="Arial" w:hAnsi="Arial"/>
                <w:sz w:val="13"/>
                <w:szCs w:val="13"/>
                <w:b w:val="1"/>
                <w:bCs w:val="1"/>
                <w:color w:val="auto"/>
              </w:rPr>
              <w:t>Dec. 31,</w:t>
            </w:r>
          </w:p>
        </w:tc>
        <w:tc>
          <w:tcPr>
            <w:tcW w:w="60" w:type="dxa"/>
            <w:vAlign w:val="bottom"/>
          </w:tcPr>
          <w:p>
            <w:pPr>
              <w:spacing w:after="0"/>
              <w:rPr>
                <w:sz w:val="10"/>
                <w:szCs w:val="10"/>
                <w:color w:val="auto"/>
              </w:rPr>
            </w:pPr>
          </w:p>
        </w:tc>
        <w:tc>
          <w:tcPr>
            <w:tcW w:w="840" w:type="dxa"/>
            <w:vAlign w:val="bottom"/>
            <w:gridSpan w:val="4"/>
          </w:tcPr>
          <w:p>
            <w:pPr>
              <w:jc w:val="right"/>
              <w:ind w:right="360"/>
              <w:spacing w:after="0" w:line="122" w:lineRule="exact"/>
              <w:rPr>
                <w:sz w:val="20"/>
                <w:szCs w:val="20"/>
                <w:color w:val="auto"/>
              </w:rPr>
            </w:pPr>
            <w:r>
              <w:rPr>
                <w:rFonts w:ascii="Arial" w:cs="Arial" w:eastAsia="Arial" w:hAnsi="Arial"/>
                <w:sz w:val="13"/>
                <w:szCs w:val="13"/>
                <w:b w:val="1"/>
                <w:bCs w:val="1"/>
                <w:color w:val="auto"/>
                <w:w w:val="94"/>
              </w:rPr>
              <w:t>Mar. 31,</w:t>
            </w:r>
          </w:p>
        </w:tc>
        <w:tc>
          <w:tcPr>
            <w:tcW w:w="20" w:type="dxa"/>
            <w:vAlign w:val="bottom"/>
          </w:tcPr>
          <w:p>
            <w:pPr>
              <w:spacing w:after="0"/>
              <w:rPr>
                <w:sz w:val="10"/>
                <w:szCs w:val="10"/>
                <w:color w:val="auto"/>
              </w:rPr>
            </w:pPr>
          </w:p>
        </w:tc>
        <w:tc>
          <w:tcPr>
            <w:tcW w:w="860" w:type="dxa"/>
            <w:vAlign w:val="bottom"/>
            <w:gridSpan w:val="6"/>
          </w:tcPr>
          <w:p>
            <w:pPr>
              <w:jc w:val="right"/>
              <w:ind w:right="360"/>
              <w:spacing w:after="0" w:line="122" w:lineRule="exact"/>
              <w:rPr>
                <w:sz w:val="20"/>
                <w:szCs w:val="20"/>
                <w:color w:val="auto"/>
              </w:rPr>
            </w:pPr>
            <w:r>
              <w:rPr>
                <w:rFonts w:ascii="Arial" w:cs="Arial" w:eastAsia="Arial" w:hAnsi="Arial"/>
                <w:sz w:val="13"/>
                <w:szCs w:val="13"/>
                <w:b w:val="1"/>
                <w:bCs w:val="1"/>
                <w:color w:val="auto"/>
                <w:w w:val="99"/>
              </w:rPr>
              <w:t>Jun. 30,</w:t>
            </w:r>
          </w:p>
        </w:tc>
        <w:tc>
          <w:tcPr>
            <w:tcW w:w="40" w:type="dxa"/>
            <w:vAlign w:val="bottom"/>
          </w:tcPr>
          <w:p>
            <w:pPr>
              <w:spacing w:after="0"/>
              <w:rPr>
                <w:sz w:val="10"/>
                <w:szCs w:val="10"/>
                <w:color w:val="auto"/>
              </w:rPr>
            </w:pPr>
          </w:p>
        </w:tc>
        <w:tc>
          <w:tcPr>
            <w:tcW w:w="820" w:type="dxa"/>
            <w:vAlign w:val="bottom"/>
            <w:gridSpan w:val="4"/>
          </w:tcPr>
          <w:p>
            <w:pPr>
              <w:jc w:val="right"/>
              <w:ind w:right="300"/>
              <w:spacing w:after="0" w:line="122" w:lineRule="exact"/>
              <w:rPr>
                <w:sz w:val="20"/>
                <w:szCs w:val="20"/>
                <w:color w:val="auto"/>
              </w:rPr>
            </w:pPr>
            <w:r>
              <w:rPr>
                <w:rFonts w:ascii="Arial" w:cs="Arial" w:eastAsia="Arial" w:hAnsi="Arial"/>
                <w:sz w:val="13"/>
                <w:szCs w:val="13"/>
                <w:b w:val="1"/>
                <w:bCs w:val="1"/>
                <w:color w:val="auto"/>
              </w:rPr>
              <w:t>Sep.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7"/>
              </w:rPr>
              <w:t>Dec.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440" w:type="dxa"/>
            <w:vAlign w:val="bottom"/>
            <w:gridSpan w:val="2"/>
          </w:tcPr>
          <w:p>
            <w:pPr>
              <w:spacing w:after="0"/>
              <w:rPr>
                <w:sz w:val="20"/>
                <w:szCs w:val="20"/>
                <w:color w:val="auto"/>
              </w:rPr>
            </w:pPr>
            <w:r>
              <w:rPr>
                <w:rFonts w:ascii="Arial" w:cs="Arial" w:eastAsia="Arial" w:hAnsi="Arial"/>
                <w:sz w:val="13"/>
                <w:szCs w:val="13"/>
                <w:i w:val="1"/>
                <w:iCs w:val="1"/>
                <w:color w:val="auto"/>
              </w:rPr>
              <w:t>per share amounts)</w:t>
            </w:r>
          </w:p>
        </w:tc>
        <w:tc>
          <w:tcPr>
            <w:tcW w:w="780" w:type="dxa"/>
            <w:vAlign w:val="bottom"/>
            <w:gridSpan w:val="4"/>
          </w:tcPr>
          <w:p>
            <w:pPr>
              <w:jc w:val="right"/>
              <w:ind w:right="44"/>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gridSpan w:val="4"/>
          </w:tcPr>
          <w:p>
            <w:pPr>
              <w:jc w:val="right"/>
              <w:ind w:right="26"/>
              <w:spacing w:after="0"/>
              <w:rPr>
                <w:sz w:val="20"/>
                <w:szCs w:val="20"/>
                <w:color w:val="auto"/>
              </w:rPr>
            </w:pPr>
            <w:r>
              <w:rPr>
                <w:rFonts w:ascii="Arial" w:cs="Arial" w:eastAsia="Arial" w:hAnsi="Arial"/>
                <w:sz w:val="13"/>
                <w:szCs w:val="13"/>
                <w:b w:val="1"/>
                <w:bCs w:val="1"/>
                <w:color w:val="auto"/>
                <w:w w:val="82"/>
              </w:rPr>
              <w:t>2019</w:t>
            </w:r>
          </w:p>
        </w:tc>
        <w:tc>
          <w:tcPr>
            <w:tcW w:w="80" w:type="dxa"/>
            <w:vAlign w:val="bottom"/>
          </w:tcPr>
          <w:p>
            <w:pPr>
              <w:spacing w:after="0"/>
              <w:rPr>
                <w:sz w:val="13"/>
                <w:szCs w:val="13"/>
                <w:color w:val="auto"/>
              </w:rPr>
            </w:pPr>
          </w:p>
        </w:tc>
        <w:tc>
          <w:tcPr>
            <w:tcW w:w="860" w:type="dxa"/>
            <w:vAlign w:val="bottom"/>
            <w:gridSpan w:val="5"/>
          </w:tcPr>
          <w:p>
            <w:pPr>
              <w:jc w:val="right"/>
              <w:ind w:right="89"/>
              <w:spacing w:after="0"/>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right"/>
              <w:ind w:right="63"/>
              <w:spacing w:after="0"/>
              <w:rPr>
                <w:sz w:val="20"/>
                <w:szCs w:val="20"/>
                <w:color w:val="auto"/>
              </w:rPr>
            </w:pPr>
            <w:r>
              <w:rPr>
                <w:rFonts w:ascii="Arial" w:cs="Arial" w:eastAsia="Arial" w:hAnsi="Arial"/>
                <w:sz w:val="13"/>
                <w:szCs w:val="13"/>
                <w:b w:val="1"/>
                <w:bCs w:val="1"/>
                <w:color w:val="auto"/>
                <w:w w:val="96"/>
              </w:rPr>
              <w:t>2020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6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Contribution Profit</w:t>
            </w:r>
          </w:p>
        </w:tc>
        <w:tc>
          <w:tcPr>
            <w:tcW w:w="2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6"/>
                <w:szCs w:val="16"/>
                <w:color w:val="auto"/>
                <w:w w:val="97"/>
              </w:rPr>
              <w:t>$ 4,556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84"/>
              </w:rPr>
              <w:t>5,479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$15,525</w:t>
            </w:r>
          </w:p>
        </w:tc>
        <w:tc>
          <w:tcPr>
            <w:tcW w:w="3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$23,380</w:t>
            </w:r>
          </w:p>
        </w:tc>
        <w:tc>
          <w:tcPr>
            <w:tcW w:w="2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gridSpan w:val="3"/>
            <w:shd w:val="clear" w:color="auto" w:fill="CCEEFF"/>
          </w:tcPr>
          <w:p>
            <w:pPr>
              <w:spacing w:after="0" w:line="169" w:lineRule="exact"/>
              <w:rPr>
                <w:sz w:val="20"/>
                <w:szCs w:val="20"/>
                <w:color w:val="auto"/>
              </w:rPr>
            </w:pPr>
            <w:r>
              <w:rPr>
                <w:rFonts w:ascii="Arial" w:cs="Arial" w:eastAsia="Arial" w:hAnsi="Arial"/>
                <w:sz w:val="16"/>
                <w:szCs w:val="16"/>
                <w:color w:val="auto"/>
                <w:w w:val="89"/>
              </w:rPr>
              <w:t>$25,660</w:t>
            </w:r>
          </w:p>
        </w:tc>
        <w:tc>
          <w:tcPr>
            <w:tcW w:w="3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97"/>
              </w:rPr>
              <w:t>$ 4,256</w:t>
            </w: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$33,780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41,390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tcPr>
          <w:p>
            <w:pPr>
              <w:ind w:left="300"/>
              <w:spacing w:after="0" w:line="178" w:lineRule="exact"/>
              <w:rPr>
                <w:sz w:val="20"/>
                <w:szCs w:val="20"/>
                <w:color w:val="auto"/>
              </w:rPr>
            </w:pPr>
            <w:r>
              <w:rPr>
                <w:rFonts w:ascii="Arial" w:cs="Arial" w:eastAsia="Arial" w:hAnsi="Arial"/>
                <w:sz w:val="16"/>
                <w:szCs w:val="16"/>
                <w:i w:val="1"/>
                <w:iCs w:val="1"/>
                <w:color w:val="auto"/>
              </w:rPr>
              <w:t>Contribution Profit Margin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4"/>
          </w:tcPr>
          <w:p>
            <w:pPr>
              <w:jc w:val="right"/>
              <w:ind w:right="141"/>
              <w:spacing w:after="0" w:line="178" w:lineRule="exact"/>
              <w:rPr>
                <w:sz w:val="20"/>
                <w:szCs w:val="20"/>
                <w:color w:val="auto"/>
              </w:rPr>
            </w:pPr>
            <w:r>
              <w:rPr>
                <w:rFonts w:ascii="Arial" w:cs="Arial" w:eastAsia="Arial" w:hAnsi="Arial"/>
                <w:sz w:val="16"/>
                <w:szCs w:val="16"/>
                <w:color w:val="auto"/>
              </w:rPr>
              <w:t>20%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jc w:val="right"/>
              <w:ind w:right="143"/>
              <w:spacing w:after="0" w:line="178" w:lineRule="exact"/>
              <w:rPr>
                <w:sz w:val="20"/>
                <w:szCs w:val="20"/>
                <w:color w:val="auto"/>
              </w:rPr>
            </w:pPr>
            <w:r>
              <w:rPr>
                <w:rFonts w:ascii="Arial" w:cs="Arial" w:eastAsia="Arial" w:hAnsi="Arial"/>
                <w:sz w:val="16"/>
                <w:szCs w:val="16"/>
                <w:color w:val="auto"/>
              </w:rPr>
              <w:t>19%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32%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140"/>
              <w:spacing w:after="0" w:line="178" w:lineRule="exact"/>
              <w:rPr>
                <w:sz w:val="20"/>
                <w:szCs w:val="20"/>
                <w:color w:val="auto"/>
              </w:rPr>
            </w:pPr>
            <w:r>
              <w:rPr>
                <w:rFonts w:ascii="Arial" w:cs="Arial" w:eastAsia="Arial" w:hAnsi="Arial"/>
                <w:sz w:val="16"/>
                <w:szCs w:val="16"/>
                <w:color w:val="auto"/>
              </w:rPr>
              <w:t>38%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38%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40"/>
              <w:spacing w:after="0" w:line="178"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Adjusted EBITDA</w:t>
            </w:r>
          </w:p>
        </w:tc>
        <w:tc>
          <w:tcPr>
            <w:tcW w:w="860" w:type="dxa"/>
            <w:vAlign w:val="bottom"/>
            <w:gridSpan w:val="5"/>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$(3,709)</w:t>
            </w:r>
          </w:p>
        </w:tc>
        <w:tc>
          <w:tcPr>
            <w:tcW w:w="42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440" w:type="dxa"/>
            <w:vAlign w:val="bottom"/>
            <w:gridSpan w:val="5"/>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(734)</w:t>
            </w:r>
          </w:p>
        </w:tc>
        <w:tc>
          <w:tcPr>
            <w:tcW w:w="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w w:val="94"/>
              </w:rPr>
              <w:t>3,080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80"/>
              <w:spacing w:after="0" w:line="178" w:lineRule="exact"/>
              <w:rPr>
                <w:sz w:val="20"/>
                <w:szCs w:val="20"/>
                <w:color w:val="auto"/>
              </w:rPr>
            </w:pPr>
            <w:r>
              <w:rPr>
                <w:rFonts w:ascii="Arial" w:cs="Arial" w:eastAsia="Arial" w:hAnsi="Arial"/>
                <w:sz w:val="16"/>
                <w:szCs w:val="16"/>
                <w:color w:val="auto"/>
              </w:rPr>
              <w:t>6,958</w:t>
            </w:r>
          </w:p>
        </w:tc>
        <w:tc>
          <w:tcPr>
            <w:tcW w:w="1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3,671</w:t>
            </w:r>
          </w:p>
        </w:tc>
        <w:tc>
          <w:tcPr>
            <w:tcW w:w="780" w:type="dxa"/>
            <w:vAlign w:val="bottom"/>
            <w:gridSpan w:val="6"/>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$(3,121)</w:t>
            </w:r>
          </w:p>
        </w:tc>
        <w:tc>
          <w:tcPr>
            <w:tcW w:w="10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$15,456</w:t>
            </w:r>
          </w:p>
        </w:tc>
        <w:tc>
          <w:tcPr>
            <w:tcW w:w="1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w w:val="93"/>
              </w:rPr>
              <w:t>15,503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tcPr>
          <w:p>
            <w:pPr>
              <w:ind w:left="300"/>
              <w:spacing w:after="0" w:line="178" w:lineRule="exact"/>
              <w:rPr>
                <w:sz w:val="20"/>
                <w:szCs w:val="20"/>
                <w:color w:val="auto"/>
              </w:rPr>
            </w:pPr>
            <w:r>
              <w:rPr>
                <w:rFonts w:ascii="Arial" w:cs="Arial" w:eastAsia="Arial" w:hAnsi="Arial"/>
                <w:sz w:val="16"/>
                <w:szCs w:val="16"/>
                <w:i w:val="1"/>
                <w:iCs w:val="1"/>
                <w:color w:val="auto"/>
              </w:rPr>
              <w:t>Adjusted EBITDA Margin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4"/>
          </w:tcPr>
          <w:p>
            <w:pPr>
              <w:jc w:val="right"/>
              <w:ind w:right="81"/>
              <w:spacing w:after="0" w:line="178" w:lineRule="exact"/>
              <w:rPr>
                <w:sz w:val="20"/>
                <w:szCs w:val="20"/>
                <w:color w:val="auto"/>
              </w:rPr>
            </w:pPr>
            <w:r>
              <w:rPr>
                <w:rFonts w:ascii="Arial" w:cs="Arial" w:eastAsia="Arial" w:hAnsi="Arial"/>
                <w:sz w:val="16"/>
                <w:szCs w:val="16"/>
                <w:color w:val="auto"/>
              </w:rPr>
              <w:t>(19)%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4"/>
          </w:tcPr>
          <w:p>
            <w:pPr>
              <w:jc w:val="right"/>
              <w:ind w:right="83"/>
              <w:spacing w:after="0" w:line="178"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right"/>
              <w:ind w:right="140"/>
              <w:spacing w:after="0" w:line="178" w:lineRule="exact"/>
              <w:rPr>
                <w:sz w:val="20"/>
                <w:szCs w:val="20"/>
                <w:color w:val="auto"/>
              </w:rPr>
            </w:pPr>
            <w:r>
              <w:rPr>
                <w:rFonts w:ascii="Arial" w:cs="Arial" w:eastAsia="Arial" w:hAnsi="Arial"/>
                <w:sz w:val="16"/>
                <w:szCs w:val="16"/>
                <w:color w:val="auto"/>
              </w:rPr>
              <w:t>11%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(18)%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40"/>
              <w:spacing w:after="0" w:line="17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Adjusted Net Income (Loss)</w:t>
            </w:r>
          </w:p>
        </w:tc>
        <w:tc>
          <w:tcPr>
            <w:tcW w:w="860" w:type="dxa"/>
            <w:vAlign w:val="bottom"/>
            <w:gridSpan w:val="5"/>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$(3,888)</w:t>
            </w:r>
          </w:p>
        </w:tc>
        <w:tc>
          <w:tcPr>
            <w:tcW w:w="42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440" w:type="dxa"/>
            <w:vAlign w:val="bottom"/>
            <w:gridSpan w:val="5"/>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(950)</w:t>
            </w:r>
          </w:p>
        </w:tc>
        <w:tc>
          <w:tcPr>
            <w:tcW w:w="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525</w:t>
            </w:r>
          </w:p>
        </w:tc>
        <w:tc>
          <w:tcPr>
            <w:tcW w:w="3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ind w:right="280"/>
              <w:spacing w:after="0" w:line="178" w:lineRule="exact"/>
              <w:rPr>
                <w:sz w:val="20"/>
                <w:szCs w:val="20"/>
                <w:color w:val="auto"/>
              </w:rPr>
            </w:pPr>
            <w:r>
              <w:rPr>
                <w:rFonts w:ascii="Arial" w:cs="Arial" w:eastAsia="Arial" w:hAnsi="Arial"/>
                <w:sz w:val="16"/>
                <w:szCs w:val="16"/>
                <w:color w:val="auto"/>
              </w:rPr>
              <w:t>7,653</w:t>
            </w:r>
          </w:p>
        </w:tc>
        <w:tc>
          <w:tcPr>
            <w:tcW w:w="1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3,445</w:t>
            </w:r>
          </w:p>
        </w:tc>
        <w:tc>
          <w:tcPr>
            <w:tcW w:w="780" w:type="dxa"/>
            <w:vAlign w:val="bottom"/>
            <w:gridSpan w:val="6"/>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$(3,674)</w:t>
            </w:r>
          </w:p>
        </w:tc>
        <w:tc>
          <w:tcPr>
            <w:tcW w:w="10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$12,287</w:t>
            </w:r>
          </w:p>
        </w:tc>
        <w:tc>
          <w:tcPr>
            <w:tcW w:w="1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5,438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tcPr>
          <w:p>
            <w:pPr>
              <w:spacing w:after="0" w:line="177" w:lineRule="exact"/>
              <w:rPr>
                <w:sz w:val="20"/>
                <w:szCs w:val="20"/>
                <w:color w:val="auto"/>
              </w:rPr>
            </w:pPr>
            <w:r>
              <w:rPr>
                <w:rFonts w:ascii="Arial" w:cs="Arial" w:eastAsia="Arial" w:hAnsi="Arial"/>
                <w:sz w:val="16"/>
                <w:szCs w:val="16"/>
                <w:color w:val="auto"/>
              </w:rPr>
              <w:t>Adjusted Net Income (Loss) per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20" w:type="dxa"/>
            <w:vAlign w:val="bottom"/>
          </w:tcPr>
          <w:p>
            <w:pPr>
              <w:ind w:left="140"/>
              <w:spacing w:after="0" w:line="178" w:lineRule="exact"/>
              <w:rPr>
                <w:sz w:val="20"/>
                <w:szCs w:val="20"/>
                <w:color w:val="auto"/>
              </w:rPr>
            </w:pPr>
            <w:r>
              <w:rPr>
                <w:rFonts w:ascii="Arial" w:cs="Arial" w:eastAsia="Arial" w:hAnsi="Arial"/>
                <w:sz w:val="16"/>
                <w:szCs w:val="16"/>
                <w:color w:val="auto"/>
              </w:rPr>
              <w:t>Share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rPr>
              <w:t>Basic</w:t>
            </w:r>
          </w:p>
        </w:tc>
        <w:tc>
          <w:tcPr>
            <w:tcW w:w="40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(0.27)</w:t>
            </w:r>
          </w:p>
        </w:tc>
        <w:tc>
          <w:tcPr>
            <w:tcW w:w="42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440" w:type="dxa"/>
            <w:vAlign w:val="bottom"/>
            <w:gridSpan w:val="5"/>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w w:val="95"/>
              </w:rPr>
              <w:t>(0.07)</w:t>
            </w:r>
          </w:p>
        </w:tc>
        <w:tc>
          <w:tcPr>
            <w:tcW w:w="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0.04</w:t>
            </w:r>
          </w:p>
        </w:tc>
        <w:tc>
          <w:tcPr>
            <w:tcW w:w="3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0.53</w:t>
            </w:r>
          </w:p>
        </w:tc>
        <w:tc>
          <w:tcPr>
            <w:tcW w:w="2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300"/>
              <w:spacing w:after="0" w:line="178" w:lineRule="exact"/>
              <w:rPr>
                <w:sz w:val="20"/>
                <w:szCs w:val="20"/>
                <w:color w:val="auto"/>
              </w:rPr>
            </w:pPr>
            <w:r>
              <w:rPr>
                <w:rFonts w:ascii="Arial" w:cs="Arial" w:eastAsia="Arial" w:hAnsi="Arial"/>
                <w:sz w:val="16"/>
                <w:szCs w:val="16"/>
                <w:color w:val="auto"/>
              </w:rPr>
              <w:t>0.24</w:t>
            </w:r>
          </w:p>
        </w:tc>
        <w:tc>
          <w:tcPr>
            <w:tcW w:w="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660" w:type="dxa"/>
            <w:vAlign w:val="bottom"/>
            <w:gridSpan w:val="4"/>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15"/>
                <w:szCs w:val="15"/>
                <w:color w:val="auto"/>
              </w:rPr>
            </w:pPr>
          </w:p>
        </w:tc>
        <w:tc>
          <w:tcPr>
            <w:tcW w:w="16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0.84</w:t>
            </w:r>
          </w:p>
        </w:tc>
        <w:tc>
          <w:tcPr>
            <w:tcW w:w="1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0.21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ind w:left="300"/>
              <w:spacing w:after="0"/>
              <w:rPr>
                <w:sz w:val="20"/>
                <w:szCs w:val="20"/>
                <w:color w:val="auto"/>
              </w:rPr>
            </w:pPr>
            <w:r>
              <w:rPr>
                <w:rFonts w:ascii="Arial" w:cs="Arial" w:eastAsia="Arial" w:hAnsi="Arial"/>
                <w:sz w:val="16"/>
                <w:szCs w:val="16"/>
                <w:color w:val="auto"/>
              </w:rPr>
              <w:t>Diluted</w:t>
            </w:r>
          </w:p>
        </w:tc>
        <w:tc>
          <w:tcPr>
            <w:tcW w:w="4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auto"/>
              </w:rPr>
              <w:t>(0.27)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5"/>
          </w:tcPr>
          <w:p>
            <w:pPr>
              <w:jc w:val="right"/>
              <w:ind w:right="20"/>
              <w:spacing w:after="0"/>
              <w:rPr>
                <w:sz w:val="20"/>
                <w:szCs w:val="20"/>
                <w:color w:val="auto"/>
              </w:rPr>
            </w:pPr>
            <w:r>
              <w:rPr>
                <w:rFonts w:ascii="Arial" w:cs="Arial" w:eastAsia="Arial" w:hAnsi="Arial"/>
                <w:sz w:val="16"/>
                <w:szCs w:val="16"/>
                <w:color w:val="auto"/>
                <w:w w:val="95"/>
              </w:rPr>
              <w:t>(0.07)</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3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0.10</w:t>
            </w:r>
          </w:p>
        </w:tc>
        <w:tc>
          <w:tcPr>
            <w:tcW w:w="280" w:type="dxa"/>
            <w:vAlign w:val="bottom"/>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300"/>
              <w:spacing w:after="0"/>
              <w:rPr>
                <w:sz w:val="20"/>
                <w:szCs w:val="20"/>
                <w:color w:val="auto"/>
              </w:rPr>
            </w:pPr>
            <w:r>
              <w:rPr>
                <w:rFonts w:ascii="Arial" w:cs="Arial" w:eastAsia="Arial" w:hAnsi="Arial"/>
                <w:sz w:val="16"/>
                <w:szCs w:val="16"/>
                <w:color w:val="auto"/>
              </w:rPr>
              <w:t>0.05</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4"/>
          </w:tcPr>
          <w:p>
            <w:pPr>
              <w:jc w:val="right"/>
              <w:ind w:right="16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360" w:type="dxa"/>
            <w:vAlign w:val="bottom"/>
            <w:gridSpan w:val="33"/>
          </w:tcPr>
          <w:p>
            <w:pPr>
              <w:ind w:left="460"/>
              <w:spacing w:after="0"/>
              <w:rPr>
                <w:sz w:val="20"/>
                <w:szCs w:val="20"/>
                <w:color w:val="auto"/>
              </w:rPr>
            </w:pPr>
            <w:r>
              <w:rPr>
                <w:rFonts w:ascii="Arial" w:cs="Arial" w:eastAsia="Arial" w:hAnsi="Arial"/>
                <w:sz w:val="16"/>
                <w:szCs w:val="16"/>
                <w:color w:val="auto"/>
                <w:w w:val="98"/>
              </w:rPr>
              <w:t>The following table provides the calculation of Contribution Profit for each of the last eight quarters: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ind w:left="100"/>
              <w:spacing w:after="0"/>
              <w:rPr>
                <w:sz w:val="20"/>
                <w:szCs w:val="20"/>
                <w:color w:val="auto"/>
              </w:rPr>
            </w:pPr>
            <w:r>
              <w:rPr>
                <w:rFonts w:ascii="Arial" w:cs="Arial" w:eastAsia="Arial" w:hAnsi="Arial"/>
                <w:sz w:val="13"/>
                <w:szCs w:val="13"/>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4"/>
          </w:tcPr>
          <w:p>
            <w:pPr>
              <w:jc w:val="right"/>
              <w:ind w:right="12"/>
              <w:spacing w:after="0" w:line="122"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5"/>
          </w:tcPr>
          <w:p>
            <w:pPr>
              <w:jc w:val="right"/>
              <w:ind w:right="140"/>
              <w:spacing w:after="0" w:line="122" w:lineRule="exact"/>
              <w:rPr>
                <w:sz w:val="20"/>
                <w:szCs w:val="20"/>
                <w:color w:val="auto"/>
              </w:rPr>
            </w:pPr>
            <w:r>
              <w:rPr>
                <w:rFonts w:ascii="Arial" w:cs="Arial" w:eastAsia="Arial" w:hAnsi="Arial"/>
                <w:sz w:val="13"/>
                <w:szCs w:val="13"/>
                <w:b w:val="1"/>
                <w:bCs w:val="1"/>
                <w:color w:val="auto"/>
              </w:rPr>
              <w:t>Jun. 30,</w:t>
            </w:r>
          </w:p>
        </w:tc>
        <w:tc>
          <w:tcPr>
            <w:tcW w:w="14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Sep. 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ind w:left="80"/>
              <w:spacing w:after="0" w:line="122" w:lineRule="exact"/>
              <w:rPr>
                <w:sz w:val="20"/>
                <w:szCs w:val="20"/>
                <w:color w:val="auto"/>
              </w:rPr>
            </w:pPr>
            <w:r>
              <w:rPr>
                <w:rFonts w:ascii="Arial" w:cs="Arial" w:eastAsia="Arial" w:hAnsi="Arial"/>
                <w:sz w:val="13"/>
                <w:szCs w:val="13"/>
                <w:b w:val="1"/>
                <w:bCs w:val="1"/>
                <w:color w:val="auto"/>
                <w:w w:val="97"/>
              </w:rPr>
              <w:t>Dec.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4"/>
          </w:tcPr>
          <w:p>
            <w:pPr>
              <w:jc w:val="right"/>
              <w:ind w:right="160"/>
              <w:spacing w:after="0" w:line="122" w:lineRule="exact"/>
              <w:rPr>
                <w:sz w:val="20"/>
                <w:szCs w:val="20"/>
                <w:color w:val="auto"/>
              </w:rPr>
            </w:pPr>
            <w:r>
              <w:rPr>
                <w:rFonts w:ascii="Arial" w:cs="Arial" w:eastAsia="Arial" w:hAnsi="Arial"/>
                <w:sz w:val="13"/>
                <w:szCs w:val="13"/>
                <w:b w:val="1"/>
                <w:bCs w:val="1"/>
                <w:color w:val="auto"/>
              </w:rPr>
              <w:t>Jun.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Sep. 30,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3"/>
                <w:szCs w:val="13"/>
                <w:b w:val="1"/>
                <w:bCs w:val="1"/>
                <w:color w:val="auto"/>
                <w:w w:val="93"/>
              </w:rPr>
              <w:t>Dec.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44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Referral fees, net</w:t>
            </w: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right w:val="single" w:sz="8" w:color="CCEEFF"/>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$ 13,042</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4"/>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$ 16,938</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$ 26,137</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right w:val="single" w:sz="8" w:color="CCEEFF"/>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$ 34,555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$ 38,219</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4,597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58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$ 38,012</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640" w:type="dxa"/>
            <w:vAlign w:val="bottom"/>
            <w:tcBorders>
              <w:top w:val="single" w:sz="8" w:color="auto"/>
            </w:tcBorders>
            <w:gridSpan w:val="3"/>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$ 52,597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tcPr>
          <w:p>
            <w:pPr>
              <w:spacing w:after="0" w:line="178" w:lineRule="exact"/>
              <w:rPr>
                <w:sz w:val="20"/>
                <w:szCs w:val="20"/>
                <w:color w:val="auto"/>
              </w:rPr>
            </w:pPr>
            <w:r>
              <w:rPr>
                <w:rFonts w:ascii="Arial" w:cs="Arial" w:eastAsia="Arial" w:hAnsi="Arial"/>
                <w:sz w:val="16"/>
                <w:szCs w:val="16"/>
                <w:color w:val="auto"/>
              </w:rPr>
              <w:t>Platform fees,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3"/>
          </w:tcPr>
          <w:p>
            <w:pPr>
              <w:jc w:val="right"/>
              <w:spacing w:after="0" w:line="178" w:lineRule="exact"/>
              <w:rPr>
                <w:sz w:val="20"/>
                <w:szCs w:val="20"/>
                <w:color w:val="auto"/>
              </w:rPr>
            </w:pPr>
            <w:r>
              <w:rPr>
                <w:rFonts w:ascii="Arial" w:cs="Arial" w:eastAsia="Arial" w:hAnsi="Arial"/>
                <w:sz w:val="16"/>
                <w:szCs w:val="16"/>
                <w:color w:val="auto"/>
                <w:w w:val="99"/>
              </w:rPr>
              <w:t>7,267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3"/>
          </w:tcPr>
          <w:p>
            <w:pPr>
              <w:jc w:val="right"/>
              <w:ind w:right="60"/>
              <w:spacing w:after="0" w:line="178" w:lineRule="exact"/>
              <w:rPr>
                <w:sz w:val="20"/>
                <w:szCs w:val="20"/>
                <w:color w:val="auto"/>
              </w:rPr>
            </w:pPr>
            <w:r>
              <w:rPr>
                <w:rFonts w:ascii="Arial" w:cs="Arial" w:eastAsia="Arial" w:hAnsi="Arial"/>
                <w:sz w:val="16"/>
                <w:szCs w:val="16"/>
                <w:color w:val="auto"/>
                <w:w w:val="94"/>
              </w:rPr>
              <w:t>9,532</w:t>
            </w:r>
          </w:p>
        </w:tc>
        <w:tc>
          <w:tcPr>
            <w:tcW w:w="840" w:type="dxa"/>
            <w:vAlign w:val="bottom"/>
            <w:gridSpan w:val="5"/>
          </w:tcPr>
          <w:p>
            <w:pPr>
              <w:jc w:val="right"/>
              <w:spacing w:after="0" w:line="178" w:lineRule="exact"/>
              <w:rPr>
                <w:sz w:val="20"/>
                <w:szCs w:val="20"/>
                <w:color w:val="auto"/>
              </w:rPr>
            </w:pPr>
            <w:r>
              <w:rPr>
                <w:rFonts w:ascii="Arial" w:cs="Arial" w:eastAsia="Arial" w:hAnsi="Arial"/>
                <w:sz w:val="16"/>
                <w:szCs w:val="16"/>
                <w:color w:val="auto"/>
              </w:rPr>
              <w:t>16,133</w:t>
            </w:r>
          </w:p>
        </w:tc>
        <w:tc>
          <w:tcPr>
            <w:tcW w:w="860" w:type="dxa"/>
            <w:vAlign w:val="bottom"/>
            <w:gridSpan w:val="5"/>
          </w:tcPr>
          <w:p>
            <w:pPr>
              <w:jc w:val="right"/>
              <w:ind w:right="9"/>
              <w:spacing w:after="0" w:line="178" w:lineRule="exact"/>
              <w:rPr>
                <w:sz w:val="20"/>
                <w:szCs w:val="20"/>
                <w:color w:val="auto"/>
              </w:rPr>
            </w:pPr>
            <w:r>
              <w:rPr>
                <w:rFonts w:ascii="Arial" w:cs="Arial" w:eastAsia="Arial" w:hAnsi="Arial"/>
                <w:sz w:val="16"/>
                <w:szCs w:val="16"/>
                <w:color w:val="auto"/>
              </w:rPr>
              <w:t>20,451</w:t>
            </w:r>
          </w:p>
        </w:tc>
        <w:tc>
          <w:tcPr>
            <w:tcW w:w="76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22,011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3,015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20"/>
              <w:spacing w:after="0" w:line="178" w:lineRule="exact"/>
              <w:rPr>
                <w:sz w:val="20"/>
                <w:szCs w:val="20"/>
                <w:color w:val="auto"/>
              </w:rPr>
            </w:pPr>
            <w:r>
              <w:rPr>
                <w:rFonts w:ascii="Arial" w:cs="Arial" w:eastAsia="Arial" w:hAnsi="Arial"/>
                <w:sz w:val="16"/>
                <w:szCs w:val="16"/>
                <w:color w:val="auto"/>
              </w:rPr>
              <w:t>17,631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00"/>
              <w:spacing w:after="0" w:line="178" w:lineRule="exact"/>
              <w:rPr>
                <w:sz w:val="20"/>
                <w:szCs w:val="20"/>
                <w:color w:val="auto"/>
              </w:rPr>
            </w:pPr>
            <w:r>
              <w:rPr>
                <w:rFonts w:ascii="Arial" w:cs="Arial" w:eastAsia="Arial" w:hAnsi="Arial"/>
                <w:sz w:val="16"/>
                <w:szCs w:val="16"/>
                <w:color w:val="auto"/>
              </w:rPr>
              <w:t>24,175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Servicing fees, net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right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w w:val="99"/>
              </w:rPr>
              <w:t>1,933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w w:val="94"/>
              </w:rPr>
              <w:t>2,088</w:t>
            </w:r>
          </w:p>
        </w:tc>
        <w:tc>
          <w:tcPr>
            <w:tcW w:w="84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5,629</w:t>
            </w:r>
          </w:p>
        </w:tc>
        <w:tc>
          <w:tcPr>
            <w:tcW w:w="860" w:type="dxa"/>
            <w:vAlign w:val="bottom"/>
            <w:gridSpan w:val="5"/>
            <w:shd w:val="clear" w:color="auto" w:fill="CCEEFF"/>
          </w:tcPr>
          <w:p>
            <w:pPr>
              <w:jc w:val="right"/>
              <w:ind w:right="9"/>
              <w:spacing w:after="0" w:line="178" w:lineRule="exact"/>
              <w:rPr>
                <w:sz w:val="20"/>
                <w:szCs w:val="20"/>
                <w:color w:val="auto"/>
              </w:rPr>
            </w:pPr>
            <w:r>
              <w:rPr>
                <w:rFonts w:ascii="Arial" w:cs="Arial" w:eastAsia="Arial" w:hAnsi="Arial"/>
                <w:sz w:val="16"/>
                <w:szCs w:val="16"/>
                <w:color w:val="auto"/>
              </w:rPr>
              <w:t>6,142</w:t>
            </w:r>
          </w:p>
        </w:tc>
        <w:tc>
          <w:tcPr>
            <w:tcW w:w="7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7,783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5,693</w:t>
            </w: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right"/>
              <w:ind w:right="120"/>
              <w:spacing w:after="0" w:line="178" w:lineRule="exact"/>
              <w:rPr>
                <w:sz w:val="20"/>
                <w:szCs w:val="20"/>
                <w:color w:val="auto"/>
              </w:rPr>
            </w:pPr>
            <w:r>
              <w:rPr>
                <w:rFonts w:ascii="Arial" w:cs="Arial" w:eastAsia="Arial" w:hAnsi="Arial"/>
                <w:sz w:val="16"/>
                <w:szCs w:val="16"/>
                <w:color w:val="auto"/>
              </w:rPr>
              <w:t>7,218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40" w:type="dxa"/>
            <w:vAlign w:val="bottom"/>
            <w:gridSpan w:val="2"/>
          </w:tcPr>
          <w:p>
            <w:pPr>
              <w:spacing w:after="0" w:line="181" w:lineRule="exact"/>
              <w:rPr>
                <w:sz w:val="20"/>
                <w:szCs w:val="20"/>
                <w:color w:val="auto"/>
              </w:rPr>
            </w:pPr>
            <w:r>
              <w:rPr>
                <w:rFonts w:ascii="Arial" w:cs="Arial" w:eastAsia="Arial" w:hAnsi="Arial"/>
                <w:sz w:val="16"/>
                <w:szCs w:val="16"/>
                <w:color w:val="auto"/>
              </w:rPr>
              <w:t>Revenue from fees, net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6"/>
          </w:tcPr>
          <w:p>
            <w:pPr>
              <w:jc w:val="right"/>
              <w:ind w:right="120"/>
              <w:spacing w:after="0" w:line="181" w:lineRule="exact"/>
              <w:rPr>
                <w:sz w:val="20"/>
                <w:szCs w:val="20"/>
                <w:color w:val="auto"/>
              </w:rPr>
            </w:pPr>
            <w:r>
              <w:rPr>
                <w:rFonts w:ascii="Arial" w:cs="Arial" w:eastAsia="Arial" w:hAnsi="Arial"/>
                <w:sz w:val="16"/>
                <w:szCs w:val="16"/>
                <w:color w:val="auto"/>
              </w:rPr>
              <w:t>22,242</w:t>
            </w:r>
          </w:p>
        </w:tc>
        <w:tc>
          <w:tcPr>
            <w:tcW w:w="780" w:type="dxa"/>
            <w:vAlign w:val="bottom"/>
            <w:gridSpan w:val="6"/>
          </w:tcPr>
          <w:p>
            <w:pPr>
              <w:jc w:val="right"/>
              <w:ind w:right="60"/>
              <w:spacing w:after="0" w:line="181" w:lineRule="exact"/>
              <w:rPr>
                <w:sz w:val="20"/>
                <w:szCs w:val="20"/>
                <w:color w:val="auto"/>
              </w:rPr>
            </w:pPr>
            <w:r>
              <w:rPr>
                <w:rFonts w:ascii="Arial" w:cs="Arial" w:eastAsia="Arial" w:hAnsi="Arial"/>
                <w:sz w:val="16"/>
                <w:szCs w:val="16"/>
                <w:color w:val="auto"/>
              </w:rPr>
              <w:t>28,558</w:t>
            </w:r>
          </w:p>
        </w:tc>
        <w:tc>
          <w:tcPr>
            <w:tcW w:w="840" w:type="dxa"/>
            <w:vAlign w:val="bottom"/>
            <w:gridSpan w:val="5"/>
          </w:tcPr>
          <w:p>
            <w:pPr>
              <w:jc w:val="right"/>
              <w:spacing w:after="0" w:line="181" w:lineRule="exact"/>
              <w:rPr>
                <w:sz w:val="20"/>
                <w:szCs w:val="20"/>
                <w:color w:val="auto"/>
              </w:rPr>
            </w:pPr>
            <w:r>
              <w:rPr>
                <w:rFonts w:ascii="Arial" w:cs="Arial" w:eastAsia="Arial" w:hAnsi="Arial"/>
                <w:sz w:val="16"/>
                <w:szCs w:val="16"/>
                <w:color w:val="auto"/>
              </w:rPr>
              <w:t>47,899</w:t>
            </w:r>
          </w:p>
        </w:tc>
        <w:tc>
          <w:tcPr>
            <w:tcW w:w="860" w:type="dxa"/>
            <w:vAlign w:val="bottom"/>
            <w:gridSpan w:val="5"/>
          </w:tcPr>
          <w:p>
            <w:pPr>
              <w:jc w:val="right"/>
              <w:ind w:right="9"/>
              <w:spacing w:after="0" w:line="181" w:lineRule="exact"/>
              <w:rPr>
                <w:sz w:val="20"/>
                <w:szCs w:val="20"/>
                <w:color w:val="auto"/>
              </w:rPr>
            </w:pPr>
            <w:r>
              <w:rPr>
                <w:rFonts w:ascii="Arial" w:cs="Arial" w:eastAsia="Arial" w:hAnsi="Arial"/>
                <w:sz w:val="16"/>
                <w:szCs w:val="16"/>
                <w:color w:val="auto"/>
              </w:rPr>
              <w:t>61,148</w:t>
            </w:r>
          </w:p>
        </w:tc>
        <w:tc>
          <w:tcPr>
            <w:tcW w:w="7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68,013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w w:val="93"/>
              </w:rPr>
              <w:t>13,305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62,861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84,421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Borrower acquisition costs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7"/>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(13,724)</w:t>
            </w:r>
          </w:p>
        </w:tc>
        <w:tc>
          <w:tcPr>
            <w:tcW w:w="780" w:type="dxa"/>
            <w:vAlign w:val="bottom"/>
            <w:gridSpan w:val="6"/>
            <w:shd w:val="clear" w:color="auto" w:fill="CCEEFF"/>
          </w:tcPr>
          <w:p>
            <w:pPr>
              <w:jc w:val="right"/>
              <w:spacing w:after="0" w:line="178" w:lineRule="exact"/>
              <w:rPr>
                <w:sz w:val="20"/>
                <w:szCs w:val="20"/>
                <w:color w:val="auto"/>
              </w:rPr>
            </w:pPr>
            <w:r>
              <w:rPr>
                <w:rFonts w:ascii="Arial" w:cs="Arial" w:eastAsia="Arial" w:hAnsi="Arial"/>
                <w:sz w:val="16"/>
                <w:szCs w:val="16"/>
                <w:color w:val="auto"/>
              </w:rPr>
              <w:t>(18,466)</w:t>
            </w:r>
          </w:p>
        </w:tc>
        <w:tc>
          <w:tcPr>
            <w:tcW w:w="84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(26,575)</w:t>
            </w:r>
          </w:p>
        </w:tc>
        <w:tc>
          <w:tcPr>
            <w:tcW w:w="86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(30,804)</w:t>
            </w:r>
          </w:p>
        </w:tc>
        <w:tc>
          <w:tcPr>
            <w:tcW w:w="88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(34,703)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(3,578)</w:t>
            </w: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(21,183)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(32,238)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gridSpan w:val="3"/>
          </w:tcPr>
          <w:p>
            <w:pPr>
              <w:spacing w:after="0" w:line="178" w:lineRule="exact"/>
              <w:rPr>
                <w:sz w:val="20"/>
                <w:szCs w:val="20"/>
                <w:color w:val="auto"/>
              </w:rPr>
            </w:pPr>
            <w:r>
              <w:rPr>
                <w:rFonts w:ascii="Arial" w:cs="Arial" w:eastAsia="Arial" w:hAnsi="Arial"/>
                <w:sz w:val="16"/>
                <w:szCs w:val="16"/>
                <w:color w:val="auto"/>
                <w:w w:val="97"/>
              </w:rPr>
              <w:t>Borrower verification and servicing costs</w:t>
            </w:r>
          </w:p>
        </w:tc>
        <w:tc>
          <w:tcPr>
            <w:tcW w:w="240" w:type="dxa"/>
            <w:vAlign w:val="bottom"/>
          </w:tcPr>
          <w:p>
            <w:pPr>
              <w:spacing w:after="0"/>
              <w:rPr>
                <w:sz w:val="15"/>
                <w:szCs w:val="15"/>
                <w:color w:val="auto"/>
              </w:rPr>
            </w:pPr>
          </w:p>
        </w:tc>
        <w:tc>
          <w:tcPr>
            <w:tcW w:w="760" w:type="dxa"/>
            <w:vAlign w:val="bottom"/>
            <w:gridSpan w:val="6"/>
          </w:tcPr>
          <w:p>
            <w:pPr>
              <w:jc w:val="right"/>
              <w:ind w:right="60"/>
              <w:spacing w:after="0" w:line="178" w:lineRule="exact"/>
              <w:rPr>
                <w:sz w:val="20"/>
                <w:szCs w:val="20"/>
                <w:color w:val="auto"/>
              </w:rPr>
            </w:pPr>
            <w:r>
              <w:rPr>
                <w:rFonts w:ascii="Arial" w:cs="Arial" w:eastAsia="Arial" w:hAnsi="Arial"/>
                <w:sz w:val="16"/>
                <w:szCs w:val="16"/>
                <w:color w:val="auto"/>
              </w:rPr>
              <w:t>(3,962)</w:t>
            </w:r>
          </w:p>
        </w:tc>
        <w:tc>
          <w:tcPr>
            <w:tcW w:w="780" w:type="dxa"/>
            <w:vAlign w:val="bottom"/>
            <w:gridSpan w:val="6"/>
          </w:tcPr>
          <w:p>
            <w:pPr>
              <w:jc w:val="right"/>
              <w:spacing w:after="0" w:line="178" w:lineRule="exact"/>
              <w:rPr>
                <w:sz w:val="20"/>
                <w:szCs w:val="20"/>
                <w:color w:val="auto"/>
              </w:rPr>
            </w:pPr>
            <w:r>
              <w:rPr>
                <w:rFonts w:ascii="Arial" w:cs="Arial" w:eastAsia="Arial" w:hAnsi="Arial"/>
                <w:sz w:val="16"/>
                <w:szCs w:val="16"/>
                <w:color w:val="auto"/>
              </w:rPr>
              <w:t>(4,613)</w:t>
            </w:r>
          </w:p>
        </w:tc>
        <w:tc>
          <w:tcPr>
            <w:tcW w:w="840" w:type="dxa"/>
            <w:vAlign w:val="bottom"/>
            <w:gridSpan w:val="5"/>
          </w:tcPr>
          <w:p>
            <w:pPr>
              <w:jc w:val="right"/>
              <w:spacing w:after="0" w:line="178" w:lineRule="exact"/>
              <w:rPr>
                <w:sz w:val="20"/>
                <w:szCs w:val="20"/>
                <w:color w:val="auto"/>
              </w:rPr>
            </w:pPr>
            <w:r>
              <w:rPr>
                <w:rFonts w:ascii="Arial" w:cs="Arial" w:eastAsia="Arial" w:hAnsi="Arial"/>
                <w:sz w:val="16"/>
                <w:szCs w:val="16"/>
                <w:color w:val="auto"/>
              </w:rPr>
              <w:t>(5,799)</w:t>
            </w:r>
          </w:p>
        </w:tc>
        <w:tc>
          <w:tcPr>
            <w:tcW w:w="860" w:type="dxa"/>
            <w:vAlign w:val="bottom"/>
            <w:gridSpan w:val="5"/>
          </w:tcPr>
          <w:p>
            <w:pPr>
              <w:jc w:val="right"/>
              <w:spacing w:after="0" w:line="178" w:lineRule="exact"/>
              <w:rPr>
                <w:sz w:val="20"/>
                <w:szCs w:val="20"/>
                <w:color w:val="auto"/>
              </w:rPr>
            </w:pPr>
            <w:r>
              <w:rPr>
                <w:rFonts w:ascii="Arial" w:cs="Arial" w:eastAsia="Arial" w:hAnsi="Arial"/>
                <w:sz w:val="16"/>
                <w:szCs w:val="16"/>
                <w:color w:val="auto"/>
              </w:rPr>
              <w:t>(6,964)</w:t>
            </w:r>
          </w:p>
        </w:tc>
        <w:tc>
          <w:tcPr>
            <w:tcW w:w="880" w:type="dxa"/>
            <w:vAlign w:val="bottom"/>
            <w:gridSpan w:val="5"/>
          </w:tcPr>
          <w:p>
            <w:pPr>
              <w:jc w:val="right"/>
              <w:spacing w:after="0" w:line="178" w:lineRule="exact"/>
              <w:rPr>
                <w:sz w:val="20"/>
                <w:szCs w:val="20"/>
                <w:color w:val="auto"/>
              </w:rPr>
            </w:pPr>
            <w:r>
              <w:rPr>
                <w:rFonts w:ascii="Arial" w:cs="Arial" w:eastAsia="Arial" w:hAnsi="Arial"/>
                <w:sz w:val="16"/>
                <w:szCs w:val="16"/>
                <w:color w:val="auto"/>
              </w:rPr>
              <w:t>(7,650)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40"/>
              <w:spacing w:after="0" w:line="178" w:lineRule="exact"/>
              <w:rPr>
                <w:sz w:val="20"/>
                <w:szCs w:val="20"/>
                <w:color w:val="auto"/>
              </w:rPr>
            </w:pPr>
            <w:r>
              <w:rPr>
                <w:rFonts w:ascii="Arial" w:cs="Arial" w:eastAsia="Arial" w:hAnsi="Arial"/>
                <w:sz w:val="16"/>
                <w:szCs w:val="16"/>
                <w:color w:val="auto"/>
              </w:rPr>
              <w:t>(5,471)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jc w:val="right"/>
              <w:ind w:right="60"/>
              <w:spacing w:after="0" w:line="178" w:lineRule="exact"/>
              <w:rPr>
                <w:sz w:val="20"/>
                <w:szCs w:val="20"/>
                <w:color w:val="auto"/>
              </w:rPr>
            </w:pPr>
            <w:r>
              <w:rPr>
                <w:rFonts w:ascii="Arial" w:cs="Arial" w:eastAsia="Arial" w:hAnsi="Arial"/>
                <w:sz w:val="16"/>
                <w:szCs w:val="16"/>
                <w:color w:val="auto"/>
              </w:rPr>
              <w:t>(7,898)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ind w:right="40"/>
              <w:spacing w:after="0" w:line="178" w:lineRule="exact"/>
              <w:rPr>
                <w:sz w:val="20"/>
                <w:szCs w:val="20"/>
                <w:color w:val="auto"/>
              </w:rPr>
            </w:pPr>
            <w:r>
              <w:rPr>
                <w:rFonts w:ascii="Arial" w:cs="Arial" w:eastAsia="Arial" w:hAnsi="Arial"/>
                <w:sz w:val="16"/>
                <w:szCs w:val="16"/>
                <w:color w:val="auto"/>
              </w:rPr>
              <w:t>(10,793)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2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direct expenses</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gridSpan w:val="6"/>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(17,686)</w:t>
            </w:r>
          </w:p>
        </w:tc>
        <w:tc>
          <w:tcPr>
            <w:tcW w:w="780" w:type="dxa"/>
            <w:vAlign w:val="bottom"/>
            <w:gridSpan w:val="6"/>
            <w:shd w:val="clear" w:color="auto" w:fill="CCEEFF"/>
          </w:tcPr>
          <w:p>
            <w:pPr>
              <w:jc w:val="right"/>
              <w:spacing w:after="0" w:line="178" w:lineRule="exact"/>
              <w:rPr>
                <w:sz w:val="20"/>
                <w:szCs w:val="20"/>
                <w:color w:val="auto"/>
              </w:rPr>
            </w:pPr>
            <w:r>
              <w:rPr>
                <w:rFonts w:ascii="Arial" w:cs="Arial" w:eastAsia="Arial" w:hAnsi="Arial"/>
                <w:sz w:val="16"/>
                <w:szCs w:val="16"/>
                <w:color w:val="auto"/>
              </w:rPr>
              <w:t>(23,079)</w:t>
            </w:r>
          </w:p>
        </w:tc>
        <w:tc>
          <w:tcPr>
            <w:tcW w:w="84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(32,374)</w:t>
            </w:r>
          </w:p>
        </w:tc>
        <w:tc>
          <w:tcPr>
            <w:tcW w:w="86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(37,768)</w:t>
            </w:r>
          </w:p>
        </w:tc>
        <w:tc>
          <w:tcPr>
            <w:tcW w:w="880" w:type="dxa"/>
            <w:vAlign w:val="bottom"/>
            <w:gridSpan w:val="5"/>
            <w:shd w:val="clear" w:color="auto" w:fill="CCEEFF"/>
          </w:tcPr>
          <w:p>
            <w:pPr>
              <w:jc w:val="right"/>
              <w:spacing w:after="0" w:line="178" w:lineRule="exact"/>
              <w:rPr>
                <w:sz w:val="20"/>
                <w:szCs w:val="20"/>
                <w:color w:val="auto"/>
              </w:rPr>
            </w:pPr>
            <w:r>
              <w:rPr>
                <w:rFonts w:ascii="Arial" w:cs="Arial" w:eastAsia="Arial" w:hAnsi="Arial"/>
                <w:sz w:val="16"/>
                <w:szCs w:val="16"/>
                <w:color w:val="auto"/>
              </w:rPr>
              <w:t>(42,353)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(9,049)</w:t>
            </w: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(29,081)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(43,031)</w:t>
            </w:r>
          </w:p>
        </w:tc>
        <w:tc>
          <w:tcPr>
            <w:tcW w:w="0" w:type="dxa"/>
            <w:vAlign w:val="bottom"/>
          </w:tcPr>
          <w:p>
            <w:pPr>
              <w:spacing w:after="0"/>
              <w:rPr>
                <w:sz w:val="1"/>
                <w:szCs w:val="1"/>
                <w:color w:val="auto"/>
              </w:rPr>
            </w:pPr>
          </w:p>
        </w:tc>
      </w:tr>
      <w:tr>
        <w:trPr>
          <w:trHeight w:val="20"/>
        </w:trPr>
        <w:tc>
          <w:tcPr>
            <w:tcW w:w="2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40" w:type="dxa"/>
            <w:vAlign w:val="bottom"/>
            <w:gridSpan w:val="2"/>
          </w:tcPr>
          <w:p>
            <w:pPr>
              <w:spacing w:after="0" w:line="181" w:lineRule="exact"/>
              <w:rPr>
                <w:sz w:val="20"/>
                <w:szCs w:val="20"/>
                <w:color w:val="auto"/>
              </w:rPr>
            </w:pPr>
            <w:r>
              <w:rPr>
                <w:rFonts w:ascii="Arial" w:cs="Arial" w:eastAsia="Arial" w:hAnsi="Arial"/>
                <w:sz w:val="16"/>
                <w:szCs w:val="16"/>
                <w:color w:val="auto"/>
              </w:rPr>
              <w:t>Contribution Profit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42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99"/>
              </w:rPr>
              <w:t>4,556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460" w:type="dxa"/>
            <w:vAlign w:val="bottom"/>
            <w:gridSpan w:val="3"/>
          </w:tcPr>
          <w:p>
            <w:pPr>
              <w:jc w:val="right"/>
              <w:ind w:right="60"/>
              <w:spacing w:after="0" w:line="181" w:lineRule="exact"/>
              <w:rPr>
                <w:sz w:val="20"/>
                <w:szCs w:val="20"/>
                <w:color w:val="auto"/>
              </w:rPr>
            </w:pPr>
            <w:r>
              <w:rPr>
                <w:rFonts w:ascii="Arial" w:cs="Arial" w:eastAsia="Arial" w:hAnsi="Arial"/>
                <w:sz w:val="16"/>
                <w:szCs w:val="16"/>
                <w:color w:val="auto"/>
                <w:w w:val="94"/>
              </w:rPr>
              <w:t>5,479</w:t>
            </w:r>
          </w:p>
        </w:tc>
        <w:tc>
          <w:tcPr>
            <w:tcW w:w="840" w:type="dxa"/>
            <w:vAlign w:val="bottom"/>
            <w:gridSpan w:val="5"/>
          </w:tcPr>
          <w:p>
            <w:pPr>
              <w:jc w:val="right"/>
              <w:spacing w:after="0" w:line="181" w:lineRule="exact"/>
              <w:rPr>
                <w:sz w:val="20"/>
                <w:szCs w:val="20"/>
                <w:color w:val="auto"/>
              </w:rPr>
            </w:pPr>
            <w:r>
              <w:rPr>
                <w:rFonts w:ascii="Arial" w:cs="Arial" w:eastAsia="Arial" w:hAnsi="Arial"/>
                <w:sz w:val="16"/>
                <w:szCs w:val="16"/>
                <w:color w:val="auto"/>
              </w:rPr>
              <w:t>$ 15,525</w:t>
            </w:r>
          </w:p>
        </w:tc>
        <w:tc>
          <w:tcPr>
            <w:tcW w:w="860" w:type="dxa"/>
            <w:vAlign w:val="bottom"/>
            <w:gridSpan w:val="5"/>
          </w:tcPr>
          <w:p>
            <w:pPr>
              <w:jc w:val="right"/>
              <w:ind w:right="9"/>
              <w:spacing w:after="0" w:line="181" w:lineRule="exact"/>
              <w:rPr>
                <w:sz w:val="20"/>
                <w:szCs w:val="20"/>
                <w:color w:val="auto"/>
              </w:rPr>
            </w:pPr>
            <w:r>
              <w:rPr>
                <w:rFonts w:ascii="Arial" w:cs="Arial" w:eastAsia="Arial" w:hAnsi="Arial"/>
                <w:sz w:val="16"/>
                <w:szCs w:val="16"/>
                <w:color w:val="auto"/>
              </w:rPr>
              <w:t>$ 23,380</w:t>
            </w:r>
          </w:p>
        </w:tc>
        <w:tc>
          <w:tcPr>
            <w:tcW w:w="76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$ 25,660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580" w:type="dxa"/>
            <w:vAlign w:val="bottom"/>
            <w:gridSpan w:val="3"/>
          </w:tcPr>
          <w:p>
            <w:pPr>
              <w:jc w:val="right"/>
              <w:ind w:right="100"/>
              <w:spacing w:after="0" w:line="181" w:lineRule="exact"/>
              <w:rPr>
                <w:sz w:val="20"/>
                <w:szCs w:val="20"/>
                <w:color w:val="auto"/>
              </w:rPr>
            </w:pPr>
            <w:r>
              <w:rPr>
                <w:rFonts w:ascii="Arial" w:cs="Arial" w:eastAsia="Arial" w:hAnsi="Arial"/>
                <w:sz w:val="16"/>
                <w:szCs w:val="16"/>
                <w:color w:val="auto"/>
              </w:rPr>
              <w:t>4,256</w:t>
            </w:r>
          </w:p>
        </w:tc>
        <w:tc>
          <w:tcPr>
            <w:tcW w:w="860" w:type="dxa"/>
            <w:vAlign w:val="bottom"/>
            <w:gridSpan w:val="5"/>
          </w:tcPr>
          <w:p>
            <w:pPr>
              <w:jc w:val="right"/>
              <w:ind w:right="120"/>
              <w:spacing w:after="0" w:line="181" w:lineRule="exact"/>
              <w:rPr>
                <w:sz w:val="20"/>
                <w:szCs w:val="20"/>
                <w:color w:val="auto"/>
              </w:rPr>
            </w:pPr>
            <w:r>
              <w:rPr>
                <w:rFonts w:ascii="Arial" w:cs="Arial" w:eastAsia="Arial" w:hAnsi="Arial"/>
                <w:sz w:val="16"/>
                <w:szCs w:val="16"/>
                <w:color w:val="auto"/>
              </w:rPr>
              <w:t>$ 33,780</w:t>
            </w:r>
          </w:p>
        </w:tc>
        <w:tc>
          <w:tcPr>
            <w:tcW w:w="820" w:type="dxa"/>
            <w:vAlign w:val="bottom"/>
            <w:gridSpan w:val="6"/>
          </w:tcPr>
          <w:p>
            <w:pPr>
              <w:jc w:val="right"/>
              <w:ind w:right="100"/>
              <w:spacing w:after="0" w:line="181" w:lineRule="exact"/>
              <w:rPr>
                <w:sz w:val="20"/>
                <w:szCs w:val="20"/>
                <w:color w:val="auto"/>
              </w:rPr>
            </w:pPr>
            <w:r>
              <w:rPr>
                <w:rFonts w:ascii="Arial" w:cs="Arial" w:eastAsia="Arial" w:hAnsi="Arial"/>
                <w:sz w:val="16"/>
                <w:szCs w:val="16"/>
                <w:color w:val="auto"/>
              </w:rPr>
              <w:t>$ 41,390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See the section titled “Reconciliation of Non-GAAP Financial Measures” for a reconciliation of loss from operations to Contribution Profit and of net loss attributable to Upstart Holdings, Inc. common stockholders to Adjusted EBITDA.</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Quarterly Trends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Revenue from Fees, Net</w:t>
      </w:r>
    </w:p>
    <w:p>
      <w:pPr>
        <w:spacing w:after="0" w:line="104" w:lineRule="exact"/>
        <w:rPr>
          <w:sz w:val="20"/>
          <w:szCs w:val="20"/>
          <w:color w:val="auto"/>
        </w:rPr>
      </w:pPr>
    </w:p>
    <w:p>
      <w:pPr>
        <w:jc w:val="both"/>
        <w:ind w:left="800" w:right="60" w:firstLine="482"/>
        <w:spacing w:after="0" w:line="235" w:lineRule="auto"/>
        <w:rPr>
          <w:sz w:val="20"/>
          <w:szCs w:val="20"/>
          <w:color w:val="auto"/>
        </w:rPr>
      </w:pPr>
      <w:r>
        <w:rPr>
          <w:rFonts w:ascii="Arial" w:cs="Arial" w:eastAsia="Arial" w:hAnsi="Arial"/>
          <w:sz w:val="16"/>
          <w:szCs w:val="16"/>
          <w:color w:val="auto"/>
        </w:rPr>
        <w:t>Revenue from fees, net trended upwards on an annual basis, but fluctuated during the quarters presented. Revenue from fees, net is highly correlated with the Number of Loans Transacted on our platform during the period. The increase in revenue from the first quarter of 2019 to the first quarter of 2020 was primarily a result of the overall growth of our business, continuous improvements to our AI models and technology, and our ability to streamline and automate the loan application and origination</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440"/>
          </w:cols>
          <w:pgMar w:left="320" w:top="419" w:right="11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spacing w:after="0" w:line="238" w:lineRule="auto"/>
        <w:rPr>
          <w:sz w:val="20"/>
          <w:szCs w:val="20"/>
          <w:color w:val="auto"/>
        </w:rPr>
      </w:pPr>
      <w:r>
        <w:rPr>
          <w:rFonts w:ascii="Arial" w:cs="Arial" w:eastAsia="Arial" w:hAnsi="Arial"/>
          <w:sz w:val="16"/>
          <w:szCs w:val="16"/>
          <w:color w:val="auto"/>
        </w:rPr>
        <w:t>process. The changes in the second to fourth quarter of 2020 were driven by the impact of the COVID-19 pandemic on our business and a recovery from it, respectively.</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Interest Income and Fair Value Adjustments, Net</w:t>
      </w:r>
    </w:p>
    <w:p>
      <w:pPr>
        <w:spacing w:after="0" w:line="104" w:lineRule="exact"/>
        <w:rPr>
          <w:sz w:val="20"/>
          <w:szCs w:val="20"/>
          <w:color w:val="auto"/>
        </w:rPr>
      </w:pPr>
    </w:p>
    <w:p>
      <w:pPr>
        <w:jc w:val="both"/>
        <w:ind w:left="800" w:firstLine="482"/>
        <w:spacing w:after="0" w:line="235" w:lineRule="auto"/>
        <w:rPr>
          <w:sz w:val="20"/>
          <w:szCs w:val="20"/>
          <w:color w:val="auto"/>
        </w:rPr>
      </w:pPr>
      <w:r>
        <w:rPr>
          <w:rFonts w:ascii="Arial" w:cs="Arial" w:eastAsia="Arial" w:hAnsi="Arial"/>
          <w:sz w:val="16"/>
          <w:szCs w:val="16"/>
          <w:color w:val="auto"/>
        </w:rPr>
        <w:t>Interest income and fair value adjustments, net fluctuated quarterly primarily due to the outstanding balance of loans included in our consolidated balance sheets and changes to the characteristics of such loans, such as the average age of the loans and the interest rates of the loans, during the respective periods presented. The decrease in interest income and fair value adjustment in the first quarter of 2020 was primarily due to the market changes caused by the COVID-19 pandemic.</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Sales and Marketing</w:t>
      </w:r>
    </w:p>
    <w:p>
      <w:pPr>
        <w:spacing w:after="0" w:line="104"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Sales and marketing expenses trended upwards on an annual basis, but fluctuated during the quarters presented. The overall increase and the changes between different periods are primarily driven by the timing and extent of borrower acquisition and marketing initiatives across various channels. The changes in the second to fourth quarter of 2020 were driven by decreased spending on marketing campaigns as a result of the COVID-19 pandemic and a recovery from it, respectively.</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Customer Operations</w:t>
      </w:r>
    </w:p>
    <w:p>
      <w:pPr>
        <w:spacing w:after="0" w:line="104" w:lineRule="exact"/>
        <w:rPr>
          <w:sz w:val="20"/>
          <w:szCs w:val="20"/>
          <w:color w:val="auto"/>
        </w:rPr>
      </w:pPr>
    </w:p>
    <w:p>
      <w:pPr>
        <w:ind w:left="800" w:right="280" w:firstLine="482"/>
        <w:spacing w:after="0" w:line="233" w:lineRule="auto"/>
        <w:rPr>
          <w:sz w:val="20"/>
          <w:szCs w:val="20"/>
          <w:color w:val="auto"/>
        </w:rPr>
      </w:pPr>
      <w:r>
        <w:rPr>
          <w:rFonts w:ascii="Arial" w:cs="Arial" w:eastAsia="Arial" w:hAnsi="Arial"/>
          <w:sz w:val="16"/>
          <w:szCs w:val="16"/>
          <w:color w:val="auto"/>
        </w:rPr>
        <w:t>Similar to sales and marketing, customer operations trended upwards on an annual basis but fluctuated during the quarters presented primarily due variability in the Number of Loans Transacted. The increase was primarily due to increases in payroll and personnel-related expenses driven by increases in our headcount, as well as an overall increase in spending related to our information verification and platform operations due to the growing volume of loans facilitated through our platform. The changes in the second to fourth quarter of 2020 were driven by decreased spending on information verification as a result of the COVID-19 pandemic on our business and a recovery from it, respectively.</w:t>
      </w:r>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Engineering and Product Development</w:t>
      </w:r>
    </w:p>
    <w:p>
      <w:pPr>
        <w:spacing w:after="0" w:line="104"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Engineering and product development generally increased for the quarters presented. This was primarily due to increases in payroll and personnel-related expenses driven by increases in our headcount, as well as increases in infrastructure-related costs.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General, Administrative and Other</w:t>
      </w:r>
    </w:p>
    <w:p>
      <w:pPr>
        <w:spacing w:after="0" w:line="10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General, administrative and other expenses have trended upwards on an annual basis but fluctuated during the quarters presented. The overall increase is reflective of increasing costs of fees for professional services, including legal and financial services as well an increase in personnel-related costs driven by additions of legal, human resources, and finance personnel. In the second half of 2019, general, administrative and other expenses also increased as a result of an increase in office rent and other facility-related expenses due to the opening of our second headquarters in Columbus, Ohio and relocation of our first headquarters from San Carlos, California, to San Mateo, California.</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Income (Expense) on Warrants and Other Non-operating Expenses, Net</w:t>
      </w:r>
    </w:p>
    <w:p>
      <w:pPr>
        <w:spacing w:after="0" w:line="104" w:lineRule="exact"/>
        <w:rPr>
          <w:sz w:val="20"/>
          <w:szCs w:val="20"/>
          <w:color w:val="auto"/>
        </w:rPr>
      </w:pPr>
    </w:p>
    <w:p>
      <w:pPr>
        <w:ind w:left="800" w:right="120" w:firstLine="482"/>
        <w:spacing w:after="0" w:line="235" w:lineRule="auto"/>
        <w:rPr>
          <w:sz w:val="20"/>
          <w:szCs w:val="20"/>
          <w:color w:val="auto"/>
        </w:rPr>
      </w:pPr>
      <w:r>
        <w:rPr>
          <w:rFonts w:ascii="Arial" w:cs="Arial" w:eastAsia="Arial" w:hAnsi="Arial"/>
          <w:sz w:val="16"/>
          <w:szCs w:val="16"/>
          <w:color w:val="auto"/>
        </w:rPr>
        <w:t>Expense on warrants and other non-operating expenses, net fluctuated during the quarters presented and reflect the variable nature and timing of the increases and decreases in the fair value of outstanding common stock warrants and convertible preferred stock warrants, which highly correlate with the valuation of the underlying securities. We incurred higher expenses in the quarters when the increases in the valuation of our preferred and common stock increased the most.</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440"/>
          </w:cols>
          <w:pgMar w:left="320" w:top="419" w:right="11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We recorded income on warrants and convertible notes reported in the fourth quarter of 2019 due to a gain on repurchase and retirement of convertible preferred stock warrants.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Number of Loans Transacted</w:t>
      </w:r>
    </w:p>
    <w:p>
      <w:pPr>
        <w:spacing w:after="0" w:line="10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Number of Loans Transacted trended upwards on an annual basis but fluctuated during the quarters presented. The overall increase was primarily a result of continuous improvements to our AI models and technology, and our ability to streamline and automate the loan application and origination process. However, such improvements could occasionally impact transaction volume negatively. 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The changes in the second to fourth quarter of 2020 were driven by the impact of the COVID-19 pandemic on our business and a recovery from it, respectively.</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Conversion Rate</w:t>
      </w:r>
    </w:p>
    <w:p>
      <w:pPr>
        <w:spacing w:after="0" w:line="104"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Conversion Rate has trended upwards on an annual basis but fluctuated during the quarters presented. The overall increase was primarily a result of continuous improvements to our AI models and technology. Historically, our Conversion Rate has benefitted from improvements to our technology, which have made our evaluation of risk more accurate and our verification process more automated, or from the addition of bank partners that have made our offers more competitive. The changes in the second to fourth quarter of 2020 were driven by the impact of the COVID-19 pandemic on our business and a recovery from it, respectively.</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Percentage of Loans Fully Automated</w:t>
      </w:r>
    </w:p>
    <w:p>
      <w:pPr>
        <w:spacing w:after="0" w:line="104"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Percentage of Loans Fully Automated has trended upwards on an annual basis, but fluctuated during the quarters presented. The overall increase was primarily a result of continuous improvements to our AI models and technology. Better AI models increased our ability to rapidly streamline and automate the loan application and origination process on our platform. The changes in the second to fourth quarter of 2020 were driven by the impact of the COVID-19 pandemic on our business and a recovery from it, respectively.</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Contribution Profit</w:t>
      </w:r>
    </w:p>
    <w:p>
      <w:pPr>
        <w:spacing w:after="0" w:line="10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Contribution Profit Is highly correlated with the Number of Loans Transacted on our platform during the period and trended upwards on an annual basis but fluctuated during the quarters presented. The overall increase was primarily due to improvements to borrower acquisition efforts and our operating efficiency. The quarterly fluctuations are primarily due to the timing and extent of borrower acquisition and marketing initiatives across various channels. The changes in the second to fourth quarter of 2020 are driven by the impact of the COVID-19 pandemic on our business and a recovery from it, respectively. See the section titled “Reconciliation of Non-GAAP Financial Measures” for a reconciliation of loss from operations to Contribution Profit.</w:t>
      </w:r>
    </w:p>
    <w:p>
      <w:pPr>
        <w:spacing w:after="0" w:line="260"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Adjusted EBITDA</w:t>
      </w:r>
    </w:p>
    <w:p>
      <w:pPr>
        <w:spacing w:after="0" w:line="104" w:lineRule="exact"/>
        <w:rPr>
          <w:sz w:val="20"/>
          <w:szCs w:val="20"/>
          <w:color w:val="auto"/>
        </w:rPr>
      </w:pPr>
    </w:p>
    <w:p>
      <w:pPr>
        <w:jc w:val="both"/>
        <w:ind w:left="800" w:right="320" w:firstLine="482"/>
        <w:spacing w:after="0" w:line="258" w:lineRule="auto"/>
        <w:rPr>
          <w:sz w:val="20"/>
          <w:szCs w:val="20"/>
          <w:color w:val="auto"/>
        </w:rPr>
      </w:pPr>
      <w:r>
        <w:rPr>
          <w:rFonts w:ascii="Arial" w:cs="Arial" w:eastAsia="Arial" w:hAnsi="Arial"/>
          <w:sz w:val="15"/>
          <w:szCs w:val="15"/>
          <w:color w:val="auto"/>
        </w:rPr>
        <w:t>Adjusted EBITDA trended upwards on an annual basis but fluctuated during the quarters presented. Adjusted EBITDA is highly correlated with the Number of Loans Transacted on our platform during the period. The overall increase was primarily due to business growth outpacing expense growth. The changes in the second to fourth quarter of 2020 are driven by the impact of the COVID-19</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0440"/>
          </w:cols>
          <w:pgMar w:left="320" w:top="419" w:right="11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8" w:lineRule="auto"/>
        <w:rPr>
          <w:sz w:val="20"/>
          <w:szCs w:val="20"/>
          <w:color w:val="auto"/>
        </w:rPr>
      </w:pPr>
      <w:r>
        <w:rPr>
          <w:rFonts w:ascii="Arial" w:cs="Arial" w:eastAsia="Arial" w:hAnsi="Arial"/>
          <w:sz w:val="16"/>
          <w:szCs w:val="16"/>
          <w:color w:val="auto"/>
        </w:rPr>
        <w:t>pandemic on our business and a recovery from it, respectively. See the section titled “Reconciliation of Non-GAAP Financial Measures” for a reconciliation of net loss attributable to Upstart Holdings, Inc. common stockholders to Adjusted EBITDA.</w:t>
      </w:r>
    </w:p>
    <w:p>
      <w:pPr>
        <w:spacing w:after="0" w:line="348"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203"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To supplement our consolidated financial statements prepared and presented in accordance with GAAP, we use the non-GAAP financial measures Contribution Profit, Contribution Margin, Adjusted EBITDA, Adjusted EBITDA Margin, Adjusted Net Income (Loss), and Adjusted Net Income (Loss)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82"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85"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To address these limitations, we provide a reconciliation of Contribution Profit, Contribution Margin, Adjusted EBITDA, Adjusted EBITDA Margin, Adjusted Net Income (Loss), and Adjusted Net Income (Loss) Per Share to loss from operations and net loss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 Adjusted Net Income (Loss), and Adjusted Net Income (Loss) Per Share in conjunction with their respective related GAAP financial measures.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Contribution Profit and Contribution Margin</w:t>
      </w:r>
    </w:p>
    <w:p>
      <w:pPr>
        <w:spacing w:after="0" w:line="106"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We use Contribution Profit and Contribution Margin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 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181"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Contribution Profit and Contribution Margin have limitations as analytical tools, and you should not consider them in isolation or as substitutes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0440"/>
          </w:cols>
          <w:pgMar w:left="320" w:top="419" w:right="11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00"/>
        <w:spacing w:after="0" w:line="238" w:lineRule="auto"/>
        <w:rPr>
          <w:sz w:val="20"/>
          <w:szCs w:val="20"/>
          <w:color w:val="auto"/>
        </w:rPr>
      </w:pPr>
      <w:r>
        <w:rPr>
          <w:rFonts w:ascii="Arial" w:cs="Arial" w:eastAsia="Arial" w:hAnsi="Arial"/>
          <w:sz w:val="16"/>
          <w:szCs w:val="16"/>
          <w:color w:val="auto"/>
        </w:rPr>
        <w:t>volume. Other companies that present Contribution Profit and Contribution Margin calculate them differently and, therefore, similarly titled measures presented by other companies may not be directly comparable to ours.</w:t>
      </w:r>
    </w:p>
    <w:p>
      <w:pPr>
        <w:spacing w:after="0" w:line="179" w:lineRule="exact"/>
        <w:rPr>
          <w:sz w:val="20"/>
          <w:szCs w:val="20"/>
          <w:color w:val="auto"/>
        </w:rPr>
      </w:pPr>
    </w:p>
    <w:p>
      <w:pPr>
        <w:ind w:left="800" w:right="640" w:firstLine="482"/>
        <w:spacing w:after="0" w:line="238" w:lineRule="auto"/>
        <w:rPr>
          <w:sz w:val="20"/>
          <w:szCs w:val="20"/>
          <w:color w:val="auto"/>
        </w:rPr>
      </w:pPr>
      <w:r>
        <w:rPr>
          <w:rFonts w:ascii="Arial" w:cs="Arial" w:eastAsia="Arial" w:hAnsi="Arial"/>
          <w:sz w:val="16"/>
          <w:szCs w:val="16"/>
          <w:color w:val="auto"/>
        </w:rPr>
        <w:t>The following table presents reconciliations of income (loss) from operations to Contribution Profit and Operating Margin to Contribution Margin. We define Operating Margin as our income (loss) from operations divided by revenue from fees, net.</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640" w:type="dxa"/>
            <w:vAlign w:val="bottom"/>
          </w:tcPr>
          <w:p>
            <w:pPr>
              <w:jc w:val="right"/>
              <w:ind w:right="103"/>
              <w:spacing w:after="0" w:line="134" w:lineRule="exact"/>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23"/>
              <w:spacing w:after="0" w:line="134" w:lineRule="exact"/>
              <w:rPr>
                <w:sz w:val="20"/>
                <w:szCs w:val="20"/>
                <w:color w:val="auto"/>
              </w:rPr>
            </w:pPr>
            <w:r>
              <w:rPr>
                <w:rFonts w:ascii="Arial" w:cs="Arial" w:eastAsia="Arial" w:hAnsi="Arial"/>
                <w:sz w:val="13"/>
                <w:szCs w:val="13"/>
                <w:b w:val="1"/>
                <w:bCs w:val="1"/>
                <w:color w:val="auto"/>
              </w:rPr>
              <w:t>2019</w:t>
            </w:r>
          </w:p>
        </w:tc>
        <w:tc>
          <w:tcPr>
            <w:tcW w:w="520" w:type="dxa"/>
            <w:vAlign w:val="bottom"/>
          </w:tcPr>
          <w:p>
            <w:pPr>
              <w:spacing w:after="0"/>
              <w:rPr>
                <w:sz w:val="11"/>
                <w:szCs w:val="11"/>
                <w:color w:val="auto"/>
              </w:rPr>
            </w:pPr>
          </w:p>
        </w:tc>
        <w:tc>
          <w:tcPr>
            <w:tcW w:w="740" w:type="dxa"/>
            <w:vAlign w:val="bottom"/>
            <w:gridSpan w:val="2"/>
          </w:tcPr>
          <w:p>
            <w:pPr>
              <w:jc w:val="right"/>
              <w:ind w:right="121"/>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Revenue from fees, net</w:t>
            </w:r>
          </w:p>
        </w:tc>
        <w:tc>
          <w:tcPr>
            <w:tcW w:w="6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$ 88,482</w:t>
            </w:r>
          </w:p>
        </w:tc>
        <w:tc>
          <w:tcPr>
            <w:tcW w:w="3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6"/>
              </w:rPr>
              <w:t>159,847</w:t>
            </w: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$228,600</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tcPr>
          <w:p>
            <w:pPr>
              <w:spacing w:after="0" w:line="178" w:lineRule="exact"/>
              <w:rPr>
                <w:sz w:val="20"/>
                <w:szCs w:val="20"/>
                <w:color w:val="auto"/>
              </w:rPr>
            </w:pPr>
            <w:r>
              <w:rPr>
                <w:rFonts w:ascii="Arial" w:cs="Arial" w:eastAsia="Arial" w:hAnsi="Arial"/>
                <w:sz w:val="16"/>
                <w:szCs w:val="16"/>
                <w:color w:val="auto"/>
              </w:rPr>
              <w:t>Income (loss) from operations</w:t>
            </w:r>
          </w:p>
        </w:tc>
        <w:tc>
          <w:tcPr>
            <w:tcW w:w="1020" w:type="dxa"/>
            <w:vAlign w:val="bottom"/>
            <w:gridSpan w:val="2"/>
          </w:tcPr>
          <w:p>
            <w:pPr>
              <w:jc w:val="right"/>
              <w:ind w:right="277"/>
              <w:spacing w:after="0" w:line="178" w:lineRule="exact"/>
              <w:rPr>
                <w:sz w:val="20"/>
                <w:szCs w:val="20"/>
                <w:color w:val="auto"/>
              </w:rPr>
            </w:pPr>
            <w:r>
              <w:rPr>
                <w:rFonts w:ascii="Arial" w:cs="Arial" w:eastAsia="Arial" w:hAnsi="Arial"/>
                <w:sz w:val="16"/>
                <w:szCs w:val="16"/>
                <w:color w:val="auto"/>
              </w:rPr>
              <w:t>(7,971)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(4,575)</w:t>
            </w:r>
          </w:p>
        </w:tc>
        <w:tc>
          <w:tcPr>
            <w:tcW w:w="92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11,765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i w:val="1"/>
                <w:iCs w:val="1"/>
                <w:color w:val="auto"/>
              </w:rPr>
              <w:t>Operating Margin</w:t>
            </w:r>
          </w:p>
        </w:tc>
        <w:tc>
          <w:tcPr>
            <w:tcW w:w="1020" w:type="dxa"/>
            <w:vAlign w:val="bottom"/>
            <w:gridSpan w:val="2"/>
            <w:shd w:val="clear" w:color="auto" w:fill="CCEEFF"/>
          </w:tcPr>
          <w:p>
            <w:pPr>
              <w:jc w:val="right"/>
              <w:ind w:right="137"/>
              <w:spacing w:after="0" w:line="178" w:lineRule="exact"/>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(3)%</w:t>
            </w:r>
          </w:p>
        </w:tc>
        <w:tc>
          <w:tcPr>
            <w:tcW w:w="92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tcPr>
          <w:p>
            <w:pPr>
              <w:spacing w:after="0" w:line="178" w:lineRule="exact"/>
              <w:rPr>
                <w:sz w:val="20"/>
                <w:szCs w:val="20"/>
                <w:color w:val="auto"/>
              </w:rPr>
            </w:pPr>
            <w:r>
              <w:rPr>
                <w:rFonts w:ascii="Arial" w:cs="Arial" w:eastAsia="Arial" w:hAnsi="Arial"/>
                <w:sz w:val="16"/>
                <w:szCs w:val="16"/>
                <w:color w:val="auto"/>
              </w:rPr>
              <w:t>Sales and marketing, net of borrower acquisition costs</w:t>
            </w:r>
            <w:r>
              <w:rPr>
                <w:rFonts w:ascii="Arial" w:cs="Arial" w:eastAsia="Arial" w:hAnsi="Arial"/>
                <w:sz w:val="13"/>
                <w:szCs w:val="13"/>
                <w:color w:val="auto"/>
              </w:rPr>
              <w:t>(1)</w:t>
            </w:r>
          </w:p>
        </w:tc>
        <w:tc>
          <w:tcPr>
            <w:tcW w:w="1020" w:type="dxa"/>
            <w:vAlign w:val="bottom"/>
            <w:gridSpan w:val="2"/>
          </w:tcPr>
          <w:p>
            <w:pPr>
              <w:jc w:val="right"/>
              <w:ind w:right="317"/>
              <w:spacing w:after="0" w:line="178" w:lineRule="exact"/>
              <w:rPr>
                <w:sz w:val="20"/>
                <w:szCs w:val="20"/>
                <w:color w:val="auto"/>
              </w:rPr>
            </w:pPr>
            <w:r>
              <w:rPr>
                <w:rFonts w:ascii="Arial" w:cs="Arial" w:eastAsia="Arial" w:hAnsi="Arial"/>
                <w:sz w:val="16"/>
                <w:szCs w:val="16"/>
                <w:color w:val="auto"/>
              </w:rPr>
              <w:t>1,975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520"/>
              <w:spacing w:after="0" w:line="178" w:lineRule="exact"/>
              <w:rPr>
                <w:sz w:val="20"/>
                <w:szCs w:val="20"/>
                <w:color w:val="auto"/>
              </w:rPr>
            </w:pPr>
            <w:r>
              <w:rPr>
                <w:rFonts w:ascii="Arial" w:cs="Arial" w:eastAsia="Arial" w:hAnsi="Arial"/>
                <w:sz w:val="16"/>
                <w:szCs w:val="16"/>
                <w:color w:val="auto"/>
              </w:rPr>
              <w:t>3,606</w:t>
            </w:r>
          </w:p>
        </w:tc>
        <w:tc>
          <w:tcPr>
            <w:tcW w:w="92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7,959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Customer operations, net of borrower verification and servicing costs</w:t>
            </w:r>
            <w:r>
              <w:rPr>
                <w:rFonts w:ascii="Arial" w:cs="Arial" w:eastAsia="Arial" w:hAnsi="Arial"/>
                <w:sz w:val="13"/>
                <w:szCs w:val="13"/>
                <w:color w:val="auto"/>
              </w:rPr>
              <w:t>(2)</w:t>
            </w:r>
          </w:p>
        </w:tc>
        <w:tc>
          <w:tcPr>
            <w:tcW w:w="1020" w:type="dxa"/>
            <w:vAlign w:val="bottom"/>
            <w:gridSpan w:val="2"/>
            <w:shd w:val="clear" w:color="auto" w:fill="CCEEFF"/>
          </w:tcPr>
          <w:p>
            <w:pPr>
              <w:jc w:val="right"/>
              <w:ind w:right="317"/>
              <w:spacing w:after="0" w:line="178" w:lineRule="exact"/>
              <w:rPr>
                <w:sz w:val="20"/>
                <w:szCs w:val="20"/>
                <w:color w:val="auto"/>
              </w:rPr>
            </w:pPr>
            <w:r>
              <w:rPr>
                <w:rFonts w:ascii="Arial" w:cs="Arial" w:eastAsia="Arial" w:hAnsi="Arial"/>
                <w:sz w:val="16"/>
                <w:szCs w:val="16"/>
                <w:color w:val="auto"/>
              </w:rPr>
              <w:t>1,690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20"/>
              <w:spacing w:after="0" w:line="178" w:lineRule="exact"/>
              <w:rPr>
                <w:sz w:val="20"/>
                <w:szCs w:val="20"/>
                <w:color w:val="auto"/>
              </w:rPr>
            </w:pPr>
            <w:r>
              <w:rPr>
                <w:rFonts w:ascii="Arial" w:cs="Arial" w:eastAsia="Arial" w:hAnsi="Arial"/>
                <w:sz w:val="16"/>
                <w:szCs w:val="16"/>
                <w:color w:val="auto"/>
              </w:rPr>
              <w:t>3,609</w:t>
            </w:r>
          </w:p>
        </w:tc>
        <w:tc>
          <w:tcPr>
            <w:tcW w:w="920" w:type="dxa"/>
            <w:vAlign w:val="bottom"/>
            <w:gridSpan w:val="3"/>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5,769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tcPr>
          <w:p>
            <w:pPr>
              <w:spacing w:after="0" w:line="178" w:lineRule="exact"/>
              <w:rPr>
                <w:sz w:val="20"/>
                <w:szCs w:val="20"/>
                <w:color w:val="auto"/>
              </w:rPr>
            </w:pPr>
            <w:r>
              <w:rPr>
                <w:rFonts w:ascii="Arial" w:cs="Arial" w:eastAsia="Arial" w:hAnsi="Arial"/>
                <w:sz w:val="16"/>
                <w:szCs w:val="16"/>
                <w:color w:val="auto"/>
              </w:rPr>
              <w:t>Engineering and product development</w:t>
            </w:r>
          </w:p>
        </w:tc>
        <w:tc>
          <w:tcPr>
            <w:tcW w:w="1020" w:type="dxa"/>
            <w:vAlign w:val="bottom"/>
            <w:gridSpan w:val="2"/>
          </w:tcPr>
          <w:p>
            <w:pPr>
              <w:jc w:val="right"/>
              <w:ind w:right="317"/>
              <w:spacing w:after="0" w:line="178" w:lineRule="exact"/>
              <w:rPr>
                <w:sz w:val="20"/>
                <w:szCs w:val="20"/>
                <w:color w:val="auto"/>
              </w:rPr>
            </w:pPr>
            <w:r>
              <w:rPr>
                <w:rFonts w:ascii="Arial" w:cs="Arial" w:eastAsia="Arial" w:hAnsi="Arial"/>
                <w:sz w:val="16"/>
                <w:szCs w:val="16"/>
                <w:color w:val="auto"/>
              </w:rPr>
              <w:t>8,415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520"/>
              <w:spacing w:after="0" w:line="178" w:lineRule="exact"/>
              <w:rPr>
                <w:sz w:val="20"/>
                <w:szCs w:val="20"/>
                <w:color w:val="auto"/>
              </w:rPr>
            </w:pPr>
            <w:r>
              <w:rPr>
                <w:rFonts w:ascii="Arial" w:cs="Arial" w:eastAsia="Arial" w:hAnsi="Arial"/>
                <w:sz w:val="16"/>
                <w:szCs w:val="16"/>
                <w:color w:val="auto"/>
              </w:rPr>
              <w:t>18,777</w:t>
            </w:r>
          </w:p>
        </w:tc>
        <w:tc>
          <w:tcPr>
            <w:tcW w:w="920" w:type="dxa"/>
            <w:vAlign w:val="bottom"/>
            <w:gridSpan w:val="3"/>
          </w:tcPr>
          <w:p>
            <w:pPr>
              <w:jc w:val="right"/>
              <w:ind w:right="180"/>
              <w:spacing w:after="0" w:line="178" w:lineRule="exact"/>
              <w:rPr>
                <w:sz w:val="20"/>
                <w:szCs w:val="20"/>
                <w:color w:val="auto"/>
              </w:rPr>
            </w:pPr>
            <w:r>
              <w:rPr>
                <w:rFonts w:ascii="Arial" w:cs="Arial" w:eastAsia="Arial" w:hAnsi="Arial"/>
                <w:sz w:val="16"/>
                <w:szCs w:val="16"/>
                <w:color w:val="auto"/>
              </w:rPr>
              <w:t>38,802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General, administrative, and other</w:t>
            </w:r>
          </w:p>
        </w:tc>
        <w:tc>
          <w:tcPr>
            <w:tcW w:w="1020" w:type="dxa"/>
            <w:vAlign w:val="bottom"/>
            <w:gridSpan w:val="2"/>
            <w:shd w:val="clear" w:color="auto" w:fill="CCEEFF"/>
          </w:tcPr>
          <w:p>
            <w:pPr>
              <w:jc w:val="right"/>
              <w:ind w:right="317"/>
              <w:spacing w:after="0" w:line="178" w:lineRule="exact"/>
              <w:rPr>
                <w:sz w:val="20"/>
                <w:szCs w:val="20"/>
                <w:color w:val="auto"/>
              </w:rPr>
            </w:pPr>
            <w:r>
              <w:rPr>
                <w:rFonts w:ascii="Arial" w:cs="Arial" w:eastAsia="Arial" w:hAnsi="Arial"/>
                <w:sz w:val="16"/>
                <w:szCs w:val="16"/>
                <w:color w:val="auto"/>
              </w:rPr>
              <w:t>19,820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20"/>
              <w:spacing w:after="0" w:line="178" w:lineRule="exact"/>
              <w:rPr>
                <w:sz w:val="20"/>
                <w:szCs w:val="20"/>
                <w:color w:val="auto"/>
              </w:rPr>
            </w:pPr>
            <w:r>
              <w:rPr>
                <w:rFonts w:ascii="Arial" w:cs="Arial" w:eastAsia="Arial" w:hAnsi="Arial"/>
                <w:sz w:val="16"/>
                <w:szCs w:val="16"/>
                <w:color w:val="auto"/>
              </w:rPr>
              <w:t>31,865</w:t>
            </w:r>
          </w:p>
        </w:tc>
        <w:tc>
          <w:tcPr>
            <w:tcW w:w="920" w:type="dxa"/>
            <w:vAlign w:val="bottom"/>
            <w:gridSpan w:val="3"/>
            <w:shd w:val="clear" w:color="auto" w:fill="CCEEFF"/>
          </w:tcPr>
          <w:p>
            <w:pPr>
              <w:jc w:val="right"/>
              <w:ind w:right="180"/>
              <w:spacing w:after="0" w:line="178" w:lineRule="exact"/>
              <w:rPr>
                <w:sz w:val="20"/>
                <w:szCs w:val="20"/>
                <w:color w:val="auto"/>
              </w:rPr>
            </w:pPr>
            <w:r>
              <w:rPr>
                <w:rFonts w:ascii="Arial" w:cs="Arial" w:eastAsia="Arial" w:hAnsi="Arial"/>
                <w:sz w:val="16"/>
                <w:szCs w:val="16"/>
                <w:color w:val="auto"/>
              </w:rPr>
              <w:t>45,609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00" w:type="dxa"/>
            <w:vAlign w:val="bottom"/>
          </w:tcPr>
          <w:p>
            <w:pPr>
              <w:spacing w:after="0" w:line="178" w:lineRule="exact"/>
              <w:rPr>
                <w:sz w:val="20"/>
                <w:szCs w:val="20"/>
                <w:color w:val="auto"/>
              </w:rPr>
            </w:pPr>
            <w:r>
              <w:rPr>
                <w:rFonts w:ascii="Arial" w:cs="Arial" w:eastAsia="Arial" w:hAnsi="Arial"/>
                <w:sz w:val="16"/>
                <w:szCs w:val="16"/>
                <w:color w:val="auto"/>
              </w:rPr>
              <w:t>Interest income and fair value adjustments, net</w:t>
            </w:r>
          </w:p>
        </w:tc>
        <w:tc>
          <w:tcPr>
            <w:tcW w:w="1020" w:type="dxa"/>
            <w:vAlign w:val="bottom"/>
            <w:gridSpan w:val="2"/>
          </w:tcPr>
          <w:p>
            <w:pPr>
              <w:jc w:val="right"/>
              <w:ind w:right="277"/>
              <w:spacing w:after="0" w:line="178" w:lineRule="exact"/>
              <w:rPr>
                <w:sz w:val="20"/>
                <w:szCs w:val="20"/>
                <w:color w:val="auto"/>
              </w:rPr>
            </w:pPr>
            <w:r>
              <w:rPr>
                <w:rFonts w:ascii="Arial" w:cs="Arial" w:eastAsia="Arial" w:hAnsi="Arial"/>
                <w:sz w:val="16"/>
                <w:szCs w:val="16"/>
                <w:color w:val="auto"/>
              </w:rPr>
              <w:t>(10,831)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(4,342)</w:t>
            </w:r>
          </w:p>
        </w:tc>
        <w:tc>
          <w:tcPr>
            <w:tcW w:w="920" w:type="dxa"/>
            <w:vAlign w:val="bottom"/>
            <w:gridSpan w:val="3"/>
          </w:tcPr>
          <w:p>
            <w:pPr>
              <w:jc w:val="right"/>
              <w:ind w:right="120"/>
              <w:spacing w:after="0" w:line="178" w:lineRule="exact"/>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Contribution Profit</w:t>
            </w: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9"/>
              </w:rPr>
              <w:t>$ 13,098</w:t>
            </w:r>
          </w:p>
        </w:tc>
        <w:tc>
          <w:tcPr>
            <w:tcW w:w="38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520"/>
              <w:spacing w:after="0" w:line="178" w:lineRule="exact"/>
              <w:rPr>
                <w:sz w:val="20"/>
                <w:szCs w:val="20"/>
                <w:color w:val="auto"/>
              </w:rPr>
            </w:pPr>
            <w:r>
              <w:rPr>
                <w:rFonts w:ascii="Arial" w:cs="Arial" w:eastAsia="Arial" w:hAnsi="Arial"/>
                <w:sz w:val="16"/>
                <w:szCs w:val="16"/>
                <w:color w:val="auto"/>
              </w:rPr>
              <w:t>48,940</w:t>
            </w:r>
          </w:p>
        </w:tc>
        <w:tc>
          <w:tcPr>
            <w:tcW w:w="920" w:type="dxa"/>
            <w:vAlign w:val="bottom"/>
            <w:gridSpan w:val="3"/>
            <w:shd w:val="clear" w:color="auto" w:fill="CCEEFF"/>
          </w:tcPr>
          <w:p>
            <w:pPr>
              <w:jc w:val="right"/>
              <w:ind w:right="180"/>
              <w:spacing w:after="0" w:line="178"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105,088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300"/>
              <w:spacing w:after="0"/>
              <w:rPr>
                <w:sz w:val="20"/>
                <w:szCs w:val="20"/>
                <w:color w:val="auto"/>
              </w:rPr>
            </w:pPr>
            <w:r>
              <w:rPr>
                <w:rFonts w:ascii="Arial" w:cs="Arial" w:eastAsia="Arial" w:hAnsi="Arial"/>
                <w:sz w:val="16"/>
                <w:szCs w:val="16"/>
                <w:i w:val="1"/>
                <w:iCs w:val="1"/>
                <w:color w:val="auto"/>
              </w:rPr>
              <w:t>Contribution Margin</w:t>
            </w: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vMerge w:val="continue"/>
          </w:tcPr>
          <w:p>
            <w:pPr>
              <w:spacing w:after="0"/>
              <w:rPr>
                <w:sz w:val="16"/>
                <w:szCs w:val="16"/>
                <w:color w:val="auto"/>
              </w:rPr>
            </w:pPr>
          </w:p>
        </w:tc>
        <w:tc>
          <w:tcPr>
            <w:tcW w:w="1020" w:type="dxa"/>
            <w:vAlign w:val="bottom"/>
            <w:gridSpan w:val="2"/>
          </w:tcPr>
          <w:p>
            <w:pPr>
              <w:jc w:val="right"/>
              <w:ind w:right="177"/>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31%</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68580</wp:posOffset>
            </wp:positionV>
            <wp:extent cx="67564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9" w:lineRule="exact"/>
        <w:rPr>
          <w:sz w:val="20"/>
          <w:szCs w:val="20"/>
          <w:color w:val="auto"/>
        </w:rPr>
      </w:pPr>
    </w:p>
    <w:p>
      <w:pPr>
        <w:ind w:left="1280" w:right="40" w:hanging="481"/>
        <w:spacing w:after="0" w:line="227"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Borrower acquisition costs were $61.7 million, $89.6 million and $91.7 million for the years ended December 31, 2018, 2019 and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Arial" w:cs="Arial" w:eastAsia="Arial" w:hAnsi="Arial"/>
          <w:sz w:val="13"/>
          <w:szCs w:val="13"/>
          <w:color w:val="auto"/>
        </w:rPr>
      </w:pPr>
    </w:p>
    <w:p>
      <w:pPr>
        <w:ind w:left="1280" w:hanging="481"/>
        <w:spacing w:after="0" w:line="231" w:lineRule="auto"/>
        <w:tabs>
          <w:tab w:leader="none" w:pos="12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Borrower verification and servicing costs were $13.7 million, $21.3 million and $31.8 million the years ended December 31, 2018, 2019 and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Mar. 31,</w:t>
            </w:r>
          </w:p>
        </w:tc>
        <w:tc>
          <w:tcPr>
            <w:tcW w:w="80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Jun. 30,</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Sep. 30,</w:t>
            </w:r>
          </w:p>
        </w:tc>
        <w:tc>
          <w:tcPr>
            <w:tcW w:w="100" w:type="dxa"/>
            <w:vAlign w:val="bottom"/>
          </w:tcPr>
          <w:p>
            <w:pPr>
              <w:spacing w:after="0"/>
              <w:rPr>
                <w:sz w:val="10"/>
                <w:szCs w:val="10"/>
                <w:color w:val="auto"/>
              </w:rPr>
            </w:pPr>
          </w:p>
        </w:tc>
        <w:tc>
          <w:tcPr>
            <w:tcW w:w="68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3"/>
                <w:szCs w:val="13"/>
                <w:b w:val="1"/>
                <w:bCs w:val="1"/>
                <w:color w:val="auto"/>
                <w:w w:val="90"/>
              </w:rPr>
              <w:t>Mar. 31,</w:t>
            </w:r>
          </w:p>
        </w:tc>
        <w:tc>
          <w:tcPr>
            <w:tcW w:w="7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3"/>
              </w:rPr>
              <w:t>Sep. 30,</w:t>
            </w:r>
          </w:p>
        </w:tc>
        <w:tc>
          <w:tcPr>
            <w:tcW w:w="4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3"/>
              </w:rPr>
              <w:t>Dec.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46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thousands)</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2019</w:t>
            </w:r>
          </w:p>
        </w:tc>
        <w:tc>
          <w:tcPr>
            <w:tcW w:w="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6"/>
              </w:rPr>
              <w:t>2019</w:t>
            </w:r>
          </w:p>
        </w:tc>
        <w:tc>
          <w:tcPr>
            <w:tcW w:w="3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4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Revenue from fees, net</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3"/>
                <w:szCs w:val="13"/>
                <w:color w:val="auto"/>
                <w:w w:val="90"/>
              </w:rPr>
              <w:t>22,242</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line="134" w:lineRule="exact"/>
              <w:rPr>
                <w:sz w:val="20"/>
                <w:szCs w:val="20"/>
                <w:color w:val="auto"/>
              </w:rPr>
            </w:pPr>
            <w:r>
              <w:rPr>
                <w:rFonts w:ascii="Arial" w:cs="Arial" w:eastAsia="Arial" w:hAnsi="Arial"/>
                <w:sz w:val="13"/>
                <w:szCs w:val="13"/>
                <w:color w:val="auto"/>
                <w:w w:val="90"/>
              </w:rPr>
              <w:t>28,558</w:t>
            </w:r>
          </w:p>
        </w:tc>
        <w:tc>
          <w:tcPr>
            <w:tcW w:w="6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w w:val="90"/>
              </w:rPr>
              <w:t>$ 47,899</w:t>
            </w:r>
          </w:p>
        </w:tc>
        <w:tc>
          <w:tcPr>
            <w:tcW w:w="780" w:type="dxa"/>
            <w:vAlign w:val="bottom"/>
            <w:gridSpan w:val="3"/>
            <w:shd w:val="clear" w:color="auto" w:fill="CCEEFF"/>
          </w:tcPr>
          <w:p>
            <w:pPr>
              <w:jc w:val="right"/>
              <w:ind w:right="200"/>
              <w:spacing w:after="0" w:line="134" w:lineRule="exact"/>
              <w:rPr>
                <w:sz w:val="20"/>
                <w:szCs w:val="20"/>
                <w:color w:val="auto"/>
              </w:rPr>
            </w:pPr>
            <w:r>
              <w:rPr>
                <w:rFonts w:ascii="Arial" w:cs="Arial" w:eastAsia="Arial" w:hAnsi="Arial"/>
                <w:sz w:val="13"/>
                <w:szCs w:val="13"/>
                <w:color w:val="auto"/>
              </w:rPr>
              <w:t>$ 61,148</w:t>
            </w:r>
          </w:p>
        </w:tc>
        <w:tc>
          <w:tcPr>
            <w:tcW w:w="880" w:type="dxa"/>
            <w:vAlign w:val="bottom"/>
            <w:gridSpan w:val="3"/>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$ 68,013</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40"/>
              <w:spacing w:after="0" w:line="134" w:lineRule="exact"/>
              <w:rPr>
                <w:sz w:val="20"/>
                <w:szCs w:val="20"/>
                <w:color w:val="auto"/>
              </w:rPr>
            </w:pPr>
            <w:r>
              <w:rPr>
                <w:rFonts w:ascii="Arial" w:cs="Arial" w:eastAsia="Arial" w:hAnsi="Arial"/>
                <w:sz w:val="13"/>
                <w:szCs w:val="13"/>
                <w:color w:val="auto"/>
              </w:rPr>
              <w:t>13,305</w:t>
            </w:r>
          </w:p>
        </w:tc>
        <w:tc>
          <w:tcPr>
            <w:tcW w:w="880" w:type="dxa"/>
            <w:vAlign w:val="bottom"/>
            <w:gridSpan w:val="3"/>
            <w:shd w:val="clear" w:color="auto" w:fill="CCEEFF"/>
          </w:tcPr>
          <w:p>
            <w:pPr>
              <w:jc w:val="right"/>
              <w:ind w:right="300"/>
              <w:spacing w:after="0" w:line="134" w:lineRule="exact"/>
              <w:rPr>
                <w:sz w:val="20"/>
                <w:szCs w:val="20"/>
                <w:color w:val="auto"/>
              </w:rPr>
            </w:pPr>
            <w:r>
              <w:rPr>
                <w:rFonts w:ascii="Arial" w:cs="Arial" w:eastAsia="Arial" w:hAnsi="Arial"/>
                <w:sz w:val="13"/>
                <w:szCs w:val="13"/>
                <w:color w:val="auto"/>
              </w:rPr>
              <w:t>$ 62,861</w:t>
            </w:r>
          </w:p>
        </w:tc>
        <w:tc>
          <w:tcPr>
            <w:tcW w:w="62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w w:val="90"/>
              </w:rPr>
              <w:t>$ 84,421</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color w:val="auto"/>
              </w:rPr>
              <w:t>Income (loss) from operations</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Arial" w:cs="Arial" w:eastAsia="Arial" w:hAnsi="Arial"/>
                <w:sz w:val="13"/>
                <w:szCs w:val="13"/>
                <w:color w:val="auto"/>
                <w:w w:val="97"/>
              </w:rPr>
              <w:t>(8,454)</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(1,625)</w:t>
            </w: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1,988</w:t>
            </w: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3"/>
                <w:szCs w:val="13"/>
                <w:color w:val="auto"/>
              </w:rPr>
              <w:t>3,516</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553</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w w:val="94"/>
              </w:rPr>
              <w:t>(11,388)</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12,207</w:t>
            </w: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10,393</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spacing w:after="0" w:line="142" w:lineRule="exact"/>
              <w:rPr>
                <w:sz w:val="20"/>
                <w:szCs w:val="20"/>
                <w:color w:val="auto"/>
              </w:rPr>
            </w:pPr>
            <w:r>
              <w:rPr>
                <w:rFonts w:ascii="Arial" w:cs="Arial" w:eastAsia="Arial" w:hAnsi="Arial"/>
                <w:sz w:val="13"/>
                <w:szCs w:val="13"/>
                <w:i w:val="1"/>
                <w:iCs w:val="1"/>
                <w:color w:val="auto"/>
              </w:rPr>
              <w:t>Operating Margin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(6)%</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4%</w:t>
            </w:r>
          </w:p>
        </w:tc>
        <w:tc>
          <w:tcPr>
            <w:tcW w:w="7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6%</w:t>
            </w:r>
          </w:p>
        </w:tc>
        <w:tc>
          <w:tcPr>
            <w:tcW w:w="8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(86)%</w:t>
            </w:r>
          </w:p>
        </w:tc>
        <w:tc>
          <w:tcPr>
            <w:tcW w:w="8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19%</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0"/>
                <w:szCs w:val="10"/>
                <w:color w:val="auto"/>
              </w:rPr>
              <w:t>Sales and marketing, net of borrower acquisition costs</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869</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848</w:t>
            </w: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754</w:t>
            </w: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3"/>
                <w:szCs w:val="13"/>
                <w:color w:val="auto"/>
              </w:rPr>
              <w:t>1,135</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1,249</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1,858</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2,542</w:t>
            </w: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2,308</w:t>
            </w:r>
          </w:p>
        </w:tc>
        <w:tc>
          <w:tcPr>
            <w:tcW w:w="0" w:type="dxa"/>
            <w:vAlign w:val="bottom"/>
          </w:tcPr>
          <w:p>
            <w:pPr>
              <w:spacing w:after="0"/>
              <w:rPr>
                <w:sz w:val="1"/>
                <w:szCs w:val="1"/>
                <w:color w:val="auto"/>
              </w:rPr>
            </w:pPr>
          </w:p>
        </w:tc>
      </w:tr>
      <w:tr>
        <w:trPr>
          <w:trHeight w:val="140"/>
        </w:trPr>
        <w:tc>
          <w:tcPr>
            <w:tcW w:w="34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Customer operations, net of borrower verification and</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shd w:val="clear" w:color="auto" w:fill="CCEEFF"/>
          </w:tcPr>
          <w:p>
            <w:pPr>
              <w:ind w:left="120"/>
              <w:spacing w:after="0" w:line="145" w:lineRule="exact"/>
              <w:rPr>
                <w:sz w:val="20"/>
                <w:szCs w:val="20"/>
                <w:color w:val="auto"/>
              </w:rPr>
            </w:pPr>
            <w:r>
              <w:rPr>
                <w:rFonts w:ascii="Arial" w:cs="Arial" w:eastAsia="Arial" w:hAnsi="Arial"/>
                <w:sz w:val="10"/>
                <w:szCs w:val="10"/>
                <w:color w:val="auto"/>
              </w:rPr>
              <w:t>servicing costs</w:t>
            </w:r>
            <w:r>
              <w:rPr>
                <w:rFonts w:ascii="Arial" w:cs="Arial" w:eastAsia="Arial" w:hAnsi="Arial"/>
                <w:sz w:val="16"/>
                <w:szCs w:val="16"/>
                <w:color w:val="auto"/>
                <w:vertAlign w:val="superscript"/>
              </w:rPr>
              <w:t>(2)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4" w:lineRule="exact"/>
              <w:rPr>
                <w:sz w:val="20"/>
                <w:szCs w:val="20"/>
                <w:color w:val="auto"/>
              </w:rPr>
            </w:pPr>
            <w:r>
              <w:rPr>
                <w:rFonts w:ascii="Arial" w:cs="Arial" w:eastAsia="Arial" w:hAnsi="Arial"/>
                <w:sz w:val="13"/>
                <w:szCs w:val="13"/>
                <w:color w:val="auto"/>
              </w:rPr>
              <w:t>556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4" w:lineRule="exact"/>
              <w:rPr>
                <w:sz w:val="20"/>
                <w:szCs w:val="20"/>
                <w:color w:val="auto"/>
              </w:rPr>
            </w:pPr>
            <w:r>
              <w:rPr>
                <w:rFonts w:ascii="Arial" w:cs="Arial" w:eastAsia="Arial" w:hAnsi="Arial"/>
                <w:sz w:val="13"/>
                <w:szCs w:val="13"/>
                <w:color w:val="auto"/>
              </w:rPr>
              <w:t>773</w:t>
            </w:r>
          </w:p>
        </w:tc>
        <w:tc>
          <w:tcPr>
            <w:tcW w:w="680" w:type="dxa"/>
            <w:vAlign w:val="bottom"/>
            <w:gridSpan w:val="2"/>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890</w:t>
            </w:r>
          </w:p>
        </w:tc>
        <w:tc>
          <w:tcPr>
            <w:tcW w:w="780" w:type="dxa"/>
            <w:vAlign w:val="bottom"/>
            <w:gridSpan w:val="3"/>
            <w:shd w:val="clear" w:color="auto" w:fill="CCEEFF"/>
          </w:tcPr>
          <w:p>
            <w:pPr>
              <w:jc w:val="right"/>
              <w:ind w:right="200"/>
              <w:spacing w:after="0" w:line="144" w:lineRule="exact"/>
              <w:rPr>
                <w:sz w:val="20"/>
                <w:szCs w:val="20"/>
                <w:color w:val="auto"/>
              </w:rPr>
            </w:pPr>
            <w:r>
              <w:rPr>
                <w:rFonts w:ascii="Arial" w:cs="Arial" w:eastAsia="Arial" w:hAnsi="Arial"/>
                <w:sz w:val="13"/>
                <w:szCs w:val="13"/>
                <w:color w:val="auto"/>
              </w:rPr>
              <w:t>1,390</w:t>
            </w:r>
          </w:p>
        </w:tc>
        <w:tc>
          <w:tcPr>
            <w:tcW w:w="880" w:type="dxa"/>
            <w:vAlign w:val="bottom"/>
            <w:gridSpan w:val="3"/>
            <w:shd w:val="clear" w:color="auto" w:fill="CCEEFF"/>
          </w:tcPr>
          <w:p>
            <w:pPr>
              <w:jc w:val="right"/>
              <w:ind w:right="300"/>
              <w:spacing w:after="0" w:line="144" w:lineRule="exact"/>
              <w:rPr>
                <w:sz w:val="20"/>
                <w:szCs w:val="20"/>
                <w:color w:val="auto"/>
              </w:rPr>
            </w:pPr>
            <w:r>
              <w:rPr>
                <w:rFonts w:ascii="Arial" w:cs="Arial" w:eastAsia="Arial" w:hAnsi="Arial"/>
                <w:sz w:val="13"/>
                <w:szCs w:val="13"/>
                <w:color w:val="auto"/>
              </w:rPr>
              <w:t>1,161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3"/>
                <w:szCs w:val="13"/>
                <w:color w:val="auto"/>
              </w:rPr>
              <w:t>1,150</w:t>
            </w:r>
          </w:p>
        </w:tc>
        <w:tc>
          <w:tcPr>
            <w:tcW w:w="880" w:type="dxa"/>
            <w:vAlign w:val="bottom"/>
            <w:gridSpan w:val="3"/>
            <w:shd w:val="clear" w:color="auto" w:fill="CCEEFF"/>
          </w:tcPr>
          <w:p>
            <w:pPr>
              <w:jc w:val="right"/>
              <w:ind w:right="300"/>
              <w:spacing w:after="0" w:line="144" w:lineRule="exact"/>
              <w:rPr>
                <w:sz w:val="20"/>
                <w:szCs w:val="20"/>
                <w:color w:val="auto"/>
              </w:rPr>
            </w:pPr>
            <w:r>
              <w:rPr>
                <w:rFonts w:ascii="Arial" w:cs="Arial" w:eastAsia="Arial" w:hAnsi="Arial"/>
                <w:sz w:val="13"/>
                <w:szCs w:val="13"/>
                <w:color w:val="auto"/>
              </w:rPr>
              <w:t>1,462</w:t>
            </w:r>
          </w:p>
        </w:tc>
        <w:tc>
          <w:tcPr>
            <w:tcW w:w="62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1,996</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color w:val="auto"/>
              </w:rPr>
              <w:t>Engineering and product development</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2,932</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3,485</w:t>
            </w: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5,063</w:t>
            </w:r>
          </w:p>
        </w:tc>
        <w:tc>
          <w:tcPr>
            <w:tcW w:w="780" w:type="dxa"/>
            <w:vAlign w:val="bottom"/>
            <w:gridSpan w:val="3"/>
          </w:tcPr>
          <w:p>
            <w:pPr>
              <w:jc w:val="right"/>
              <w:ind w:right="200"/>
              <w:spacing w:after="0" w:line="142" w:lineRule="exact"/>
              <w:rPr>
                <w:sz w:val="20"/>
                <w:szCs w:val="20"/>
                <w:color w:val="auto"/>
              </w:rPr>
            </w:pPr>
            <w:r>
              <w:rPr>
                <w:rFonts w:ascii="Arial" w:cs="Arial" w:eastAsia="Arial" w:hAnsi="Arial"/>
                <w:sz w:val="13"/>
                <w:szCs w:val="13"/>
                <w:color w:val="auto"/>
              </w:rPr>
              <w:t>7,297</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7,018</w:t>
            </w:r>
          </w:p>
        </w:tc>
        <w:tc>
          <w:tcPr>
            <w:tcW w:w="6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7,667</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9,966</w:t>
            </w: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14,151</w:t>
            </w:r>
          </w:p>
        </w:tc>
        <w:tc>
          <w:tcPr>
            <w:tcW w:w="0" w:type="dxa"/>
            <w:vAlign w:val="bottom"/>
          </w:tcPr>
          <w:p>
            <w:pPr>
              <w:spacing w:after="0"/>
              <w:rPr>
                <w:sz w:val="1"/>
                <w:szCs w:val="1"/>
                <w:color w:val="auto"/>
              </w:rPr>
            </w:pPr>
          </w:p>
        </w:tc>
      </w:tr>
      <w:tr>
        <w:trPr>
          <w:trHeight w:val="142"/>
        </w:trPr>
        <w:tc>
          <w:tcPr>
            <w:tcW w:w="34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General, administrative, and 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3"/>
                <w:szCs w:val="13"/>
                <w:color w:val="auto"/>
              </w:rPr>
              <w:t>6,022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3"/>
                <w:szCs w:val="13"/>
                <w:color w:val="auto"/>
              </w:rPr>
              <w:t>5,959</w:t>
            </w:r>
          </w:p>
        </w:tc>
        <w:tc>
          <w:tcPr>
            <w:tcW w:w="6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8,418</w:t>
            </w:r>
          </w:p>
        </w:tc>
        <w:tc>
          <w:tcPr>
            <w:tcW w:w="7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11,466</w:t>
            </w: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11,660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9,017</w:t>
            </w: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10,101</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14,831</w:t>
            </w: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color w:val="auto"/>
              </w:rPr>
              <w:t>Interest income and fair value adjustments, net</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line="142" w:lineRule="exact"/>
              <w:rPr>
                <w:sz w:val="20"/>
                <w:szCs w:val="20"/>
                <w:color w:val="auto"/>
              </w:rPr>
            </w:pPr>
            <w:r>
              <w:rPr>
                <w:rFonts w:ascii="Arial" w:cs="Arial" w:eastAsia="Arial" w:hAnsi="Arial"/>
                <w:sz w:val="13"/>
                <w:szCs w:val="13"/>
                <w:color w:val="auto"/>
              </w:rPr>
              <w:t>2,631</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(3,961)</w:t>
            </w: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(1,588)</w:t>
            </w:r>
          </w:p>
        </w:tc>
        <w:tc>
          <w:tcPr>
            <w:tcW w:w="780" w:type="dxa"/>
            <w:vAlign w:val="bottom"/>
            <w:gridSpan w:val="3"/>
          </w:tcPr>
          <w:p>
            <w:pPr>
              <w:jc w:val="right"/>
              <w:ind w:right="160"/>
              <w:spacing w:after="0" w:line="142" w:lineRule="exact"/>
              <w:rPr>
                <w:sz w:val="20"/>
                <w:szCs w:val="20"/>
                <w:color w:val="auto"/>
              </w:rPr>
            </w:pPr>
            <w:r>
              <w:rPr>
                <w:rFonts w:ascii="Arial" w:cs="Arial" w:eastAsia="Arial" w:hAnsi="Arial"/>
                <w:sz w:val="13"/>
                <w:szCs w:val="13"/>
                <w:color w:val="auto"/>
              </w:rPr>
              <w:t>(1,424)</w:t>
            </w: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3"/>
                <w:szCs w:val="13"/>
                <w:color w:val="auto"/>
              </w:rPr>
              <w:t>4,019</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(4,048)</w:t>
            </w:r>
          </w:p>
        </w:tc>
        <w:tc>
          <w:tcPr>
            <w:tcW w:w="880" w:type="dxa"/>
            <w:vAlign w:val="bottom"/>
            <w:gridSpan w:val="3"/>
          </w:tcPr>
          <w:p>
            <w:pPr>
              <w:jc w:val="right"/>
              <w:ind w:right="260"/>
              <w:spacing w:after="0" w:line="142" w:lineRule="exact"/>
              <w:rPr>
                <w:sz w:val="20"/>
                <w:szCs w:val="20"/>
                <w:color w:val="auto"/>
              </w:rPr>
            </w:pPr>
            <w:r>
              <w:rPr>
                <w:rFonts w:ascii="Arial" w:cs="Arial" w:eastAsia="Arial" w:hAnsi="Arial"/>
                <w:sz w:val="13"/>
                <w:szCs w:val="13"/>
                <w:color w:val="auto"/>
              </w:rPr>
              <w:t>(2,498)</w:t>
            </w:r>
          </w:p>
        </w:tc>
        <w:tc>
          <w:tcPr>
            <w:tcW w:w="6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(2,289)</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46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Contribution Profit</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3"/>
                <w:szCs w:val="13"/>
                <w:color w:val="auto"/>
              </w:rPr>
              <w:t>4,556</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3"/>
                <w:szCs w:val="13"/>
                <w:color w:val="auto"/>
              </w:rPr>
              <w:t>5,479</w:t>
            </w:r>
          </w:p>
        </w:tc>
        <w:tc>
          <w:tcPr>
            <w:tcW w:w="6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w w:val="90"/>
              </w:rPr>
              <w:t>$ 15,525</w:t>
            </w:r>
          </w:p>
        </w:tc>
        <w:tc>
          <w:tcPr>
            <w:tcW w:w="780" w:type="dxa"/>
            <w:vAlign w:val="bottom"/>
            <w:gridSpan w:val="3"/>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$ 23,380</w:t>
            </w: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$ 25,660</w:t>
            </w: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4,256</w:t>
            </w: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3"/>
                <w:szCs w:val="13"/>
                <w:color w:val="auto"/>
              </w:rPr>
              <w:t>$ 33,780</w:t>
            </w: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w w:val="90"/>
              </w:rPr>
              <w:t>$ 41,390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60"/>
              <w:spacing w:after="0"/>
              <w:rPr>
                <w:sz w:val="20"/>
                <w:szCs w:val="20"/>
                <w:color w:val="auto"/>
              </w:rPr>
            </w:pPr>
            <w:r>
              <w:rPr>
                <w:rFonts w:ascii="Arial" w:cs="Arial" w:eastAsia="Arial" w:hAnsi="Arial"/>
                <w:sz w:val="13"/>
                <w:szCs w:val="13"/>
                <w:i w:val="1"/>
                <w:iCs w:val="1"/>
                <w:color w:val="auto"/>
              </w:rPr>
              <w:t>Contribution Margin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20%</w:t>
            </w: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32%</w:t>
            </w:r>
          </w:p>
        </w:tc>
        <w:tc>
          <w:tcPr>
            <w:tcW w:w="780" w:type="dxa"/>
            <w:vAlign w:val="bottom"/>
            <w:gridSpan w:val="3"/>
          </w:tcPr>
          <w:p>
            <w:pPr>
              <w:jc w:val="right"/>
              <w:ind w:right="80"/>
              <w:spacing w:after="0" w:line="144" w:lineRule="exact"/>
              <w:rPr>
                <w:sz w:val="20"/>
                <w:szCs w:val="20"/>
                <w:color w:val="auto"/>
              </w:rPr>
            </w:pPr>
            <w:r>
              <w:rPr>
                <w:rFonts w:ascii="Arial" w:cs="Arial" w:eastAsia="Arial" w:hAnsi="Arial"/>
                <w:sz w:val="13"/>
                <w:szCs w:val="13"/>
                <w:color w:val="auto"/>
              </w:rPr>
              <w:t>38%</w:t>
            </w:r>
          </w:p>
        </w:tc>
        <w:tc>
          <w:tcPr>
            <w:tcW w:w="88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32%</w:t>
            </w:r>
          </w:p>
        </w:tc>
        <w:tc>
          <w:tcPr>
            <w:tcW w:w="880" w:type="dxa"/>
            <w:vAlign w:val="bottom"/>
            <w:gridSpan w:val="3"/>
          </w:tcPr>
          <w:p>
            <w:pPr>
              <w:jc w:val="right"/>
              <w:ind w:right="200"/>
              <w:spacing w:after="0" w:line="144" w:lineRule="exact"/>
              <w:rPr>
                <w:sz w:val="20"/>
                <w:szCs w:val="20"/>
                <w:color w:val="auto"/>
              </w:rPr>
            </w:pPr>
            <w:r>
              <w:rPr>
                <w:rFonts w:ascii="Arial" w:cs="Arial" w:eastAsia="Arial" w:hAnsi="Arial"/>
                <w:sz w:val="13"/>
                <w:szCs w:val="13"/>
                <w:color w:val="auto"/>
              </w:rPr>
              <w:t>54%</w:t>
            </w:r>
          </w:p>
        </w:tc>
        <w:tc>
          <w:tcPr>
            <w:tcW w:w="620" w:type="dxa"/>
            <w:vAlign w:val="bottom"/>
            <w:gridSpan w:val="2"/>
          </w:tcPr>
          <w:p>
            <w:pPr>
              <w:jc w:val="right"/>
              <w:ind w:right="40"/>
              <w:spacing w:after="0" w:line="144"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66040</wp:posOffset>
            </wp:positionV>
            <wp:extent cx="67564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5" w:lineRule="exact"/>
        <w:rPr>
          <w:sz w:val="20"/>
          <w:szCs w:val="20"/>
          <w:color w:val="auto"/>
        </w:rPr>
      </w:pPr>
    </w:p>
    <w:p>
      <w:pPr>
        <w:ind w:left="1280" w:right="20" w:hanging="481"/>
        <w:spacing w:after="0" w:line="227"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Borrower acquisition costs were $13.7 million, $18.5 million, $26.6 million, and $30.8 million for the three months ended March 31, 2019, June 30, 2019, September 30, 2019 and December 31, 2019, respectively; $34.7 million, $3.6 million, $21.2 million, and $32.2 million for the three months ended March 31, 2020, June 30, 2020, September 30, 2020, and December 31,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2" w:lineRule="exact"/>
        <w:rPr>
          <w:rFonts w:ascii="Arial" w:cs="Arial" w:eastAsia="Arial" w:hAnsi="Arial"/>
          <w:sz w:val="13"/>
          <w:szCs w:val="13"/>
          <w:color w:val="auto"/>
        </w:rPr>
      </w:pPr>
    </w:p>
    <w:p>
      <w:pPr>
        <w:ind w:left="1280" w:right="240" w:hanging="481"/>
        <w:spacing w:after="0" w:line="236" w:lineRule="auto"/>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Borrower verification and servicing costs were $4.0 million, $4.6 million, $5.8 million and $7.0 million for the three months ended March 31, 2019, June 30, 2019, September 30, 2019 and December 31, 2019, respectively; $7.7 million, $5.5</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440"/>
          </w:cols>
          <w:pgMar w:left="320" w:top="419" w:right="11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1280"/>
        <w:spacing w:after="0" w:line="231" w:lineRule="auto"/>
        <w:rPr>
          <w:sz w:val="20"/>
          <w:szCs w:val="20"/>
          <w:color w:val="auto"/>
        </w:rPr>
      </w:pPr>
      <w:r>
        <w:rPr>
          <w:rFonts w:ascii="Arial" w:cs="Arial" w:eastAsia="Arial" w:hAnsi="Arial"/>
          <w:sz w:val="13"/>
          <w:szCs w:val="13"/>
          <w:color w:val="auto"/>
        </w:rPr>
        <w:t>million, $7.9 million, and $10.8 million for the three months ended March 31, 2020, June 30, 2020, September 30, 2020, and December 31,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Adjusted EBITDA and Adjusted EBITDA Margin</w:t>
      </w:r>
    </w:p>
    <w:p>
      <w:pPr>
        <w:spacing w:after="0" w:line="106" w:lineRule="exact"/>
        <w:rPr>
          <w:sz w:val="20"/>
          <w:szCs w:val="20"/>
          <w:color w:val="auto"/>
        </w:rPr>
      </w:pPr>
    </w:p>
    <w:p>
      <w:pPr>
        <w:ind w:left="800" w:right="760" w:firstLine="482"/>
        <w:spacing w:after="0" w:line="238" w:lineRule="auto"/>
        <w:rPr>
          <w:sz w:val="20"/>
          <w:szCs w:val="20"/>
          <w:color w:val="auto"/>
        </w:rPr>
      </w:pPr>
      <w:r>
        <w:rPr>
          <w:rFonts w:ascii="Arial" w:cs="Arial" w:eastAsia="Arial" w:hAnsi="Arial"/>
          <w:sz w:val="16"/>
          <w:szCs w:val="16"/>
          <w:color w:val="auto"/>
        </w:rPr>
        <w:t>We believe that Adjusted EBITDA and Adjusted EBITDA Margin are useful for investors to use in comparing our financial performance with the performance of other companies for the following reasons:</w:t>
      </w:r>
    </w:p>
    <w:p>
      <w:pPr>
        <w:spacing w:after="0" w:line="96" w:lineRule="exact"/>
        <w:rPr>
          <w:sz w:val="20"/>
          <w:szCs w:val="20"/>
          <w:color w:val="auto"/>
        </w:rPr>
      </w:pPr>
    </w:p>
    <w:p>
      <w:pPr>
        <w:ind w:left="1460" w:right="20" w:hanging="188"/>
        <w:spacing w:after="0" w:line="258" w:lineRule="auto"/>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82" w:lineRule="exact"/>
        <w:rPr>
          <w:rFonts w:ascii="Arial" w:cs="Arial" w:eastAsia="Arial" w:hAnsi="Arial"/>
          <w:sz w:val="15"/>
          <w:szCs w:val="15"/>
          <w:color w:val="auto"/>
        </w:rPr>
      </w:pPr>
    </w:p>
    <w:p>
      <w:pPr>
        <w:ind w:left="1460" w:right="540" w:hanging="188"/>
        <w:spacing w:after="0" w:line="269" w:lineRule="auto"/>
        <w:tabs>
          <w:tab w:leader="none" w:pos="1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Adjusted EBITDA and Adjusted EBITDA Margin eliminate the impact of certain items such as stock- based compensation expense and warrant expense that may obscure trends in the underlying performance of our business; and</w:t>
      </w:r>
    </w:p>
    <w:p>
      <w:pPr>
        <w:spacing w:after="0" w:line="74" w:lineRule="exact"/>
        <w:rPr>
          <w:rFonts w:ascii="Arial" w:cs="Arial" w:eastAsia="Arial" w:hAnsi="Arial"/>
          <w:sz w:val="15"/>
          <w:szCs w:val="15"/>
          <w:color w:val="auto"/>
        </w:rPr>
      </w:pPr>
    </w:p>
    <w:p>
      <w:pPr>
        <w:ind w:left="1460" w:right="100" w:hanging="188"/>
        <w:spacing w:after="0" w:line="236"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Adjusted EBITDA and Adjusted EBITDA Margin provide consistency and comparability with our past financial performance, and facilitates comparisons with other companies, many of which use similar non-GAAP financial measures to supplement their GAAP results.</w:t>
      </w:r>
    </w:p>
    <w:p>
      <w:pPr>
        <w:spacing w:after="0" w:line="84"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Our use of Adjusted EBITDA and Adjusted EBITDA Margin have limitations as analytical tools, and you should not consider these measures in isolation or as a substitute for analysis of our financial results as reported under GAAP. Some of these limitations are as follows:</w:t>
      </w:r>
    </w:p>
    <w:p>
      <w:pPr>
        <w:spacing w:after="0" w:line="96" w:lineRule="exact"/>
        <w:rPr>
          <w:sz w:val="20"/>
          <w:szCs w:val="20"/>
          <w:color w:val="auto"/>
        </w:rPr>
      </w:pPr>
    </w:p>
    <w:p>
      <w:pPr>
        <w:jc w:val="both"/>
        <w:ind w:left="1460" w:right="200" w:hanging="188"/>
        <w:spacing w:after="0" w:line="236"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w:t>
      </w:r>
    </w:p>
    <w:p>
      <w:pPr>
        <w:spacing w:after="0" w:line="95" w:lineRule="exact"/>
        <w:rPr>
          <w:rFonts w:ascii="Arial" w:cs="Arial" w:eastAsia="Arial" w:hAnsi="Arial"/>
          <w:sz w:val="16"/>
          <w:szCs w:val="16"/>
          <w:color w:val="auto"/>
        </w:rPr>
      </w:pPr>
    </w:p>
    <w:p>
      <w:pPr>
        <w:ind w:left="1460" w:right="60" w:hanging="188"/>
        <w:spacing w:after="0" w:line="236"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and Adjusted EBITDA Margin exclude stock-based compensation expense, which has been, and will continue to be for the foreseeable future, a significant recurring expense for our business and an important part of our compensation strategy;</w:t>
      </w:r>
    </w:p>
    <w:p>
      <w:pPr>
        <w:spacing w:after="0" w:line="95" w:lineRule="exact"/>
        <w:rPr>
          <w:rFonts w:ascii="Arial" w:cs="Arial" w:eastAsia="Arial" w:hAnsi="Arial"/>
          <w:sz w:val="16"/>
          <w:szCs w:val="16"/>
          <w:color w:val="auto"/>
        </w:rPr>
      </w:pPr>
    </w:p>
    <w:p>
      <w:pPr>
        <w:ind w:left="1460" w:right="320" w:hanging="188"/>
        <w:spacing w:after="0" w:line="236"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95" w:lineRule="exact"/>
        <w:rPr>
          <w:rFonts w:ascii="Arial" w:cs="Arial" w:eastAsia="Arial" w:hAnsi="Arial"/>
          <w:sz w:val="16"/>
          <w:szCs w:val="16"/>
          <w:color w:val="auto"/>
        </w:rPr>
      </w:pPr>
    </w:p>
    <w:p>
      <w:pPr>
        <w:ind w:left="1460" w:right="260" w:hanging="188"/>
        <w:spacing w:after="0" w:line="236" w:lineRule="auto"/>
        <w:tabs>
          <w:tab w:leader="none" w:pos="1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Because of these limitations, Adjusted EBITDA and Adjusted EBITDA Margin should be considered along with other operating and financial performance measures presented in accordance with GAAP. The following table provides a reconciliation of net income (loss) attributable to Upstart Holdings, Inc. common stockholders to Adjusted EBITDA and net income (loss) margin to Adjusted EBITDA Margin. We define net income (loss) margin as net income (loss) attributable to Upstart Holdings, Inc. common stockholders divided by total revenue.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440"/>
          </w:cols>
          <w:pgMar w:left="320" w:top="419" w:right="11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40" w:type="dxa"/>
            <w:vAlign w:val="bottom"/>
            <w:gridSpan w:val="7"/>
          </w:tcPr>
          <w:p>
            <w:pPr>
              <w:jc w:val="right"/>
              <w:ind w:right="780"/>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34"/>
        </w:trPr>
        <w:tc>
          <w:tcPr>
            <w:tcW w:w="576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89"/>
              <w:spacing w:after="0" w:line="134" w:lineRule="exact"/>
              <w:rPr>
                <w:sz w:val="20"/>
                <w:szCs w:val="20"/>
                <w:color w:val="auto"/>
              </w:rPr>
            </w:pPr>
            <w:r>
              <w:rPr>
                <w:rFonts w:ascii="Arial" w:cs="Arial" w:eastAsia="Arial" w:hAnsi="Arial"/>
                <w:sz w:val="13"/>
                <w:szCs w:val="13"/>
                <w:b w:val="1"/>
                <w:bCs w:val="1"/>
                <w:color w:val="auto"/>
              </w:rPr>
              <w:t>2018</w:t>
            </w:r>
          </w:p>
        </w:tc>
        <w:tc>
          <w:tcPr>
            <w:tcW w:w="4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87"/>
              <w:spacing w:after="0" w:line="134"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revenue</w:t>
            </w:r>
          </w:p>
        </w:tc>
        <w:tc>
          <w:tcPr>
            <w:tcW w:w="15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$ 99,313</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8"/>
              </w:rPr>
              <w:t>164,189</w:t>
            </w:r>
          </w:p>
        </w:tc>
        <w:tc>
          <w:tcPr>
            <w:tcW w:w="3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$ 233,416</w:t>
            </w:r>
          </w:p>
        </w:tc>
        <w:tc>
          <w:tcPr>
            <w:tcW w:w="0" w:type="dxa"/>
            <w:vAlign w:val="bottom"/>
          </w:tcPr>
          <w:p>
            <w:pPr>
              <w:spacing w:after="0"/>
              <w:rPr>
                <w:sz w:val="1"/>
                <w:szCs w:val="1"/>
                <w:color w:val="auto"/>
              </w:rPr>
            </w:pPr>
          </w:p>
        </w:tc>
      </w:tr>
      <w:tr>
        <w:trPr>
          <w:trHeight w:val="166"/>
        </w:trPr>
        <w:tc>
          <w:tcPr>
            <w:tcW w:w="5760" w:type="dxa"/>
            <w:vAlign w:val="bottom"/>
          </w:tcPr>
          <w:p>
            <w:pPr>
              <w:spacing w:after="0"/>
              <w:rPr>
                <w:sz w:val="20"/>
                <w:szCs w:val="20"/>
                <w:color w:val="auto"/>
              </w:rPr>
            </w:pPr>
            <w:r>
              <w:rPr>
                <w:rFonts w:ascii="Arial" w:cs="Arial" w:eastAsia="Arial" w:hAnsi="Arial"/>
                <w:sz w:val="14"/>
                <w:szCs w:val="14"/>
                <w:color w:val="auto"/>
              </w:rPr>
              <w:t>Net income (loss) attributable to Upstart Holdings, Inc. common stockholders</w:t>
            </w:r>
          </w:p>
        </w:tc>
        <w:tc>
          <w:tcPr>
            <w:tcW w:w="2000" w:type="dxa"/>
            <w:vAlign w:val="bottom"/>
            <w:gridSpan w:val="3"/>
          </w:tcPr>
          <w:p>
            <w:pPr>
              <w:jc w:val="right"/>
              <w:ind w:right="357"/>
              <w:spacing w:after="0"/>
              <w:rPr>
                <w:sz w:val="20"/>
                <w:szCs w:val="20"/>
                <w:color w:val="auto"/>
              </w:rPr>
            </w:pPr>
            <w:r>
              <w:rPr>
                <w:rFonts w:ascii="Arial" w:cs="Arial" w:eastAsia="Arial" w:hAnsi="Arial"/>
                <w:sz w:val="14"/>
                <w:szCs w:val="14"/>
                <w:color w:val="auto"/>
              </w:rPr>
              <w:t>(12,319)</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(466)</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166"/>
        </w:trPr>
        <w:tc>
          <w:tcPr>
            <w:tcW w:w="576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Net income (loss) margin</w:t>
            </w:r>
          </w:p>
        </w:tc>
        <w:tc>
          <w:tcPr>
            <w:tcW w:w="2000" w:type="dxa"/>
            <w:vAlign w:val="bottom"/>
            <w:gridSpan w:val="3"/>
            <w:shd w:val="clear" w:color="auto" w:fill="CCEEFF"/>
          </w:tcPr>
          <w:p>
            <w:pPr>
              <w:jc w:val="right"/>
              <w:ind w:right="237"/>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6"/>
        </w:trPr>
        <w:tc>
          <w:tcPr>
            <w:tcW w:w="576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2000" w:type="dxa"/>
            <w:vAlign w:val="bottom"/>
            <w:gridSpan w:val="3"/>
            <w:shd w:val="clear" w:color="auto" w:fill="CCEEFF"/>
          </w:tcPr>
          <w:p>
            <w:pPr>
              <w:jc w:val="right"/>
              <w:ind w:right="397"/>
              <w:spacing w:after="0"/>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3,806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11,513</w:t>
            </w:r>
          </w:p>
        </w:tc>
        <w:tc>
          <w:tcPr>
            <w:tcW w:w="0" w:type="dxa"/>
            <w:vAlign w:val="bottom"/>
          </w:tcPr>
          <w:p>
            <w:pPr>
              <w:spacing w:after="0"/>
              <w:rPr>
                <w:sz w:val="1"/>
                <w:szCs w:val="1"/>
                <w:color w:val="auto"/>
              </w:rPr>
            </w:pPr>
          </w:p>
        </w:tc>
      </w:tr>
      <w:tr>
        <w:trPr>
          <w:trHeight w:val="166"/>
        </w:trPr>
        <w:tc>
          <w:tcPr>
            <w:tcW w:w="57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000" w:type="dxa"/>
            <w:vAlign w:val="bottom"/>
            <w:gridSpan w:val="3"/>
          </w:tcPr>
          <w:p>
            <w:pPr>
              <w:jc w:val="right"/>
              <w:ind w:right="397"/>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774</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2,278</w:t>
            </w: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Expense on warrants and other non-operating expenses</w:t>
            </w:r>
            <w:r>
              <w:rPr>
                <w:rFonts w:ascii="Arial" w:cs="Arial" w:eastAsia="Arial" w:hAnsi="Arial"/>
                <w:sz w:val="13"/>
                <w:szCs w:val="13"/>
                <w:color w:val="auto"/>
              </w:rPr>
              <w:t>(1)</w:t>
            </w:r>
          </w:p>
        </w:tc>
        <w:tc>
          <w:tcPr>
            <w:tcW w:w="2000" w:type="dxa"/>
            <w:vAlign w:val="bottom"/>
            <w:gridSpan w:val="3"/>
            <w:shd w:val="clear" w:color="auto" w:fill="CCEEFF"/>
          </w:tcPr>
          <w:p>
            <w:pPr>
              <w:jc w:val="right"/>
              <w:ind w:right="397"/>
              <w:spacing w:after="0" w:line="178" w:lineRule="exact"/>
              <w:rPr>
                <w:sz w:val="20"/>
                <w:szCs w:val="20"/>
                <w:color w:val="auto"/>
              </w:rPr>
            </w:pPr>
            <w:r>
              <w:rPr>
                <w:rFonts w:ascii="Arial" w:cs="Arial" w:eastAsia="Arial" w:hAnsi="Arial"/>
                <w:sz w:val="16"/>
                <w:szCs w:val="16"/>
                <w:color w:val="auto"/>
              </w:rPr>
              <w:t>3,734</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1,407</w:t>
            </w:r>
          </w:p>
        </w:tc>
        <w:tc>
          <w:tcPr>
            <w:tcW w:w="940" w:type="dxa"/>
            <w:vAlign w:val="bottom"/>
            <w:gridSpan w:val="3"/>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11,364</w:t>
            </w:r>
          </w:p>
        </w:tc>
        <w:tc>
          <w:tcPr>
            <w:tcW w:w="0" w:type="dxa"/>
            <w:vAlign w:val="bottom"/>
          </w:tcPr>
          <w:p>
            <w:pPr>
              <w:spacing w:after="0"/>
              <w:rPr>
                <w:sz w:val="1"/>
                <w:szCs w:val="1"/>
                <w:color w:val="auto"/>
              </w:rPr>
            </w:pPr>
          </w:p>
        </w:tc>
      </w:tr>
      <w:tr>
        <w:trPr>
          <w:trHeight w:val="177"/>
        </w:trPr>
        <w:tc>
          <w:tcPr>
            <w:tcW w:w="576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15"/>
                <w:szCs w:val="15"/>
                <w:color w:val="auto"/>
              </w:rPr>
            </w:pPr>
          </w:p>
        </w:tc>
        <w:tc>
          <w:tcPr>
            <w:tcW w:w="580" w:type="dxa"/>
            <w:vAlign w:val="bottom"/>
          </w:tcPr>
          <w:p>
            <w:pPr>
              <w:jc w:val="right"/>
              <w:ind w:right="29"/>
              <w:spacing w:after="0" w:line="178" w:lineRule="exact"/>
              <w:rPr>
                <w:sz w:val="20"/>
                <w:szCs w:val="20"/>
                <w:color w:val="auto"/>
              </w:rPr>
            </w:pPr>
            <w:r>
              <w:rPr>
                <w:rFonts w:ascii="Arial" w:cs="Arial" w:eastAsia="Arial" w:hAnsi="Arial"/>
                <w:sz w:val="16"/>
                <w:szCs w:val="16"/>
                <w:color w:val="auto"/>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74</w:t>
            </w:r>
          </w:p>
        </w:tc>
        <w:tc>
          <w:tcPr>
            <w:tcW w:w="94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w:t>
            </w:r>
          </w:p>
        </w:tc>
        <w:tc>
          <w:tcPr>
            <w:tcW w:w="2000" w:type="dxa"/>
            <w:vAlign w:val="bottom"/>
            <w:gridSpan w:val="3"/>
            <w:shd w:val="clear" w:color="auto" w:fill="CCEEFF"/>
          </w:tcPr>
          <w:p>
            <w:pPr>
              <w:jc w:val="right"/>
              <w:ind w:right="357"/>
              <w:spacing w:after="0" w:line="178" w:lineRule="exact"/>
              <w:rPr>
                <w:sz w:val="20"/>
                <w:szCs w:val="20"/>
                <w:color w:val="auto"/>
              </w:rPr>
            </w:pPr>
            <w:r>
              <w:rPr>
                <w:rFonts w:ascii="Arial" w:cs="Arial" w:eastAsia="Arial" w:hAnsi="Arial"/>
                <w:sz w:val="16"/>
                <w:szCs w:val="16"/>
                <w:color w:val="auto"/>
              </w:rPr>
              <w:t>$ (6,226)</w:t>
            </w:r>
          </w:p>
        </w:tc>
        <w:tc>
          <w:tcPr>
            <w:tcW w:w="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5,595</w:t>
            </w:r>
          </w:p>
        </w:tc>
        <w:tc>
          <w:tcPr>
            <w:tcW w:w="940" w:type="dxa"/>
            <w:vAlign w:val="bottom"/>
            <w:gridSpan w:val="3"/>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$ 31,509</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Adjusted EBITDA Margin</w:t>
            </w:r>
          </w:p>
        </w:tc>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760" w:type="dxa"/>
            <w:vAlign w:val="bottom"/>
            <w:vMerge w:val="continue"/>
          </w:tcPr>
          <w:p>
            <w:pPr>
              <w:spacing w:after="0"/>
              <w:rPr>
                <w:sz w:val="13"/>
                <w:szCs w:val="13"/>
                <w:color w:val="auto"/>
              </w:rPr>
            </w:pPr>
          </w:p>
        </w:tc>
        <w:tc>
          <w:tcPr>
            <w:tcW w:w="2000" w:type="dxa"/>
            <w:vAlign w:val="bottom"/>
            <w:gridSpan w:val="3"/>
          </w:tcPr>
          <w:p>
            <w:pPr>
              <w:jc w:val="right"/>
              <w:ind w:right="237"/>
              <w:spacing w:after="0" w:line="15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3%</w:t>
            </w:r>
          </w:p>
        </w:tc>
        <w:tc>
          <w:tcPr>
            <w:tcW w:w="9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71120</wp:posOffset>
            </wp:positionV>
            <wp:extent cx="67564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3" w:lineRule="exact"/>
        <w:rPr>
          <w:sz w:val="20"/>
          <w:szCs w:val="20"/>
          <w:color w:val="auto"/>
        </w:rPr>
      </w:pPr>
    </w:p>
    <w:p>
      <w:pPr>
        <w:ind w:left="1180" w:hanging="381"/>
        <w:spacing w:after="0"/>
        <w:tabs>
          <w:tab w:leader="none" w:pos="11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Consists of fair value adjustments to our warrant liability and interest expense on convertible notes.</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w w:val="97"/>
              </w:rPr>
              <w:t>Three Months Ended</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820" w:type="dxa"/>
            <w:vAlign w:val="bottom"/>
            <w:gridSpan w:val="2"/>
          </w:tcPr>
          <w:p>
            <w:pPr>
              <w:jc w:val="right"/>
              <w:ind w:right="320"/>
              <w:spacing w:after="0" w:line="122" w:lineRule="exact"/>
              <w:rPr>
                <w:sz w:val="20"/>
                <w:szCs w:val="20"/>
                <w:color w:val="auto"/>
              </w:rPr>
            </w:pPr>
            <w:r>
              <w:rPr>
                <w:rFonts w:ascii="Arial" w:cs="Arial" w:eastAsia="Arial" w:hAnsi="Arial"/>
                <w:sz w:val="13"/>
                <w:szCs w:val="13"/>
                <w:b w:val="1"/>
                <w:bCs w:val="1"/>
                <w:color w:val="auto"/>
                <w:w w:val="99"/>
              </w:rPr>
              <w:t>Mar. 31,</w:t>
            </w:r>
          </w:p>
        </w:tc>
        <w:tc>
          <w:tcPr>
            <w:tcW w:w="820" w:type="dxa"/>
            <w:vAlign w:val="bottom"/>
            <w:gridSpan w:val="3"/>
          </w:tcPr>
          <w:p>
            <w:pPr>
              <w:jc w:val="right"/>
              <w:ind w:right="320"/>
              <w:spacing w:after="0" w:line="122" w:lineRule="exact"/>
              <w:rPr>
                <w:sz w:val="20"/>
                <w:szCs w:val="20"/>
                <w:color w:val="auto"/>
              </w:rPr>
            </w:pPr>
            <w:r>
              <w:rPr>
                <w:rFonts w:ascii="Arial" w:cs="Arial" w:eastAsia="Arial" w:hAnsi="Arial"/>
                <w:sz w:val="13"/>
                <w:szCs w:val="13"/>
                <w:b w:val="1"/>
                <w:bCs w:val="1"/>
                <w:color w:val="auto"/>
                <w:w w:val="99"/>
              </w:rPr>
              <w:t>Jun. 30,</w:t>
            </w:r>
          </w:p>
        </w:tc>
        <w:tc>
          <w:tcPr>
            <w:tcW w:w="82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Sep. 30,</w:t>
            </w:r>
          </w:p>
        </w:tc>
        <w:tc>
          <w:tcPr>
            <w:tcW w:w="78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Dec. 31,</w:t>
            </w:r>
          </w:p>
        </w:tc>
        <w:tc>
          <w:tcPr>
            <w:tcW w:w="780" w:type="dxa"/>
            <w:vAlign w:val="bottom"/>
            <w:gridSpan w:val="3"/>
          </w:tcPr>
          <w:p>
            <w:pPr>
              <w:jc w:val="right"/>
              <w:ind w:right="280"/>
              <w:spacing w:after="0" w:line="122" w:lineRule="exact"/>
              <w:rPr>
                <w:sz w:val="20"/>
                <w:szCs w:val="20"/>
                <w:color w:val="auto"/>
              </w:rPr>
            </w:pPr>
            <w:r>
              <w:rPr>
                <w:rFonts w:ascii="Arial" w:cs="Arial" w:eastAsia="Arial" w:hAnsi="Arial"/>
                <w:sz w:val="13"/>
                <w:szCs w:val="13"/>
                <w:b w:val="1"/>
                <w:bCs w:val="1"/>
                <w:color w:val="auto"/>
                <w:w w:val="99"/>
              </w:rPr>
              <w:t>Mar. 31,</w:t>
            </w:r>
          </w:p>
        </w:tc>
        <w:tc>
          <w:tcPr>
            <w:tcW w:w="820" w:type="dxa"/>
            <w:vAlign w:val="bottom"/>
            <w:gridSpan w:val="2"/>
          </w:tcPr>
          <w:p>
            <w:pPr>
              <w:jc w:val="right"/>
              <w:ind w:right="320"/>
              <w:spacing w:after="0" w:line="122" w:lineRule="exact"/>
              <w:rPr>
                <w:sz w:val="20"/>
                <w:szCs w:val="20"/>
                <w:color w:val="auto"/>
              </w:rPr>
            </w:pPr>
            <w:r>
              <w:rPr>
                <w:rFonts w:ascii="Arial" w:cs="Arial" w:eastAsia="Arial" w:hAnsi="Arial"/>
                <w:sz w:val="13"/>
                <w:szCs w:val="13"/>
                <w:b w:val="1"/>
                <w:bCs w:val="1"/>
                <w:color w:val="auto"/>
                <w:w w:val="99"/>
              </w:rPr>
              <w:t>Jun. 30,</w:t>
            </w:r>
          </w:p>
        </w:tc>
        <w:tc>
          <w:tcPr>
            <w:tcW w:w="740" w:type="dxa"/>
            <w:vAlign w:val="bottom"/>
            <w:gridSpan w:val="3"/>
          </w:tcPr>
          <w:p>
            <w:pPr>
              <w:jc w:val="right"/>
              <w:ind w:right="240"/>
              <w:spacing w:after="0" w:line="122" w:lineRule="exact"/>
              <w:rPr>
                <w:sz w:val="20"/>
                <w:szCs w:val="20"/>
                <w:color w:val="auto"/>
              </w:rPr>
            </w:pPr>
            <w:r>
              <w:rPr>
                <w:rFonts w:ascii="Arial" w:cs="Arial" w:eastAsia="Arial" w:hAnsi="Arial"/>
                <w:sz w:val="13"/>
                <w:szCs w:val="13"/>
                <w:b w:val="1"/>
                <w:bCs w:val="1"/>
                <w:color w:val="auto"/>
                <w:w w:val="97"/>
              </w:rPr>
              <w:t>Sep. 30,</w:t>
            </w:r>
          </w:p>
        </w:tc>
        <w:tc>
          <w:tcPr>
            <w:tcW w:w="120" w:type="dxa"/>
            <w:vAlign w:val="bottom"/>
          </w:tcPr>
          <w:p>
            <w:pPr>
              <w:spacing w:after="0"/>
              <w:rPr>
                <w:sz w:val="10"/>
                <w:szCs w:val="10"/>
                <w:color w:val="auto"/>
              </w:rPr>
            </w:pPr>
          </w:p>
        </w:tc>
        <w:tc>
          <w:tcPr>
            <w:tcW w:w="5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3"/>
              </w:rPr>
              <w:t>Dec.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260" w:type="dxa"/>
            <w:vAlign w:val="bottom"/>
            <w:tcBorders>
              <w:bottom w:val="single" w:sz="8" w:color="CCEEFF"/>
            </w:tcBorders>
          </w:tcPr>
          <w:p>
            <w:pPr>
              <w:spacing w:after="0"/>
              <w:rPr>
                <w:sz w:val="20"/>
                <w:szCs w:val="20"/>
                <w:color w:val="auto"/>
              </w:rPr>
            </w:pPr>
            <w:r>
              <w:rPr>
                <w:rFonts w:ascii="Arial" w:cs="Arial" w:eastAsia="Arial" w:hAnsi="Arial"/>
                <w:sz w:val="13"/>
                <w:szCs w:val="13"/>
                <w:i w:val="1"/>
                <w:iCs w:val="1"/>
                <w:color w:val="auto"/>
              </w:rPr>
              <w:t>(in thousands)</w:t>
            </w: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revenue</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19,611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32,519</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49,487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62,572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63,994</w:t>
            </w: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17,353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65,359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w w:val="97"/>
              </w:rPr>
              <w:t>86,710</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20"/>
                <w:szCs w:val="20"/>
                <w:color w:val="auto"/>
              </w:rPr>
            </w:pPr>
            <w:r>
              <w:rPr>
                <w:rFonts w:ascii="Arial" w:cs="Arial" w:eastAsia="Arial" w:hAnsi="Arial"/>
                <w:sz w:val="14"/>
                <w:szCs w:val="14"/>
                <w:color w:val="auto"/>
              </w:rPr>
              <w:t>Net income (loss) attributable to Upstart Holdings,</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260" w:type="dxa"/>
            <w:vAlign w:val="bottom"/>
          </w:tcPr>
          <w:p>
            <w:pPr>
              <w:ind w:left="140"/>
              <w:spacing w:after="0"/>
              <w:rPr>
                <w:sz w:val="20"/>
                <w:szCs w:val="20"/>
                <w:color w:val="auto"/>
              </w:rPr>
            </w:pPr>
            <w:r>
              <w:rPr>
                <w:rFonts w:ascii="Arial" w:cs="Arial" w:eastAsia="Arial" w:hAnsi="Arial"/>
                <w:sz w:val="14"/>
                <w:szCs w:val="14"/>
                <w:color w:val="auto"/>
              </w:rPr>
              <w:t>Inc. common stockholders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 (4,465)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6,051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1,480</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 (6,193)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9,669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Net income (loss) margin</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847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1,602</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1,965</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2,519</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166"/>
        </w:trPr>
        <w:tc>
          <w:tcPr>
            <w:tcW w:w="3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rPr>
                <w:sz w:val="20"/>
                <w:szCs w:val="20"/>
                <w:color w:val="auto"/>
              </w:rPr>
            </w:pPr>
            <w:r>
              <w:rPr>
                <w:rFonts w:ascii="Arial" w:cs="Arial" w:eastAsia="Arial" w:hAnsi="Arial"/>
                <w:sz w:val="14"/>
                <w:szCs w:val="14"/>
                <w:color w:val="auto"/>
              </w:rPr>
              <w:t>90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515</w:t>
            </w:r>
          </w:p>
        </w:tc>
        <w:tc>
          <w:tcPr>
            <w:tcW w:w="520" w:type="dxa"/>
            <w:vAlign w:val="bottom"/>
          </w:tcPr>
          <w:p>
            <w:pPr>
              <w:jc w:val="right"/>
              <w:spacing w:after="0"/>
              <w:rPr>
                <w:sz w:val="20"/>
                <w:szCs w:val="20"/>
                <w:color w:val="auto"/>
              </w:rPr>
            </w:pPr>
            <w:r>
              <w:rPr>
                <w:rFonts w:ascii="Arial" w:cs="Arial" w:eastAsia="Arial" w:hAnsi="Arial"/>
                <w:sz w:val="14"/>
                <w:szCs w:val="14"/>
                <w:color w:val="auto"/>
              </w:rPr>
              <w:t>535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581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74"/>
        </w:trPr>
        <w:tc>
          <w:tcPr>
            <w:tcW w:w="32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Expense on warrants and other non-</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operating expenses</w:t>
            </w:r>
            <w:r>
              <w:rPr>
                <w:rFonts w:ascii="Arial" w:cs="Arial" w:eastAsia="Arial" w:hAnsi="Arial"/>
                <w:sz w:val="13"/>
                <w:szCs w:val="13"/>
                <w:color w:val="auto"/>
              </w:rPr>
              <w:t>(1)</w:t>
            </w:r>
          </w:p>
        </w:tc>
        <w:tc>
          <w:tcPr>
            <w:tcW w:w="82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color w:val="auto"/>
              </w:rPr>
              <w:t>2,418</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w w:val="94"/>
              </w:rPr>
              <w:t>(1,219)</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(289)</w:t>
            </w:r>
          </w:p>
        </w:tc>
        <w:tc>
          <w:tcPr>
            <w:tcW w:w="820" w:type="dxa"/>
            <w:vAlign w:val="bottom"/>
            <w:gridSpan w:val="2"/>
            <w:shd w:val="clear" w:color="auto" w:fill="CCEEFF"/>
          </w:tcPr>
          <w:p>
            <w:pPr>
              <w:jc w:val="right"/>
              <w:ind w:right="300"/>
              <w:spacing w:after="0" w:line="181" w:lineRule="exact"/>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2,588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line="181" w:lineRule="exact"/>
              <w:rPr>
                <w:sz w:val="20"/>
                <w:szCs w:val="20"/>
                <w:color w:val="auto"/>
              </w:rPr>
            </w:pPr>
            <w:r>
              <w:rPr>
                <w:rFonts w:ascii="Arial" w:cs="Arial" w:eastAsia="Arial" w:hAnsi="Arial"/>
                <w:sz w:val="16"/>
                <w:szCs w:val="16"/>
                <w:color w:val="auto"/>
              </w:rPr>
              <w:t>9,047</w:t>
            </w:r>
          </w:p>
        </w:tc>
        <w:tc>
          <w:tcPr>
            <w:tcW w:w="0" w:type="dxa"/>
            <w:vAlign w:val="bottom"/>
          </w:tcPr>
          <w:p>
            <w:pPr>
              <w:spacing w:after="0"/>
              <w:rPr>
                <w:sz w:val="1"/>
                <w:szCs w:val="1"/>
                <w:color w:val="auto"/>
              </w:rPr>
            </w:pPr>
          </w:p>
        </w:tc>
      </w:tr>
      <w:tr>
        <w:trPr>
          <w:trHeight w:val="177"/>
        </w:trPr>
        <w:tc>
          <w:tcPr>
            <w:tcW w:w="3260" w:type="dxa"/>
            <w:vAlign w:val="bottom"/>
          </w:tcPr>
          <w:p>
            <w:pPr>
              <w:spacing w:after="0" w:line="178" w:lineRule="exact"/>
              <w:rPr>
                <w:sz w:val="20"/>
                <w:szCs w:val="20"/>
                <w:color w:val="auto"/>
              </w:rPr>
            </w:pPr>
            <w:r>
              <w:rPr>
                <w:rFonts w:ascii="Arial" w:cs="Arial" w:eastAsia="Arial" w:hAnsi="Arial"/>
                <w:sz w:val="16"/>
                <w:szCs w:val="16"/>
                <w:color w:val="auto"/>
              </w:rPr>
              <w:t>Provision for income taxes</w:t>
            </w:r>
          </w:p>
        </w:tc>
        <w:tc>
          <w:tcPr>
            <w:tcW w:w="520" w:type="dxa"/>
            <w:vAlign w:val="bottom"/>
          </w:tcPr>
          <w:p>
            <w:pPr>
              <w:jc w:val="right"/>
              <w:ind w:right="9"/>
              <w:spacing w:after="0" w:line="17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8"/>
              <w:spacing w:after="0" w:line="17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8"/>
              <w:spacing w:after="0" w:line="17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60"/>
              <w:spacing w:after="0" w:line="178" w:lineRule="exact"/>
              <w:rPr>
                <w:sz w:val="20"/>
                <w:szCs w:val="20"/>
                <w:color w:val="auto"/>
              </w:rPr>
            </w:pPr>
            <w:r>
              <w:rPr>
                <w:rFonts w:ascii="Arial" w:cs="Arial" w:eastAsia="Arial" w:hAnsi="Arial"/>
                <w:sz w:val="16"/>
                <w:szCs w:val="16"/>
                <w:color w:val="auto"/>
              </w:rPr>
              <w:t>74</w:t>
            </w:r>
          </w:p>
        </w:tc>
        <w:tc>
          <w:tcPr>
            <w:tcW w:w="80" w:type="dxa"/>
            <w:vAlign w:val="bottom"/>
          </w:tcPr>
          <w:p>
            <w:pPr>
              <w:spacing w:after="0"/>
              <w:rPr>
                <w:sz w:val="15"/>
                <w:szCs w:val="15"/>
                <w:color w:val="auto"/>
              </w:rPr>
            </w:pPr>
          </w:p>
        </w:tc>
        <w:tc>
          <w:tcPr>
            <w:tcW w:w="70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300"/>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4"/>
        </w:trPr>
        <w:tc>
          <w:tcPr>
            <w:tcW w:w="3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Adjusted EBITDA</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 (3,709)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3,080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6,958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3,671</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 (3,121)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15,456</w:t>
            </w:r>
          </w:p>
        </w:tc>
        <w:tc>
          <w:tcPr>
            <w:tcW w:w="2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15,503</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Adjusted EBITDA Margin</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260" w:type="dxa"/>
            <w:vAlign w:val="bottom"/>
            <w:vMerge w:val="continue"/>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-18%</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71120</wp:posOffset>
            </wp:positionV>
            <wp:extent cx="67564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3" w:lineRule="exact"/>
        <w:rPr>
          <w:sz w:val="20"/>
          <w:szCs w:val="20"/>
          <w:color w:val="auto"/>
        </w:rPr>
      </w:pPr>
    </w:p>
    <w:p>
      <w:pPr>
        <w:ind w:left="1180" w:hanging="381"/>
        <w:spacing w:after="0"/>
        <w:tabs>
          <w:tab w:leader="none" w:pos="118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Consists of fair value adjustments to our warrant liability and interest expense on convertible notes.</w:t>
      </w:r>
    </w:p>
    <w:p>
      <w:pPr>
        <w:spacing w:after="0" w:line="25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Adjusted Net Income (Loss) and Adjusted Net Income (Loss) Per Share</w:t>
      </w:r>
    </w:p>
    <w:p>
      <w:pPr>
        <w:spacing w:after="0" w:line="106"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We define Adjusted Net Income (Loss) as net income (loss) exclusive of stock-based compensation expense. Adjusted Net Income (Loss) Per Share is calculated by dividing Adjusted Net Income (Loss) by the weighted-average common shares outstanding. We believe Adjusted Net Income (Loss) and Adjusted Net Income (Loss) Per Share are useful measures for investors in evaluating our ability to generate earnings, more readily compare between past and future periods, and provide comparability of our performance with the performance of other companies.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440"/>
          </w:cols>
          <w:pgMar w:left="320" w:top="419" w:right="11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10"/>
          </w:tcPr>
          <w:p>
            <w:pPr>
              <w:jc w:val="center"/>
              <w:ind w:right="140"/>
              <w:spacing w:after="0"/>
              <w:rPr>
                <w:sz w:val="20"/>
                <w:szCs w:val="20"/>
                <w:color w:val="auto"/>
              </w:rPr>
            </w:pPr>
            <w:r>
              <w:rPr>
                <w:rFonts w:ascii="Arial" w:cs="Arial" w:eastAsia="Arial" w:hAnsi="Arial"/>
                <w:sz w:val="13"/>
                <w:szCs w:val="13"/>
                <w:b w:val="1"/>
                <w:bCs w:val="1"/>
                <w:color w:val="auto"/>
                <w:w w:val="96"/>
              </w:rPr>
              <w:t>Year Ended December 31,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3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33"/>
              <w:spacing w:after="0" w:line="13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120" w:type="dxa"/>
            <w:vAlign w:val="bottom"/>
            <w:gridSpan w:val="10"/>
            <w:shd w:val="clear" w:color="auto" w:fill="CCEEFF"/>
          </w:tcPr>
          <w:p>
            <w:pPr>
              <w:spacing w:after="0" w:line="152" w:lineRule="exact"/>
              <w:rPr>
                <w:sz w:val="20"/>
                <w:szCs w:val="20"/>
                <w:color w:val="auto"/>
              </w:rPr>
            </w:pPr>
            <w:r>
              <w:rPr>
                <w:rFonts w:ascii="Arial" w:cs="Arial" w:eastAsia="Arial" w:hAnsi="Arial"/>
                <w:sz w:val="14"/>
                <w:szCs w:val="14"/>
                <w:color w:val="auto"/>
              </w:rPr>
              <w:t>Net income (loss) attributable to Upstart Holdings, Inc. common stockholders</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5,983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(466)</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(12,319)</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Adjusted to exclude the following:</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6"/>
              </w:rPr>
              <w:t>3,806</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00" w:type="dxa"/>
            <w:vAlign w:val="bottom"/>
          </w:tcPr>
          <w:p>
            <w:pPr>
              <w:spacing w:after="0"/>
              <w:rPr>
                <w:sz w:val="20"/>
                <w:szCs w:val="20"/>
                <w:color w:val="auto"/>
              </w:rPr>
            </w:pPr>
            <w:r>
              <w:rPr>
                <w:rFonts w:ascii="Arial" w:cs="Arial" w:eastAsia="Arial" w:hAnsi="Arial"/>
                <w:sz w:val="14"/>
                <w:szCs w:val="14"/>
                <w:color w:val="auto"/>
              </w:rPr>
              <w:t>Adjusted net income (loss)</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17,496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w w:val="96"/>
              </w:rPr>
              <w:t>3,340</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(10,274)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 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(0.03)</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(0.03)</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80" w:type="dxa"/>
            <w:vAlign w:val="bottom"/>
            <w:gridSpan w:val="2"/>
          </w:tcPr>
          <w:p>
            <w:pPr>
              <w:spacing w:after="0"/>
              <w:rPr>
                <w:sz w:val="20"/>
                <w:szCs w:val="20"/>
                <w:color w:val="auto"/>
              </w:rPr>
            </w:pPr>
            <w:r>
              <w:rPr>
                <w:rFonts w:ascii="Arial" w:cs="Arial" w:eastAsia="Arial" w:hAnsi="Arial"/>
                <w:sz w:val="14"/>
                <w:szCs w:val="14"/>
                <w:color w:val="auto"/>
              </w:rPr>
              <w:t>Adjusted net income (loss) per share</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0.23</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(0.73)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4"/>
                <w:szCs w:val="14"/>
                <w:color w:val="auto"/>
              </w:rPr>
              <w:t>0.05</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jc w:val="right"/>
              <w:ind w:right="2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Weighted-average common shares outstanding</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28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17,513,670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color w:val="auto"/>
              </w:rPr>
              <w:t>14,335,611</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4"/>
                <w:szCs w:val="14"/>
                <w:color w:val="auto"/>
              </w:rPr>
              <w:t>14,128,183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76,098,275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72,336,672</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14,128,183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2300" w:type="dxa"/>
            <w:vAlign w:val="bottom"/>
            <w:vMerge w:val="restart"/>
          </w:tcPr>
          <w:p>
            <w:pPr>
              <w:spacing w:after="0"/>
              <w:rPr>
                <w:sz w:val="20"/>
                <w:szCs w:val="20"/>
                <w:color w:val="auto"/>
              </w:rPr>
            </w:pPr>
            <w:r>
              <w:rPr>
                <w:rFonts w:ascii="Arial" w:cs="Arial" w:eastAsia="Arial" w:hAnsi="Arial"/>
                <w:sz w:val="11"/>
                <w:szCs w:val="11"/>
                <w:i w:val="1"/>
                <w:iCs w:val="1"/>
                <w:color w:val="auto"/>
              </w:rPr>
              <w:t>(in thousands except</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ind w:left="140"/>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1"/>
                <w:szCs w:val="11"/>
                <w:b w:val="1"/>
                <w:bCs w:val="1"/>
                <w:color w:val="auto"/>
              </w:rPr>
              <w:t>Mar 31,</w:t>
            </w:r>
          </w:p>
        </w:tc>
        <w:tc>
          <w:tcPr>
            <w:tcW w:w="80" w:type="dxa"/>
            <w:vAlign w:val="bottom"/>
          </w:tcPr>
          <w:p>
            <w:pPr>
              <w:spacing w:after="0"/>
              <w:rPr>
                <w:sz w:val="7"/>
                <w:szCs w:val="7"/>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rPr>
              <w:t>Jun. 30,</w:t>
            </w:r>
          </w:p>
        </w:tc>
        <w:tc>
          <w:tcPr>
            <w:tcW w:w="80" w:type="dxa"/>
            <w:vAlign w:val="bottom"/>
          </w:tcPr>
          <w:p>
            <w:pPr>
              <w:spacing w:after="0"/>
              <w:rPr>
                <w:sz w:val="7"/>
                <w:szCs w:val="7"/>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rPr>
              <w:t>Sep. 30,</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rPr>
              <w:t>Dec.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Mar. 31,</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rPr>
              <w:t>Jun. 30,</w:t>
            </w:r>
          </w:p>
        </w:tc>
        <w:tc>
          <w:tcPr>
            <w:tcW w:w="200" w:type="dxa"/>
            <w:vAlign w:val="bottom"/>
          </w:tcPr>
          <w:p>
            <w:pPr>
              <w:spacing w:after="0"/>
              <w:rPr>
                <w:sz w:val="7"/>
                <w:szCs w:val="7"/>
                <w:color w:val="auto"/>
              </w:rPr>
            </w:pPr>
          </w:p>
        </w:tc>
        <w:tc>
          <w:tcPr>
            <w:tcW w:w="760" w:type="dxa"/>
            <w:vAlign w:val="bottom"/>
            <w:gridSpan w:val="4"/>
            <w:vMerge w:val="restart"/>
          </w:tcPr>
          <w:p>
            <w:pPr>
              <w:jc w:val="center"/>
              <w:ind w:right="60"/>
              <w:spacing w:after="0"/>
              <w:rPr>
                <w:sz w:val="20"/>
                <w:szCs w:val="20"/>
                <w:color w:val="auto"/>
              </w:rPr>
            </w:pPr>
            <w:r>
              <w:rPr>
                <w:rFonts w:ascii="Arial" w:cs="Arial" w:eastAsia="Arial" w:hAnsi="Arial"/>
                <w:sz w:val="11"/>
                <w:szCs w:val="11"/>
                <w:b w:val="1"/>
                <w:bCs w:val="1"/>
                <w:color w:val="auto"/>
              </w:rPr>
              <w:t>Sep. 30,</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Dec. 31,</w:t>
            </w:r>
          </w:p>
        </w:tc>
        <w:tc>
          <w:tcPr>
            <w:tcW w:w="0" w:type="dxa"/>
            <w:vAlign w:val="bottom"/>
          </w:tcPr>
          <w:p>
            <w:pPr>
              <w:spacing w:after="0"/>
              <w:rPr>
                <w:sz w:val="1"/>
                <w:szCs w:val="1"/>
                <w:color w:val="auto"/>
              </w:rPr>
            </w:pPr>
          </w:p>
        </w:tc>
      </w:tr>
      <w:tr>
        <w:trPr>
          <w:trHeight w:val="116"/>
        </w:trPr>
        <w:tc>
          <w:tcPr>
            <w:tcW w:w="2300" w:type="dxa"/>
            <w:vAlign w:val="bottom"/>
          </w:tcPr>
          <w:p>
            <w:pPr>
              <w:spacing w:after="0" w:line="116" w:lineRule="exact"/>
              <w:rPr>
                <w:sz w:val="20"/>
                <w:szCs w:val="20"/>
                <w:color w:val="auto"/>
              </w:rPr>
            </w:pPr>
            <w:r>
              <w:rPr>
                <w:rFonts w:ascii="Arial" w:cs="Arial" w:eastAsia="Arial" w:hAnsi="Arial"/>
                <w:sz w:val="11"/>
                <w:szCs w:val="11"/>
                <w:i w:val="1"/>
                <w:iCs w:val="1"/>
                <w:color w:val="auto"/>
              </w:rPr>
              <w:t>share and per share</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00" w:type="dxa"/>
            <w:vAlign w:val="bottom"/>
            <w:tcBorders>
              <w:bottom w:val="single" w:sz="8" w:color="CCEEFF"/>
            </w:tcBorders>
          </w:tcPr>
          <w:p>
            <w:pPr>
              <w:spacing w:after="0"/>
              <w:rPr>
                <w:sz w:val="20"/>
                <w:szCs w:val="20"/>
                <w:color w:val="auto"/>
              </w:rPr>
            </w:pPr>
            <w:r>
              <w:rPr>
                <w:rFonts w:ascii="Arial" w:cs="Arial" w:eastAsia="Arial" w:hAnsi="Arial"/>
                <w:sz w:val="11"/>
                <w:szCs w:val="11"/>
                <w:i w:val="1"/>
                <w:iCs w:val="1"/>
                <w:color w:val="auto"/>
              </w:rPr>
              <w:t>amounts)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2019</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2019</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17"/>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w w:val="97"/>
              </w:rPr>
              <w:t>2020</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1"/>
                <w:szCs w:val="11"/>
                <w:b w:val="1"/>
                <w:bCs w:val="1"/>
                <w:color w:val="auto"/>
              </w:rPr>
              <w:t>2020</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Net income (loss) attributable to</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Upstart Holdings, Inc. common</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stockholders</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(4,465)</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(1,730)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(322)</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6,051</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1,480</w:t>
            </w:r>
          </w:p>
        </w:tc>
        <w:tc>
          <w:tcPr>
            <w:tcW w:w="2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(6,193)</w:t>
            </w:r>
          </w:p>
        </w:tc>
        <w:tc>
          <w:tcPr>
            <w:tcW w:w="360" w:type="dxa"/>
            <w:vAlign w:val="bottom"/>
            <w:gridSpan w:val="2"/>
            <w:shd w:val="clear" w:color="auto" w:fill="CCEEFF"/>
          </w:tcPr>
          <w:p>
            <w:pPr>
              <w:jc w:val="right"/>
              <w:ind w:right="45"/>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9,669</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3"/>
                <w:szCs w:val="13"/>
                <w:color w:val="auto"/>
              </w:rPr>
              <w:t>Adjusted to exclude the following:</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Stock-based compensation</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rPr>
              <w:t>577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rPr>
              <w:t>780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847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1,602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1,965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2,519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2,618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4,411</w:t>
            </w:r>
          </w:p>
        </w:tc>
        <w:tc>
          <w:tcPr>
            <w:tcW w:w="0" w:type="dxa"/>
            <w:vAlign w:val="bottom"/>
          </w:tcPr>
          <w:p>
            <w:pPr>
              <w:spacing w:after="0"/>
              <w:rPr>
                <w:sz w:val="1"/>
                <w:szCs w:val="1"/>
                <w:color w:val="auto"/>
              </w:rPr>
            </w:pPr>
          </w:p>
        </w:tc>
      </w:tr>
      <w:tr>
        <w:trPr>
          <w:trHeight w:val="142"/>
        </w:trPr>
        <w:tc>
          <w:tcPr>
            <w:tcW w:w="2300" w:type="dxa"/>
            <w:vAlign w:val="bottom"/>
          </w:tcPr>
          <w:p>
            <w:pPr>
              <w:spacing w:after="0" w:line="142" w:lineRule="exact"/>
              <w:rPr>
                <w:sz w:val="20"/>
                <w:szCs w:val="20"/>
                <w:color w:val="auto"/>
              </w:rPr>
            </w:pPr>
            <w:r>
              <w:rPr>
                <w:rFonts w:ascii="Arial" w:cs="Arial" w:eastAsia="Arial" w:hAnsi="Arial"/>
                <w:sz w:val="13"/>
                <w:szCs w:val="13"/>
                <w:color w:val="auto"/>
              </w:rPr>
              <w:t>Adjusted Net Income (Loss)</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(3,888)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(950)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525</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7,653</w:t>
            </w:r>
          </w:p>
        </w:tc>
        <w:tc>
          <w:tcPr>
            <w:tcW w:w="80" w:type="dxa"/>
            <w:vAlign w:val="bottom"/>
          </w:tcPr>
          <w:p>
            <w:pPr>
              <w:spacing w:after="0"/>
              <w:rPr>
                <w:sz w:val="12"/>
                <w:szCs w:val="12"/>
                <w:color w:val="auto"/>
              </w:rPr>
            </w:pPr>
          </w:p>
        </w:tc>
        <w:tc>
          <w:tcPr>
            <w:tcW w:w="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3,445</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(3,674)</w:t>
            </w:r>
          </w:p>
        </w:tc>
        <w:tc>
          <w:tcPr>
            <w:tcW w:w="360" w:type="dxa"/>
            <w:vAlign w:val="bottom"/>
            <w:gridSpan w:val="2"/>
          </w:tcPr>
          <w:p>
            <w:pPr>
              <w:jc w:val="right"/>
              <w:ind w:right="45"/>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12,287</w:t>
            </w: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5,438</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(loss) per share</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ind w:left="260"/>
              <w:spacing w:after="0" w:line="142" w:lineRule="exact"/>
              <w:rPr>
                <w:sz w:val="20"/>
                <w:szCs w:val="20"/>
                <w:color w:val="auto"/>
              </w:rPr>
            </w:pPr>
            <w:r>
              <w:rPr>
                <w:rFonts w:ascii="Arial" w:cs="Arial" w:eastAsia="Arial" w:hAnsi="Arial"/>
                <w:sz w:val="13"/>
                <w:szCs w:val="13"/>
                <w:color w:val="auto"/>
              </w:rPr>
              <w:t>Basic</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(0.31)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(0.12)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(0.02)</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0.06</w:t>
            </w:r>
          </w:p>
        </w:tc>
        <w:tc>
          <w:tcPr>
            <w:tcW w:w="80" w:type="dxa"/>
            <w:vAlign w:val="bottom"/>
          </w:tcPr>
          <w:p>
            <w:pPr>
              <w:spacing w:after="0"/>
              <w:rPr>
                <w:sz w:val="12"/>
                <w:szCs w:val="12"/>
                <w:color w:val="auto"/>
              </w:rPr>
            </w:pPr>
          </w:p>
        </w:tc>
        <w:tc>
          <w:tcPr>
            <w:tcW w:w="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3"/>
          </w:tcPr>
          <w:p>
            <w:pPr>
              <w:ind w:left="440"/>
              <w:spacing w:after="0" w:line="142"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(0.42)</w:t>
            </w:r>
          </w:p>
        </w:tc>
        <w:tc>
          <w:tcPr>
            <w:tcW w:w="360" w:type="dxa"/>
            <w:vAlign w:val="bottom"/>
            <w:gridSpan w:val="2"/>
          </w:tcPr>
          <w:p>
            <w:pPr>
              <w:jc w:val="right"/>
              <w:ind w:right="45"/>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0.12</w:t>
            </w: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3"/>
          </w:tcPr>
          <w:p>
            <w:pPr>
              <w:ind w:left="4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(0.31)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(0.02)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440"/>
              <w:spacing w:after="0" w:line="142"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(0.42)</w:t>
            </w:r>
          </w:p>
        </w:tc>
        <w:tc>
          <w:tcPr>
            <w:tcW w:w="360" w:type="dxa"/>
            <w:vAlign w:val="bottom"/>
            <w:gridSpan w:val="2"/>
            <w:shd w:val="clear" w:color="auto" w:fill="CCEEFF"/>
          </w:tcPr>
          <w:p>
            <w:pPr>
              <w:jc w:val="right"/>
              <w:ind w:right="45"/>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0.10</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ind w:left="4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300" w:type="dxa"/>
            <w:vAlign w:val="bottom"/>
          </w:tcPr>
          <w:p>
            <w:pPr>
              <w:spacing w:after="0" w:line="146" w:lineRule="exact"/>
              <w:rPr>
                <w:sz w:val="20"/>
                <w:szCs w:val="20"/>
                <w:color w:val="auto"/>
              </w:rPr>
            </w:pPr>
            <w:r>
              <w:rPr>
                <w:rFonts w:ascii="Arial" w:cs="Arial" w:eastAsia="Arial" w:hAnsi="Arial"/>
                <w:sz w:val="13"/>
                <w:szCs w:val="13"/>
                <w:color w:val="auto"/>
              </w:rPr>
              <w:t>Adjusted Net Income (Loss) per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00" w:type="dxa"/>
            <w:vAlign w:val="bottom"/>
          </w:tcPr>
          <w:p>
            <w:pPr>
              <w:ind w:left="120"/>
              <w:spacing w:after="0" w:line="138" w:lineRule="exact"/>
              <w:rPr>
                <w:sz w:val="20"/>
                <w:szCs w:val="20"/>
                <w:color w:val="auto"/>
              </w:rPr>
            </w:pPr>
            <w:r>
              <w:rPr>
                <w:rFonts w:ascii="Arial" w:cs="Arial" w:eastAsia="Arial" w:hAnsi="Arial"/>
                <w:sz w:val="13"/>
                <w:szCs w:val="13"/>
                <w:color w:val="auto"/>
              </w:rPr>
              <w:t>Share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(0.27)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3"/>
                <w:szCs w:val="13"/>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rPr>
              <w:t>0.04</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0.53</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0.24</w:t>
            </w:r>
          </w:p>
        </w:tc>
        <w:tc>
          <w:tcPr>
            <w:tcW w:w="2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(0.25)</w:t>
            </w:r>
          </w:p>
        </w:tc>
        <w:tc>
          <w:tcPr>
            <w:tcW w:w="360" w:type="dxa"/>
            <w:vAlign w:val="bottom"/>
            <w:gridSpan w:val="2"/>
            <w:shd w:val="clear" w:color="auto" w:fill="CCEEFF"/>
          </w:tcPr>
          <w:p>
            <w:pPr>
              <w:jc w:val="right"/>
              <w:ind w:right="45"/>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0.84</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0.21</w:t>
            </w:r>
          </w:p>
        </w:tc>
        <w:tc>
          <w:tcPr>
            <w:tcW w:w="0" w:type="dxa"/>
            <w:vAlign w:val="bottom"/>
          </w:tcPr>
          <w:p>
            <w:pPr>
              <w:spacing w:after="0"/>
              <w:rPr>
                <w:sz w:val="1"/>
                <w:szCs w:val="1"/>
                <w:color w:val="auto"/>
              </w:rPr>
            </w:pPr>
          </w:p>
        </w:tc>
      </w:tr>
      <w:tr>
        <w:trPr>
          <w:trHeight w:val="142"/>
        </w:trPr>
        <w:tc>
          <w:tcPr>
            <w:tcW w:w="2300" w:type="dxa"/>
            <w:vAlign w:val="bottom"/>
          </w:tcPr>
          <w:p>
            <w:pPr>
              <w:ind w:left="260"/>
              <w:spacing w:after="0" w:line="142" w:lineRule="exact"/>
              <w:rPr>
                <w:sz w:val="20"/>
                <w:szCs w:val="20"/>
                <w:color w:val="auto"/>
              </w:rPr>
            </w:pPr>
            <w:r>
              <w:rPr>
                <w:rFonts w:ascii="Arial" w:cs="Arial" w:eastAsia="Arial" w:hAnsi="Arial"/>
                <w:sz w:val="13"/>
                <w:szCs w:val="13"/>
                <w:color w:val="auto"/>
              </w:rPr>
              <w:t>Diluted</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(0.27)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(0.07)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0.01</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0.10</w:t>
            </w:r>
          </w:p>
        </w:tc>
        <w:tc>
          <w:tcPr>
            <w:tcW w:w="80" w:type="dxa"/>
            <w:vAlign w:val="bottom"/>
          </w:tcPr>
          <w:p>
            <w:pPr>
              <w:spacing w:after="0"/>
              <w:rPr>
                <w:sz w:val="12"/>
                <w:szCs w:val="12"/>
                <w:color w:val="auto"/>
              </w:rPr>
            </w:pPr>
          </w:p>
        </w:tc>
        <w:tc>
          <w:tcPr>
            <w:tcW w:w="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rPr>
              <w:t>0.05</w:t>
            </w:r>
          </w:p>
        </w:tc>
        <w:tc>
          <w:tcPr>
            <w:tcW w:w="2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(0.25)</w:t>
            </w:r>
          </w:p>
        </w:tc>
        <w:tc>
          <w:tcPr>
            <w:tcW w:w="360" w:type="dxa"/>
            <w:vAlign w:val="bottom"/>
            <w:gridSpan w:val="2"/>
          </w:tcPr>
          <w:p>
            <w:pPr>
              <w:jc w:val="right"/>
              <w:ind w:right="45"/>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0.16</w:t>
            </w: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0.07</w:t>
            </w:r>
          </w:p>
        </w:tc>
        <w:tc>
          <w:tcPr>
            <w:tcW w:w="0" w:type="dxa"/>
            <w:vAlign w:val="bottom"/>
          </w:tcPr>
          <w:p>
            <w:pPr>
              <w:spacing w:after="0"/>
              <w:rPr>
                <w:sz w:val="1"/>
                <w:szCs w:val="1"/>
                <w:color w:val="auto"/>
              </w:rPr>
            </w:pPr>
          </w:p>
        </w:tc>
      </w:tr>
      <w:tr>
        <w:trPr>
          <w:trHeight w:val="146"/>
        </w:trPr>
        <w:tc>
          <w:tcPr>
            <w:tcW w:w="23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Weighted-average common shares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0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outstanding</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00" w:type="dxa"/>
            <w:vAlign w:val="bottom"/>
          </w:tcPr>
          <w:p>
            <w:pPr>
              <w:ind w:left="260"/>
              <w:spacing w:after="0" w:line="142" w:lineRule="exact"/>
              <w:rPr>
                <w:sz w:val="20"/>
                <w:szCs w:val="20"/>
                <w:color w:val="auto"/>
              </w:rPr>
            </w:pPr>
            <w:r>
              <w:rPr>
                <w:rFonts w:ascii="Arial" w:cs="Arial" w:eastAsia="Arial" w:hAnsi="Arial"/>
                <w:sz w:val="13"/>
                <w:szCs w:val="13"/>
                <w:color w:val="auto"/>
              </w:rPr>
              <w:t>Basic</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w w:val="95"/>
              </w:rPr>
              <w:t>14,301,641</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2" w:lineRule="exact"/>
              <w:rPr>
                <w:sz w:val="20"/>
                <w:szCs w:val="20"/>
                <w:color w:val="auto"/>
              </w:rPr>
            </w:pPr>
            <w:r>
              <w:rPr>
                <w:rFonts w:ascii="Arial" w:cs="Arial" w:eastAsia="Arial" w:hAnsi="Arial"/>
                <w:sz w:val="13"/>
                <w:szCs w:val="13"/>
                <w:color w:val="auto"/>
                <w:w w:val="92"/>
              </w:rPr>
              <w:t>14,312,263</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w w:val="92"/>
              </w:rPr>
              <w:t>14,325,618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w w:val="95"/>
              </w:rPr>
              <w:t>14,401,927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80"/>
              <w:spacing w:after="0" w:line="142" w:lineRule="exact"/>
              <w:rPr>
                <w:sz w:val="20"/>
                <w:szCs w:val="20"/>
                <w:color w:val="auto"/>
              </w:rPr>
            </w:pPr>
            <w:r>
              <w:rPr>
                <w:rFonts w:ascii="Arial" w:cs="Arial" w:eastAsia="Arial" w:hAnsi="Arial"/>
                <w:sz w:val="13"/>
                <w:szCs w:val="13"/>
                <w:color w:val="auto"/>
                <w:w w:val="95"/>
              </w:rPr>
              <w:t>14,625,267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w w:val="92"/>
              </w:rPr>
              <w:t>14,657,399</w:t>
            </w:r>
          </w:p>
        </w:tc>
        <w:tc>
          <w:tcPr>
            <w:tcW w:w="960" w:type="dxa"/>
            <w:vAlign w:val="bottom"/>
            <w:gridSpan w:val="5"/>
          </w:tcPr>
          <w:p>
            <w:pPr>
              <w:jc w:val="right"/>
              <w:ind w:right="60"/>
              <w:spacing w:after="0" w:line="142" w:lineRule="exact"/>
              <w:rPr>
                <w:sz w:val="20"/>
                <w:szCs w:val="20"/>
                <w:color w:val="auto"/>
              </w:rPr>
            </w:pPr>
            <w:r>
              <w:rPr>
                <w:rFonts w:ascii="Arial" w:cs="Arial" w:eastAsia="Arial" w:hAnsi="Arial"/>
                <w:sz w:val="13"/>
                <w:szCs w:val="13"/>
                <w:color w:val="auto"/>
              </w:rPr>
              <w:t>14,707,717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w w:val="95"/>
              </w:rPr>
              <w:t>26,001,856</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60"/>
              <w:spacing w:after="0" w:line="142"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w w:val="95"/>
              </w:rPr>
              <w:t>14,301,641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w w:val="92"/>
              </w:rPr>
              <w:t>14,312,263</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w w:val="92"/>
              </w:rPr>
              <w:t>73,563,145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w w:val="95"/>
              </w:rPr>
              <w:t>73,511,809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w w:val="95"/>
              </w:rPr>
              <w:t>73,545,518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w w:val="92"/>
              </w:rPr>
              <w:t>14,657,399</w:t>
            </w:r>
          </w:p>
        </w:tc>
        <w:tc>
          <w:tcPr>
            <w:tcW w:w="960" w:type="dxa"/>
            <w:vAlign w:val="bottom"/>
            <w:gridSpan w:val="5"/>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74,978,905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w w:val="95"/>
              </w:rPr>
              <w:t>80,275,422</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Liquidity and Capital Resources</w:t>
      </w:r>
    </w:p>
    <w:p>
      <w:pPr>
        <w:spacing w:after="0" w:line="203" w:lineRule="exact"/>
        <w:rPr>
          <w:sz w:val="20"/>
          <w:szCs w:val="20"/>
          <w:color w:val="auto"/>
        </w:rPr>
      </w:pPr>
    </w:p>
    <w:p>
      <w:pPr>
        <w:ind w:left="800" w:right="300" w:firstLine="482"/>
        <w:spacing w:after="0" w:line="252" w:lineRule="auto"/>
        <w:rPr>
          <w:sz w:val="20"/>
          <w:szCs w:val="20"/>
          <w:color w:val="auto"/>
        </w:rPr>
      </w:pPr>
      <w:r>
        <w:rPr>
          <w:rFonts w:ascii="Arial" w:cs="Arial" w:eastAsia="Arial" w:hAnsi="Arial"/>
          <w:sz w:val="15"/>
          <w:szCs w:val="15"/>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December 31, 2020. In December 2020, we completed our IPO which resulted in $ 167.4 million of proceeds, net of underwriting discounts, and before deducting deferred offering costs of $7.9 million. Deferred offering costs consisted primarily of incremental accounting, legal, and other fees related to the IPO.</w:t>
      </w:r>
    </w:p>
    <w:p>
      <w:pPr>
        <w:spacing w:after="0" w:line="76" w:lineRule="exact"/>
        <w:rPr>
          <w:sz w:val="20"/>
          <w:szCs w:val="20"/>
          <w:color w:val="auto"/>
        </w:rPr>
      </w:pPr>
    </w:p>
    <w:p>
      <w:pPr>
        <w:ind w:left="800" w:right="200" w:firstLine="482"/>
        <w:spacing w:after="0" w:line="236" w:lineRule="auto"/>
        <w:rPr>
          <w:sz w:val="20"/>
          <w:szCs w:val="20"/>
          <w:color w:val="auto"/>
        </w:rPr>
      </w:pPr>
      <w:r>
        <w:rPr>
          <w:rFonts w:ascii="Arial" w:cs="Arial" w:eastAsia="Arial" w:hAnsi="Arial"/>
          <w:sz w:val="16"/>
          <w:szCs w:val="16"/>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440"/>
          </w:cols>
          <w:pgMar w:left="320" w:top="419" w:right="11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60"/>
        <w:spacing w:after="0" w:line="236" w:lineRule="auto"/>
        <w:rPr>
          <w:sz w:val="20"/>
          <w:szCs w:val="20"/>
          <w:color w:val="auto"/>
        </w:rPr>
      </w:pPr>
      <w:r>
        <w:rPr>
          <w:rFonts w:ascii="Arial" w:cs="Arial" w:eastAsia="Arial" w:hAnsi="Arial"/>
          <w:sz w:val="16"/>
          <w:szCs w:val="16"/>
          <w:color w:val="auto"/>
        </w:rPr>
        <w:t>we sponsor. As of December 31, 2020, we had an aggregate principal balance of $62.7 million outstanding, of which $20.5 million is due within the next 12 months. See “</w:t>
      </w:r>
      <w:r>
        <w:rPr>
          <w:rFonts w:ascii="Arial" w:cs="Arial" w:eastAsia="Arial" w:hAnsi="Arial"/>
          <w:sz w:val="16"/>
          <w:szCs w:val="16"/>
          <w:i w:val="1"/>
          <w:iCs w:val="1"/>
          <w:color w:val="auto"/>
        </w:rPr>
        <w:t>Note 7. Borrowings</w:t>
      </w:r>
      <w:r>
        <w:rPr>
          <w:rFonts w:ascii="Arial" w:cs="Arial" w:eastAsia="Arial" w:hAnsi="Arial"/>
          <w:sz w:val="16"/>
          <w:szCs w:val="16"/>
          <w:color w:val="auto"/>
        </w:rPr>
        <w:t>” in our consolidated financial statements included in this prospectus for further information.</w:t>
      </w:r>
    </w:p>
    <w:p>
      <w:pPr>
        <w:spacing w:after="0" w:line="84" w:lineRule="exact"/>
        <w:rPr>
          <w:sz w:val="20"/>
          <w:szCs w:val="20"/>
          <w:color w:val="auto"/>
        </w:rPr>
      </w:pPr>
    </w:p>
    <w:p>
      <w:pPr>
        <w:jc w:val="both"/>
        <w:ind w:left="800" w:right="80" w:firstLine="482"/>
        <w:spacing w:after="0" w:line="246" w:lineRule="auto"/>
        <w:rPr>
          <w:sz w:val="20"/>
          <w:szCs w:val="20"/>
          <w:color w:val="auto"/>
        </w:rPr>
      </w:pPr>
      <w:r>
        <w:rPr>
          <w:rFonts w:ascii="Arial" w:cs="Arial" w:eastAsia="Arial" w:hAnsi="Arial"/>
          <w:sz w:val="15"/>
          <w:szCs w:val="15"/>
          <w:color w:val="auto"/>
        </w:rPr>
        <w:t>As of December 31, 2020, our primary source of liquidity was cash of $250.8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w:t>
      </w:r>
    </w:p>
    <w:p>
      <w:pPr>
        <w:spacing w:after="0" w:line="2" w:lineRule="exact"/>
        <w:rPr>
          <w:sz w:val="20"/>
          <w:szCs w:val="20"/>
          <w:color w:val="auto"/>
        </w:rPr>
      </w:pPr>
    </w:p>
    <w:p>
      <w:pPr>
        <w:jc w:val="both"/>
        <w:ind w:left="800" w:right="100"/>
        <w:spacing w:after="0" w:line="236" w:lineRule="auto"/>
        <w:rPr>
          <w:sz w:val="20"/>
          <w:szCs w:val="20"/>
          <w:color w:val="auto"/>
        </w:rPr>
      </w:pPr>
      <w:r>
        <w:rPr>
          <w:rFonts w:ascii="Arial" w:cs="Arial" w:eastAsia="Arial" w:hAnsi="Arial"/>
          <w:sz w:val="16"/>
          <w:szCs w:val="16"/>
          <w:color w:val="auto"/>
        </w:rPr>
        <w:t>$100.0 million through the special- purpose trust, or the warehouse trust. Loans purchased by the trust are classified as held-for-sale and can be sold to third-party investors or in securitization transactions to generate additional liquidity. As of December 31, 2020, the amount borrowed under this credit facility was $35.0 million.</w:t>
      </w:r>
    </w:p>
    <w:p>
      <w:pPr>
        <w:spacing w:after="0" w:line="179"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We believe that our cash on hand, funds available from our revolving credit facilities, amounts borrowed under our term loans,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and our capital expenditures.</w:t>
      </w:r>
    </w:p>
    <w:p>
      <w:pPr>
        <w:spacing w:after="0" w:line="178"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To the extent our cash balances, cash generated by operations, revolving credit facilities, term loans and the proceeds from our IPO and this offering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Term Loans</w:t>
      </w:r>
    </w:p>
    <w:p>
      <w:pPr>
        <w:spacing w:after="0" w:line="106" w:lineRule="exact"/>
        <w:rPr>
          <w:sz w:val="20"/>
          <w:szCs w:val="20"/>
          <w:color w:val="auto"/>
        </w:rPr>
      </w:pPr>
    </w:p>
    <w:p>
      <w:pPr>
        <w:ind w:left="800" w:right="260" w:firstLine="482"/>
        <w:spacing w:after="0" w:line="236" w:lineRule="auto"/>
        <w:rPr>
          <w:sz w:val="20"/>
          <w:szCs w:val="20"/>
          <w:color w:val="auto"/>
        </w:rPr>
      </w:pPr>
      <w:r>
        <w:rPr>
          <w:rFonts w:ascii="Arial" w:cs="Arial" w:eastAsia="Arial" w:hAnsi="Arial"/>
          <w:sz w:val="16"/>
          <w:szCs w:val="16"/>
          <w:color w:val="auto"/>
        </w:rPr>
        <w:t>In 2016, we, along with our wholly owned subsidiary, Upstart Network, Inc., or UNI, as the co-borrower, entered into a loan and security agreement, or LSA, with a third-party lender to obtain a term loan of $5.5 million. The term loan matured on December 1, 2020 and we paid in full the outstanding principal and the accrued interest.</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2018, we entered into a mezzanine loan and security agreement with the same lender to obtain a second term loan of up to</w:t>
      </w:r>
    </w:p>
    <w:p>
      <w:pPr>
        <w:ind w:left="800"/>
        <w:spacing w:after="0" w:line="231" w:lineRule="auto"/>
        <w:rPr>
          <w:sz w:val="20"/>
          <w:szCs w:val="20"/>
          <w:color w:val="auto"/>
        </w:rPr>
      </w:pPr>
      <w:r>
        <w:rPr>
          <w:rFonts w:ascii="Arial" w:cs="Arial" w:eastAsia="Arial" w:hAnsi="Arial"/>
          <w:sz w:val="16"/>
          <w:szCs w:val="16"/>
          <w:color w:val="auto"/>
        </w:rPr>
        <w:t>$15.0 million, or the Mezzanine Loan. The Mezzanine Loan bears interest at the greater of prime rate plus 5.25% or 10.00% per annum</w:t>
      </w:r>
    </w:p>
    <w:p>
      <w:pPr>
        <w:ind w:left="800"/>
        <w:spacing w:after="0"/>
        <w:rPr>
          <w:sz w:val="20"/>
          <w:szCs w:val="20"/>
          <w:color w:val="auto"/>
        </w:rPr>
      </w:pPr>
      <w:r>
        <w:rPr>
          <w:rFonts w:ascii="Arial" w:cs="Arial" w:eastAsia="Arial" w:hAnsi="Arial"/>
          <w:sz w:val="16"/>
          <w:szCs w:val="16"/>
          <w:color w:val="auto"/>
        </w:rPr>
        <w:t>and matures on October 1, 2021. As of December 31, 2020, the outstanding principal balance of the Mezzanine Loan was $15.0 million.</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revolving credit facility has an aggregate credit limit of $5.5 million and as of December 31, 2020, we were fully drawn on such facility. During the year ended December 31, 2020, the parties agreed to extend the maturity date from June 1, 2020 to June 1, 2021 when the outstanding principal and any accrued and unpaid interest are due and payable in full.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As of December 31, 2019 and 2020, we were in compliance with the applicable covenants under our revolving credit facility.</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Warehouse Credit Facilities</w:t>
      </w:r>
    </w:p>
    <w:p>
      <w:pPr>
        <w:spacing w:after="0" w:line="106" w:lineRule="exact"/>
        <w:rPr>
          <w:sz w:val="20"/>
          <w:szCs w:val="20"/>
          <w:color w:val="auto"/>
        </w:rPr>
      </w:pPr>
    </w:p>
    <w:p>
      <w:pPr>
        <w:ind w:left="800" w:right="380" w:firstLine="482"/>
        <w:spacing w:after="0" w:line="238" w:lineRule="auto"/>
        <w:rPr>
          <w:sz w:val="20"/>
          <w:szCs w:val="20"/>
          <w:color w:val="auto"/>
        </w:rPr>
      </w:pPr>
      <w:r>
        <w:rPr>
          <w:rFonts w:ascii="Arial" w:cs="Arial" w:eastAsia="Arial" w:hAnsi="Arial"/>
          <w:sz w:val="16"/>
          <w:szCs w:val="16"/>
          <w:color w:val="auto"/>
        </w:rPr>
        <w:t>We have entered into two warehouse credit facilities with separate third-party lenders through our warehouse trusts, which are consolidated VIEs. On November 2, 2020, we repaid all outstanding</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440"/>
          </w:cols>
          <w:pgMar w:left="320" w:top="419" w:right="11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2" w:lineRule="auto"/>
        <w:rPr>
          <w:sz w:val="20"/>
          <w:szCs w:val="20"/>
          <w:color w:val="auto"/>
        </w:rPr>
      </w:pPr>
      <w:r>
        <w:rPr>
          <w:rFonts w:ascii="Arial" w:cs="Arial" w:eastAsia="Arial" w:hAnsi="Arial"/>
          <w:sz w:val="16"/>
          <w:szCs w:val="16"/>
          <w:color w:val="auto"/>
        </w:rPr>
        <w:t>borrowings under one of our warehouse credit facilities in the amount of $4.0 million and terminated the corresponding warehouse credit facility. The remaining warehouse facility is used to fund purchases of personal whole loans originated by certain bank partners on our platform; the assets of the warehouse trust secure the borrowings provided by the warehouse lender and are not available to settle claims of our general creditors. In May 2020, the maturity date of this credit facility, with a borrowing limit of $100.0 million, was extended to May 2022 when repayment of any outstanding principal, together with any accrued interest and unpaid interest, is due and payable. As of December 31, 2020, we have borrowed $35.0 million under this warehouse credit facility and may continue to borrow under this warehouse credit facility until May 2021. Our warehouse credit facility bears floating interest rates, payable on a monthly basis, and contain certain financial covenants. Failure to comply with these covenants may result in an acceleration of payment on outstanding principal and accrued interest. As of December 31, 2019 and 2020, we were in compliance with the applicable covenants under our remaining warehouse credit facility.</w:t>
      </w:r>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Risk Retention Funding Loans</w:t>
      </w:r>
    </w:p>
    <w:p>
      <w:pPr>
        <w:spacing w:after="0" w:line="106" w:lineRule="exact"/>
        <w:rPr>
          <w:sz w:val="20"/>
          <w:szCs w:val="20"/>
          <w:color w:val="auto"/>
        </w:rPr>
      </w:pPr>
    </w:p>
    <w:p>
      <w:pPr>
        <w:ind w:left="800" w:firstLine="482"/>
        <w:spacing w:after="0" w:line="251" w:lineRule="auto"/>
        <w:rPr>
          <w:sz w:val="20"/>
          <w:szCs w:val="20"/>
          <w:color w:val="auto"/>
        </w:rPr>
      </w:pPr>
      <w:r>
        <w:rPr>
          <w:rFonts w:ascii="Arial" w:cs="Arial" w:eastAsia="Arial" w:hAnsi="Arial"/>
          <w:sz w:val="15"/>
          <w:szCs w:val="15"/>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December 31, 2020, the aggregate outstanding principal amount of these loans was $7.2 million. These borrowings are solely obligations of these consolidated VIEs and are not available to satisfy potential claims of our creditors.</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Cash Flows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summarizes our cash flows during the years indicated:</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67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46"/>
              <w:spacing w:after="0" w:line="134" w:lineRule="exact"/>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44"/>
              <w:spacing w:after="0" w:line="134"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4"/>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69"/>
        </w:trPr>
        <w:tc>
          <w:tcPr>
            <w:tcW w:w="6700" w:type="dxa"/>
            <w:vAlign w:val="bottom"/>
            <w:shd w:val="clear" w:color="auto" w:fill="CCEEFF"/>
          </w:tcPr>
          <w:p>
            <w:pPr>
              <w:ind w:left="320"/>
              <w:spacing w:after="0" w:line="169" w:lineRule="exact"/>
              <w:rPr>
                <w:sz w:val="20"/>
                <w:szCs w:val="20"/>
                <w:color w:val="auto"/>
              </w:rPr>
            </w:pPr>
            <w:r>
              <w:rPr>
                <w:rFonts w:ascii="Arial" w:cs="Arial" w:eastAsia="Arial" w:hAnsi="Arial"/>
                <w:sz w:val="16"/>
                <w:szCs w:val="16"/>
                <w:color w:val="auto"/>
              </w:rPr>
              <w:t>Net cash provided by operating activities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50,338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31,582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15,697</w:t>
            </w:r>
          </w:p>
        </w:tc>
        <w:tc>
          <w:tcPr>
            <w:tcW w:w="40" w:type="dxa"/>
            <w:vAlign w:val="bottom"/>
            <w:shd w:val="clear" w:color="auto" w:fill="CCEEFF"/>
          </w:tcPr>
          <w:p>
            <w:pPr>
              <w:spacing w:after="0"/>
              <w:rPr>
                <w:sz w:val="14"/>
                <w:szCs w:val="14"/>
                <w:color w:val="auto"/>
              </w:rPr>
            </w:pPr>
          </w:p>
        </w:tc>
      </w:tr>
      <w:tr>
        <w:trPr>
          <w:trHeight w:val="177"/>
        </w:trPr>
        <w:tc>
          <w:tcPr>
            <w:tcW w:w="6700" w:type="dxa"/>
            <w:vAlign w:val="bottom"/>
          </w:tcPr>
          <w:p>
            <w:pPr>
              <w:ind w:left="320"/>
              <w:spacing w:after="0" w:line="178" w:lineRule="exact"/>
              <w:rPr>
                <w:sz w:val="20"/>
                <w:szCs w:val="20"/>
                <w:color w:val="auto"/>
              </w:rPr>
            </w:pPr>
            <w:r>
              <w:rPr>
                <w:rFonts w:ascii="Arial" w:cs="Arial" w:eastAsia="Arial" w:hAnsi="Arial"/>
                <w:sz w:val="16"/>
                <w:szCs w:val="16"/>
                <w:color w:val="auto"/>
              </w:rPr>
              <w:t>Net cash (used in) provided by investing activities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w w:val="96"/>
              </w:rPr>
              <w:t>(137,237)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45,433</w:t>
            </w:r>
          </w:p>
        </w:tc>
        <w:tc>
          <w:tcPr>
            <w:tcW w:w="100" w:type="dxa"/>
            <w:vAlign w:val="bottom"/>
          </w:tcPr>
          <w:p>
            <w:pPr>
              <w:spacing w:after="0"/>
              <w:rPr>
                <w:sz w:val="15"/>
                <w:szCs w:val="15"/>
                <w:color w:val="auto"/>
              </w:rPr>
            </w:pPr>
          </w:p>
        </w:tc>
        <w:tc>
          <w:tcPr>
            <w:tcW w:w="6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w w:val="96"/>
              </w:rPr>
              <w:t>136,517</w:t>
            </w:r>
          </w:p>
        </w:tc>
      </w:tr>
      <w:tr>
        <w:trPr>
          <w:trHeight w:val="177"/>
        </w:trPr>
        <w:tc>
          <w:tcPr>
            <w:tcW w:w="670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Net cash (used in) provided by financing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135,766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w w:val="99"/>
              </w:rPr>
              <w:t>(119,190)</w:t>
            </w: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79,052</w:t>
            </w: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6700" w:type="dxa"/>
            <w:vAlign w:val="bottom"/>
          </w:tcPr>
          <w:p>
            <w:pPr>
              <w:spacing w:after="0" w:line="181" w:lineRule="exact"/>
              <w:rPr>
                <w:sz w:val="20"/>
                <w:szCs w:val="20"/>
                <w:color w:val="auto"/>
              </w:rPr>
            </w:pPr>
            <w:r>
              <w:rPr>
                <w:rFonts w:ascii="Arial" w:cs="Arial" w:eastAsia="Arial" w:hAnsi="Arial"/>
                <w:sz w:val="16"/>
                <w:szCs w:val="16"/>
                <w:color w:val="auto"/>
              </w:rPr>
              <w:t>Net increase (decrease) in cash and restricted cash</w:t>
            </w:r>
          </w:p>
        </w:tc>
        <w:tc>
          <w:tcPr>
            <w:tcW w:w="100" w:type="dxa"/>
            <w:vAlign w:val="bottom"/>
            <w:gridSpan w:val="2"/>
          </w:tcPr>
          <w:p>
            <w:pPr>
              <w:jc w:val="right"/>
              <w:spacing w:after="0" w:line="181" w:lineRule="exact"/>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48,867</w:t>
            </w:r>
          </w:p>
        </w:tc>
        <w:tc>
          <w:tcPr>
            <w:tcW w:w="200" w:type="dxa"/>
            <w:vAlign w:val="bottom"/>
          </w:tcPr>
          <w:p>
            <w:pPr>
              <w:spacing w:after="0"/>
              <w:rPr>
                <w:sz w:val="15"/>
                <w:szCs w:val="15"/>
                <w:color w:val="auto"/>
              </w:rPr>
            </w:pPr>
          </w:p>
        </w:tc>
        <w:tc>
          <w:tcPr>
            <w:tcW w:w="26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20"/>
              <w:spacing w:after="0" w:line="181" w:lineRule="exact"/>
              <w:rPr>
                <w:sz w:val="20"/>
                <w:szCs w:val="20"/>
                <w:color w:val="auto"/>
              </w:rPr>
            </w:pPr>
            <w:r>
              <w:rPr>
                <w:rFonts w:ascii="Arial" w:cs="Arial" w:eastAsia="Arial" w:hAnsi="Arial"/>
                <w:sz w:val="16"/>
                <w:szCs w:val="16"/>
                <w:color w:val="auto"/>
              </w:rPr>
              <w:t>(42,175)</w:t>
            </w:r>
          </w:p>
        </w:tc>
        <w:tc>
          <w:tcPr>
            <w:tcW w:w="100" w:type="dxa"/>
            <w:vAlign w:val="bottom"/>
          </w:tcPr>
          <w:p>
            <w:pPr>
              <w:jc w:val="right"/>
              <w:spacing w:after="0" w:line="181" w:lineRule="exact"/>
              <w:rPr>
                <w:sz w:val="20"/>
                <w:szCs w:val="20"/>
                <w:color w:val="auto"/>
              </w:rPr>
            </w:pPr>
            <w:r>
              <w:rPr>
                <w:rFonts w:ascii="Arial" w:cs="Arial" w:eastAsia="Arial" w:hAnsi="Arial"/>
                <w:sz w:val="16"/>
                <w:szCs w:val="16"/>
                <w:u w:val="single" w:color="auto"/>
                <w:color w:val="auto"/>
                <w:w w:val="89"/>
              </w:rPr>
              <w:t>$</w:t>
            </w:r>
          </w:p>
        </w:tc>
        <w:tc>
          <w:tcPr>
            <w:tcW w:w="620" w:type="dxa"/>
            <w:vAlign w:val="bottom"/>
            <w:gridSpan w:val="2"/>
          </w:tcPr>
          <w:p>
            <w:pPr>
              <w:jc w:val="right"/>
              <w:ind w:right="40"/>
              <w:spacing w:after="0" w:line="181" w:lineRule="exact"/>
              <w:rPr>
                <w:sz w:val="20"/>
                <w:szCs w:val="20"/>
                <w:color w:val="auto"/>
              </w:rPr>
            </w:pPr>
            <w:r>
              <w:rPr>
                <w:rFonts w:ascii="Arial" w:cs="Arial" w:eastAsia="Arial" w:hAnsi="Arial"/>
                <w:sz w:val="16"/>
                <w:szCs w:val="16"/>
                <w:color w:val="auto"/>
                <w:w w:val="96"/>
              </w:rPr>
              <w:t>231,266</w:t>
            </w: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106" w:lineRule="exact"/>
        <w:rPr>
          <w:sz w:val="20"/>
          <w:szCs w:val="20"/>
          <w:color w:val="auto"/>
        </w:rPr>
      </w:pPr>
    </w:p>
    <w:p>
      <w:pPr>
        <w:jc w:val="both"/>
        <w:ind w:left="800" w:firstLine="482"/>
        <w:spacing w:after="0" w:line="238" w:lineRule="auto"/>
        <w:rPr>
          <w:sz w:val="20"/>
          <w:szCs w:val="20"/>
          <w:color w:val="auto"/>
        </w:rPr>
      </w:pPr>
      <w:r>
        <w:rPr>
          <w:rFonts w:ascii="Arial" w:cs="Arial" w:eastAsia="Arial" w:hAnsi="Arial"/>
          <w:sz w:val="16"/>
          <w:szCs w:val="16"/>
          <w:color w:val="auto"/>
        </w:rPr>
        <w:t>Our main sources of cash provided by operating activities are our revenue from fees earned under contracts with bank partners and loan investors and interest income we receive for loans held on our balance sheet.</w:t>
      </w:r>
    </w:p>
    <w:p>
      <w:pPr>
        <w:spacing w:after="0" w:line="179" w:lineRule="exact"/>
        <w:rPr>
          <w:sz w:val="20"/>
          <w:szCs w:val="20"/>
          <w:color w:val="auto"/>
        </w:rPr>
      </w:pPr>
    </w:p>
    <w:p>
      <w:pPr>
        <w:ind w:left="800" w:right="440" w:firstLine="482"/>
        <w:spacing w:after="0" w:line="238" w:lineRule="auto"/>
        <w:rPr>
          <w:sz w:val="20"/>
          <w:szCs w:val="20"/>
          <w:color w:val="auto"/>
        </w:rPr>
      </w:pPr>
      <w:r>
        <w:rPr>
          <w:rFonts w:ascii="Arial" w:cs="Arial" w:eastAsia="Arial" w:hAnsi="Arial"/>
          <w:sz w:val="16"/>
          <w:szCs w:val="16"/>
          <w:color w:val="auto"/>
        </w:rPr>
        <w:t>Our main uses of cash in our operating activities include payments to marketing partners, vendor payments, payroll and other personnel-related expenses, payments for facilities, and other general business expenditures.</w:t>
      </w:r>
    </w:p>
    <w:p>
      <w:pPr>
        <w:spacing w:after="0" w:line="179" w:lineRule="exact"/>
        <w:rPr>
          <w:sz w:val="20"/>
          <w:szCs w:val="20"/>
          <w:color w:val="auto"/>
        </w:rPr>
      </w:pPr>
    </w:p>
    <w:p>
      <w:pPr>
        <w:jc w:val="both"/>
        <w:ind w:left="800" w:right="120" w:firstLine="482"/>
        <w:spacing w:after="0" w:line="236" w:lineRule="auto"/>
        <w:rPr>
          <w:sz w:val="20"/>
          <w:szCs w:val="20"/>
          <w:color w:val="auto"/>
        </w:rPr>
      </w:pPr>
      <w:r>
        <w:rPr>
          <w:rFonts w:ascii="Arial" w:cs="Arial" w:eastAsia="Arial" w:hAnsi="Arial"/>
          <w:sz w:val="16"/>
          <w:szCs w:val="16"/>
          <w:color w:val="auto"/>
        </w:rPr>
        <w:t>Net cash provided by operating activities was $15.7 million for the year ended December 31, 2020, which primarily consisted of a $32.1 million change in net operating assets and liabilities, offset by a change in fair value of financial instruments of $29.0 million, stock-based compensation of $11.5 million and net income before attribution to noncontrolling interests of $5.6 million. The change in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440"/>
          </w:cols>
          <w:pgMar w:left="320" w:top="419" w:right="11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5" w:lineRule="auto"/>
        <w:rPr>
          <w:sz w:val="20"/>
          <w:szCs w:val="20"/>
          <w:color w:val="auto"/>
        </w:rPr>
      </w:pPr>
      <w:r>
        <w:rPr>
          <w:rFonts w:ascii="Arial" w:cs="Arial" w:eastAsia="Arial" w:hAnsi="Arial"/>
          <w:sz w:val="16"/>
          <w:szCs w:val="16"/>
          <w:color w:val="auto"/>
        </w:rPr>
        <w:t>fair value of financial instruments was primarily due to a $19.1 million decrease in the fair value of loans and a $6.5 million an increase in the fair value of preferred stock liabilities. The change in net operating assets and liabilities was mainly related to a $116.1 million increase in purchases of loans held-for-sale, partially offset by $47.6 million of net proceeds from loans held-for-sale and $19.4 million increase in payable to investors.</w:t>
      </w:r>
    </w:p>
    <w:p>
      <w:pPr>
        <w:spacing w:after="0" w:line="178" w:lineRule="exact"/>
        <w:rPr>
          <w:sz w:val="20"/>
          <w:szCs w:val="20"/>
          <w:color w:val="auto"/>
        </w:rPr>
      </w:pPr>
    </w:p>
    <w:p>
      <w:pPr>
        <w:ind w:left="800" w:right="180" w:firstLine="482"/>
        <w:spacing w:after="0" w:line="231" w:lineRule="auto"/>
        <w:rPr>
          <w:sz w:val="20"/>
          <w:szCs w:val="20"/>
          <w:color w:val="auto"/>
        </w:rPr>
      </w:pPr>
      <w:r>
        <w:rPr>
          <w:rFonts w:ascii="Arial" w:cs="Arial" w:eastAsia="Arial" w:hAnsi="Arial"/>
          <w:sz w:val="16"/>
          <w:szCs w:val="16"/>
          <w:color w:val="auto"/>
        </w:rPr>
        <w:t>Net cash provided by operating activities was $31.6 million for the year ended December 31, 2019, which primarily consisted of a net loss before attribution to noncontrolling interests of $5.0 million, offset by a change in fair value of financial instruments of</w:t>
      </w:r>
    </w:p>
    <w:p>
      <w:pPr>
        <w:spacing w:after="0" w:line="1" w:lineRule="exact"/>
        <w:rPr>
          <w:sz w:val="20"/>
          <w:szCs w:val="20"/>
          <w:color w:val="auto"/>
        </w:rPr>
      </w:pPr>
    </w:p>
    <w:p>
      <w:pPr>
        <w:ind w:left="800" w:right="200"/>
        <w:spacing w:after="0" w:line="236" w:lineRule="auto"/>
        <w:rPr>
          <w:sz w:val="20"/>
          <w:szCs w:val="20"/>
          <w:color w:val="auto"/>
        </w:rPr>
      </w:pPr>
      <w:r>
        <w:rPr>
          <w:rFonts w:ascii="Arial" w:cs="Arial" w:eastAsia="Arial" w:hAnsi="Arial"/>
          <w:sz w:val="16"/>
          <w:szCs w:val="16"/>
          <w:color w:val="auto"/>
        </w:rPr>
        <w:t>$34.7 million. The change in fair value of financial instruments was primarily related to a $42.1 million decrease in the fair value of loans held-for-investment, partially offset by a $6.1 million decrease in the fair value of payable to securitization note holders and residual certificate holders.</w:t>
      </w:r>
    </w:p>
    <w:p>
      <w:pPr>
        <w:spacing w:after="0" w:line="84" w:lineRule="exact"/>
        <w:rPr>
          <w:sz w:val="20"/>
          <w:szCs w:val="20"/>
          <w:color w:val="auto"/>
        </w:rPr>
      </w:pPr>
    </w:p>
    <w:p>
      <w:pPr>
        <w:ind w:left="800" w:right="180" w:firstLine="482"/>
        <w:spacing w:after="0" w:line="231" w:lineRule="auto"/>
        <w:rPr>
          <w:sz w:val="20"/>
          <w:szCs w:val="20"/>
          <w:color w:val="auto"/>
        </w:rPr>
      </w:pPr>
      <w:r>
        <w:rPr>
          <w:rFonts w:ascii="Arial" w:cs="Arial" w:eastAsia="Arial" w:hAnsi="Arial"/>
          <w:sz w:val="16"/>
          <w:szCs w:val="16"/>
          <w:color w:val="auto"/>
        </w:rPr>
        <w:t>Net cash provided by operating activities was $50.3 million for the year ended December 31, 2018, which primarily consisted of a net loss before attribution to noncontrolling interests of $11.2 million, offset by a change in fair value of financial instruments of</w:t>
      </w:r>
    </w:p>
    <w:p>
      <w:pPr>
        <w:spacing w:after="0" w:line="1" w:lineRule="exact"/>
        <w:rPr>
          <w:sz w:val="20"/>
          <w:szCs w:val="20"/>
          <w:color w:val="auto"/>
        </w:rPr>
      </w:pPr>
    </w:p>
    <w:p>
      <w:pPr>
        <w:ind w:left="800"/>
        <w:spacing w:after="0" w:line="236" w:lineRule="auto"/>
        <w:rPr>
          <w:sz w:val="20"/>
          <w:szCs w:val="20"/>
          <w:color w:val="auto"/>
        </w:rPr>
      </w:pPr>
      <w:r>
        <w:rPr>
          <w:rFonts w:ascii="Arial" w:cs="Arial" w:eastAsia="Arial" w:hAnsi="Arial"/>
          <w:sz w:val="16"/>
          <w:szCs w:val="16"/>
          <w:color w:val="auto"/>
        </w:rPr>
        <w:t>$42.3 million and a $ 14.0 million change in net operating assets and liabilities. The change in fair value of financial instruments was primarily related to a $45.8 million decrease in the fair value of loans held-for-investment. The change in net operating assets and liabilities was mainly related to a $14.1 million increase in payable to investors.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Net Cash from Investing Activities</w:t>
      </w:r>
    </w:p>
    <w:p>
      <w:pPr>
        <w:spacing w:after="0" w:line="106"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Our primary sources of cash from investing activities are principal repayments received on loans held-for- investment through credit facilities and held by consolidated securitizations, proceeds from the sale of loans and payments on residual certificates held for risk retention purposes in sponsored securitizations.</w:t>
      </w:r>
    </w:p>
    <w:p>
      <w:pPr>
        <w:spacing w:after="0" w:line="179" w:lineRule="exact"/>
        <w:rPr>
          <w:sz w:val="20"/>
          <w:szCs w:val="20"/>
          <w:color w:val="auto"/>
        </w:rPr>
      </w:pPr>
    </w:p>
    <w:p>
      <w:pPr>
        <w:jc w:val="both"/>
        <w:ind w:left="800" w:right="280" w:firstLine="482"/>
        <w:spacing w:after="0" w:line="236" w:lineRule="auto"/>
        <w:rPr>
          <w:sz w:val="20"/>
          <w:szCs w:val="20"/>
          <w:color w:val="auto"/>
        </w:rPr>
      </w:pPr>
      <w:r>
        <w:rPr>
          <w:rFonts w:ascii="Arial" w:cs="Arial" w:eastAsia="Arial" w:hAnsi="Arial"/>
          <w:sz w:val="16"/>
          <w:szCs w:val="16"/>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179"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Net cash provided by investing activities was $136.5 million for the year ended December 31, 2020 as a result of $97.3 million of net proceeds from sale of loans and $39.8 million of principal payments received for loans.</w:t>
      </w:r>
    </w:p>
    <w:p>
      <w:pPr>
        <w:spacing w:after="0" w:line="179" w:lineRule="exact"/>
        <w:rPr>
          <w:sz w:val="20"/>
          <w:szCs w:val="20"/>
          <w:color w:val="auto"/>
        </w:rPr>
      </w:pPr>
    </w:p>
    <w:p>
      <w:pPr>
        <w:ind w:left="800" w:right="220" w:firstLine="482"/>
        <w:spacing w:after="0" w:line="236" w:lineRule="auto"/>
        <w:rPr>
          <w:sz w:val="20"/>
          <w:szCs w:val="20"/>
          <w:color w:val="auto"/>
        </w:rPr>
      </w:pPr>
      <w:r>
        <w:rPr>
          <w:rFonts w:ascii="Arial" w:cs="Arial" w:eastAsia="Arial" w:hAnsi="Arial"/>
          <w:sz w:val="16"/>
          <w:szCs w:val="16"/>
          <w:color w:val="auto"/>
        </w:rPr>
        <w:t>Net cash provided by investing activities was $45.4 million for the year ended December 31, 2019 as a result of $207.0 million of principal payments received on loans and $100.7 million in net proceeds from the sale of loans, which were partially offset by $265.3 million in purchase of loans held-for-investment.</w:t>
      </w:r>
    </w:p>
    <w:p>
      <w:pPr>
        <w:spacing w:after="0" w:line="179"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Net cash used in investing activities was $137.2 million for the year ended December 31, 2018 as a result of $421.1 million in purchases of loans, which was partially offset by $238.0 million in principal payments received on loans and $45.7 million in net proceeds from the sale of loans.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Net Cash from Financing Activities</w:t>
      </w:r>
    </w:p>
    <w:p>
      <w:pPr>
        <w:spacing w:after="0" w:line="106"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The main sources of cash from financing activities include proceeds from issuance of securitization notes and residual certificates from consolidated securitizations, proceeds from borrowings, and proceeds from the issuance of convertible preferred stock, and notes payable.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440"/>
          </w:cols>
          <w:pgMar w:left="320" w:top="419" w:right="11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The primary uses of cash for financing activities include payments made to holders of securitization notes and residual certificates for consolidated securitizations and repayments of notes payable and borrowings.</w:t>
      </w:r>
    </w:p>
    <w:p>
      <w:pPr>
        <w:spacing w:after="0" w:line="179" w:lineRule="exact"/>
        <w:rPr>
          <w:sz w:val="20"/>
          <w:szCs w:val="20"/>
          <w:color w:val="auto"/>
        </w:rPr>
      </w:pPr>
    </w:p>
    <w:p>
      <w:pPr>
        <w:ind w:left="800" w:right="220" w:firstLine="482"/>
        <w:spacing w:after="0" w:line="236" w:lineRule="auto"/>
        <w:rPr>
          <w:sz w:val="20"/>
          <w:szCs w:val="20"/>
          <w:color w:val="auto"/>
        </w:rPr>
      </w:pPr>
      <w:r>
        <w:rPr>
          <w:rFonts w:ascii="Arial" w:cs="Arial" w:eastAsia="Arial" w:hAnsi="Arial"/>
          <w:sz w:val="16"/>
          <w:szCs w:val="16"/>
          <w:color w:val="auto"/>
        </w:rPr>
        <w:t>Net cash provided by financing activities was $79.1 million for the year ended December 31, 2020 as a result of $159.5 million in proceeds from our IPO, net of underwriting discounts and deferred offering costs, and $ 92.1 in proceeds from borrowings, which was partially offset by $174.2 million in payment on borrowings and securitization notes and certificates.</w:t>
      </w:r>
    </w:p>
    <w:p>
      <w:pPr>
        <w:spacing w:after="0" w:line="179" w:lineRule="exact"/>
        <w:rPr>
          <w:sz w:val="20"/>
          <w:szCs w:val="20"/>
          <w:color w:val="auto"/>
        </w:rPr>
      </w:pPr>
    </w:p>
    <w:p>
      <w:pPr>
        <w:ind w:left="800" w:right="440" w:firstLine="482"/>
        <w:spacing w:after="0" w:line="236" w:lineRule="auto"/>
        <w:rPr>
          <w:sz w:val="20"/>
          <w:szCs w:val="20"/>
          <w:color w:val="auto"/>
        </w:rPr>
      </w:pPr>
      <w:r>
        <w:rPr>
          <w:rFonts w:ascii="Arial" w:cs="Arial" w:eastAsia="Arial" w:hAnsi="Arial"/>
          <w:sz w:val="16"/>
          <w:szCs w:val="16"/>
          <w:color w:val="auto"/>
        </w:rPr>
        <w:t>Net cash used in financing activities was $119.2 million for the year ended December 31, 2019 as a result of $199.4 million in payment on notes payable and securitization notes and certificates, which was partially offset by $43.6 million in net proceeds from borrowings and $39.9 million in proceeds from issuance of notes payable.</w:t>
      </w:r>
    </w:p>
    <w:p>
      <w:pPr>
        <w:spacing w:after="0" w:line="179" w:lineRule="exact"/>
        <w:rPr>
          <w:sz w:val="20"/>
          <w:szCs w:val="20"/>
          <w:color w:val="auto"/>
        </w:rPr>
      </w:pPr>
    </w:p>
    <w:p>
      <w:pPr>
        <w:ind w:left="800" w:right="140" w:firstLine="482"/>
        <w:spacing w:after="0" w:line="235" w:lineRule="auto"/>
        <w:rPr>
          <w:sz w:val="20"/>
          <w:szCs w:val="20"/>
          <w:color w:val="auto"/>
        </w:rPr>
      </w:pPr>
      <w:r>
        <w:rPr>
          <w:rFonts w:ascii="Arial" w:cs="Arial" w:eastAsia="Arial" w:hAnsi="Arial"/>
          <w:sz w:val="16"/>
          <w:szCs w:val="16"/>
          <w:color w:val="auto"/>
        </w:rPr>
        <w:t>Net cash provided by financing activities was $135.8 million for the year ended December 31, 2018 as a result of $285.0 million in proceeds from issuance of notes payable and securitization notes and certificates, $51.1 million in net proceeds from borrowings and $49.9 million in proceeds from the issuance of convertible preferred stock, net of issuance costs, which were partially offset by $248.2 million in payment on notes payable and securitization notes and certificates.</w:t>
      </w:r>
    </w:p>
    <w:p>
      <w:pPr>
        <w:spacing w:after="0" w:line="253"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Contractual Obligations and Off-Balance Sheet Arrangements</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06" w:lineRule="exact"/>
        <w:rPr>
          <w:sz w:val="20"/>
          <w:szCs w:val="20"/>
          <w:color w:val="auto"/>
        </w:rPr>
      </w:pPr>
    </w:p>
    <w:p>
      <w:pPr>
        <w:jc w:val="both"/>
        <w:ind w:left="800" w:right="260" w:firstLine="482"/>
        <w:spacing w:after="0" w:line="235" w:lineRule="auto"/>
        <w:rPr>
          <w:sz w:val="20"/>
          <w:szCs w:val="20"/>
          <w:color w:val="auto"/>
        </w:rPr>
      </w:pPr>
      <w:r>
        <w:rPr>
          <w:rFonts w:ascii="Arial" w:cs="Arial" w:eastAsia="Arial" w:hAnsi="Arial"/>
          <w:sz w:val="16"/>
          <w:szCs w:val="16"/>
          <w:color w:val="auto"/>
        </w:rPr>
        <w:t>Our principal commitments consist of obligations under our loan purchase agreements, debt obligations related to our revolving credit facilities, term loans and risk retention funding loans, and operating leases for office spaces. The following table summarizes our contractual obligations as of December 31, 2020 and the timing and effect that such commitments are expected to have on our liquidity and capital requirements in future periods:</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Less than 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9"/>
              </w:rPr>
              <w:t>More than</w:t>
            </w:r>
          </w:p>
        </w:tc>
        <w:tc>
          <w:tcPr>
            <w:tcW w:w="0" w:type="dxa"/>
            <w:vAlign w:val="bottom"/>
          </w:tcPr>
          <w:p>
            <w:pPr>
              <w:spacing w:after="0"/>
              <w:rPr>
                <w:sz w:val="1"/>
                <w:szCs w:val="1"/>
                <w:color w:val="auto"/>
              </w:rPr>
            </w:pPr>
          </w:p>
        </w:tc>
      </w:tr>
      <w:tr>
        <w:trPr>
          <w:trHeight w:val="154"/>
        </w:trPr>
        <w:tc>
          <w:tcPr>
            <w:tcW w:w="38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9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0"/>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w w:val="94"/>
              </w:rPr>
              <w:t>1 to 3 years</w:t>
            </w:r>
          </w:p>
        </w:tc>
        <w:tc>
          <w:tcPr>
            <w:tcW w:w="4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3 to 5 years</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3"/>
              </w:rPr>
              <w:t>5 years</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ind w:left="280"/>
              <w:spacing w:after="0" w:line="178" w:lineRule="exact"/>
              <w:rPr>
                <w:sz w:val="20"/>
                <w:szCs w:val="20"/>
                <w:color w:val="auto"/>
              </w:rPr>
            </w:pPr>
            <w:r>
              <w:rPr>
                <w:rFonts w:ascii="Arial" w:cs="Arial" w:eastAsia="Arial" w:hAnsi="Arial"/>
                <w:sz w:val="12"/>
                <w:szCs w:val="12"/>
                <w:color w:val="auto"/>
              </w:rPr>
              <w:t>Loan purchase obligations</w:t>
            </w:r>
            <w:r>
              <w:rPr>
                <w:rFonts w:ascii="Arial" w:cs="Arial" w:eastAsia="Arial" w:hAnsi="Arial"/>
                <w:sz w:val="20"/>
                <w:szCs w:val="20"/>
                <w:color w:val="auto"/>
                <w:vertAlign w:val="superscript"/>
              </w:rPr>
              <w:t>(1)</w:t>
            </w: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00" w:type="dxa"/>
            <w:vAlign w:val="bottom"/>
            <w:vMerge w:val="continue"/>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39,307</w:t>
            </w:r>
          </w:p>
        </w:tc>
        <w:tc>
          <w:tcPr>
            <w:tcW w:w="2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39,307</w:t>
            </w:r>
          </w:p>
        </w:tc>
        <w:tc>
          <w:tcPr>
            <w:tcW w:w="38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Arial" w:cs="Arial" w:eastAsia="Arial" w:hAnsi="Arial"/>
                <w:sz w:val="14"/>
                <w:szCs w:val="14"/>
                <w:color w:val="auto"/>
              </w:rPr>
              <w:t>Term loans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payments on term loans</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1,362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1,362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Arial" w:cs="Arial" w:eastAsia="Arial" w:hAnsi="Arial"/>
                <w:sz w:val="14"/>
                <w:szCs w:val="14"/>
                <w:color w:val="auto"/>
              </w:rPr>
              <w:t>Warehouse and revolving credit facilities.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40,494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5,500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34,994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Risk retention funding loans</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7,187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7,187</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800" w:type="dxa"/>
            <w:vAlign w:val="bottom"/>
          </w:tcPr>
          <w:p>
            <w:pPr>
              <w:ind w:left="280"/>
              <w:spacing w:after="0"/>
              <w:rPr>
                <w:sz w:val="20"/>
                <w:szCs w:val="20"/>
                <w:color w:val="auto"/>
              </w:rPr>
            </w:pPr>
            <w:r>
              <w:rPr>
                <w:rFonts w:ascii="Arial" w:cs="Arial" w:eastAsia="Arial" w:hAnsi="Arial"/>
                <w:sz w:val="14"/>
                <w:szCs w:val="14"/>
                <w:color w:val="auto"/>
              </w:rPr>
              <w:t>Operating lease obligations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21,840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4,540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10,737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4,146</w:t>
            </w: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4"/>
        </w:trPr>
        <w:tc>
          <w:tcPr>
            <w:tcW w:w="3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Total contractual obligations</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125,190</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65,709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52,918</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4,146</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82550</wp:posOffset>
            </wp:positionV>
            <wp:extent cx="67564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62" w:lineRule="exact"/>
        <w:rPr>
          <w:sz w:val="20"/>
          <w:szCs w:val="20"/>
          <w:color w:val="auto"/>
        </w:rPr>
      </w:pPr>
    </w:p>
    <w:p>
      <w:pPr>
        <w:jc w:val="both"/>
        <w:ind w:left="1280" w:right="300" w:hanging="481"/>
        <w:spacing w:after="0" w:line="233" w:lineRule="auto"/>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75" w:lineRule="exact"/>
        <w:rPr>
          <w:sz w:val="20"/>
          <w:szCs w:val="20"/>
          <w:color w:val="auto"/>
        </w:rPr>
      </w:pPr>
    </w:p>
    <w:p>
      <w:pPr>
        <w:ind w:left="800" w:right="40" w:firstLine="482"/>
        <w:spacing w:after="0" w:line="236" w:lineRule="auto"/>
        <w:rPr>
          <w:sz w:val="20"/>
          <w:szCs w:val="20"/>
          <w:color w:val="auto"/>
        </w:rPr>
      </w:pPr>
      <w:r>
        <w:rPr>
          <w:rFonts w:ascii="Arial" w:cs="Arial" w:eastAsia="Arial" w:hAnsi="Arial"/>
          <w:sz w:val="16"/>
          <w:szCs w:val="16"/>
          <w:color w:val="auto"/>
        </w:rPr>
        <w:t>For a discussion of our long-term debt obligations, operating lease obligations and loan repurchase agreement as of December 31, 2020, see “</w:t>
      </w:r>
      <w:r>
        <w:rPr>
          <w:rFonts w:ascii="Arial" w:cs="Arial" w:eastAsia="Arial" w:hAnsi="Arial"/>
          <w:sz w:val="16"/>
          <w:szCs w:val="16"/>
          <w:i w:val="1"/>
          <w:iCs w:val="1"/>
          <w:color w:val="auto"/>
        </w:rPr>
        <w:t>Note 7. Borrowings</w:t>
      </w:r>
      <w:r>
        <w:rPr>
          <w:rFonts w:ascii="Arial" w:cs="Arial" w:eastAsia="Arial" w:hAnsi="Arial"/>
          <w:sz w:val="16"/>
          <w:szCs w:val="16"/>
          <w:color w:val="auto"/>
        </w:rPr>
        <w:t>,” “</w:t>
      </w:r>
      <w:r>
        <w:rPr>
          <w:rFonts w:ascii="Arial" w:cs="Arial" w:eastAsia="Arial" w:hAnsi="Arial"/>
          <w:sz w:val="16"/>
          <w:szCs w:val="16"/>
          <w:i w:val="1"/>
          <w:iCs w:val="1"/>
          <w:color w:val="auto"/>
        </w:rPr>
        <w:t>Note 11. Leases,</w:t>
      </w:r>
      <w:r>
        <w:rPr>
          <w:rFonts w:ascii="Arial" w:cs="Arial" w:eastAsia="Arial" w:hAnsi="Arial"/>
          <w:sz w:val="16"/>
          <w:szCs w:val="16"/>
          <w:color w:val="auto"/>
        </w:rPr>
        <w:t>” and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respectively, in our consolidated financial statements included in this prospectus for further information.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440"/>
          </w:cols>
          <w:pgMar w:left="320" w:top="419" w:right="11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w:t>
      </w:r>
      <w:r>
        <w:rPr>
          <w:rFonts w:ascii="Arial" w:cs="Arial" w:eastAsia="Arial" w:hAnsi="Arial"/>
          <w:sz w:val="16"/>
          <w:szCs w:val="16"/>
          <w:i w:val="1"/>
          <w:iCs w:val="1"/>
          <w:color w:val="auto"/>
        </w:rPr>
        <w:t>Note 3. Securitizations and Variable Interest Entitie</w:t>
      </w:r>
      <w:r>
        <w:rPr>
          <w:rFonts w:ascii="Arial" w:cs="Arial" w:eastAsia="Arial" w:hAnsi="Arial"/>
          <w:sz w:val="16"/>
          <w:szCs w:val="16"/>
          <w:color w:val="auto"/>
        </w:rPr>
        <w:t>s” in our consolidated financial statements included in this prospectus.</w:t>
      </w:r>
    </w:p>
    <w:p>
      <w:pPr>
        <w:spacing w:after="0" w:line="25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3" w:lineRule="exact"/>
        <w:rPr>
          <w:sz w:val="20"/>
          <w:szCs w:val="20"/>
          <w:color w:val="auto"/>
        </w:rPr>
      </w:pPr>
    </w:p>
    <w:p>
      <w:pPr>
        <w:ind w:left="800" w:right="320" w:firstLine="482"/>
        <w:spacing w:after="0" w:line="234" w:lineRule="auto"/>
        <w:rPr>
          <w:sz w:val="20"/>
          <w:szCs w:val="20"/>
          <w:color w:val="auto"/>
        </w:rPr>
      </w:pPr>
      <w:r>
        <w:rPr>
          <w:rFonts w:ascii="Arial" w:cs="Arial" w:eastAsia="Arial" w:hAnsi="Arial"/>
          <w:sz w:val="16"/>
          <w:szCs w:val="16"/>
          <w:color w:val="auto"/>
        </w:rPr>
        <w:t>The preparation of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63" w:lineRule="exact"/>
        <w:rPr>
          <w:sz w:val="20"/>
          <w:szCs w:val="20"/>
          <w:color w:val="auto"/>
        </w:rPr>
      </w:pPr>
    </w:p>
    <w:p>
      <w:pPr>
        <w:ind w:left="800" w:right="20" w:firstLine="482"/>
        <w:spacing w:after="0" w:line="261" w:lineRule="auto"/>
        <w:rPr>
          <w:sz w:val="20"/>
          <w:szCs w:val="20"/>
          <w:color w:val="auto"/>
        </w:rPr>
      </w:pPr>
      <w:r>
        <w:rPr>
          <w:rFonts w:ascii="Arial" w:cs="Arial" w:eastAsia="Arial" w:hAnsi="Arial"/>
          <w:sz w:val="15"/>
          <w:szCs w:val="15"/>
          <w:color w:val="auto"/>
        </w:rPr>
        <w:t>Our significant accounting policies are described in “</w:t>
      </w:r>
      <w:r>
        <w:rPr>
          <w:rFonts w:ascii="Arial" w:cs="Arial" w:eastAsia="Arial" w:hAnsi="Arial"/>
          <w:sz w:val="15"/>
          <w:szCs w:val="15"/>
          <w:i w:val="1"/>
          <w:iCs w:val="1"/>
          <w:color w:val="auto"/>
        </w:rPr>
        <w:t>Note 1. Description of Business and Significant Accounting Policies</w:t>
      </w:r>
      <w:r>
        <w:rPr>
          <w:rFonts w:ascii="Arial" w:cs="Arial" w:eastAsia="Arial" w:hAnsi="Arial"/>
          <w:sz w:val="15"/>
          <w:szCs w:val="15"/>
          <w:color w:val="auto"/>
        </w:rPr>
        <w:t>” in our consolidated financial statements included in this prospectus. We believe that the accounting policies described below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41"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201"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A legal entity is considered a VIE if it either has a total equity investment that is insufficient to finance its operations without additional subordinated financial support or whose equity holders lack the characteristics of a controlling financial interest. Our variable interest arises from contractual, ownership, or other monetary interests in the entity. We consolidate a VIE when we are deemed to be the primary beneficiary. We determine whether we are the primary beneficiary if we have the power to direct activities that significantly impact the VIE’s economic performance and we have the obligation to absorb losses or receive benefits of the VIE that could be potentially significant to the VIE.</w:t>
      </w:r>
    </w:p>
    <w:p>
      <w:pPr>
        <w:spacing w:after="0" w:line="87" w:lineRule="exact"/>
        <w:rPr>
          <w:sz w:val="20"/>
          <w:szCs w:val="20"/>
          <w:color w:val="auto"/>
        </w:rPr>
      </w:pPr>
    </w:p>
    <w:p>
      <w:pPr>
        <w:ind w:left="800" w:firstLine="482"/>
        <w:spacing w:after="0" w:line="254" w:lineRule="auto"/>
        <w:rPr>
          <w:sz w:val="20"/>
          <w:szCs w:val="20"/>
          <w:color w:val="auto"/>
        </w:rPr>
      </w:pPr>
      <w:r>
        <w:rPr>
          <w:rFonts w:ascii="Arial" w:cs="Arial" w:eastAsia="Arial" w:hAnsi="Arial"/>
          <w:sz w:val="15"/>
          <w:szCs w:val="15"/>
          <w:color w:val="auto"/>
        </w:rPr>
        <w:t>We are required to apply judgment in performing this assessment, including in identifying the activities that most significantly impact a VIE’s economic performance and determining significance of our obligation to absorb losses or receive benefits. Factors considered in assessing the significance include: the design of the VIE, including its capitalization structure; subordination of interests; payment priority; relative share of interests held within the VIE’s capital structure; and the nature of or reason behind our interest in the entity.</w:t>
      </w:r>
    </w:p>
    <w:p>
      <w:pPr>
        <w:spacing w:after="0" w:line="169"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We also apply judgment to determine whether decision-maker or service-provider fees are variable interests. Decision-maker or service-provider fees are not considered variable interests when the arrangement does not expose Upstart to risks of loss that a potential VIE was designed to pass on to its variable interest holders, the fees are commensurate, the arrangement is at market, and we do not have any other interests (including direct interests and certain indirect interests held through</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440"/>
          </w:cols>
          <w:pgMar w:left="320" w:top="419" w:right="11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4" w:lineRule="auto"/>
        <w:rPr>
          <w:sz w:val="20"/>
          <w:szCs w:val="20"/>
          <w:color w:val="auto"/>
        </w:rPr>
      </w:pPr>
      <w:r>
        <w:rPr>
          <w:rFonts w:ascii="Arial" w:cs="Arial" w:eastAsia="Arial" w:hAnsi="Arial"/>
          <w:sz w:val="16"/>
          <w:szCs w:val="16"/>
          <w:color w:val="auto"/>
        </w:rPr>
        <w:t>related parties) that absorb more than an insignificant amount of a VIE’s potential variability. Changes in our level of other interests in a potential VIE, such as those resulting from disposals of investments in securitization trusts serviced by us subsequent to the expiration of applicable risk retention requirements, can affect whether a decision-maker or service-provider fee is deemed a variable interest. This determination can have a significant impact on our consolidation conclusions, as it could affect whether a legal entity is a VIE and whether Upstart is the primary beneficiary of a VIE.</w:t>
      </w:r>
    </w:p>
    <w:p>
      <w:pPr>
        <w:spacing w:after="0" w:line="179" w:lineRule="exact"/>
        <w:rPr>
          <w:sz w:val="20"/>
          <w:szCs w:val="20"/>
          <w:color w:val="auto"/>
        </w:rPr>
      </w:pPr>
    </w:p>
    <w:p>
      <w:pPr>
        <w:ind w:left="800" w:right="460" w:firstLine="482"/>
        <w:spacing w:after="0" w:line="238" w:lineRule="auto"/>
        <w:rPr>
          <w:sz w:val="20"/>
          <w:szCs w:val="20"/>
          <w:color w:val="auto"/>
        </w:rPr>
      </w:pPr>
      <w:r>
        <w:rPr>
          <w:rFonts w:ascii="Arial" w:cs="Arial" w:eastAsia="Arial" w:hAnsi="Arial"/>
          <w:sz w:val="16"/>
          <w:szCs w:val="16"/>
          <w:color w:val="auto"/>
        </w:rPr>
        <w:t>At a VIE’s inception, we determine whether we are the primary beneficiary based on the facts and circumstances. We assess whether or not we are the primary beneficiary of a VIE on an ongoing basis.</w:t>
      </w:r>
    </w:p>
    <w:p>
      <w:pPr>
        <w:spacing w:after="0" w:line="179" w:lineRule="exact"/>
        <w:rPr>
          <w:sz w:val="20"/>
          <w:szCs w:val="20"/>
          <w:color w:val="auto"/>
        </w:rPr>
      </w:pPr>
    </w:p>
    <w:p>
      <w:pPr>
        <w:ind w:left="800" w:right="160" w:firstLine="482"/>
        <w:spacing w:after="0" w:line="234" w:lineRule="auto"/>
        <w:rPr>
          <w:sz w:val="20"/>
          <w:szCs w:val="20"/>
          <w:color w:val="auto"/>
        </w:rPr>
      </w:pPr>
      <w:r>
        <w:rPr>
          <w:rFonts w:ascii="Arial" w:cs="Arial" w:eastAsia="Arial" w:hAnsi="Arial"/>
          <w:sz w:val="16"/>
          <w:szCs w:val="16"/>
          <w:color w:val="auto"/>
        </w:rPr>
        <w:t>Upstart has an ongoing contractual relationship with one of its VIEs, Upstart Loan Trust, which is a bankruptcy-remote special purpose borrowing entity. Upstart, from time to time and as-desired, sells loans to Upstart Loan Trust pursuant to a loan sale agreement, and services those loans from the time of transfer to Upstart Loan Trust until such loans are either charged-off or mature pursuant to a loan servicing agreement. Upstart Loan Trust borrows from one bank pursuant to a revolving credit and security agreement in order to finance the purchases of the loans from Upstart.</w:t>
      </w:r>
    </w:p>
    <w:p>
      <w:pPr>
        <w:spacing w:after="0" w:line="179" w:lineRule="exact"/>
        <w:rPr>
          <w:sz w:val="20"/>
          <w:szCs w:val="20"/>
          <w:color w:val="auto"/>
        </w:rPr>
      </w:pPr>
    </w:p>
    <w:p>
      <w:pPr>
        <w:ind w:left="800" w:right="20" w:firstLine="482"/>
        <w:spacing w:after="0" w:line="258" w:lineRule="auto"/>
        <w:rPr>
          <w:sz w:val="20"/>
          <w:szCs w:val="20"/>
          <w:color w:val="auto"/>
        </w:rPr>
      </w:pPr>
      <w:r>
        <w:rPr>
          <w:rFonts w:ascii="Arial" w:cs="Arial" w:eastAsia="Arial" w:hAnsi="Arial"/>
          <w:sz w:val="15"/>
          <w:szCs w:val="15"/>
          <w:color w:val="auto"/>
        </w:rPr>
        <w:t>Upstart has also established a VIE special purpose trust, Upstart Loan Trust 2, that holds loans that have been repurchased by us following breaches of loan-level representations and warranties, or loans that are ineligible to finance through the warehouse trust. Upstart services the loans held by Upstart Loan Trust 2 until the loans are either charged-off or mature pursuant to a loan servicing agreement.</w:t>
      </w:r>
    </w:p>
    <w:p>
      <w:pPr>
        <w:spacing w:after="0" w:line="165"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connection with each securitization transaction prior to 2019-3, Upstart also established VIEs and grantor trusts pursuant to its sponsored securitization transactions involving the issuance of asset-backed securities, or ABS. Such VIEs or grantor trusts are respectively referred to elsewhere in this prospectus with the nomenclature Upstart Securitization Trust [Year]-[Number] and Upstart Funding Grantor Trust [Year]- [Number]. For such securitization transactions, we (along with certain other loan contributors that have previously purchased whole loans from us) sold Upstart-powered loans via a bankruptcy-remote intermediate entity to the issuing trust and then to the grantor trust. For each transaction, the grantor trust holds legal title to the loans and issues a collateral certificate representing the beneficial interest in such loans to the issuing trust. The issuing trust in turn issues various tranches of asset-backed securitization notes and certificates, which are purchased by one or more investment bank initial purchasers for resale to qualified institutional buyers and backed by the payments from the grantor trust to the issuing trust reflecting payments on the underlying securitized loans. Upstart, in addition to being party to various loan transfer agreements that facilitate the contribution of loans to the grantor trust, also services the loans held by each grantor trust from the time of transfer to the trust until the loans are charged off or mature pursuant to a loan servicing agreement.</w:t>
      </w:r>
    </w:p>
    <w:p>
      <w:pPr>
        <w:spacing w:after="0" w:line="184" w:lineRule="exact"/>
        <w:rPr>
          <w:sz w:val="20"/>
          <w:szCs w:val="20"/>
          <w:color w:val="auto"/>
        </w:rPr>
      </w:pPr>
    </w:p>
    <w:p>
      <w:pPr>
        <w:ind w:left="800" w:right="200" w:firstLine="482"/>
        <w:spacing w:after="0" w:line="233" w:lineRule="auto"/>
        <w:rPr>
          <w:sz w:val="20"/>
          <w:szCs w:val="20"/>
          <w:color w:val="auto"/>
        </w:rPr>
      </w:pPr>
      <w:r>
        <w:rPr>
          <w:rFonts w:ascii="Arial" w:cs="Arial" w:eastAsia="Arial" w:hAnsi="Arial"/>
          <w:sz w:val="16"/>
          <w:szCs w:val="16"/>
          <w:color w:val="auto"/>
        </w:rPr>
        <w:t>In connection with each sponsored securitization transaction prior to 2019-3, Upstart facilitated the creation of a majority-owned affiliate, or MOA, which is a limited liability company and VIE. The purpose of these MOAs is to enable Upstart’s compliance with its risk retention obligations as a securitization sponsor pursuant to Regulation RR. Each MOA has held the requisite amount of ABS to comply with these obligations for the length of time required by the regulation. Upstart is party to the limited liability company agreement establishing each MOA. There were no MOAs set up for securitizations subsequent to 2019-2 as Upstart has not been subject to risk retention requirements for these deals.</w:t>
      </w:r>
    </w:p>
    <w:p>
      <w:pPr>
        <w:spacing w:after="0" w:line="182"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Upstart has also established Upstart Network Trust, a special purpose entity that purchased loans from Upstart in which individual accredited investors in turn have purchased securities representing fractional interests in such purchased loans. Upstart, in addition to being party to a transfer agreement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440"/>
          </w:cols>
          <w:pgMar w:left="320" w:top="419" w:right="11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spacing w:after="0" w:line="236" w:lineRule="auto"/>
        <w:rPr>
          <w:sz w:val="20"/>
          <w:szCs w:val="20"/>
          <w:color w:val="auto"/>
        </w:rPr>
      </w:pPr>
      <w:r>
        <w:rPr>
          <w:rFonts w:ascii="Arial" w:cs="Arial" w:eastAsia="Arial" w:hAnsi="Arial"/>
          <w:sz w:val="16"/>
          <w:szCs w:val="16"/>
          <w:color w:val="auto"/>
        </w:rPr>
        <w:t>that facilitates the contribution of loans to Upstart Network Trust, services the loans held by Upstart Network Trust from the time of transfer until the loans are charged off or mature pursuant to a loan servicing agreement. Upstart Network Trust was closed to new investments as of the end of 2019.</w:t>
      </w:r>
    </w:p>
    <w:p>
      <w:pPr>
        <w:spacing w:after="0" w:line="255" w:lineRule="exact"/>
        <w:rPr>
          <w:sz w:val="20"/>
          <w:szCs w:val="20"/>
          <w:color w:val="auto"/>
        </w:rPr>
      </w:pPr>
    </w:p>
    <w:p>
      <w:pPr>
        <w:ind w:left="800" w:right="520"/>
        <w:spacing w:after="0" w:line="260" w:lineRule="auto"/>
        <w:rPr>
          <w:sz w:val="20"/>
          <w:szCs w:val="20"/>
          <w:color w:val="auto"/>
        </w:rPr>
      </w:pPr>
      <w:r>
        <w:rPr>
          <w:rFonts w:ascii="Arial" w:cs="Arial" w:eastAsia="Arial" w:hAnsi="Arial"/>
          <w:sz w:val="16"/>
          <w:szCs w:val="16"/>
          <w:b w:val="1"/>
          <w:bCs w:val="1"/>
          <w:i w:val="1"/>
          <w:iCs w:val="1"/>
          <w:color w:val="auto"/>
        </w:rPr>
        <w:t>Fair Value of Loans, Notes Receivable and Residual Certificates, and Payable to Securitization Note Holders and Residual Certificate Holders</w:t>
      </w:r>
    </w:p>
    <w:p>
      <w:pPr>
        <w:spacing w:after="0" w:line="6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We have elected the fair value option for loans and financial instruments related to securitization transactions, including notes receivable and residual certificates representing required risk retention for sponsored non-consolidated securitizations, and amounts payable to note holders and residual certificate holders in consolidated securitizations.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 See “</w:t>
      </w:r>
      <w:r>
        <w:rPr>
          <w:rFonts w:ascii="Arial" w:cs="Arial" w:eastAsia="Arial" w:hAnsi="Arial"/>
          <w:sz w:val="16"/>
          <w:szCs w:val="16"/>
          <w:i w:val="1"/>
          <w:iCs w:val="1"/>
          <w:color w:val="auto"/>
        </w:rPr>
        <w:t>Note 4.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in our consolidated financial statements included in this prospectus for additional information.</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Fair Value of Loan Servicing Assets and Liabilities</w:t>
      </w:r>
    </w:p>
    <w:p>
      <w:pPr>
        <w:spacing w:after="0" w:line="106"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We also record loan servicing assets and liabilities at estimated fair value when we transfer loans which qualify as sales under Topic 860, Transfers and Servicing with servicing rights retained or when we enter into servicing agreements with banks partners that retain Upstart-powered loans. Loan servicing assets and liabilities are reported in other assets and accrued expenses and other liabilities on our consolidated balance sheets. The gain or loss on loan sale, as well as changes in the fair value of loan servicing assets and liabilities are reported in revenue from fees, net, on our consolidated statements of operations and comprehensive income (loss) in the period in which the changes occur. We use a discounted cash flow model to estimate the fair values of loan servicing assets and liabilities. The cash flows in the valuation model represent the difference between the servicing fees charged to loan investors and an estimated market servicing fee. Since servicing fees are generally based on the monthly unpaid principal balance of the underlying loans, the expected cash flows in the model incorporate estimated credit risk and expected prepayments on the loans. These inputs are consistent with the assumptions used in the valuation of loans held-for-investment and related securitization notes and residual certificates.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in our consolidated financial statements included in this prospectus for additional information.</w:t>
      </w:r>
    </w:p>
    <w:p>
      <w:pPr>
        <w:spacing w:after="0" w:line="24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revenue consists of two components: revenue from fees, net and interest income and fair value adjustments, net.</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Revenue From Fees, Net</w:t>
      </w:r>
    </w:p>
    <w:p>
      <w:pPr>
        <w:spacing w:after="0" w:line="106" w:lineRule="exact"/>
        <w:rPr>
          <w:sz w:val="20"/>
          <w:szCs w:val="20"/>
          <w:color w:val="auto"/>
        </w:rPr>
      </w:pPr>
    </w:p>
    <w:p>
      <w:pPr>
        <w:ind w:left="800" w:right="220" w:firstLine="482"/>
        <w:spacing w:after="0" w:line="233" w:lineRule="auto"/>
        <w:rPr>
          <w:sz w:val="20"/>
          <w:szCs w:val="20"/>
          <w:color w:val="auto"/>
        </w:rPr>
      </w:pPr>
      <w:r>
        <w:rPr>
          <w:rFonts w:ascii="Arial" w:cs="Arial" w:eastAsia="Arial" w:hAnsi="Arial"/>
          <w:sz w:val="16"/>
          <w:szCs w:val="16"/>
          <w:color w:val="auto"/>
        </w:rPr>
        <w:t>The revenue from fees, net line item on the consolidated statements of operations is primarily comprised of platform and referral fees, net, which are recognized based on Accounting Standards Update, or ASU, 2014-09, Revenue from Contracts with Customers (Topic 606). We adopted Topic 606 as of January 1, 2019, using the modified retrospective method for all contracts not completed as of the date of adoption. The adoption of Topic 606 had no material impact on our consolidated balance sheets, consolidated statement of operations and comprehensive income (loss) and consolidated statement of cash flows as of the adoption date or for the year ended December 31, 2019.</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420"/>
          </w:cols>
          <w:pgMar w:left="320" w:top="419" w:right="115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firstLine="482"/>
        <w:spacing w:after="0" w:line="235" w:lineRule="auto"/>
        <w:rPr>
          <w:sz w:val="20"/>
          <w:szCs w:val="20"/>
          <w:color w:val="auto"/>
        </w:rPr>
      </w:pPr>
      <w:r>
        <w:rPr>
          <w:rFonts w:ascii="Arial" w:cs="Arial" w:eastAsia="Arial" w:hAnsi="Arial"/>
          <w:sz w:val="16"/>
          <w:szCs w:val="16"/>
          <w:color w:val="auto"/>
        </w:rPr>
        <w:t>Topic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78" w:lineRule="exact"/>
        <w:rPr>
          <w:sz w:val="20"/>
          <w:szCs w:val="20"/>
          <w:color w:val="auto"/>
        </w:rPr>
      </w:pPr>
    </w:p>
    <w:p>
      <w:pPr>
        <w:ind w:left="800" w:right="140" w:firstLine="482"/>
        <w:spacing w:after="0" w:line="234" w:lineRule="auto"/>
        <w:rPr>
          <w:sz w:val="20"/>
          <w:szCs w:val="20"/>
          <w:color w:val="auto"/>
        </w:rPr>
      </w:pPr>
      <w:r>
        <w:rPr>
          <w:rFonts w:ascii="Arial" w:cs="Arial" w:eastAsia="Arial" w:hAnsi="Arial"/>
          <w:sz w:val="16"/>
          <w:szCs w:val="16"/>
          <w:color w:val="auto"/>
        </w:rPr>
        <w:t>Our arrangements for platform and referral services typically consist of an obligation to provide one or both of these services to customers on a when and if needed basis (a stand-ready obligation), and we recognize revenue as such services are performed, which coincides with the amount billable to the customer. Additionally, the services have the same pattern and period of transfer, and when provided individually or together, are accounted for as a single combined performance obligation representing a series of distinct days of service.</w:t>
      </w:r>
    </w:p>
    <w:p>
      <w:pPr>
        <w:spacing w:after="0" w:line="179"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Our platform and referral fees represent variable consideration. Since the variable fees relate directly to the day the service is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also charge an ongoing loan servicing fee to the holder of the loan (either a bank or institutional investor) based on a predetermined percentage of the outstanding principal balance. Loan servicing fees are recognized in the period the services are provided. Servicing fees, net also includes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us for carrying out our servicing obligations. Servicing fees also include changes in fair value of loan servicing assets and liabilities in the periods presented.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Interest Income and Fair Value Adjustments, Net</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fair value of financial instruments from our normal course of business held at fair value, including loans, notes receivable and residual certificates, and payable to securitization note holders and residual certificate holders. We record these adjustments in earnings in the period incurred and include both realized and unrealized adjustments to the value of related assets and liabilities. See the subsection titled “</w:t>
      </w:r>
      <w:r>
        <w:rPr>
          <w:rFonts w:ascii="Arial" w:cs="Arial" w:eastAsia="Arial" w:hAnsi="Arial"/>
          <w:sz w:val="16"/>
          <w:szCs w:val="16"/>
          <w:i w:val="1"/>
          <w:iCs w:val="1"/>
          <w:color w:val="auto"/>
        </w:rPr>
        <w:t>Fair Value of</w:t>
      </w:r>
      <w:r>
        <w:rPr>
          <w:rFonts w:ascii="Arial" w:cs="Arial" w:eastAsia="Arial" w:hAnsi="Arial"/>
          <w:sz w:val="16"/>
          <w:szCs w:val="16"/>
          <w:color w:val="auto"/>
        </w:rPr>
        <w:t xml:space="preserve"> </w:t>
      </w:r>
      <w:r>
        <w:rPr>
          <w:rFonts w:ascii="Arial" w:cs="Arial" w:eastAsia="Arial" w:hAnsi="Arial"/>
          <w:sz w:val="16"/>
          <w:szCs w:val="16"/>
          <w:i w:val="1"/>
          <w:iCs w:val="1"/>
          <w:color w:val="auto"/>
        </w:rPr>
        <w:t>Loans, Notes Receivable and Residual Certificates, and Payable to Securitization Note Holders and Residual Certificate Holders</w:t>
      </w:r>
      <w:r>
        <w:rPr>
          <w:rFonts w:ascii="Arial" w:cs="Arial" w:eastAsia="Arial" w:hAnsi="Arial"/>
          <w:sz w:val="16"/>
          <w:szCs w:val="16"/>
          <w:color w:val="auto"/>
        </w:rPr>
        <w:t>” above</w:t>
      </w:r>
      <w:r>
        <w:rPr>
          <w:rFonts w:ascii="Arial" w:cs="Arial" w:eastAsia="Arial" w:hAnsi="Arial"/>
          <w:sz w:val="16"/>
          <w:szCs w:val="16"/>
          <w:i w:val="1"/>
          <w:iCs w:val="1"/>
          <w:color w:val="auto"/>
        </w:rPr>
        <w:t xml:space="preserve"> </w:t>
      </w:r>
      <w:r>
        <w:rPr>
          <w:rFonts w:ascii="Arial" w:cs="Arial" w:eastAsia="Arial" w:hAnsi="Arial"/>
          <w:sz w:val="16"/>
          <w:szCs w:val="16"/>
          <w:color w:val="auto"/>
        </w:rPr>
        <w:t>for further details on the estimates of fair value of these assets and liabilities.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06"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w:t>
      </w:r>
    </w:p>
    <w:p>
      <w:pPr>
        <w:spacing w:after="0" w:line="179" w:lineRule="exact"/>
        <w:rPr>
          <w:sz w:val="20"/>
          <w:szCs w:val="20"/>
          <w:color w:val="auto"/>
        </w:rPr>
      </w:pPr>
    </w:p>
    <w:p>
      <w:pPr>
        <w:ind w:left="800" w:right="380" w:firstLine="482"/>
        <w:spacing w:after="0" w:line="238" w:lineRule="auto"/>
        <w:rPr>
          <w:sz w:val="20"/>
          <w:szCs w:val="20"/>
          <w:color w:val="auto"/>
        </w:rPr>
      </w:pPr>
      <w:r>
        <w:rPr>
          <w:rFonts w:ascii="Arial" w:cs="Arial" w:eastAsia="Arial" w:hAnsi="Arial"/>
          <w:sz w:val="16"/>
          <w:szCs w:val="16"/>
          <w:color w:val="auto"/>
        </w:rPr>
        <w:t>The Black-Scholes option-pricing model considers several variables and assumptions in estimating the grant date fair value of stock-based awards. These assumptions include:</w:t>
      </w:r>
    </w:p>
    <w:p>
      <w:pPr>
        <w:spacing w:after="0" w:line="80" w:lineRule="exact"/>
        <w:rPr>
          <w:sz w:val="20"/>
          <w:szCs w:val="20"/>
          <w:color w:val="auto"/>
        </w:rPr>
      </w:pPr>
    </w:p>
    <w:p>
      <w:pPr>
        <w:ind w:left="1460" w:right="180" w:hanging="188"/>
        <w:spacing w:after="0" w:line="244" w:lineRule="auto"/>
        <w:tabs>
          <w:tab w:leader="none" w:pos="146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—Prior to the completion of our IPO, the fair value was determined by the Company’s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as there was no public market for the Company’s common stock. The Board of Directors determined the fair value of the common</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420"/>
          </w:cols>
          <w:pgMar w:left="320" w:top="419" w:right="115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80" w:right="120"/>
        <w:spacing w:after="0" w:line="234" w:lineRule="auto"/>
        <w:rPr>
          <w:sz w:val="20"/>
          <w:szCs w:val="20"/>
          <w:color w:val="auto"/>
        </w:rPr>
      </w:pPr>
      <w:r>
        <w:rPr>
          <w:rFonts w:ascii="Arial" w:cs="Arial" w:eastAsia="Arial" w:hAnsi="Arial"/>
          <w:sz w:val="16"/>
          <w:szCs w:val="16"/>
          <w:color w:val="auto"/>
        </w:rPr>
        <w:t>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 After the completion of the IPO, the fair value of the Company’s common stock is determined by the closing price, on the date of grant, of its common stock, which is traded on the Nasdaq Global Select Market.</w:t>
      </w:r>
    </w:p>
    <w:p>
      <w:pPr>
        <w:spacing w:after="0" w:line="80" w:lineRule="exact"/>
        <w:rPr>
          <w:sz w:val="20"/>
          <w:szCs w:val="20"/>
          <w:color w:val="auto"/>
        </w:rPr>
      </w:pPr>
    </w:p>
    <w:p>
      <w:pPr>
        <w:ind w:left="1460" w:right="120" w:hanging="188"/>
        <w:spacing w:after="0"/>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the expected term for employee stock options based on historical terminations and exercise behavior, which factors in an extended post-termination exercise provision for vested awards for certain employees who provide more than three years of service. We use the contractual term for all nonemployee awards</w:t>
      </w:r>
    </w:p>
    <w:p>
      <w:pPr>
        <w:spacing w:after="0" w:line="80" w:lineRule="exact"/>
        <w:rPr>
          <w:rFonts w:ascii="Arial" w:cs="Arial" w:eastAsia="Arial" w:hAnsi="Arial"/>
          <w:sz w:val="16"/>
          <w:szCs w:val="16"/>
          <w:color w:val="auto"/>
        </w:rPr>
      </w:pPr>
    </w:p>
    <w:p>
      <w:pPr>
        <w:ind w:left="1460" w:hanging="188"/>
        <w:spacing w:after="0"/>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we have limited trading history for our common stock, the expected volatility is estimated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historical volatilities of common stock of comparable publicly traded entities over a period equal to the expected term of the stock option grants. We will continue to apply this process until a sufficient amount of historical information regarding the volatility of our own stock price becomes available.</w:t>
      </w:r>
    </w:p>
    <w:p>
      <w:pPr>
        <w:spacing w:after="0" w:line="80" w:lineRule="exact"/>
        <w:rPr>
          <w:rFonts w:ascii="Arial" w:cs="Arial" w:eastAsia="Arial" w:hAnsi="Arial"/>
          <w:sz w:val="16"/>
          <w:szCs w:val="16"/>
          <w:color w:val="auto"/>
        </w:rPr>
      </w:pPr>
    </w:p>
    <w:p>
      <w:pPr>
        <w:ind w:left="1460" w:right="760" w:hanging="188"/>
        <w:spacing w:after="0" w:line="291" w:lineRule="auto"/>
        <w:tabs>
          <w:tab w:leader="none" w:pos="146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—The risk-free interest rate is based on the U.S. Treasury yield in effect at the time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zero-coupon U.S. Treasury notes with maturities approximately equal to the expected term of the stock option award.</w:t>
      </w:r>
    </w:p>
    <w:p>
      <w:pPr>
        <w:spacing w:after="0" w:line="58" w:lineRule="exact"/>
        <w:rPr>
          <w:rFonts w:ascii="Arial" w:cs="Arial" w:eastAsia="Arial" w:hAnsi="Arial"/>
          <w:sz w:val="15"/>
          <w:szCs w:val="15"/>
          <w:color w:val="auto"/>
        </w:rPr>
      </w:pPr>
    </w:p>
    <w:p>
      <w:pPr>
        <w:ind w:left="1460" w:right="20" w:hanging="188"/>
        <w:spacing w:after="0" w:line="238" w:lineRule="auto"/>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Expected Dividend—We have never paid dividends on our common stock since our inception, nor do we expect to pay dividends in the foreseeable future. Therefore, we used an expected dividend yield of zero.</w:t>
      </w:r>
    </w:p>
    <w:p>
      <w:pPr>
        <w:spacing w:after="0" w:line="163"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Note 10. Equity Incentive Plans</w:t>
      </w:r>
      <w:r>
        <w:rPr>
          <w:rFonts w:ascii="Arial" w:cs="Arial" w:eastAsia="Arial" w:hAnsi="Arial"/>
          <w:sz w:val="16"/>
          <w:szCs w:val="16"/>
          <w:color w:val="auto"/>
        </w:rPr>
        <w:t>” in our consolidated financial statements included in this prospectus for information concerning certain of the specific assumptions we used in applying the Black-Scholes option-pricing model to determine the estimated fair value of our stock options granted in the years ended December 31, 2018, 2019 and 2020. Such assumptions involved inherent uncertainties and the application of significant judgment. As a result, if factors or expected outcomes change and we use significantly different assumptions or estimates, our stock-based compensation could be materially different.</w:t>
      </w:r>
    </w:p>
    <w:p>
      <w:pPr>
        <w:spacing w:after="0" w:line="180"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Stock-based compensation expense was $ 2.0 million, $3.8 million, and $11.5 million during the years ended December 31, 2018, 2019 and 2020, respectively. As of December 31, 2019 and 2020, we had $15.3 million and $35.3 million, respectively, of total unrecognized stock-based compensation costs which we expect to recognize over a weighted-average period of 2.5 years and 2.8 years, respectively. These amounts reflect our reassessment of the fair value of our common stock in the years ended December 31, 2019 and 2020.</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90" w:lineRule="exact"/>
        <w:rPr>
          <w:sz w:val="20"/>
          <w:szCs w:val="20"/>
          <w:color w:val="auto"/>
        </w:rPr>
      </w:pPr>
    </w:p>
    <w:p>
      <w:pPr>
        <w:ind w:left="800" w:right="20" w:firstLine="482"/>
        <w:spacing w:after="0" w:line="291" w:lineRule="auto"/>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Note 1. Description of Business and Significant Accounting Policies</w:t>
      </w:r>
      <w:r>
        <w:rPr>
          <w:rFonts w:ascii="Arial" w:cs="Arial" w:eastAsia="Arial" w:hAnsi="Arial"/>
          <w:sz w:val="15"/>
          <w:szCs w:val="15"/>
          <w:color w:val="auto"/>
        </w:rPr>
        <w:t>” to our financial statements included in this prospectus for recently adopted accounting pronouncements and recently issued accounting pronouncements not yet adopted as December 31, 2020.</w:t>
      </w:r>
    </w:p>
    <w:p>
      <w:pPr>
        <w:spacing w:after="0" w:line="21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106" w:lineRule="exact"/>
        <w:rPr>
          <w:sz w:val="20"/>
          <w:szCs w:val="20"/>
          <w:color w:val="auto"/>
        </w:rPr>
      </w:pPr>
    </w:p>
    <w:p>
      <w:pPr>
        <w:jc w:val="both"/>
        <w:ind w:left="800" w:right="260" w:firstLine="482"/>
        <w:spacing w:after="0" w:line="236"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440"/>
          </w:cols>
          <w:pgMar w:left="320" w:top="419" w:right="11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3" w:lineRule="auto"/>
        <w:rPr>
          <w:sz w:val="20"/>
          <w:szCs w:val="20"/>
          <w:color w:val="auto"/>
        </w:rPr>
      </w:pPr>
      <w:r>
        <w:rPr>
          <w:rFonts w:ascii="Arial" w:cs="Arial" w:eastAsia="Arial" w:hAnsi="Arial"/>
          <w:sz w:val="16"/>
          <w:szCs w:val="16"/>
          <w:color w:val="auto"/>
        </w:rPr>
        <w:t xml:space="preserve">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JOBS Act does not preclude an emerging growth company from early adopting a new or revised accounting standard earlier than the time that such standard applies to private companies. We early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effective January 1, 2019 and have elected not to restate comparative periods presented in the consolidated financial statements. We expect to use the extended transition period for any other new or revised accounting.</w:t>
      </w:r>
    </w:p>
    <w:p>
      <w:pPr>
        <w:spacing w:after="0" w:line="255"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Quantitative and Qualitative Discussions of Market Risk</w:t>
      </w:r>
    </w:p>
    <w:p>
      <w:pPr>
        <w:spacing w:after="0" w:line="20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Discount Rate Risk</w:t>
      </w:r>
    </w:p>
    <w:p>
      <w:pPr>
        <w:spacing w:after="0" w:line="106"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 rates.</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2019 and 2020, we were exposed to market discount rate risk on $141.6 million and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$78.5 million, respectively of loans held-for-investment and held-for-sale on our consolidated balance sheets. The fair value of these loans</w:t>
      </w:r>
    </w:p>
    <w:p>
      <w:pPr>
        <w:ind w:left="800"/>
        <w:spacing w:after="0" w:line="237" w:lineRule="auto"/>
        <w:rPr>
          <w:sz w:val="20"/>
          <w:szCs w:val="20"/>
          <w:color w:val="auto"/>
        </w:rPr>
      </w:pPr>
      <w:r>
        <w:rPr>
          <w:rFonts w:ascii="Arial" w:cs="Arial" w:eastAsia="Arial" w:hAnsi="Arial"/>
          <w:sz w:val="16"/>
          <w:szCs w:val="16"/>
          <w:color w:val="auto"/>
        </w:rPr>
        <w:t>is estimated using a discounted cash flow methodology, where the discount rate represents an estimate of the required rate of return by</w:t>
      </w:r>
    </w:p>
    <w:p>
      <w:pPr>
        <w:ind w:left="800"/>
        <w:spacing w:after="0" w:line="232" w:lineRule="auto"/>
        <w:rPr>
          <w:sz w:val="20"/>
          <w:szCs w:val="20"/>
          <w:color w:val="auto"/>
        </w:rPr>
      </w:pPr>
      <w:r>
        <w:rPr>
          <w:rFonts w:ascii="Arial" w:cs="Arial" w:eastAsia="Arial" w:hAnsi="Arial"/>
          <w:sz w:val="16"/>
          <w:szCs w:val="16"/>
          <w:color w:val="auto"/>
        </w:rPr>
        <w:t>market participants. The discount rates for loans facilitated through our platform may change due to changes in expected loan</w:t>
      </w:r>
    </w:p>
    <w:p>
      <w:pPr>
        <w:ind w:left="800"/>
        <w:spacing w:after="0" w:line="231" w:lineRule="auto"/>
        <w:rPr>
          <w:sz w:val="20"/>
          <w:szCs w:val="20"/>
          <w:color w:val="auto"/>
        </w:rPr>
      </w:pPr>
      <w:r>
        <w:rPr>
          <w:rFonts w:ascii="Arial" w:cs="Arial" w:eastAsia="Arial" w:hAnsi="Arial"/>
          <w:sz w:val="16"/>
          <w:szCs w:val="16"/>
          <w:color w:val="auto"/>
        </w:rPr>
        <w:t>performance or changes in the expected returns of similar financial instruments available in the market. Any gains and losses from</w:t>
      </w:r>
    </w:p>
    <w:p>
      <w:pPr>
        <w:ind w:left="800"/>
        <w:spacing w:after="0"/>
        <w:rPr>
          <w:sz w:val="20"/>
          <w:szCs w:val="20"/>
          <w:color w:val="auto"/>
        </w:rPr>
      </w:pPr>
      <w:r>
        <w:rPr>
          <w:rFonts w:ascii="Arial" w:cs="Arial" w:eastAsia="Arial" w:hAnsi="Arial"/>
          <w:sz w:val="15"/>
          <w:szCs w:val="15"/>
          <w:color w:val="auto"/>
        </w:rPr>
        <w:t>discount rate changes are recorded in earnings. As of December 31, 2019 a hypothetical 100 basis point and 200 basis point increase in</w:t>
      </w:r>
    </w:p>
    <w:p>
      <w:pPr>
        <w:ind w:left="800"/>
        <w:spacing w:after="0" w:line="237" w:lineRule="auto"/>
        <w:rPr>
          <w:sz w:val="20"/>
          <w:szCs w:val="20"/>
          <w:color w:val="auto"/>
        </w:rPr>
      </w:pPr>
      <w:r>
        <w:rPr>
          <w:rFonts w:ascii="Arial" w:cs="Arial" w:eastAsia="Arial" w:hAnsi="Arial"/>
          <w:sz w:val="16"/>
          <w:szCs w:val="16"/>
          <w:color w:val="auto"/>
        </w:rPr>
        <w:t>discount rate would result in a $1.9 million and $3.8 million decrease, respectively, in the fair value of these loans. As of December 31,</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2020, a hypothetical 100 basis point and 200 basis point increase in discount rate would result in a $1.0 million and $1.9 million decrease,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respectively, in the fair value of these loans.</w:t>
      </w:r>
    </w:p>
    <w:p>
      <w:pPr>
        <w:spacing w:after="0" w:line="167"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i w:val="1"/>
          <w:iCs w:val="1"/>
          <w:color w:val="auto"/>
        </w:rPr>
        <w:t>Assets and Liabilities related to Securitization Transactions</w:t>
      </w:r>
      <w:r>
        <w:rPr>
          <w:rFonts w:ascii="Arial" w:cs="Arial" w:eastAsia="Arial" w:hAnsi="Arial"/>
          <w:sz w:val="16"/>
          <w:szCs w:val="16"/>
          <w:color w:val="auto"/>
        </w:rPr>
        <w:t>—As of December 31, 2019, we were exposed to discount rate risk on</w:t>
      </w:r>
      <w:r>
        <w:rPr>
          <w:rFonts w:ascii="Arial" w:cs="Arial" w:eastAsia="Arial" w:hAnsi="Arial"/>
          <w:sz w:val="16"/>
          <w:szCs w:val="16"/>
          <w:i w:val="1"/>
          <w:iCs w:val="1"/>
          <w:color w:val="auto"/>
        </w:rPr>
        <w:t xml:space="preserve"> </w:t>
      </w:r>
      <w:r>
        <w:rPr>
          <w:rFonts w:ascii="Arial" w:cs="Arial" w:eastAsia="Arial" w:hAnsi="Arial"/>
          <w:sz w:val="16"/>
          <w:szCs w:val="16"/>
          <w:color w:val="auto"/>
        </w:rPr>
        <w:t>$34.1 million of notes receivable and residual certificates and $89.7 million of payable to securitization note holders and residual certificate holders. As of December 31, 2020, we were exposed to discount rate risk on $19.1 million of notes receivable and residual certificates. We assess the sensitivity of securitization notes and residual certificates by reviewing the average impact across all securitization transactions. As of December 31, 2019, a hypothetical 100 basis point and 200 basis point increase in discount rates would result in a decrease in fair value of these securities of 1.40% and 2.77%, respectively, on average across all securitizations. As of December 31, 2020, a hypothetical 100 basis point and 200 basis point increase in discount rates would result in a decrease in fair value of these securities of 1.23% and 2.36%, respectively, on average across all securitizations.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440"/>
          </w:cols>
          <w:pgMar w:left="320" w:top="419" w:right="113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Credit Risk</w:t>
      </w:r>
    </w:p>
    <w:p>
      <w:pPr>
        <w:spacing w:after="0" w:line="106"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79" w:lineRule="exact"/>
        <w:rPr>
          <w:sz w:val="20"/>
          <w:szCs w:val="20"/>
          <w:color w:val="auto"/>
        </w:rPr>
      </w:pPr>
    </w:p>
    <w:p>
      <w:pPr>
        <w:ind w:left="800" w:right="100" w:firstLine="482"/>
        <w:spacing w:after="0" w:line="269" w:lineRule="auto"/>
        <w:rPr>
          <w:sz w:val="20"/>
          <w:szCs w:val="20"/>
          <w:color w:val="auto"/>
        </w:rPr>
      </w:pPr>
      <w:r>
        <w:rPr>
          <w:rFonts w:ascii="Arial" w:cs="Arial" w:eastAsia="Arial" w:hAnsi="Arial"/>
          <w:sz w:val="15"/>
          <w:szCs w:val="15"/>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41" w:lineRule="exact"/>
        <w:rPr>
          <w:sz w:val="20"/>
          <w:szCs w:val="20"/>
          <w:color w:val="auto"/>
        </w:rPr>
      </w:pPr>
    </w:p>
    <w:p>
      <w:pPr>
        <w:ind w:left="800" w:firstLine="482"/>
        <w:spacing w:after="0" w:line="237" w:lineRule="auto"/>
        <w:rPr>
          <w:sz w:val="20"/>
          <w:szCs w:val="20"/>
          <w:color w:val="auto"/>
        </w:rPr>
      </w:pPr>
      <w:r>
        <w:rPr>
          <w:rFonts w:ascii="Arial" w:cs="Arial" w:eastAsia="Arial" w:hAnsi="Arial"/>
          <w:sz w:val="16"/>
          <w:szCs w:val="16"/>
          <w:i w:val="1"/>
          <w:iCs w:val="1"/>
          <w:color w:val="auto"/>
        </w:rPr>
        <w:t>Loans, at Fair Value—</w:t>
      </w:r>
      <w:r>
        <w:rPr>
          <w:rFonts w:ascii="Arial" w:cs="Arial" w:eastAsia="Arial" w:hAnsi="Arial"/>
          <w:sz w:val="16"/>
          <w:szCs w:val="16"/>
          <w:color w:val="auto"/>
        </w:rPr>
        <w:t>As of December 31, 2019 and 2020, we were exposed to credit risk on $141.6 million and $78.5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of loans in held-for-investment and held-for-sale in our consolidated balance sheet. These loans bear fixed interest rates and are carried on our consolidated balance sheets at fair value. As of December 31, 2019, a hypothetical 10% and 20% increase in credit risk would result in a $2.3 million and $4.7 million decrease, respectively, in the fair value of loans held-for-investment (excluding loans held as collateral by consolidated securitizations). As of December 31, 2020, a hypothetical 10% and 20% increase in credit risk would result in a $1.3 million and $2.6 million decrease, respectively.</w:t>
      </w:r>
    </w:p>
    <w:p>
      <w:pPr>
        <w:spacing w:after="0" w:line="163" w:lineRule="exact"/>
        <w:rPr>
          <w:sz w:val="20"/>
          <w:szCs w:val="20"/>
          <w:color w:val="auto"/>
        </w:rPr>
      </w:pPr>
    </w:p>
    <w:p>
      <w:pPr>
        <w:ind w:left="800" w:right="40" w:firstLine="482"/>
        <w:spacing w:after="0" w:line="269"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—Transactions—As of December 31, 2019, we were exposed to credit</w:t>
      </w:r>
      <w:r>
        <w:rPr>
          <w:rFonts w:ascii="Arial" w:cs="Arial" w:eastAsia="Arial" w:hAnsi="Arial"/>
          <w:sz w:val="15"/>
          <w:szCs w:val="15"/>
          <w:i w:val="1"/>
          <w:iCs w:val="1"/>
          <w:color w:val="auto"/>
        </w:rPr>
        <w:t xml:space="preserve"> </w:t>
      </w:r>
      <w:r>
        <w:rPr>
          <w:rFonts w:ascii="Arial" w:cs="Arial" w:eastAsia="Arial" w:hAnsi="Arial"/>
          <w:sz w:val="15"/>
          <w:szCs w:val="15"/>
          <w:color w:val="auto"/>
        </w:rPr>
        <w:t>risk on $34.1 million of notes receivable and residual certificates and $89.7 million of payable to securitization note holders and residual certificate holders. As of December 31, 2020, we were exposed to credit risk on $19.1 million of notes receivable and residual certificates.</w:t>
      </w:r>
    </w:p>
    <w:p>
      <w:pPr>
        <w:spacing w:after="0" w:line="157" w:lineRule="exact"/>
        <w:rPr>
          <w:sz w:val="20"/>
          <w:szCs w:val="20"/>
          <w:color w:val="auto"/>
        </w:rPr>
      </w:pPr>
    </w:p>
    <w:p>
      <w:pPr>
        <w:ind w:left="800" w:right="40" w:firstLine="482"/>
        <w:spacing w:after="0" w:line="250" w:lineRule="auto"/>
        <w:rPr>
          <w:sz w:val="20"/>
          <w:szCs w:val="20"/>
          <w:color w:val="auto"/>
        </w:rPr>
      </w:pPr>
      <w:r>
        <w:rPr>
          <w:rFonts w:ascii="Arial" w:cs="Arial" w:eastAsia="Arial" w:hAnsi="Arial"/>
          <w:sz w:val="15"/>
          <w:szCs w:val="15"/>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20%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173"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As of December 31, 2019 and 2020, we are exposed to credit risk of $80.1 million and $311.3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06" w:lineRule="exact"/>
        <w:rPr>
          <w:sz w:val="20"/>
          <w:szCs w:val="20"/>
          <w:color w:val="auto"/>
        </w:rPr>
      </w:pPr>
    </w:p>
    <w:p>
      <w:pPr>
        <w:jc w:val="both"/>
        <w:ind w:left="800" w:right="340" w:firstLine="482"/>
        <w:spacing w:after="0" w:line="236" w:lineRule="auto"/>
        <w:rPr>
          <w:sz w:val="20"/>
          <w:szCs w:val="20"/>
          <w:color w:val="auto"/>
        </w:rPr>
      </w:pPr>
      <w:r>
        <w:rPr>
          <w:rFonts w:ascii="Arial" w:cs="Arial" w:eastAsia="Arial" w:hAnsi="Arial"/>
          <w:sz w:val="16"/>
          <w:szCs w:val="16"/>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420"/>
          </w:cols>
          <w:pgMar w:left="320" w:top="419" w:right="115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162"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i w:val="1"/>
          <w:iCs w:val="1"/>
          <w:color w:val="auto"/>
        </w:rPr>
        <w:t>Term Loans, Warehouse Credit Facilities and Revolving Credit Facility</w:t>
      </w:r>
      <w:r>
        <w:rPr>
          <w:rFonts w:ascii="Arial" w:cs="Arial" w:eastAsia="Arial" w:hAnsi="Arial"/>
          <w:sz w:val="16"/>
          <w:szCs w:val="16"/>
          <w:color w:val="auto"/>
        </w:rPr>
        <w:t>—As of December 31, 2019 and 2020, we are exposed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risk on $ 101.8 million and $55.5 million, respectively, under the term loans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inability or failure to manage market risks could harm our business, financial condition or results of operations.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400"/>
          </w:cols>
          <w:pgMar w:left="320" w:top="419" w:right="117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BUSINESS</w:t>
      </w:r>
    </w:p>
    <w:p>
      <w:pPr>
        <w:spacing w:after="0" w:line="18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Overview</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mission is to enable effortless credit based on true risk.</w:t>
      </w:r>
    </w:p>
    <w:p>
      <w:pPr>
        <w:spacing w:after="0" w:line="183"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3"/>
          <w:szCs w:val="13"/>
          <w:color w:val="auto"/>
        </w:rPr>
        <w:t>35</w:t>
      </w:r>
      <w:r>
        <w:rPr>
          <w:rFonts w:ascii="Arial" w:cs="Arial" w:eastAsia="Arial" w:hAnsi="Arial"/>
          <w:sz w:val="16"/>
          <w:szCs w:val="16"/>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3"/>
          <w:szCs w:val="13"/>
          <w:color w:val="auto"/>
        </w:rPr>
        <w:t>36</w:t>
      </w:r>
    </w:p>
    <w:p>
      <w:pPr>
        <w:spacing w:after="0" w:line="179"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1,000 variables and benefit from a rapidly growing training dataset that currently contains more than 10.5 million repayment events. The network effects generated by our constantly improving AI models provide a significant competitive advantage—more training data leads to higher approval rates and lower interest rates at the same loss rate.</w:t>
      </w:r>
    </w:p>
    <w:p>
      <w:pPr>
        <w:spacing w:after="0" w:line="182"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79"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Consumers can discover Upstart-powered loans in one of two ways: either via Upstart.com or through a bank-branded product on our bank partners’ own websites.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Loans issued through our platform can be retained by our originating bank partners, distributed to our broad base of approximately 100 institutional investors and buyers that invest in Upstart-powered loans or funded by Upstart’s balance sheet. In the fourth quarter of 2020, 18% of the loans funded through our platform were retained by the originating bank and 81% of loans were purchased by institutional investors through our loan funding programs. Our institutional investors and buyers that participate in our loan funding programs invest in Upstart-powered loans through whole loan purchases, purchases of pass-through certificates and investments in asset-backed securitizations.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71120</wp:posOffset>
            </wp:positionV>
            <wp:extent cx="67564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2" w:lineRule="exact"/>
        <w:rPr>
          <w:sz w:val="20"/>
          <w:szCs w:val="20"/>
          <w:color w:val="auto"/>
        </w:rPr>
      </w:pPr>
    </w:p>
    <w:p>
      <w:pPr>
        <w:ind w:left="1280" w:hanging="481"/>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6"/>
          <w:szCs w:val="16"/>
          <w:color w:val="auto"/>
        </w:rPr>
        <w:t>Kaufman; see the section titled “Industry, Market and Other Data.”</w:t>
      </w:r>
    </w:p>
    <w:p>
      <w:pPr>
        <w:ind w:left="1280" w:hanging="481"/>
        <w:spacing w:after="0"/>
        <w:tabs>
          <w:tab w:leader="none" w:pos="1280" w:val="left"/>
        </w:tabs>
        <w:numPr>
          <w:ilvl w:val="0"/>
          <w:numId w:val="67"/>
        </w:numPr>
        <w:rPr>
          <w:rFonts w:ascii="Arial" w:cs="Arial" w:eastAsia="Arial" w:hAnsi="Arial"/>
          <w:sz w:val="13"/>
          <w:szCs w:val="13"/>
          <w:color w:val="auto"/>
        </w:rPr>
      </w:pPr>
      <w:r>
        <w:rPr>
          <w:rFonts w:ascii="Arial" w:cs="Arial" w:eastAsia="Arial" w:hAnsi="Arial"/>
          <w:sz w:val="16"/>
          <w:szCs w:val="16"/>
          <w:color w:val="auto"/>
        </w:rPr>
        <w:t>Ficklin and Watkins; see the section titled “Industry, Market and Other Data.”</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440"/>
          </w:cols>
          <w:pgMar w:left="320" w:top="419" w:right="113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60"/>
        <w:spacing w:after="0" w:line="233" w:lineRule="auto"/>
        <w:rPr>
          <w:sz w:val="20"/>
          <w:szCs w:val="20"/>
          <w:color w:val="auto"/>
        </w:rPr>
      </w:pPr>
      <w:r>
        <w:rPr>
          <w:rFonts w:ascii="Arial" w:cs="Arial" w:eastAsia="Arial" w:hAnsi="Arial"/>
          <w:sz w:val="16"/>
          <w:szCs w:val="16"/>
          <w:color w:val="auto"/>
        </w:rPr>
        <w:t>of December 31, 2020, we had twelve bank partners. In the year ended December 31, 2020, CRB originated 67% of the loans facilitated on our platform and fees received from CRB accounted for 63% of our total revenue. Our current agreement with CRB began on January 1, 2019 and has an initial four year term, with a renewal term for an additional two years following the initial four year term.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3"/>
          <w:szCs w:val="13"/>
          <w:color w:val="auto"/>
        </w:rPr>
        <w:t>37</w:t>
      </w:r>
      <w:r>
        <w:rPr>
          <w:rFonts w:ascii="Arial" w:cs="Arial" w:eastAsia="Arial" w:hAnsi="Arial"/>
          <w:sz w:val="16"/>
          <w:szCs w:val="16"/>
          <w:color w:val="auto"/>
        </w:rPr>
        <w:t xml:space="preserve"> The remaining 1% of loans funded through our platform in the fourth quarter of 2020 were funded through our balance sheet.</w:t>
      </w:r>
    </w:p>
    <w:p>
      <w:pPr>
        <w:spacing w:after="0" w:line="182"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Recent Developments</w:t>
      </w:r>
    </w:p>
    <w:p>
      <w:pPr>
        <w:spacing w:after="0" w:line="20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March 2021, we entered into a definitive agreement to acquire Prodigy Software, Inc., a provider of cloud-based automotive retail software. The aggregate consideration to be paid by us is estimated to be $100 million, subject to customary purchase price adjustments, payable in a combination of cash and shares of our common stock. The transaction is subject to customary closing conditions, and is expected to close in the second quarter of 2021.</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Industry Overview</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Affordable Credit is Critical to Unlocking Upward Mobility and Opportunity</w:t>
      </w:r>
    </w:p>
    <w:p>
      <w:pPr>
        <w:spacing w:after="0" w:line="10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With $3.6 trillion of consumer credit originated between April 2019 and March 2020,</w:t>
      </w:r>
      <w:r>
        <w:rPr>
          <w:rFonts w:ascii="Arial" w:cs="Arial" w:eastAsia="Arial" w:hAnsi="Arial"/>
          <w:sz w:val="13"/>
          <w:szCs w:val="13"/>
          <w:color w:val="auto"/>
        </w:rPr>
        <w:t>38</w:t>
      </w:r>
      <w:r>
        <w:rPr>
          <w:rFonts w:ascii="Arial" w:cs="Arial" w:eastAsia="Arial" w:hAnsi="Arial"/>
          <w:sz w:val="16"/>
          <w:szCs w:val="16"/>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3"/>
          <w:szCs w:val="13"/>
          <w:color w:val="auto"/>
        </w:rPr>
        <w:t>39</w:t>
      </w:r>
      <w:r>
        <w:rPr>
          <w:rFonts w:ascii="Arial" w:cs="Arial" w:eastAsia="Arial" w:hAnsi="Arial"/>
          <w:sz w:val="16"/>
          <w:szCs w:val="16"/>
          <w:color w:val="auto"/>
        </w:rPr>
        <w:t xml:space="preserve"> The average American has approximately $29,800 in personal debt.</w:t>
      </w:r>
      <w:r>
        <w:rPr>
          <w:rFonts w:ascii="Arial" w:cs="Arial" w:eastAsia="Arial" w:hAnsi="Arial"/>
          <w:sz w:val="13"/>
          <w:szCs w:val="13"/>
          <w:color w:val="auto"/>
        </w:rPr>
        <w:t>40</w:t>
      </w:r>
      <w:r>
        <w:rPr>
          <w:rFonts w:ascii="Arial" w:cs="Arial" w:eastAsia="Arial" w:hAnsi="Arial"/>
          <w:sz w:val="16"/>
          <w:szCs w:val="16"/>
          <w:color w:val="auto"/>
        </w:rPr>
        <w:t xml:space="preserve"> While access to affordable credit has allowed Americans to purchase and improve their homes, buy cars, pay for college tuition and cover emergency expenses, high interest rates can negatively impact a consumer’s financial health. The U.S. Federal Reserve reports that on average, 10% of household disposable personal income is spent on debt repayment.</w:t>
      </w:r>
      <w:r>
        <w:rPr>
          <w:rFonts w:ascii="Arial" w:cs="Arial" w:eastAsia="Arial" w:hAnsi="Arial"/>
          <w:sz w:val="13"/>
          <w:szCs w:val="13"/>
          <w:color w:val="auto"/>
        </w:rPr>
        <w:t>41</w:t>
      </w:r>
      <w:r>
        <w:rPr>
          <w:rFonts w:ascii="Arial" w:cs="Arial" w:eastAsia="Arial" w:hAnsi="Arial"/>
          <w:sz w:val="16"/>
          <w:szCs w:val="16"/>
          <w:color w:val="auto"/>
        </w:rPr>
        <w:t xml:space="preserve"> In addition, 16% of Americans spend 50% to 100% of their monthly income repaying debt.</w:t>
      </w: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70485</wp:posOffset>
            </wp:positionV>
            <wp:extent cx="67564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3" w:lineRule="exact"/>
        <w:rPr>
          <w:sz w:val="20"/>
          <w:szCs w:val="20"/>
          <w:color w:val="auto"/>
        </w:rPr>
      </w:pPr>
    </w:p>
    <w:p>
      <w:pPr>
        <w:ind w:left="1180" w:hanging="381"/>
        <w:spacing w:after="0" w:line="197" w:lineRule="auto"/>
        <w:tabs>
          <w:tab w:leader="none" w:pos="118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loan funding programs, including the role of our warehouse credit facilities and special purpose entities. See “Note 3. Securitizations and Variable Interest Entities” to our consolidated financial statements for additional information regarding transactions with our VIEs.</w:t>
      </w:r>
    </w:p>
    <w:p>
      <w:pPr>
        <w:spacing w:after="0" w:line="1" w:lineRule="exact"/>
        <w:rPr>
          <w:rFonts w:ascii="Arial" w:cs="Arial" w:eastAsia="Arial" w:hAnsi="Arial"/>
          <w:sz w:val="21"/>
          <w:szCs w:val="21"/>
          <w:color w:val="auto"/>
          <w:vertAlign w:val="superscript"/>
        </w:rPr>
      </w:pPr>
    </w:p>
    <w:p>
      <w:pPr>
        <w:ind w:left="1180" w:hanging="381"/>
        <w:spacing w:after="0" w:line="185" w:lineRule="auto"/>
        <w:tabs>
          <w:tab w:leader="none" w:pos="1180" w:val="left"/>
        </w:tabs>
        <w:numPr>
          <w:ilvl w:val="0"/>
          <w:numId w:val="68"/>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180" w:hanging="381"/>
        <w:spacing w:after="0" w:line="185" w:lineRule="auto"/>
        <w:tabs>
          <w:tab w:leader="none" w:pos="1180" w:val="left"/>
        </w:tabs>
        <w:numPr>
          <w:ilvl w:val="0"/>
          <w:numId w:val="68"/>
        </w:numPr>
        <w:rPr>
          <w:rFonts w:ascii="Arial" w:cs="Arial" w:eastAsia="Arial" w:hAnsi="Arial"/>
          <w:sz w:val="16"/>
          <w:szCs w:val="16"/>
          <w:color w:val="auto"/>
          <w:vertAlign w:val="superscript"/>
        </w:rPr>
      </w:pPr>
      <w:r>
        <w:rPr>
          <w:rFonts w:ascii="Arial" w:cs="Arial" w:eastAsia="Arial" w:hAnsi="Arial"/>
          <w:sz w:val="10"/>
          <w:szCs w:val="10"/>
          <w:color w:val="auto"/>
        </w:rPr>
        <w:t>Wysen; see the section titled “Industry, Market and Other Data.”</w:t>
      </w:r>
    </w:p>
    <w:p>
      <w:pPr>
        <w:ind w:left="1180" w:hanging="381"/>
        <w:spacing w:after="0" w:line="185" w:lineRule="auto"/>
        <w:tabs>
          <w:tab w:leader="none" w:pos="1180" w:val="left"/>
        </w:tabs>
        <w:numPr>
          <w:ilvl w:val="0"/>
          <w:numId w:val="68"/>
        </w:numPr>
        <w:rPr>
          <w:rFonts w:ascii="Arial" w:cs="Arial" w:eastAsia="Arial" w:hAnsi="Arial"/>
          <w:sz w:val="16"/>
          <w:szCs w:val="16"/>
          <w:color w:val="auto"/>
          <w:vertAlign w:val="superscript"/>
        </w:rPr>
      </w:pPr>
      <w:r>
        <w:rPr>
          <w:rFonts w:ascii="Arial" w:cs="Arial" w:eastAsia="Arial" w:hAnsi="Arial"/>
          <w:sz w:val="10"/>
          <w:szCs w:val="10"/>
          <w:color w:val="auto"/>
        </w:rPr>
        <w:t>Northwestern Mutual; see the section titled “Industry, Market and Other Data.”</w:t>
      </w:r>
    </w:p>
    <w:p>
      <w:pPr>
        <w:ind w:left="1180" w:hanging="381"/>
        <w:spacing w:after="0" w:line="185" w:lineRule="auto"/>
        <w:tabs>
          <w:tab w:leader="none" w:pos="1180" w:val="left"/>
        </w:tabs>
        <w:numPr>
          <w:ilvl w:val="0"/>
          <w:numId w:val="68"/>
        </w:numPr>
        <w:rPr>
          <w:rFonts w:ascii="Arial" w:cs="Arial" w:eastAsia="Arial" w:hAnsi="Arial"/>
          <w:sz w:val="16"/>
          <w:szCs w:val="16"/>
          <w:color w:val="auto"/>
          <w:vertAlign w:val="superscript"/>
        </w:rPr>
      </w:pPr>
      <w:r>
        <w:rPr>
          <w:rFonts w:ascii="Arial" w:cs="Arial" w:eastAsia="Arial" w:hAnsi="Arial"/>
          <w:sz w:val="10"/>
          <w:szCs w:val="10"/>
          <w:color w:val="auto"/>
        </w:rPr>
        <w:t>Federal Reserve Household Debt; see the section titled “Industry, Market and Other Data.”</w:t>
      </w:r>
    </w:p>
    <w:p>
      <w:pPr>
        <w:ind w:left="1180" w:hanging="381"/>
        <w:spacing w:after="0" w:line="186" w:lineRule="auto"/>
        <w:tabs>
          <w:tab w:leader="none" w:pos="1180" w:val="left"/>
        </w:tabs>
        <w:numPr>
          <w:ilvl w:val="0"/>
          <w:numId w:val="68"/>
        </w:numPr>
        <w:rPr>
          <w:rFonts w:ascii="Arial" w:cs="Arial" w:eastAsia="Arial" w:hAnsi="Arial"/>
          <w:sz w:val="17"/>
          <w:szCs w:val="17"/>
          <w:color w:val="auto"/>
          <w:vertAlign w:val="superscript"/>
        </w:rPr>
      </w:pPr>
      <w:r>
        <w:rPr>
          <w:rFonts w:ascii="Arial" w:cs="Arial" w:eastAsia="Arial" w:hAnsi="Arial"/>
          <w:sz w:val="10"/>
          <w:szCs w:val="10"/>
          <w:color w:val="auto"/>
        </w:rPr>
        <w:t>Northwestern Mutual; see the section titled “Industry, Market and Other Data.”</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440"/>
          </w:cols>
          <w:pgMar w:left="320" w:top="419" w:right="11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Affordable Credit Is Inaccessible for Millions because Existing Systems Fail to Accurately Quantify Risk</w:t>
      </w:r>
    </w:p>
    <w:p>
      <w:pPr>
        <w:spacing w:after="0" w:line="104"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43</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44</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45</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 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46</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-7620</wp:posOffset>
            </wp:positionV>
            <wp:extent cx="2726055" cy="14420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26055" cy="144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Banks Will Continue to be at the Forefront of Consumer Lending</w:t>
      </w:r>
    </w:p>
    <w:p>
      <w:pPr>
        <w:spacing w:after="0" w:line="106" w:lineRule="exact"/>
        <w:rPr>
          <w:sz w:val="20"/>
          <w:szCs w:val="20"/>
          <w:color w:val="auto"/>
        </w:rPr>
      </w:pPr>
    </w:p>
    <w:p>
      <w:pPr>
        <w:ind w:left="800" w:firstLine="482"/>
        <w:spacing w:after="0" w:line="251"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47</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4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Banks Must Undergo a Digital Transformation to Remain Competitive</w:t>
      </w:r>
    </w:p>
    <w:p>
      <w:pPr>
        <w:spacing w:after="0" w:line="104" w:lineRule="exact"/>
        <w:rPr>
          <w:sz w:val="20"/>
          <w:szCs w:val="20"/>
          <w:color w:val="auto"/>
        </w:rPr>
      </w:pPr>
    </w:p>
    <w:p>
      <w:pPr>
        <w:ind w:left="800" w:right="560" w:firstLine="482"/>
        <w:spacing w:after="0"/>
        <w:rPr>
          <w:sz w:val="20"/>
          <w:szCs w:val="20"/>
          <w:color w:val="auto"/>
        </w:rPr>
      </w:pPr>
      <w:r>
        <w:rPr>
          <w:rFonts w:ascii="Arial" w:cs="Arial" w:eastAsia="Arial" w:hAnsi="Arial"/>
          <w:sz w:val="16"/>
          <w:szCs w:val="16"/>
          <w:color w:val="auto"/>
        </w:rPr>
        <w:t>The largest four U.S. banks spend an estimated $38 billion on technology and innovation annually.</w:t>
      </w:r>
      <w:r>
        <w:rPr>
          <w:rFonts w:ascii="Arial" w:cs="Arial" w:eastAsia="Arial" w:hAnsi="Arial"/>
          <w:sz w:val="13"/>
          <w:szCs w:val="13"/>
          <w:color w:val="auto"/>
        </w:rPr>
        <w:t>48</w:t>
      </w:r>
      <w:r>
        <w:rPr>
          <w:rFonts w:ascii="Arial" w:cs="Arial" w:eastAsia="Arial" w:hAnsi="Arial"/>
          <w:sz w:val="16"/>
          <w:szCs w:val="16"/>
          <w:color w:val="auto"/>
        </w:rPr>
        <w:t xml:space="preserve"> These four banks may attempt to build AI lending models over time, once general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68580</wp:posOffset>
            </wp:positionV>
            <wp:extent cx="67564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40" w:lineRule="exact"/>
        <w:rPr>
          <w:sz w:val="20"/>
          <w:szCs w:val="20"/>
          <w:color w:val="auto"/>
        </w:rPr>
      </w:pPr>
    </w:p>
    <w:p>
      <w:pPr>
        <w:ind w:left="1280" w:hanging="481"/>
        <w:spacing w:after="0"/>
        <w:tabs>
          <w:tab w:leader="none" w:pos="1280"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Kaufman; see the section titled “Industry, Market and Other Data.”</w:t>
      </w:r>
    </w:p>
    <w:p>
      <w:pPr>
        <w:ind w:left="1280" w:hanging="481"/>
        <w:spacing w:after="0" w:line="185" w:lineRule="auto"/>
        <w:tabs>
          <w:tab w:leader="none" w:pos="128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Kaufman; see the section titled “Industry, Market and Other Data.”</w:t>
      </w:r>
    </w:p>
    <w:p>
      <w:pPr>
        <w:ind w:left="1280" w:hanging="481"/>
        <w:spacing w:after="0" w:line="185" w:lineRule="auto"/>
        <w:tabs>
          <w:tab w:leader="none" w:pos="128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Siddiqi; see the section titled “Industry, Market and Other Data.”</w:t>
      </w:r>
    </w:p>
    <w:p>
      <w:pPr>
        <w:ind w:left="1280" w:hanging="481"/>
        <w:spacing w:after="0" w:line="185" w:lineRule="auto"/>
        <w:tabs>
          <w:tab w:leader="none" w:pos="128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The study defined access to prime credit as individuals with credit reports with VantageScores of 720 or above.</w:t>
      </w:r>
    </w:p>
    <w:p>
      <w:pPr>
        <w:ind w:left="1280" w:hanging="481"/>
        <w:spacing w:after="0" w:line="185" w:lineRule="auto"/>
        <w:tabs>
          <w:tab w:leader="none" w:pos="1280" w:val="left"/>
        </w:tabs>
        <w:numPr>
          <w:ilvl w:val="0"/>
          <w:numId w:val="69"/>
        </w:numPr>
        <w:rPr>
          <w:rFonts w:ascii="Arial" w:cs="Arial" w:eastAsia="Arial" w:hAnsi="Arial"/>
          <w:sz w:val="16"/>
          <w:szCs w:val="16"/>
          <w:color w:val="auto"/>
          <w:vertAlign w:val="superscript"/>
        </w:rPr>
      </w:pPr>
      <w:r>
        <w:rPr>
          <w:rFonts w:ascii="Arial" w:cs="Arial" w:eastAsia="Arial" w:hAnsi="Arial"/>
          <w:sz w:val="10"/>
          <w:szCs w:val="10"/>
          <w:color w:val="auto"/>
        </w:rPr>
        <w:t>Federal Home Loan Bank of San Francisco; see the section titled “Industry, Market and Other Data.”</w:t>
      </w:r>
    </w:p>
    <w:p>
      <w:pPr>
        <w:ind w:left="1280" w:hanging="481"/>
        <w:spacing w:after="0" w:line="186" w:lineRule="auto"/>
        <w:tabs>
          <w:tab w:leader="none" w:pos="1280" w:val="left"/>
        </w:tabs>
        <w:numPr>
          <w:ilvl w:val="0"/>
          <w:numId w:val="69"/>
        </w:numPr>
        <w:rPr>
          <w:rFonts w:ascii="Arial" w:cs="Arial" w:eastAsia="Arial" w:hAnsi="Arial"/>
          <w:sz w:val="17"/>
          <w:szCs w:val="17"/>
          <w:color w:val="auto"/>
          <w:vertAlign w:val="superscript"/>
        </w:rPr>
      </w:pPr>
      <w:r>
        <w:rPr>
          <w:rFonts w:ascii="Arial" w:cs="Arial" w:eastAsia="Arial" w:hAnsi="Arial"/>
          <w:sz w:val="10"/>
          <w:szCs w:val="10"/>
          <w:color w:val="auto"/>
        </w:rPr>
        <w:t>Garcia; see the section titled “Industry, Market and Other Data.”</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440"/>
          </w:cols>
          <w:pgMar w:left="320" w:top="419" w:right="113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8" w:lineRule="exact"/>
        <w:rPr>
          <w:sz w:val="20"/>
          <w:szCs w:val="20"/>
          <w:color w:val="auto"/>
        </w:rPr>
      </w:pPr>
    </w:p>
    <w:p>
      <w:pPr>
        <w:ind w:left="800" w:right="180"/>
        <w:spacing w:after="0" w:line="237" w:lineRule="auto"/>
        <w:rPr>
          <w:sz w:val="20"/>
          <w:szCs w:val="20"/>
          <w:color w:val="auto"/>
        </w:rPr>
      </w:pPr>
      <w:r>
        <w:rPr>
          <w:rFonts w:ascii="Arial" w:cs="Arial" w:eastAsia="Arial" w:hAnsi="Arial"/>
          <w:sz w:val="16"/>
          <w:szCs w:val="16"/>
          <w:color w:val="auto"/>
        </w:rPr>
        <w:t>acceptance has been achieved. However, outside the largest four banks, there are approximately 5,200 FDIC insured institutions</w:t>
      </w:r>
      <w:r>
        <w:rPr>
          <w:rFonts w:ascii="Arial" w:cs="Arial" w:eastAsia="Arial" w:hAnsi="Arial"/>
          <w:sz w:val="13"/>
          <w:szCs w:val="13"/>
          <w:color w:val="auto"/>
        </w:rPr>
        <w:t>49</w:t>
      </w:r>
      <w:r>
        <w:rPr>
          <w:rFonts w:ascii="Arial" w:cs="Arial" w:eastAsia="Arial" w:hAnsi="Arial"/>
          <w:sz w:val="16"/>
          <w:szCs w:val="16"/>
          <w:color w:val="auto"/>
        </w:rPr>
        <w:t xml:space="preserve"> that are at risk of falling behind. Despite holding over $8 trillion in deposits,</w:t>
      </w:r>
      <w:r>
        <w:rPr>
          <w:rFonts w:ascii="Arial" w:cs="Arial" w:eastAsia="Arial" w:hAnsi="Arial"/>
          <w:sz w:val="13"/>
          <w:szCs w:val="13"/>
          <w:color w:val="auto"/>
        </w:rPr>
        <w:t>50</w:t>
      </w:r>
      <w:r>
        <w:rPr>
          <w:rFonts w:ascii="Arial" w:cs="Arial" w:eastAsia="Arial" w:hAnsi="Arial"/>
          <w:sz w:val="16"/>
          <w:szCs w:val="16"/>
          <w:color w:val="auto"/>
        </w:rPr>
        <w:t xml:space="preserve"> we believe these banks, particularly small to medium-sized banks, have outdated technology and lack the technical resources of larger banks to fund the digitization process.</w:t>
      </w:r>
    </w:p>
    <w:p>
      <w:pPr>
        <w:spacing w:after="0" w:line="176"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At the same time, consumers are increasingly seeking digital, personalized and automated experiences.</w:t>
      </w:r>
      <w:r>
        <w:rPr>
          <w:rFonts w:ascii="Arial" w:cs="Arial" w:eastAsia="Arial" w:hAnsi="Arial"/>
          <w:sz w:val="13"/>
          <w:szCs w:val="13"/>
          <w:color w:val="auto"/>
        </w:rPr>
        <w:t>51</w:t>
      </w:r>
      <w:r>
        <w:rPr>
          <w:rFonts w:ascii="Arial" w:cs="Arial" w:eastAsia="Arial" w:hAnsi="Arial"/>
          <w:sz w:val="16"/>
          <w:szCs w:val="16"/>
          <w:color w:val="auto"/>
        </w:rPr>
        <w:t xml:space="preserve"> A 2017 Bain survey found that approximately 50% of the U.S. population would be comfortable buying financial products from technology companies.</w:t>
      </w:r>
      <w:r>
        <w:rPr>
          <w:rFonts w:ascii="Arial" w:cs="Arial" w:eastAsia="Arial" w:hAnsi="Arial"/>
          <w:sz w:val="13"/>
          <w:szCs w:val="13"/>
          <w:color w:val="auto"/>
        </w:rPr>
        <w:t>52</w:t>
      </w:r>
      <w:r>
        <w:rPr>
          <w:rFonts w:ascii="Arial" w:cs="Arial" w:eastAsia="Arial" w:hAnsi="Arial"/>
          <w:sz w:val="16"/>
          <w:szCs w:val="16"/>
          <w:color w:val="auto"/>
        </w:rPr>
        <w:t xml:space="preserve"> We believe that as consumers, both young and old, move their financial lives online, small and medium-sized banks will be increasingly ill-equipped to serve them.</w:t>
      </w:r>
    </w:p>
    <w:p>
      <w:pPr>
        <w:spacing w:after="0" w:line="180"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Increasing Recognition from Regulators</w:t>
      </w:r>
    </w:p>
    <w:p>
      <w:pPr>
        <w:spacing w:after="0" w:line="20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Many regulators including the FDIC, the OCC, the Federal Reserve and the CFPB increasingly recognize the opportunity to modernize techniques used in lending.</w:t>
      </w:r>
      <w:r>
        <w:rPr>
          <w:rFonts w:ascii="Arial" w:cs="Arial" w:eastAsia="Arial" w:hAnsi="Arial"/>
          <w:sz w:val="13"/>
          <w:szCs w:val="13"/>
          <w:color w:val="auto"/>
        </w:rPr>
        <w:t>53</w:t>
      </w:r>
      <w:r>
        <w:rPr>
          <w:rFonts w:ascii="Arial" w:cs="Arial" w:eastAsia="Arial" w:hAnsi="Arial"/>
          <w:sz w:val="16"/>
          <w:szCs w:val="16"/>
          <w:color w:val="auto"/>
        </w:rPr>
        <w:t xml:space="preserve"> In December 2019, these agencies issued an inter-agency report in support of the use of alternative data in lending decisions.</w:t>
      </w:r>
      <w:r>
        <w:rPr>
          <w:rFonts w:ascii="Arial" w:cs="Arial" w:eastAsia="Arial" w:hAnsi="Arial"/>
          <w:sz w:val="13"/>
          <w:szCs w:val="13"/>
          <w:color w:val="auto"/>
        </w:rPr>
        <w:t>54</w:t>
      </w:r>
      <w:r>
        <w:rPr>
          <w:rFonts w:ascii="Arial" w:cs="Arial" w:eastAsia="Arial" w:hAnsi="Arial"/>
          <w:sz w:val="16"/>
          <w:szCs w:val="16"/>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3"/>
          <w:szCs w:val="13"/>
          <w:color w:val="auto"/>
        </w:rPr>
        <w:t>55</w:t>
      </w:r>
      <w:r>
        <w:rPr>
          <w:rFonts w:ascii="Arial" w:cs="Arial" w:eastAsia="Arial" w:hAnsi="Arial"/>
          <w:sz w:val="16"/>
          <w:szCs w:val="16"/>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3"/>
          <w:szCs w:val="13"/>
          <w:color w:val="auto"/>
        </w:rPr>
        <w:t>56</w:t>
      </w:r>
      <w:r>
        <w:rPr>
          <w:rFonts w:ascii="Arial" w:cs="Arial" w:eastAsia="Arial" w:hAnsi="Arial"/>
          <w:sz w:val="16"/>
          <w:szCs w:val="16"/>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AI model to underwrite and price unsecured closed-end loans, and is conditional on our implementation of a Model Risk Assessment Plan that was developed with the CFPB.</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The AI Opportunity</w:t>
      </w:r>
    </w:p>
    <w:p>
      <w:pPr>
        <w:spacing w:after="0" w:line="106" w:lineRule="exact"/>
        <w:rPr>
          <w:sz w:val="20"/>
          <w:szCs w:val="20"/>
          <w:color w:val="auto"/>
        </w:rPr>
      </w:pPr>
    </w:p>
    <w:p>
      <w:pPr>
        <w:ind w:left="800" w:right="100" w:firstLine="482"/>
        <w:spacing w:after="0" w:line="237" w:lineRule="auto"/>
        <w:rPr>
          <w:sz w:val="20"/>
          <w:szCs w:val="20"/>
          <w:color w:val="auto"/>
        </w:rPr>
      </w:pPr>
      <w:r>
        <w:rPr>
          <w:rFonts w:ascii="Arial" w:cs="Arial" w:eastAsia="Arial" w:hAnsi="Arial"/>
          <w:sz w:val="16"/>
          <w:szCs w:val="16"/>
          <w:color w:val="auto"/>
        </w:rPr>
        <w:t>AI has the potential to add $13 trillion to the current global economic output by 2030, a 16% increase over today’s output.</w:t>
      </w:r>
      <w:r>
        <w:rPr>
          <w:rFonts w:ascii="Arial" w:cs="Arial" w:eastAsia="Arial" w:hAnsi="Arial"/>
          <w:sz w:val="13"/>
          <w:szCs w:val="13"/>
          <w:color w:val="auto"/>
        </w:rPr>
        <w:t>57</w:t>
      </w:r>
      <w:r>
        <w:rPr>
          <w:rFonts w:ascii="Arial" w:cs="Arial" w:eastAsia="Arial" w:hAnsi="Arial"/>
          <w:sz w:val="16"/>
          <w:szCs w:val="16"/>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3"/>
          <w:szCs w:val="13"/>
          <w:color w:val="auto"/>
        </w:rPr>
        <w:t>58</w:t>
      </w:r>
      <w:r>
        <w:rPr>
          <w:rFonts w:ascii="Arial" w:cs="Arial" w:eastAsia="Arial" w:hAnsi="Arial"/>
          <w:sz w:val="16"/>
          <w:szCs w:val="16"/>
          <w:color w:val="auto"/>
        </w:rPr>
        <w:t xml:space="preserve"> We believe the lending industry will follow this path.</w:t>
      </w:r>
    </w:p>
    <w:p>
      <w:pPr>
        <w:spacing w:after="0" w:line="179" w:lineRule="exact"/>
        <w:rPr>
          <w:sz w:val="20"/>
          <w:szCs w:val="20"/>
          <w:color w:val="auto"/>
        </w:rPr>
      </w:pPr>
    </w:p>
    <w:p>
      <w:pPr>
        <w:ind w:left="800" w:right="260" w:firstLine="482"/>
        <w:spacing w:after="0" w:line="238" w:lineRule="auto"/>
        <w:rPr>
          <w:sz w:val="20"/>
          <w:szCs w:val="20"/>
          <w:color w:val="auto"/>
        </w:rPr>
      </w:pPr>
      <w:r>
        <w:rPr>
          <w:rFonts w:ascii="Arial" w:cs="Arial" w:eastAsia="Arial" w:hAnsi="Arial"/>
          <w:sz w:val="16"/>
          <w:szCs w:val="16"/>
          <w:color w:val="auto"/>
        </w:rPr>
        <w:t>Lending is a compelling application for AI. First, it involves sophisticated decisioning for events that occur millions of times each day. Second, there is an almost unlimited supply of data that has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69215</wp:posOffset>
            </wp:positionV>
            <wp:extent cx="67564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41" w:lineRule="exact"/>
        <w:rPr>
          <w:sz w:val="20"/>
          <w:szCs w:val="20"/>
          <w:color w:val="auto"/>
        </w:rPr>
      </w:pPr>
    </w:p>
    <w:p>
      <w:pPr>
        <w:ind w:left="1280" w:hanging="481"/>
        <w:spacing w:after="0"/>
        <w:tabs>
          <w:tab w:leader="none" w:pos="1280" w:val="left"/>
        </w:tabs>
        <w:numPr>
          <w:ilvl w:val="0"/>
          <w:numId w:val="70"/>
        </w:numPr>
        <w:rPr>
          <w:rFonts w:ascii="Arial" w:cs="Arial" w:eastAsia="Arial" w:hAnsi="Arial"/>
          <w:sz w:val="21"/>
          <w:szCs w:val="21"/>
          <w:color w:val="auto"/>
          <w:vertAlign w:val="superscript"/>
        </w:rPr>
      </w:pPr>
      <w:r>
        <w:rPr>
          <w:rFonts w:ascii="Arial" w:cs="Arial" w:eastAsia="Arial" w:hAnsi="Arial"/>
          <w:sz w:val="13"/>
          <w:szCs w:val="13"/>
          <w:color w:val="auto"/>
        </w:rPr>
        <w:t>FDIC; see the section titled “Industry, Market and Other Data.”</w:t>
      </w:r>
    </w:p>
    <w:p>
      <w:pPr>
        <w:ind w:left="1280" w:right="140" w:hanging="481"/>
        <w:spacing w:after="0" w:line="185" w:lineRule="auto"/>
        <w:tabs>
          <w:tab w:leader="none" w:pos="1280" w:val="left"/>
        </w:tabs>
        <w:numPr>
          <w:ilvl w:val="0"/>
          <w:numId w:val="70"/>
        </w:numPr>
        <w:rPr>
          <w:rFonts w:ascii="Arial" w:cs="Arial" w:eastAsia="Arial" w:hAnsi="Arial"/>
          <w:sz w:val="20"/>
          <w:szCs w:val="20"/>
          <w:color w:val="auto"/>
          <w:vertAlign w:val="superscript"/>
        </w:rPr>
      </w:pPr>
      <w:r>
        <w:rPr>
          <w:rFonts w:ascii="Arial" w:cs="Arial" w:eastAsia="Arial" w:hAnsi="Arial"/>
          <w:sz w:val="12"/>
          <w:szCs w:val="12"/>
          <w:color w:val="auto"/>
        </w:rPr>
        <w:t>The dollar amount of deposits held by banks, other than the four largest banks, was aggregated by Upstart using data provided by the FDIC;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Bain, PwC and RedPoint Global;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Bain;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Kraninger;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CFPB No-Action Letter; see the section titled “Industry, Market and Other Data.”</w:t>
      </w:r>
    </w:p>
    <w:p>
      <w:pPr>
        <w:ind w:left="1280" w:hanging="481"/>
        <w:spacing w:after="0" w:line="185" w:lineRule="auto"/>
        <w:tabs>
          <w:tab w:leader="none" w:pos="1280" w:val="left"/>
        </w:tabs>
        <w:numPr>
          <w:ilvl w:val="0"/>
          <w:numId w:val="70"/>
        </w:numPr>
        <w:rPr>
          <w:rFonts w:ascii="Arial" w:cs="Arial" w:eastAsia="Arial" w:hAnsi="Arial"/>
          <w:sz w:val="16"/>
          <w:szCs w:val="16"/>
          <w:color w:val="auto"/>
          <w:vertAlign w:val="superscript"/>
        </w:rPr>
      </w:pPr>
      <w:r>
        <w:rPr>
          <w:rFonts w:ascii="Arial" w:cs="Arial" w:eastAsia="Arial" w:hAnsi="Arial"/>
          <w:sz w:val="10"/>
          <w:szCs w:val="10"/>
          <w:color w:val="auto"/>
        </w:rPr>
        <w:t>McKinsey; see the section titled “Industry, Market and Other Data.”</w:t>
      </w:r>
    </w:p>
    <w:p>
      <w:pPr>
        <w:ind w:left="1280" w:hanging="481"/>
        <w:spacing w:after="0" w:line="186" w:lineRule="auto"/>
        <w:tabs>
          <w:tab w:leader="none" w:pos="1280" w:val="left"/>
        </w:tabs>
        <w:numPr>
          <w:ilvl w:val="0"/>
          <w:numId w:val="70"/>
        </w:numPr>
        <w:rPr>
          <w:rFonts w:ascii="Arial" w:cs="Arial" w:eastAsia="Arial" w:hAnsi="Arial"/>
          <w:sz w:val="17"/>
          <w:szCs w:val="17"/>
          <w:color w:val="auto"/>
          <w:vertAlign w:val="superscript"/>
        </w:rPr>
      </w:pPr>
      <w:r>
        <w:rPr>
          <w:rFonts w:ascii="Arial" w:cs="Arial" w:eastAsia="Arial" w:hAnsi="Arial"/>
          <w:sz w:val="10"/>
          <w:szCs w:val="10"/>
          <w:color w:val="auto"/>
        </w:rPr>
        <w:t>McKinsey; see the section titled “Industry, Market and Other Data.”</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400"/>
          </w:cols>
          <w:pgMar w:left="320" w:top="419" w:right="117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6" w:lineRule="auto"/>
        <w:rPr>
          <w:sz w:val="20"/>
          <w:szCs w:val="20"/>
          <w:color w:val="auto"/>
        </w:rPr>
      </w:pPr>
      <w:r>
        <w:rPr>
          <w:rFonts w:ascii="Arial" w:cs="Arial" w:eastAsia="Arial" w:hAnsi="Arial"/>
          <w:sz w:val="16"/>
          <w:szCs w:val="16"/>
          <w:color w:val="auto"/>
        </w:rPr>
        <w:t>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With our eight-year head start, our AI lending platform is well-positioned to power a significant portion of the U.S. credit market. To date, we have focused on the unsecured personal loan market. From October 2019 to September 2020, there were $92 billion in U.S. unsecured personal loan originations.</w:t>
      </w:r>
      <w:r>
        <w:rPr>
          <w:rFonts w:ascii="Arial" w:cs="Arial" w:eastAsia="Arial" w:hAnsi="Arial"/>
          <w:sz w:val="13"/>
          <w:szCs w:val="13"/>
          <w:color w:val="auto"/>
        </w:rPr>
        <w:t>59</w:t>
      </w:r>
      <w:r>
        <w:rPr>
          <w:rFonts w:ascii="Arial" w:cs="Arial" w:eastAsia="Arial" w:hAnsi="Arial"/>
          <w:sz w:val="16"/>
          <w:szCs w:val="16"/>
          <w:color w:val="auto"/>
        </w:rPr>
        <w:t xml:space="preserve"> In the same period, we facilitated the origination of $3.2 billion in unsecured personal loans, or less than 5% of the total market.</w:t>
      </w:r>
      <w:r>
        <w:rPr>
          <w:rFonts w:ascii="Arial" w:cs="Arial" w:eastAsia="Arial" w:hAnsi="Arial"/>
          <w:sz w:val="13"/>
          <w:szCs w:val="13"/>
          <w:color w:val="auto"/>
        </w:rPr>
        <w:t>60</w:t>
      </w:r>
      <w:r>
        <w:rPr>
          <w:rFonts w:ascii="Arial" w:cs="Arial" w:eastAsia="Arial" w:hAnsi="Arial"/>
          <w:sz w:val="16"/>
          <w:szCs w:val="16"/>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October 2019 to September 2020, there were $626 billion in U.S. auto loan originations, $258 billion in U.S. credit card originations and $3.4 trillion in U.S. mortgage originations.</w:t>
      </w:r>
      <w:r>
        <w:rPr>
          <w:rFonts w:ascii="Arial" w:cs="Arial" w:eastAsia="Arial" w:hAnsi="Arial"/>
          <w:sz w:val="13"/>
          <w:szCs w:val="13"/>
          <w:color w:val="auto"/>
        </w:rPr>
        <w:t>61</w:t>
      </w:r>
      <w:r>
        <w:rPr>
          <w:rFonts w:ascii="Arial" w:cs="Arial" w:eastAsia="Arial" w:hAnsi="Arial"/>
          <w:sz w:val="16"/>
          <w:szCs w:val="16"/>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HELOCs.</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Our AI Lending Platform</w:t>
      </w:r>
    </w:p>
    <w:p>
      <w:pPr>
        <w:spacing w:after="0" w:line="203" w:lineRule="exact"/>
        <w:rPr>
          <w:sz w:val="20"/>
          <w:szCs w:val="20"/>
          <w:color w:val="auto"/>
        </w:rPr>
      </w:pPr>
    </w:p>
    <w:p>
      <w:pPr>
        <w:jc w:val="both"/>
        <w:ind w:left="800" w:right="280" w:firstLine="482"/>
        <w:spacing w:after="0" w:line="236" w:lineRule="auto"/>
        <w:rPr>
          <w:sz w:val="20"/>
          <w:szCs w:val="20"/>
          <w:color w:val="auto"/>
        </w:rPr>
      </w:pPr>
      <w:r>
        <w:rPr>
          <w:rFonts w:ascii="Arial" w:cs="Arial" w:eastAsia="Arial" w:hAnsi="Arial"/>
          <w:sz w:val="16"/>
          <w:szCs w:val="16"/>
          <w:color w:val="auto"/>
        </w:rPr>
        <w:t>Our AI models are central to our value proposition and unique position in the industry. Our models incorporate more than 1,000 variables, which are analogous to the columns in a spreadsheet. They have been trained by more than 10.5 million repayment events, analogous to rows of data in a spreadsheet.</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 Evolution of Upstart’s AI Model.”</w:t>
      </w:r>
    </w:p>
    <w:p>
      <w:pPr>
        <w:spacing w:after="0" w:line="181" w:lineRule="exact"/>
        <w:rPr>
          <w:sz w:val="20"/>
          <w:szCs w:val="20"/>
          <w:color w:val="auto"/>
        </w:rPr>
      </w:pPr>
    </w:p>
    <w:p>
      <w:pPr>
        <w:ind w:left="800" w:right="160" w:firstLine="482"/>
        <w:spacing w:after="0" w:line="252"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245"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Our Ecosystem</w:t>
      </w:r>
    </w:p>
    <w:p>
      <w:pPr>
        <w:spacing w:after="0" w:line="203"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Our platform connects consumers, banks and institutional investors through a shared AI lending platform. Because AI is a new and disruptive technology, and banking is a traditionally conservative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69215</wp:posOffset>
            </wp:positionV>
            <wp:extent cx="67564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41" w:lineRule="exact"/>
        <w:rPr>
          <w:sz w:val="20"/>
          <w:szCs w:val="20"/>
          <w:color w:val="auto"/>
        </w:rPr>
      </w:pPr>
    </w:p>
    <w:p>
      <w:pPr>
        <w:ind w:left="1280" w:hanging="481"/>
        <w:spacing w:after="0"/>
        <w:tabs>
          <w:tab w:leader="none" w:pos="1280" w:val="left"/>
        </w:tabs>
        <w:numPr>
          <w:ilvl w:val="0"/>
          <w:numId w:val="71"/>
        </w:numPr>
        <w:rPr>
          <w:rFonts w:ascii="Arial" w:cs="Arial" w:eastAsia="Arial" w:hAnsi="Arial"/>
          <w:sz w:val="21"/>
          <w:szCs w:val="21"/>
          <w:color w:val="auto"/>
          <w:vertAlign w:val="superscript"/>
        </w:rPr>
      </w:pPr>
      <w:r>
        <w:rPr>
          <w:rFonts w:ascii="Arial" w:cs="Arial" w:eastAsia="Arial" w:hAnsi="Arial"/>
          <w:sz w:val="13"/>
          <w:szCs w:val="13"/>
          <w:color w:val="auto"/>
        </w:rPr>
        <w:t>Based on loan origination dollar amounts published by TransUnion; see the section titled “Industry, Market and Other Data.”</w:t>
      </w:r>
    </w:p>
    <w:p>
      <w:pPr>
        <w:ind w:left="1280" w:hanging="481"/>
        <w:spacing w:after="0" w:line="185" w:lineRule="auto"/>
        <w:tabs>
          <w:tab w:leader="none" w:pos="1280" w:val="left"/>
        </w:tabs>
        <w:numPr>
          <w:ilvl w:val="0"/>
          <w:numId w:val="71"/>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280" w:hanging="481"/>
        <w:spacing w:after="0" w:line="186" w:lineRule="auto"/>
        <w:tabs>
          <w:tab w:leader="none" w:pos="1280" w:val="left"/>
        </w:tabs>
        <w:numPr>
          <w:ilvl w:val="0"/>
          <w:numId w:val="71"/>
        </w:numPr>
        <w:rPr>
          <w:rFonts w:ascii="Arial" w:cs="Arial" w:eastAsia="Arial" w:hAnsi="Arial"/>
          <w:sz w:val="17"/>
          <w:szCs w:val="17"/>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420"/>
          </w:cols>
          <w:pgMar w:left="320" w:top="419" w:right="115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80"/>
        <w:spacing w:after="0" w:line="238" w:lineRule="auto"/>
        <w:rPr>
          <w:sz w:val="20"/>
          <w:szCs w:val="20"/>
          <w:color w:val="auto"/>
        </w:rPr>
      </w:pPr>
      <w:r>
        <w:rPr>
          <w:rFonts w:ascii="Arial" w:cs="Arial" w:eastAsia="Arial" w:hAnsi="Arial"/>
          <w:sz w:val="16"/>
          <w:szCs w:val="16"/>
          <w:color w:val="auto"/>
        </w:rPr>
        <w:t>industry, we have brought our technology to market in a way that allows us to grow rapidly and improve on our AI models, while allowing banks to take a prudent and responsible approach to assessing and adopting our platform.</w:t>
      </w:r>
    </w:p>
    <w:p>
      <w:pPr>
        <w:spacing w:after="0" w:line="179"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bank-branded interface on their own website or mobile application. Consumers on our platform are generally offered unsecured personal loans ranging from $1,000 to $50,000 in size, at APRs typically ranging from approximately 6.5% to 35.99%, with terms typically ranging from three to seven years, with a monthly repayment schedule and no prepayment penalty.</w:t>
      </w:r>
    </w:p>
    <w:p>
      <w:pPr>
        <w:spacing w:after="0" w:line="179"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On the funding side, our bank partners can retain loans that align with their business and risk objectives; loan volumes exceeding their collective funding capacity or risk tolerance can be flowed through the Cross River Bank conduit and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Value Proposition to Consumers</w:t>
      </w:r>
    </w:p>
    <w:p>
      <w:pPr>
        <w:spacing w:after="0" w:line="102" w:lineRule="exact"/>
        <w:rPr>
          <w:sz w:val="20"/>
          <w:szCs w:val="20"/>
          <w:color w:val="auto"/>
        </w:rPr>
      </w:pPr>
    </w:p>
    <w:p>
      <w:pPr>
        <w:ind w:left="1460" w:right="60" w:hanging="188"/>
        <w:spacing w:after="0"/>
        <w:tabs>
          <w:tab w:leader="none" w:pos="14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Higher approval rates and lower interest rates</w:t>
      </w:r>
      <w:r>
        <w:rPr>
          <w:rFonts w:ascii="Arial" w:cs="Arial" w:eastAsia="Arial" w:hAnsi="Arial"/>
          <w:sz w:val="16"/>
          <w:szCs w:val="16"/>
          <w:color w:val="auto"/>
        </w:rPr>
        <w:t>—The CFPB reported that a study by Upstart of its data using a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by the CFPB, showed that our AI model approves 27% more borrowers than high-quality traditional lending models with a 16% lower average APR for approved loans.</w:t>
      </w:r>
      <w:r>
        <w:rPr>
          <w:rFonts w:ascii="Arial" w:cs="Arial" w:eastAsia="Arial" w:hAnsi="Arial"/>
          <w:sz w:val="13"/>
          <w:szCs w:val="13"/>
          <w:color w:val="auto"/>
        </w:rPr>
        <w:t>62</w:t>
      </w:r>
      <w:r>
        <w:rPr>
          <w:rFonts w:ascii="Arial" w:cs="Arial" w:eastAsia="Arial" w:hAnsi="Arial"/>
          <w:sz w:val="16"/>
          <w:szCs w:val="16"/>
          <w:color w:val="auto"/>
        </w:rPr>
        <w:t xml:space="preserve"> Our analyses suggest that our loan offers have improved significantly over time relative to those of competitors.</w:t>
      </w:r>
      <w:r>
        <w:rPr>
          <w:rFonts w:ascii="Arial" w:cs="Arial" w:eastAsia="Arial" w:hAnsi="Arial"/>
          <w:sz w:val="13"/>
          <w:szCs w:val="13"/>
          <w:color w:val="auto"/>
        </w:rPr>
        <w:t>63</w:t>
      </w:r>
    </w:p>
    <w:p>
      <w:pPr>
        <w:spacing w:after="0" w:line="80" w:lineRule="exact"/>
        <w:rPr>
          <w:rFonts w:ascii="Arial" w:cs="Arial" w:eastAsia="Arial" w:hAnsi="Arial"/>
          <w:sz w:val="16"/>
          <w:szCs w:val="16"/>
          <w:color w:val="auto"/>
        </w:rPr>
      </w:pPr>
    </w:p>
    <w:p>
      <w:pPr>
        <w:ind w:left="1460" w:right="20" w:hanging="188"/>
        <w:spacing w:after="0" w:line="237" w:lineRule="auto"/>
        <w:tabs>
          <w:tab w:leader="none" w:pos="14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Superior digital experience</w:t>
      </w:r>
      <w:r>
        <w:rPr>
          <w:rFonts w:ascii="Arial" w:cs="Arial" w:eastAsia="Arial" w:hAnsi="Arial"/>
          <w:sz w:val="16"/>
          <w:szCs w:val="16"/>
          <w:color w:val="auto"/>
        </w:rPr>
        <w:t>—Whether consumers apply for a loan through Upstart.com or directly through a bank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the application experience is streamlined into a single application process and the loan offers provided are firm. In the year ended December 31,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Value Proposition to Bank Partners</w:t>
      </w:r>
    </w:p>
    <w:p>
      <w:pPr>
        <w:spacing w:after="0" w:line="102" w:lineRule="exact"/>
        <w:rPr>
          <w:sz w:val="20"/>
          <w:szCs w:val="20"/>
          <w:color w:val="auto"/>
        </w:rPr>
      </w:pPr>
    </w:p>
    <w:p>
      <w:pPr>
        <w:ind w:left="1460" w:right="180" w:hanging="188"/>
        <w:spacing w:after="0" w:line="258" w:lineRule="auto"/>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Competitive digital lending experienc</w:t>
      </w:r>
      <w:r>
        <w:rPr>
          <w:rFonts w:ascii="Arial" w:cs="Arial" w:eastAsia="Arial" w:hAnsi="Arial"/>
          <w:sz w:val="16"/>
          <w:szCs w:val="16"/>
          <w:color w:val="auto"/>
        </w:rPr>
        <w:t>e—We provide regional banks and credit unions with a cost effective way to compete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technology budgets of their much larger competitors.</w:t>
      </w:r>
    </w:p>
    <w:p>
      <w:pPr>
        <w:spacing w:after="0" w:line="65" w:lineRule="exact"/>
        <w:rPr>
          <w:rFonts w:ascii="Arial" w:cs="Arial" w:eastAsia="Arial" w:hAnsi="Arial"/>
          <w:sz w:val="16"/>
          <w:szCs w:val="16"/>
          <w:color w:val="auto"/>
        </w:rPr>
      </w:pPr>
    </w:p>
    <w:p>
      <w:pPr>
        <w:ind w:left="1460" w:right="360" w:hanging="188"/>
        <w:spacing w:after="0" w:line="258" w:lineRule="auto"/>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Expanded customer bas</w:t>
      </w:r>
      <w:r>
        <w:rPr>
          <w:rFonts w:ascii="Arial" w:cs="Arial" w:eastAsia="Arial" w:hAnsi="Arial"/>
          <w:sz w:val="16"/>
          <w:szCs w:val="16"/>
          <w:color w:val="auto"/>
        </w:rPr>
        <w:t>e—We refer customers that apply for loans through Upstart.com to our bank partners, helping them</w:t>
      </w:r>
      <w:r>
        <w:rPr>
          <w:rFonts w:ascii="Arial" w:cs="Arial" w:eastAsia="Arial" w:hAnsi="Arial"/>
          <w:sz w:val="16"/>
          <w:szCs w:val="16"/>
          <w:i w:val="1"/>
          <w:iCs w:val="1"/>
          <w:color w:val="auto"/>
        </w:rPr>
        <w:t xml:space="preserve"> </w:t>
      </w:r>
      <w:r>
        <w:rPr>
          <w:rFonts w:ascii="Arial" w:cs="Arial" w:eastAsia="Arial" w:hAnsi="Arial"/>
          <w:sz w:val="16"/>
          <w:szCs w:val="16"/>
          <w:color w:val="auto"/>
        </w:rPr>
        <w:t>grow both loan volumes and number of customers.</w:t>
      </w:r>
    </w:p>
    <w:p>
      <w:pPr>
        <w:spacing w:after="0" w:line="65" w:lineRule="exact"/>
        <w:rPr>
          <w:rFonts w:ascii="Arial" w:cs="Arial" w:eastAsia="Arial" w:hAnsi="Arial"/>
          <w:sz w:val="16"/>
          <w:szCs w:val="16"/>
          <w:color w:val="auto"/>
        </w:rPr>
      </w:pPr>
    </w:p>
    <w:p>
      <w:pPr>
        <w:ind w:left="1460" w:right="120" w:hanging="188"/>
        <w:spacing w:after="0" w:line="258" w:lineRule="auto"/>
        <w:tabs>
          <w:tab w:leader="none" w:pos="146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Lower loss rates</w:t>
      </w:r>
      <w:r>
        <w:rPr>
          <w:rFonts w:ascii="Arial" w:cs="Arial" w:eastAsia="Arial" w:hAnsi="Arial"/>
          <w:sz w:val="16"/>
          <w:szCs w:val="16"/>
          <w:color w:val="auto"/>
        </w:rPr>
        <w:t>—An internal study comparing our model to that of several large U.S. banks found that our model could enable</w:t>
      </w:r>
      <w:r>
        <w:rPr>
          <w:rFonts w:ascii="Arial" w:cs="Arial" w:eastAsia="Arial" w:hAnsi="Arial"/>
          <w:sz w:val="16"/>
          <w:szCs w:val="16"/>
          <w:i w:val="1"/>
          <w:iCs w:val="1"/>
          <w:color w:val="auto"/>
        </w:rPr>
        <w:t xml:space="preserve"> </w:t>
      </w:r>
      <w:r>
        <w:rPr>
          <w:rFonts w:ascii="Arial" w:cs="Arial" w:eastAsia="Arial" w:hAnsi="Arial"/>
          <w:sz w:val="16"/>
          <w:szCs w:val="16"/>
          <w:color w:val="auto"/>
        </w:rPr>
        <w:t>these banks to lower loss rates by almost 75% while keeping approval rates constant.</w:t>
      </w: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59690</wp:posOffset>
            </wp:positionV>
            <wp:extent cx="67564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26" w:lineRule="exact"/>
        <w:rPr>
          <w:sz w:val="20"/>
          <w:szCs w:val="20"/>
          <w:color w:val="auto"/>
        </w:rPr>
      </w:pPr>
    </w:p>
    <w:p>
      <w:pPr>
        <w:ind w:left="1280" w:hanging="481"/>
        <w:spacing w:after="0"/>
        <w:tabs>
          <w:tab w:leader="none" w:pos="1280" w:val="left"/>
        </w:tabs>
        <w:numPr>
          <w:ilvl w:val="0"/>
          <w:numId w:val="74"/>
        </w:numPr>
        <w:rPr>
          <w:rFonts w:ascii="Arial" w:cs="Arial" w:eastAsia="Arial" w:hAnsi="Arial"/>
          <w:sz w:val="21"/>
          <w:szCs w:val="21"/>
          <w:color w:val="auto"/>
          <w:vertAlign w:val="superscript"/>
        </w:rPr>
      </w:pPr>
      <w:r>
        <w:rPr>
          <w:rFonts w:ascii="Arial" w:cs="Arial" w:eastAsia="Arial" w:hAnsi="Arial"/>
          <w:sz w:val="13"/>
          <w:szCs w:val="13"/>
          <w:color w:val="auto"/>
        </w:rPr>
        <w:t>Ficklin and Watkins; see the section titled “Industry, Market and Other Data.”</w:t>
      </w:r>
    </w:p>
    <w:p>
      <w:pPr>
        <w:ind w:left="1280" w:hanging="481"/>
        <w:spacing w:after="0" w:line="185" w:lineRule="auto"/>
        <w:tabs>
          <w:tab w:leader="none" w:pos="12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ind w:left="1280" w:right="120" w:hanging="481"/>
        <w:spacing w:after="0" w:line="201" w:lineRule="auto"/>
        <w:tabs>
          <w:tab w:leader="none" w:pos="1280" w:val="left"/>
        </w:tabs>
        <w:numPr>
          <w:ilvl w:val="0"/>
          <w:numId w:val="74"/>
        </w:numPr>
        <w:rPr>
          <w:rFonts w:ascii="Arial" w:cs="Arial" w:eastAsia="Arial" w:hAnsi="Arial"/>
          <w:sz w:val="21"/>
          <w:szCs w:val="21"/>
          <w:color w:val="auto"/>
          <w:vertAlign w:val="superscript"/>
        </w:rPr>
      </w:pPr>
      <w:r>
        <w:rPr>
          <w:rFonts w:ascii="Arial" w:cs="Arial" w:eastAsia="Arial" w:hAnsi="Arial"/>
          <w:sz w:val="13"/>
          <w:szCs w:val="13"/>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440"/>
          </w:cols>
          <w:pgMar w:left="320" w:top="419" w:right="113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5" w:lineRule="exact"/>
        <w:rPr>
          <w:sz w:val="20"/>
          <w:szCs w:val="20"/>
          <w:color w:val="auto"/>
        </w:rPr>
      </w:pPr>
    </w:p>
    <w:p>
      <w:pPr>
        <w:ind w:left="1460" w:right="20" w:hanging="188"/>
        <w:spacing w:after="0" w:line="258" w:lineRule="auto"/>
        <w:tabs>
          <w:tab w:leader="none" w:pos="14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New product offering</w:t>
      </w:r>
      <w:r>
        <w:rPr>
          <w:rFonts w:ascii="Arial" w:cs="Arial" w:eastAsia="Arial" w:hAnsi="Arial"/>
          <w:sz w:val="16"/>
          <w:szCs w:val="16"/>
          <w:color w:val="auto"/>
        </w:rPr>
        <w:t>—Personal loans are one of the fastest-growing segments of credit in the U.S.</w:t>
      </w:r>
      <w:r>
        <w:rPr>
          <w:rFonts w:ascii="Arial" w:cs="Arial" w:eastAsia="Arial" w:hAnsi="Arial"/>
          <w:sz w:val="13"/>
          <w:szCs w:val="13"/>
          <w:color w:val="auto"/>
        </w:rPr>
        <w:t>65</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 helps banks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product their customers want, rather than letting customers seek loans from competitors.</w:t>
      </w:r>
    </w:p>
    <w:p>
      <w:pPr>
        <w:spacing w:after="0" w:line="65" w:lineRule="exact"/>
        <w:rPr>
          <w:rFonts w:ascii="Arial" w:cs="Arial" w:eastAsia="Arial" w:hAnsi="Arial"/>
          <w:sz w:val="16"/>
          <w:szCs w:val="16"/>
          <w:color w:val="auto"/>
        </w:rPr>
      </w:pPr>
    </w:p>
    <w:p>
      <w:pPr>
        <w:jc w:val="both"/>
        <w:ind w:left="1460" w:hanging="188"/>
        <w:spacing w:after="0" w:line="244" w:lineRule="auto"/>
        <w:tabs>
          <w:tab w:leader="none" w:pos="146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Institutional investor acceptance</w:t>
      </w:r>
      <w:r>
        <w:rPr>
          <w:rFonts w:ascii="Arial" w:cs="Arial" w:eastAsia="Arial" w:hAnsi="Arial"/>
          <w:sz w:val="16"/>
          <w:szCs w:val="16"/>
          <w:color w:val="auto"/>
        </w:rPr>
        <w:t>—Analyses by credit rating agencies, loan and bond buying institutions, and credit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help banks gain confidence that Upstart-powered loans are subject to significant and constant scrutiny from experts, the results of which are often publicly available.</w:t>
      </w:r>
    </w:p>
    <w:p>
      <w:pPr>
        <w:spacing w:after="0" w:line="25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Our Competitive Strengths</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Constantly Improving AI Models</w:t>
      </w:r>
    </w:p>
    <w:p>
      <w:pPr>
        <w:spacing w:after="0" w:line="106" w:lineRule="exact"/>
        <w:rPr>
          <w:sz w:val="20"/>
          <w:szCs w:val="20"/>
          <w:color w:val="auto"/>
        </w:rPr>
      </w:pPr>
    </w:p>
    <w:p>
      <w:pPr>
        <w:ind w:left="800" w:right="140" w:firstLine="482"/>
        <w:spacing w:after="0" w:line="235" w:lineRule="auto"/>
        <w:rPr>
          <w:sz w:val="20"/>
          <w:szCs w:val="20"/>
          <w:color w:val="auto"/>
        </w:rPr>
      </w:pPr>
      <w:r>
        <w:rPr>
          <w:rFonts w:ascii="Arial" w:cs="Arial" w:eastAsia="Arial" w:hAnsi="Arial"/>
          <w:sz w:val="16"/>
          <w:szCs w:val="16"/>
          <w:color w:val="auto"/>
        </w:rPr>
        <w:t>We have been building and refining our AI models for more than eight years, and they have led directly to our growth and profitability. Our models currently incorporate more than 1,000 variables and are trained by more than 10.5 million repayment events. Beyond the advantages accrued by our constantly growing volume of training data, our machine learning team continues to update our modeling techniques regularly. Model and technology improvements have increased our conversion rate over time.</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Flexible Two-Sided Ecosystem</w:t>
      </w:r>
    </w:p>
    <w:p>
      <w:pPr>
        <w:spacing w:after="0" w:line="106" w:lineRule="exact"/>
        <w:rPr>
          <w:sz w:val="20"/>
          <w:szCs w:val="20"/>
          <w:color w:val="auto"/>
        </w:rPr>
      </w:pPr>
    </w:p>
    <w:p>
      <w:pPr>
        <w:jc w:val="both"/>
        <w:ind w:left="800" w:right="120" w:firstLine="482"/>
        <w:spacing w:after="0" w:line="236" w:lineRule="auto"/>
        <w:rPr>
          <w:sz w:val="20"/>
          <w:szCs w:val="20"/>
          <w:color w:val="auto"/>
        </w:rPr>
      </w:pPr>
      <w:r>
        <w:rPr>
          <w:rFonts w:ascii="Arial" w:cs="Arial" w:eastAsia="Arial" w:hAnsi="Arial"/>
          <w:sz w:val="16"/>
          <w:szCs w:val="16"/>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With an expanding list of bank partners, we can solve the borrowing needs of an increasingly diverse array of consumers.</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Capital Efficient Fee-Based Business</w:t>
      </w:r>
    </w:p>
    <w:p>
      <w:pPr>
        <w:spacing w:after="0" w:line="106" w:lineRule="exact"/>
        <w:rPr>
          <w:sz w:val="20"/>
          <w:szCs w:val="20"/>
          <w:color w:val="auto"/>
        </w:rPr>
      </w:pPr>
    </w:p>
    <w:p>
      <w:pPr>
        <w:ind w:left="800" w:right="160" w:firstLine="482"/>
        <w:spacing w:after="0" w:line="236" w:lineRule="auto"/>
        <w:rPr>
          <w:sz w:val="20"/>
          <w:szCs w:val="20"/>
          <w:color w:val="auto"/>
        </w:rPr>
      </w:pPr>
      <w:r>
        <w:rPr>
          <w:rFonts w:ascii="Arial" w:cs="Arial" w:eastAsia="Arial" w:hAnsi="Arial"/>
          <w:sz w:val="16"/>
          <w:szCs w:val="16"/>
          <w:color w:val="auto"/>
        </w:rPr>
        <w:t>In the year ended December 31, 2020, we generated 98% of revenue from fees from banks and loan servicing. We have also achieved a high degree of automation, with approximately 70% of Upstart-powered loans approved instantly and fully automated in the year ended December 31, 2020, driving operating leverage and improving unit economics.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Regulatory Compliance</w:t>
      </w:r>
    </w:p>
    <w:p>
      <w:pPr>
        <w:spacing w:after="0" w:line="106" w:lineRule="exact"/>
        <w:rPr>
          <w:sz w:val="20"/>
          <w:szCs w:val="20"/>
          <w:color w:val="auto"/>
        </w:rPr>
      </w:pPr>
    </w:p>
    <w:p>
      <w:pPr>
        <w:ind w:left="800" w:right="120" w:firstLine="482"/>
        <w:spacing w:after="0" w:line="234" w:lineRule="auto"/>
        <w:rPr>
          <w:sz w:val="20"/>
          <w:szCs w:val="20"/>
          <w:color w:val="auto"/>
        </w:rPr>
      </w:pPr>
      <w:r>
        <w:rPr>
          <w:rFonts w:ascii="Arial" w:cs="Arial" w:eastAsia="Arial" w:hAnsi="Arial"/>
          <w:sz w:val="16"/>
          <w:szCs w:val="16"/>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3"/>
          <w:szCs w:val="13"/>
          <w:color w:val="auto"/>
        </w:rPr>
        <w:t>66</w:t>
      </w:r>
    </w:p>
    <w:p>
      <w:pPr>
        <w:spacing w:after="0" w:line="179"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In September 2017, we received the CFPB’s first no-action letter. The CFPB issues no-action letters to reduce potential regulatory uncertainty for innovative products that may offer significant consumer benefit.</w:t>
      </w:r>
      <w:r>
        <w:rPr>
          <w:rFonts w:ascii="Arial" w:cs="Arial" w:eastAsia="Arial" w:hAnsi="Arial"/>
          <w:sz w:val="13"/>
          <w:szCs w:val="13"/>
          <w:color w:val="auto"/>
        </w:rPr>
        <w:t>67</w:t>
      </w:r>
      <w:r>
        <w:rPr>
          <w:rFonts w:ascii="Arial" w:cs="Arial" w:eastAsia="Arial" w:hAnsi="Arial"/>
          <w:sz w:val="16"/>
          <w:szCs w:val="16"/>
          <w:color w:val="auto"/>
        </w:rPr>
        <w:t xml:space="preserve"> On November 30, 2020, at the expiration of our first no-action letter, we received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68580</wp:posOffset>
            </wp:positionV>
            <wp:extent cx="67564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40" w:lineRule="exact"/>
        <w:rPr>
          <w:sz w:val="20"/>
          <w:szCs w:val="20"/>
          <w:color w:val="auto"/>
        </w:rPr>
      </w:pPr>
    </w:p>
    <w:p>
      <w:pPr>
        <w:ind w:left="1280" w:hanging="481"/>
        <w:spacing w:after="0"/>
        <w:tabs>
          <w:tab w:leader="none" w:pos="128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Beiseitov; see the section titled “Industry, Market and Other Data.”</w:t>
      </w:r>
    </w:p>
    <w:p>
      <w:pPr>
        <w:ind w:left="1280" w:hanging="481"/>
        <w:spacing w:after="0" w:line="185" w:lineRule="auto"/>
        <w:tabs>
          <w:tab w:leader="none" w:pos="1280" w:val="left"/>
        </w:tabs>
        <w:numPr>
          <w:ilvl w:val="0"/>
          <w:numId w:val="76"/>
        </w:numPr>
        <w:rPr>
          <w:rFonts w:ascii="Arial" w:cs="Arial" w:eastAsia="Arial" w:hAnsi="Arial"/>
          <w:sz w:val="16"/>
          <w:szCs w:val="16"/>
          <w:color w:val="auto"/>
          <w:vertAlign w:val="superscript"/>
        </w:rPr>
      </w:pPr>
      <w:r>
        <w:rPr>
          <w:rFonts w:ascii="Arial" w:cs="Arial" w:eastAsia="Arial" w:hAnsi="Arial"/>
          <w:sz w:val="10"/>
          <w:szCs w:val="10"/>
          <w:color w:val="auto"/>
        </w:rPr>
        <w:t>Ficklin and Watkins; see the section titled “Industry, Market and Other Data.”</w:t>
      </w:r>
    </w:p>
    <w:p>
      <w:pPr>
        <w:ind w:left="1280" w:hanging="481"/>
        <w:spacing w:after="0" w:line="186" w:lineRule="auto"/>
        <w:tabs>
          <w:tab w:leader="none" w:pos="1280" w:val="left"/>
        </w:tabs>
        <w:numPr>
          <w:ilvl w:val="0"/>
          <w:numId w:val="76"/>
        </w:numPr>
        <w:rPr>
          <w:rFonts w:ascii="Arial" w:cs="Arial" w:eastAsia="Arial" w:hAnsi="Arial"/>
          <w:sz w:val="17"/>
          <w:szCs w:val="17"/>
          <w:color w:val="auto"/>
          <w:vertAlign w:val="superscript"/>
        </w:rPr>
      </w:pPr>
      <w:r>
        <w:rPr>
          <w:rFonts w:ascii="Arial" w:cs="Arial" w:eastAsia="Arial" w:hAnsi="Arial"/>
          <w:sz w:val="10"/>
          <w:szCs w:val="10"/>
          <w:color w:val="auto"/>
        </w:rPr>
        <w:t>Consumer Financial Protection Bureau, Policy on No-Action Letters, September 2019.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320"/>
          </w:cols>
          <w:pgMar w:left="320" w:top="419" w:right="125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8" w:lineRule="auto"/>
        <w:rPr>
          <w:sz w:val="20"/>
          <w:szCs w:val="20"/>
          <w:color w:val="auto"/>
        </w:rPr>
      </w:pPr>
      <w:r>
        <w:rPr>
          <w:rFonts w:ascii="Arial" w:cs="Arial" w:eastAsia="Arial" w:hAnsi="Arial"/>
          <w:sz w:val="16"/>
          <w:szCs w:val="16"/>
          <w:color w:val="auto"/>
        </w:rPr>
        <w:t>new no-action letter from the CFPB, which expires on November 30, 2023. At this time, we do not know of any other lending platforms that have received similar no-action letters for fair lending from the CFPB.</w:t>
      </w:r>
    </w:p>
    <w:p>
      <w:pPr>
        <w:spacing w:after="0" w:line="25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Our Growth Strategy</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Model Improvements</w:t>
      </w:r>
    </w:p>
    <w:p>
      <w:pPr>
        <w:spacing w:after="0" w:line="106"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More Efficient Funding</w:t>
      </w:r>
    </w:p>
    <w:p>
      <w:pPr>
        <w:spacing w:after="0" w:line="106"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over time, based on market conditions and as credit rating agencies and loan and residual buyers gain confidence in the credit performance of Upstart-powered loans.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Bank Distribution</w:t>
      </w:r>
    </w:p>
    <w:p>
      <w:pPr>
        <w:spacing w:after="0" w:line="106" w:lineRule="exact"/>
        <w:rPr>
          <w:sz w:val="20"/>
          <w:szCs w:val="20"/>
          <w:color w:val="auto"/>
        </w:rPr>
      </w:pPr>
    </w:p>
    <w:p>
      <w:pPr>
        <w:jc w:val="both"/>
        <w:ind w:left="800" w:right="40" w:firstLine="482"/>
        <w:spacing w:after="0" w:line="235" w:lineRule="auto"/>
        <w:rPr>
          <w:sz w:val="20"/>
          <w:szCs w:val="20"/>
          <w:color w:val="auto"/>
        </w:rPr>
      </w:pPr>
      <w:r>
        <w:rPr>
          <w:rFonts w:ascii="Arial" w:cs="Arial" w:eastAsia="Arial" w:hAnsi="Arial"/>
          <w:sz w:val="16"/>
          <w:szCs w:val="16"/>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bank-branded versions of Upstart to serve their new and existing customers directly.</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New Products</w:t>
      </w:r>
    </w:p>
    <w:p>
      <w:pPr>
        <w:spacing w:after="0" w:line="104"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Personal loans are one of the fastest-growing segment of consumer credit in the U.S., but they are far from the largest.</w:t>
      </w:r>
      <w:r>
        <w:rPr>
          <w:rFonts w:ascii="Arial" w:cs="Arial" w:eastAsia="Arial" w:hAnsi="Arial"/>
          <w:sz w:val="13"/>
          <w:szCs w:val="13"/>
          <w:color w:val="auto"/>
        </w:rPr>
        <w:t>68</w:t>
      </w:r>
      <w:r>
        <w:rPr>
          <w:rFonts w:ascii="Arial" w:cs="Arial" w:eastAsia="Arial" w:hAnsi="Arial"/>
          <w:sz w:val="16"/>
          <w:szCs w:val="16"/>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56"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Our Platform</w:t>
      </w:r>
    </w:p>
    <w:p>
      <w:pPr>
        <w:spacing w:after="0" w:line="108"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Our AI lending platform enables banks to provide consumers access to credit. The first credit product offered through our platform was an unsecured personal loan.</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Consumers</w:t>
      </w:r>
    </w:p>
    <w:p>
      <w:pPr>
        <w:spacing w:after="0" w:line="106"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We have built a mobile-responsive web application at Upstart.com, where consumers can quickly and easily inquire about a rate, evaluate and choose a loan offer, provide necessary information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69215</wp:posOffset>
            </wp:positionV>
            <wp:extent cx="67564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51" w:lineRule="exact"/>
        <w:rPr>
          <w:sz w:val="20"/>
          <w:szCs w:val="20"/>
          <w:color w:val="auto"/>
        </w:rPr>
      </w:pPr>
    </w:p>
    <w:p>
      <w:pPr>
        <w:ind w:left="1280" w:hanging="481"/>
        <w:spacing w:after="0"/>
        <w:tabs>
          <w:tab w:leader="none" w:pos="1280" w:val="left"/>
        </w:tabs>
        <w:numPr>
          <w:ilvl w:val="0"/>
          <w:numId w:val="77"/>
        </w:numPr>
        <w:rPr>
          <w:rFonts w:ascii="Arial" w:cs="Arial" w:eastAsia="Arial" w:hAnsi="Arial"/>
          <w:sz w:val="21"/>
          <w:szCs w:val="21"/>
          <w:color w:val="auto"/>
          <w:vertAlign w:val="superscript"/>
        </w:rPr>
      </w:pPr>
      <w:r>
        <w:rPr>
          <w:rFonts w:ascii="Arial" w:cs="Arial" w:eastAsia="Arial" w:hAnsi="Arial"/>
          <w:sz w:val="13"/>
          <w:szCs w:val="13"/>
          <w:color w:val="auto"/>
        </w:rPr>
        <w:t>Beiseitov; see the section titled “Industry, Market and Other Data.”</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420"/>
          </w:cols>
          <w:pgMar w:left="320" w:top="419" w:right="115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6" w:lineRule="auto"/>
        <w:rPr>
          <w:sz w:val="20"/>
          <w:szCs w:val="20"/>
          <w:color w:val="auto"/>
        </w:rPr>
      </w:pPr>
      <w:r>
        <w:rPr>
          <w:rFonts w:ascii="Arial" w:cs="Arial" w:eastAsia="Arial" w:hAnsi="Arial"/>
          <w:sz w:val="16"/>
          <w:szCs w:val="16"/>
          <w:color w:val="auto"/>
        </w:rPr>
        <w:t>verification and review required disclosures before final acceptance of the loan. A virtually identical experience is also offered as a bank-branded product on bank partners’ websites. In the year ended December 31, 2020, over half of consumers that received an Upstart-powered loan applied for such loan on their mobile phone.</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Bank Partners</w:t>
      </w:r>
    </w:p>
    <w:p>
      <w:pPr>
        <w:spacing w:after="0" w:line="106"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Our platform is designed to help our bank partners originate loans according to their unique requirements. In order to do this, we provide a wide variety of options for banks to define and control their lending program.</w:t>
      </w:r>
    </w:p>
    <w:p>
      <w:pPr>
        <w:spacing w:after="0" w:line="80" w:lineRule="exact"/>
        <w:rPr>
          <w:sz w:val="20"/>
          <w:szCs w:val="20"/>
          <w:color w:val="auto"/>
        </w:rPr>
      </w:pPr>
    </w:p>
    <w:p>
      <w:pPr>
        <w:ind w:left="1460" w:right="580" w:hanging="188"/>
        <w:spacing w:after="0" w:line="258"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Upstart Referral Network</w:t>
      </w:r>
      <w:r>
        <w:rPr>
          <w:rFonts w:ascii="Arial" w:cs="Arial" w:eastAsia="Arial" w:hAnsi="Arial"/>
          <w:sz w:val="16"/>
          <w:szCs w:val="16"/>
          <w:color w:val="auto"/>
        </w:rPr>
        <w:t>—Once we aggregate consumer demand on our website, we pass those customers to our bank</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w:t>
      </w:r>
    </w:p>
    <w:p>
      <w:pPr>
        <w:spacing w:after="0" w:line="65" w:lineRule="exact"/>
        <w:rPr>
          <w:rFonts w:ascii="Arial" w:cs="Arial" w:eastAsia="Arial" w:hAnsi="Arial"/>
          <w:sz w:val="16"/>
          <w:szCs w:val="16"/>
          <w:color w:val="auto"/>
        </w:rPr>
      </w:pPr>
    </w:p>
    <w:p>
      <w:pPr>
        <w:ind w:left="1460" w:right="280" w:hanging="188"/>
        <w:spacing w:after="0" w:line="258"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Bank-branded product</w:t>
      </w:r>
      <w:r>
        <w:rPr>
          <w:rFonts w:ascii="Arial" w:cs="Arial" w:eastAsia="Arial" w:hAnsi="Arial"/>
          <w:sz w:val="16"/>
          <w:szCs w:val="16"/>
          <w:color w:val="auto"/>
        </w:rPr>
        <w:t>—Bank partners can serve customers with a bank-branded Upstart application on their own website or</w:t>
      </w:r>
      <w:r>
        <w:rPr>
          <w:rFonts w:ascii="Arial" w:cs="Arial" w:eastAsia="Arial" w:hAnsi="Arial"/>
          <w:sz w:val="16"/>
          <w:szCs w:val="16"/>
          <w:i w:val="1"/>
          <w:iCs w:val="1"/>
          <w:color w:val="auto"/>
        </w:rPr>
        <w:t xml:space="preserve"> </w:t>
      </w:r>
      <w:r>
        <w:rPr>
          <w:rFonts w:ascii="Arial" w:cs="Arial" w:eastAsia="Arial" w:hAnsi="Arial"/>
          <w:sz w:val="16"/>
          <w:szCs w:val="16"/>
          <w:color w:val="auto"/>
        </w:rPr>
        <w:t>mobile application.</w:t>
      </w:r>
    </w:p>
    <w:p>
      <w:pPr>
        <w:spacing w:after="0" w:line="65" w:lineRule="exact"/>
        <w:rPr>
          <w:rFonts w:ascii="Arial" w:cs="Arial" w:eastAsia="Arial" w:hAnsi="Arial"/>
          <w:sz w:val="16"/>
          <w:szCs w:val="16"/>
          <w:color w:val="auto"/>
        </w:rPr>
      </w:pPr>
    </w:p>
    <w:p>
      <w:pPr>
        <w:ind w:left="1460" w:right="380" w:hanging="188"/>
        <w:spacing w:after="0" w:line="269" w:lineRule="auto"/>
        <w:tabs>
          <w:tab w:leader="none" w:pos="1460" w:val="left"/>
        </w:tabs>
        <w:numPr>
          <w:ilvl w:val="0"/>
          <w:numId w:val="78"/>
        </w:numPr>
        <w:rPr>
          <w:rFonts w:ascii="Arial" w:cs="Arial" w:eastAsia="Arial" w:hAnsi="Arial"/>
          <w:sz w:val="15"/>
          <w:szCs w:val="15"/>
          <w:color w:val="auto"/>
        </w:rPr>
      </w:pPr>
      <w:r>
        <w:rPr>
          <w:rFonts w:ascii="Arial" w:cs="Arial" w:eastAsia="Arial" w:hAnsi="Arial"/>
          <w:sz w:val="15"/>
          <w:szCs w:val="15"/>
          <w:i w:val="1"/>
          <w:iCs w:val="1"/>
          <w:color w:val="auto"/>
        </w:rPr>
        <w:t>Configurations</w:t>
      </w:r>
      <w:r>
        <w:rPr>
          <w:rFonts w:ascii="Arial" w:cs="Arial" w:eastAsia="Arial" w:hAnsi="Arial"/>
          <w:sz w:val="15"/>
          <w:szCs w:val="15"/>
          <w:color w:val="auto"/>
        </w:rPr>
        <w:t>—Because banks have complete authority and control over their lending programs, our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predetermine many aspects of their loan offering, including interest rate and loan size ranges, maximum target loss rate, minimum credit score, maximum debt-to-income ratio, target returns for various risk profiles, fee structures and disclosures.</w:t>
      </w:r>
    </w:p>
    <w:p>
      <w:pPr>
        <w:spacing w:after="0" w:line="58" w:lineRule="exact"/>
        <w:rPr>
          <w:rFonts w:ascii="Arial" w:cs="Arial" w:eastAsia="Arial" w:hAnsi="Arial"/>
          <w:sz w:val="15"/>
          <w:szCs w:val="15"/>
          <w:color w:val="auto"/>
        </w:rPr>
      </w:pPr>
    </w:p>
    <w:p>
      <w:pPr>
        <w:ind w:left="1460" w:right="60" w:hanging="188"/>
        <w:spacing w:after="0" w:line="244" w:lineRule="auto"/>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Servicing</w:t>
      </w:r>
      <w:r>
        <w:rPr>
          <w:rFonts w:ascii="Arial" w:cs="Arial" w:eastAsia="Arial" w:hAnsi="Arial"/>
          <w:sz w:val="16"/>
          <w:szCs w:val="16"/>
          <w:color w:val="auto"/>
        </w:rPr>
        <w:t>—While most bank partners choose to have us service their loans (through a bank-branded servicing portal), each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of directly servicing loans itself. Our servicing platform manages all communication with borrowers, credit reporting agencies, and when necessary, collections agencies.</w:t>
      </w:r>
    </w:p>
    <w:p>
      <w:pPr>
        <w:spacing w:after="0" w:line="77" w:lineRule="exact"/>
        <w:rPr>
          <w:rFonts w:ascii="Arial" w:cs="Arial" w:eastAsia="Arial" w:hAnsi="Arial"/>
          <w:sz w:val="16"/>
          <w:szCs w:val="16"/>
          <w:color w:val="auto"/>
        </w:rPr>
      </w:pPr>
    </w:p>
    <w:p>
      <w:pPr>
        <w:ind w:left="1460" w:hanging="188"/>
        <w:spacing w:after="0"/>
        <w:tabs>
          <w:tab w:leader="none" w:pos="146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Access to capital markets</w:t>
      </w:r>
      <w:r>
        <w:rPr>
          <w:rFonts w:ascii="Arial" w:cs="Arial" w:eastAsia="Arial" w:hAnsi="Arial"/>
          <w:sz w:val="16"/>
          <w:szCs w:val="16"/>
          <w:color w:val="auto"/>
        </w:rPr>
        <w:t>—We have built a broad network of institutional investors who provide funding support to bank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secondary loan purchasing, issuance of pass-through certificates and investment in asset-backed securitizations. A significant portion of the loans originated by our partner Cross River Bank are sold to institutional investors through one of our funding programs.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420"/>
          </w:cols>
          <w:pgMar w:left="320" w:top="419" w:right="115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Evolution of Upstart’s AI Model</w:t>
      </w:r>
    </w:p>
    <w:p>
      <w:pPr>
        <w:spacing w:after="0" w:line="203"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The AI models underpinning the Upstart platform are central to its efficacy and the high-quality experience we provide to borrowers. Our models have evolved rapidly since our founding, as illustrated below.</w:t>
      </w: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-5080</wp:posOffset>
            </wp:positionV>
            <wp:extent cx="4573270" cy="18999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73270"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key aspects of our AI models include:</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Variables</w:t>
      </w:r>
    </w:p>
    <w:p>
      <w:pPr>
        <w:spacing w:after="0" w:line="106" w:lineRule="exact"/>
        <w:rPr>
          <w:sz w:val="20"/>
          <w:szCs w:val="20"/>
          <w:color w:val="auto"/>
        </w:rPr>
      </w:pPr>
    </w:p>
    <w:p>
      <w:pPr>
        <w:ind w:left="800" w:right="160" w:firstLine="482"/>
        <w:spacing w:after="0" w:line="269" w:lineRule="auto"/>
        <w:rPr>
          <w:sz w:val="20"/>
          <w:szCs w:val="20"/>
          <w:color w:val="auto"/>
        </w:rPr>
      </w:pPr>
      <w:r>
        <w:rPr>
          <w:rFonts w:ascii="Arial" w:cs="Arial" w:eastAsia="Arial" w:hAnsi="Arial"/>
          <w:sz w:val="15"/>
          <w:szCs w:val="15"/>
          <w:color w:val="auto"/>
        </w:rPr>
        <w:t>Variables in our AI models have increased from 23 in 2014 to more than 1,000 as of December 31, 2020. These include factors related to credit experience, employment, educational history, bank account transactions, cost of living and loan application interactions.</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Training Data</w:t>
      </w:r>
    </w:p>
    <w:p>
      <w:pPr>
        <w:spacing w:after="0" w:line="106" w:lineRule="exact"/>
        <w:rPr>
          <w:sz w:val="20"/>
          <w:szCs w:val="20"/>
          <w:color w:val="auto"/>
        </w:rPr>
      </w:pPr>
    </w:p>
    <w:p>
      <w:pPr>
        <w:ind w:left="800" w:right="400" w:firstLine="482"/>
        <w:spacing w:after="0" w:line="236" w:lineRule="auto"/>
        <w:rPr>
          <w:sz w:val="20"/>
          <w:szCs w:val="20"/>
          <w:color w:val="auto"/>
        </w:rPr>
      </w:pPr>
      <w:r>
        <w:rPr>
          <w:rFonts w:ascii="Arial" w:cs="Arial" w:eastAsia="Arial" w:hAnsi="Arial"/>
          <w:sz w:val="16"/>
          <w:szCs w:val="16"/>
          <w:color w:val="auto"/>
        </w:rPr>
        <w:t>As of December 31, 2020, our models have been trained by more than 10.5 million repayment events such as a successful repayment or a delinquency. Upstart’s models learn from repayment data even while loan principal remains outstanding, allowing the models to improve in real time.</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Modeling Techniques</w:t>
      </w:r>
    </w:p>
    <w:p>
      <w:pPr>
        <w:spacing w:after="0" w:line="106" w:lineRule="exact"/>
        <w:rPr>
          <w:sz w:val="20"/>
          <w:szCs w:val="20"/>
          <w:color w:val="auto"/>
        </w:rPr>
      </w:pPr>
    </w:p>
    <w:p>
      <w:pPr>
        <w:ind w:left="800" w:right="40" w:firstLine="482"/>
        <w:spacing w:after="0" w:line="258" w:lineRule="auto"/>
        <w:rPr>
          <w:sz w:val="20"/>
          <w:szCs w:val="20"/>
          <w:color w:val="auto"/>
        </w:rPr>
      </w:pPr>
      <w:r>
        <w:rPr>
          <w:rFonts w:ascii="Arial" w:cs="Arial" w:eastAsia="Arial" w:hAnsi="Arial"/>
          <w:sz w:val="15"/>
          <w:szCs w:val="15"/>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42"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Model Applications</w:t>
      </w:r>
    </w:p>
    <w:p>
      <w:pPr>
        <w:spacing w:after="0" w:line="106"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69215</wp:posOffset>
            </wp:positionV>
            <wp:extent cx="67564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0" w:lineRule="exact"/>
        <w:rPr>
          <w:sz w:val="20"/>
          <w:szCs w:val="20"/>
          <w:color w:val="auto"/>
        </w:rPr>
      </w:pPr>
    </w:p>
    <w:p>
      <w:pPr>
        <w:ind w:left="1180" w:right="260" w:hanging="381"/>
        <w:spacing w:after="0" w:line="180" w:lineRule="auto"/>
        <w:tabs>
          <w:tab w:leader="none" w:pos="1180" w:val="left"/>
        </w:tabs>
        <w:numPr>
          <w:ilvl w:val="0"/>
          <w:numId w:val="79"/>
        </w:numPr>
        <w:rPr>
          <w:rFonts w:ascii="Arial" w:cs="Arial" w:eastAsia="Arial" w:hAnsi="Arial"/>
          <w:sz w:val="21"/>
          <w:szCs w:val="21"/>
          <w:color w:val="auto"/>
          <w:vertAlign w:val="superscript"/>
        </w:rPr>
      </w:pPr>
      <w:r>
        <w:rPr>
          <w:rFonts w:ascii="Arial" w:cs="Arial" w:eastAsia="Arial" w:hAnsi="Arial"/>
          <w:sz w:val="13"/>
          <w:szCs w:val="13"/>
          <w:color w:val="auto"/>
        </w:rPr>
        <w:t>Dates for variables and training data correspond to: March 24, 2014, May 28, 2015, September 6, 2016, January 1, 2018, December 31, 2019 and December 31, 2020, respectively.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420"/>
          </w:cols>
          <w:pgMar w:left="320" w:top="419" w:right="115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currently active AI models within the Upstart platform—shared by and available to all Upstart’s bank partners—include:</w:t>
      </w:r>
    </w:p>
    <w:p>
      <w:pPr>
        <w:spacing w:after="0" w:line="84" w:lineRule="exact"/>
        <w:rPr>
          <w:sz w:val="20"/>
          <w:szCs w:val="20"/>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Fee optimization</w:t>
      </w:r>
      <w:r>
        <w:rPr>
          <w:rFonts w:ascii="Arial" w:cs="Arial" w:eastAsia="Arial" w:hAnsi="Arial"/>
          <w:sz w:val="16"/>
          <w:szCs w:val="16"/>
          <w:color w:val="auto"/>
        </w:rPr>
        <w:t>—optimizes assignment of origination fees;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Income fraud</w:t>
      </w:r>
      <w:r>
        <w:rPr>
          <w:rFonts w:ascii="Arial" w:cs="Arial" w:eastAsia="Arial" w:hAnsi="Arial"/>
          <w:sz w:val="16"/>
          <w:szCs w:val="16"/>
          <w:color w:val="auto"/>
        </w:rPr>
        <w:t>—quantifies potential misrepresentation of borrower income;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Acquisition targeting</w:t>
      </w:r>
      <w:r>
        <w:rPr>
          <w:rFonts w:ascii="Arial" w:cs="Arial" w:eastAsia="Arial" w:hAnsi="Arial"/>
          <w:sz w:val="16"/>
          <w:szCs w:val="16"/>
          <w:color w:val="auto"/>
        </w:rPr>
        <w:t>—identifies consumers likely to qualify for and have need for a loan;</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Loan stacking</w:t>
      </w:r>
      <w:r>
        <w:rPr>
          <w:rFonts w:ascii="Arial" w:cs="Arial" w:eastAsia="Arial" w:hAnsi="Arial"/>
          <w:sz w:val="16"/>
          <w:szCs w:val="16"/>
          <w:color w:val="auto"/>
        </w:rPr>
        <w:t>—identifies consumers likely to take out multiple loans in a short period of time;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Prepayment prediction</w:t>
      </w:r>
      <w:r>
        <w:rPr>
          <w:rFonts w:ascii="Arial" w:cs="Arial" w:eastAsia="Arial" w:hAnsi="Arial"/>
          <w:sz w:val="15"/>
          <w:szCs w:val="15"/>
          <w:color w:val="auto"/>
        </w:rPr>
        <w:t>—quantifies the likelihood that a consumer will make payments on a loan earlier than originally scheduled;</w:t>
      </w:r>
    </w:p>
    <w:p>
      <w:pPr>
        <w:spacing w:after="0" w:line="111" w:lineRule="exact"/>
        <w:rPr>
          <w:rFonts w:ascii="Arial" w:cs="Arial" w:eastAsia="Arial" w:hAnsi="Arial"/>
          <w:sz w:val="15"/>
          <w:szCs w:val="15"/>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Identity fraud</w:t>
      </w:r>
      <w:r>
        <w:rPr>
          <w:rFonts w:ascii="Arial" w:cs="Arial" w:eastAsia="Arial" w:hAnsi="Arial"/>
          <w:sz w:val="16"/>
          <w:szCs w:val="16"/>
          <w:color w:val="auto"/>
        </w:rPr>
        <w:t>—quantifies the risk that an applicant is misrepresenting their identity;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Time-delimited default prediction</w:t>
      </w:r>
      <w:r>
        <w:rPr>
          <w:rFonts w:ascii="Arial" w:cs="Arial" w:eastAsia="Arial" w:hAnsi="Arial"/>
          <w:sz w:val="16"/>
          <w:szCs w:val="16"/>
          <w:color w:val="auto"/>
        </w:rPr>
        <w:t>—quantifies the likelihood of default for each period of the loan term.</w:t>
      </w:r>
    </w:p>
    <w:p>
      <w:pPr>
        <w:spacing w:after="0" w:line="27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Our Technology Infrastructure</w:t>
      </w:r>
    </w:p>
    <w:p>
      <w:pPr>
        <w:spacing w:after="0" w:line="203" w:lineRule="exact"/>
        <w:rPr>
          <w:sz w:val="20"/>
          <w:szCs w:val="20"/>
          <w:color w:val="auto"/>
        </w:rPr>
      </w:pPr>
    </w:p>
    <w:p>
      <w:pPr>
        <w:ind w:left="800" w:right="340" w:firstLine="482"/>
        <w:spacing w:after="0" w:line="238" w:lineRule="auto"/>
        <w:rPr>
          <w:sz w:val="20"/>
          <w:szCs w:val="20"/>
          <w:color w:val="auto"/>
        </w:rPr>
      </w:pPr>
      <w:r>
        <w:rPr>
          <w:rFonts w:ascii="Arial" w:cs="Arial" w:eastAsia="Arial" w:hAnsi="Arial"/>
          <w:sz w:val="16"/>
          <w:szCs w:val="16"/>
          <w:color w:val="auto"/>
        </w:rPr>
        <w:t>Our cloud-based software platform incorporates modern technologies and software development approaches to allow for rapid development of new features.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Cloud-Native Technologies</w:t>
      </w:r>
    </w:p>
    <w:p>
      <w:pPr>
        <w:spacing w:after="0" w:line="106"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banks to immediately benefit from the latest updates to our platform.</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Data Integrity and Security</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Configurable Multi-Tenant Architecture</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Machine Learning Platform</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420"/>
          </w:cols>
          <w:pgMar w:left="320" w:top="419" w:right="115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Responsive Web Design</w:t>
      </w:r>
    </w:p>
    <w:p>
      <w:pPr>
        <w:spacing w:after="0" w:line="106" w:lineRule="exact"/>
        <w:rPr>
          <w:sz w:val="20"/>
          <w:szCs w:val="20"/>
          <w:color w:val="auto"/>
        </w:rPr>
      </w:pPr>
    </w:p>
    <w:p>
      <w:pPr>
        <w:ind w:left="800" w:right="340" w:firstLine="482"/>
        <w:spacing w:after="0" w:line="238" w:lineRule="auto"/>
        <w:rPr>
          <w:sz w:val="20"/>
          <w:szCs w:val="20"/>
          <w:color w:val="auto"/>
        </w:rPr>
      </w:pPr>
      <w:r>
        <w:rPr>
          <w:rFonts w:ascii="Arial" w:cs="Arial" w:eastAsia="Arial" w:hAnsi="Arial"/>
          <w:sz w:val="16"/>
          <w:szCs w:val="16"/>
          <w:color w:val="auto"/>
        </w:rPr>
        <w:t>Our user interface is responsive to ensure applicants and borrowers have a smooth experience regardless of whether they are accessing our website from a desktop, mobile device or tablet.</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Robust Reporting and Integration Capabilities</w:t>
      </w:r>
    </w:p>
    <w:p>
      <w:pPr>
        <w:spacing w:after="0" w:line="106"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 In December 2020, we launched a bank reporting portal which provides our bank partners with a centralized console to view real time performance metrics of their lending program, view and verify their credit policy and program configuration, and obtain on-demand access to operational reports and documents.</w:t>
      </w:r>
    </w:p>
    <w:p>
      <w:pPr>
        <w:spacing w:after="0" w:line="254"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Consumer Marketing</w:t>
      </w:r>
    </w:p>
    <w:p>
      <w:pPr>
        <w:spacing w:after="0" w:line="20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w:t>
      </w:r>
      <w:r>
        <w:rPr>
          <w:rFonts w:ascii="Arial" w:cs="Arial" w:eastAsia="Arial" w:hAnsi="Arial"/>
          <w:sz w:val="13"/>
          <w:szCs w:val="13"/>
          <w:color w:val="auto"/>
        </w:rPr>
        <w:t>36</w:t>
      </w:r>
      <w:r>
        <w:rPr>
          <w:rFonts w:ascii="Arial" w:cs="Arial" w:eastAsia="Arial" w:hAnsi="Arial"/>
          <w:sz w:val="16"/>
          <w:szCs w:val="16"/>
          <w:color w:val="auto"/>
        </w:rPr>
        <w:t xml:space="preserve"> Because our model changes in real time, we are able to extend new offer loans to applicants who were previously not eligible or were previously quoted a higher rate.</w:t>
      </w:r>
    </w:p>
    <w:p>
      <w:pPr>
        <w:spacing w:after="0" w:line="84"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79" w:lineRule="exact"/>
        <w:rPr>
          <w:sz w:val="20"/>
          <w:szCs w:val="20"/>
          <w:color w:val="auto"/>
        </w:rPr>
      </w:pPr>
    </w:p>
    <w:p>
      <w:pPr>
        <w:ind w:left="1460" w:right="40" w:hanging="188"/>
        <w:spacing w:after="0" w:line="244"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Marketing affiliates</w:t>
      </w:r>
      <w:r>
        <w:rPr>
          <w:rFonts w:ascii="Arial" w:cs="Arial" w:eastAsia="Arial" w:hAnsi="Arial"/>
          <w:sz w:val="16"/>
          <w:szCs w:val="16"/>
          <w:color w:val="auto"/>
        </w:rPr>
        <w:t>—A variety of online media partners, such as loan aggregators, send us traffic on a cost per origination basis.</w:t>
      </w:r>
      <w:r>
        <w:rPr>
          <w:rFonts w:ascii="Arial" w:cs="Arial" w:eastAsia="Arial" w:hAnsi="Arial"/>
          <w:sz w:val="16"/>
          <w:szCs w:val="16"/>
          <w:i w:val="1"/>
          <w:iCs w:val="1"/>
          <w:color w:val="auto"/>
        </w:rPr>
        <w:t xml:space="preserve"> </w:t>
      </w:r>
      <w:r>
        <w:rPr>
          <w:rFonts w:ascii="Arial" w:cs="Arial" w:eastAsia="Arial" w:hAnsi="Arial"/>
          <w:sz w:val="16"/>
          <w:szCs w:val="16"/>
          <w:color w:val="auto"/>
        </w:rPr>
        <w:t>Many loan aggregators also incorporate credit data to provide online prescreened offers, which leads to highly targeted and interested referrals.</w:t>
      </w:r>
    </w:p>
    <w:p>
      <w:pPr>
        <w:spacing w:after="0" w:line="77" w:lineRule="exact"/>
        <w:rPr>
          <w:rFonts w:ascii="Arial" w:cs="Arial" w:eastAsia="Arial" w:hAnsi="Arial"/>
          <w:sz w:val="16"/>
          <w:szCs w:val="16"/>
          <w:color w:val="auto"/>
        </w:rPr>
      </w:pPr>
    </w:p>
    <w:p>
      <w:pPr>
        <w:ind w:left="1460" w:right="160" w:hanging="188"/>
        <w:spacing w:after="0" w:line="244"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Direct mail</w:t>
      </w:r>
      <w:r>
        <w:rPr>
          <w:rFonts w:ascii="Arial" w:cs="Arial" w:eastAsia="Arial" w:hAnsi="Arial"/>
          <w:sz w:val="16"/>
          <w:szCs w:val="16"/>
          <w:color w:val="auto"/>
        </w:rPr>
        <w:t>—We apply our strengths in data science to target individuals who both qualify for and may have a need for an</w:t>
      </w:r>
      <w:r>
        <w:rPr>
          <w:rFonts w:ascii="Arial" w:cs="Arial" w:eastAsia="Arial" w:hAnsi="Arial"/>
          <w:sz w:val="16"/>
          <w:szCs w:val="16"/>
          <w:i w:val="1"/>
          <w:iCs w:val="1"/>
          <w:color w:val="auto"/>
        </w:rPr>
        <w:t xml:space="preserve"> </w:t>
      </w:r>
      <w:r>
        <w:rPr>
          <w:rFonts w:ascii="Arial" w:cs="Arial" w:eastAsia="Arial" w:hAnsi="Arial"/>
          <w:sz w:val="16"/>
          <w:szCs w:val="16"/>
          <w:color w:val="auto"/>
        </w:rPr>
        <w:t>Upstart-powered loan. The ability to analyze an individual’s credit data to target and mail prescreened offers of credit gives this channel a meaningful data advantage over other channels.</w:t>
      </w:r>
    </w:p>
    <w:p>
      <w:pPr>
        <w:spacing w:after="0" w:line="77" w:lineRule="exact"/>
        <w:rPr>
          <w:rFonts w:ascii="Arial" w:cs="Arial" w:eastAsia="Arial" w:hAnsi="Arial"/>
          <w:sz w:val="16"/>
          <w:szCs w:val="16"/>
          <w:color w:val="auto"/>
        </w:rPr>
      </w:pPr>
    </w:p>
    <w:p>
      <w:pPr>
        <w:ind w:left="1460" w:right="360" w:hanging="188"/>
        <w:spacing w:after="0" w:line="258"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Organic traffic</w:t>
      </w:r>
      <w:r>
        <w:rPr>
          <w:rFonts w:ascii="Arial" w:cs="Arial" w:eastAsia="Arial" w:hAnsi="Arial"/>
          <w:sz w:val="16"/>
          <w:szCs w:val="16"/>
          <w:color w:val="auto"/>
        </w:rPr>
        <w:t>—As our brand recognition and reputation grow, an increasing number of potential borrowers come directly to</w:t>
      </w:r>
      <w:r>
        <w:rPr>
          <w:rFonts w:ascii="Arial" w:cs="Arial" w:eastAsia="Arial" w:hAnsi="Arial"/>
          <w:sz w:val="16"/>
          <w:szCs w:val="16"/>
          <w:i w:val="1"/>
          <w:iCs w:val="1"/>
          <w:color w:val="auto"/>
        </w:rPr>
        <w:t xml:space="preserve"> </w:t>
      </w:r>
      <w:r>
        <w:rPr>
          <w:rFonts w:ascii="Arial" w:cs="Arial" w:eastAsia="Arial" w:hAnsi="Arial"/>
          <w:sz w:val="16"/>
          <w:szCs w:val="16"/>
          <w:color w:val="auto"/>
        </w:rPr>
        <w:t>Upstart.com simply by word of mouth.</w:t>
      </w:r>
    </w:p>
    <w:p>
      <w:pPr>
        <w:spacing w:after="0" w:line="65" w:lineRule="exact"/>
        <w:rPr>
          <w:rFonts w:ascii="Arial" w:cs="Arial" w:eastAsia="Arial" w:hAnsi="Arial"/>
          <w:sz w:val="16"/>
          <w:szCs w:val="16"/>
          <w:color w:val="auto"/>
        </w:rPr>
      </w:pPr>
    </w:p>
    <w:p>
      <w:pPr>
        <w:ind w:left="1460" w:hanging="188"/>
        <w:spacing w:after="0" w:line="258"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Email marketing</w:t>
      </w:r>
      <w:r>
        <w:rPr>
          <w:rFonts w:ascii="Arial" w:cs="Arial" w:eastAsia="Arial" w:hAnsi="Arial"/>
          <w:sz w:val="16"/>
          <w:szCs w:val="16"/>
          <w:color w:val="auto"/>
        </w:rPr>
        <w:t>—We have an automated email program that sends customized messages and reminders to potential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once they have created accounts to encourage them to complete their loan application.</w:t>
      </w:r>
    </w:p>
    <w:p>
      <w:pPr>
        <w:spacing w:after="0" w:line="65" w:lineRule="exact"/>
        <w:rPr>
          <w:rFonts w:ascii="Arial" w:cs="Arial" w:eastAsia="Arial" w:hAnsi="Arial"/>
          <w:sz w:val="16"/>
          <w:szCs w:val="16"/>
          <w:color w:val="auto"/>
        </w:rPr>
      </w:pPr>
    </w:p>
    <w:p>
      <w:pPr>
        <w:ind w:left="1460" w:right="760" w:hanging="188"/>
        <w:spacing w:after="0" w:line="258"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Online advertising</w:t>
      </w:r>
      <w:r>
        <w:rPr>
          <w:rFonts w:ascii="Arial" w:cs="Arial" w:eastAsia="Arial" w:hAnsi="Arial"/>
          <w:sz w:val="16"/>
          <w:szCs w:val="16"/>
          <w:color w:val="auto"/>
        </w:rPr>
        <w:t>—Search engines and social channels enable targeted outreach to potential borrowers with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messages.</w:t>
      </w:r>
    </w:p>
    <w:p>
      <w:pPr>
        <w:spacing w:after="0" w:line="65" w:lineRule="exact"/>
        <w:rPr>
          <w:rFonts w:ascii="Arial" w:cs="Arial" w:eastAsia="Arial" w:hAnsi="Arial"/>
          <w:sz w:val="16"/>
          <w:szCs w:val="16"/>
          <w:color w:val="auto"/>
        </w:rPr>
      </w:pPr>
    </w:p>
    <w:p>
      <w:pPr>
        <w:ind w:left="1460" w:right="280" w:hanging="188"/>
        <w:spacing w:after="0" w:line="244" w:lineRule="auto"/>
        <w:tabs>
          <w:tab w:leader="none" w:pos="146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Podcast advertising</w:t>
      </w:r>
      <w:r>
        <w:rPr>
          <w:rFonts w:ascii="Arial" w:cs="Arial" w:eastAsia="Arial" w:hAnsi="Arial"/>
          <w:sz w:val="16"/>
          <w:szCs w:val="16"/>
          <w:color w:val="auto"/>
        </w:rPr>
        <w:t>—We purchase 30 or 60-second advertising placements on podcasts with a listener base that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overlaps with Upstart’s target consumer base. These advertisements are designed by the Upstart team but are delivered to listeners by the podcast hosts.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67310</wp:posOffset>
            </wp:positionV>
            <wp:extent cx="67564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8" w:lineRule="exact"/>
        <w:rPr>
          <w:sz w:val="20"/>
          <w:szCs w:val="20"/>
          <w:color w:val="auto"/>
        </w:rPr>
      </w:pPr>
    </w:p>
    <w:p>
      <w:pPr>
        <w:ind w:left="1180" w:right="60" w:hanging="381"/>
        <w:spacing w:after="0" w:line="180" w:lineRule="auto"/>
        <w:tabs>
          <w:tab w:leader="none" w:pos="1180" w:val="left"/>
        </w:tabs>
        <w:numPr>
          <w:ilvl w:val="0"/>
          <w:numId w:val="82"/>
        </w:numPr>
        <w:rPr>
          <w:rFonts w:ascii="Arial" w:cs="Arial" w:eastAsia="Arial" w:hAnsi="Arial"/>
          <w:sz w:val="21"/>
          <w:szCs w:val="21"/>
          <w:color w:val="auto"/>
          <w:vertAlign w:val="superscript"/>
        </w:rPr>
      </w:pPr>
      <w:r>
        <w:rPr>
          <w:rFonts w:ascii="Arial" w:cs="Arial" w:eastAsia="Arial" w:hAnsi="Arial"/>
          <w:sz w:val="13"/>
          <w:szCs w:val="13"/>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420"/>
          </w:cols>
          <w:pgMar w:left="320" w:top="419" w:right="11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A significant number of consumers that apply for a loan on Upstart.com learn about and access Upstart.com through the website of a loan aggregator, Credit Karma. The percentage of loan originations that were derived from traffic from Credit Karma was 38%, 38% and 52% in 2018, 2019 and 2020, respectively, and the percentage of loan originations that were derived from direct mail was 28%, 23% and 12%, in 2018, 2019 and 2020, respectively. No other marketing channel contributed significantly compared to Credit Karma and direct mail. We have entered into a promotion agreement with Credit Karma that governs the terms and conditions between us and Credit Karma with respect to advertising the loans offered on our platform. Either party may terminate our arrangement immediately upon a material breach of any provision of the agreement or at any time, with or without cause, by providing no less than 30 days’ notice. Our agreement does not require Credit Karma to display offers from lenders on Upstart.com 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w:t>
      </w:r>
    </w:p>
    <w:p>
      <w:pPr>
        <w:spacing w:after="0" w:line="25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Bank Partnerships</w:t>
      </w:r>
    </w:p>
    <w:p>
      <w:pPr>
        <w:spacing w:after="0" w:line="203"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We predominantly target small to medium-sized banks with an appetite to invest in improved underwriting, digital originations and unsecured lending. As of December 31, 2020, we had twelve bank partners.</w:t>
      </w:r>
    </w:p>
    <w:p>
      <w:pPr>
        <w:spacing w:after="0" w:line="179"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CRB, originates a large fraction of the whole loans sold to institutional investors under our loan funding programs. For the years ended December 31, 2018, 2019 and 2020, fees received from CRB accounted for 81%, 80% and 63%, of our total revenue, respectively. We have entered into a loan program agreement that governs the terms and conditions between us and CRB with respect to loans facilitated through our platform and issued by CRB. We have entered into a loan program agreement that governs the terms and conditions between us and CRB with respect to loans facilitated through our platform and issued by CRB. The most recent loan program agreement with CRB began on January 1, 2019 and has a term of four years with an automatic renewal provision for an additional two years following the initial four year term. Either party may choose not to renew by providing the other party 120 days’ notice prior to the end of the initial term or any renewal term. In addition, during the term of our arrangement, CRB may reduce the volume of Upstart-powered loans that it chooses to fund and retain on its balance sheet or not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pays a termination fee of $450,000.</w:t>
      </w:r>
    </w:p>
    <w:p>
      <w:pPr>
        <w:spacing w:after="0" w:line="183" w:lineRule="exact"/>
        <w:rPr>
          <w:sz w:val="20"/>
          <w:szCs w:val="20"/>
          <w:color w:val="auto"/>
        </w:rPr>
      </w:pPr>
    </w:p>
    <w:p>
      <w:pPr>
        <w:jc w:val="both"/>
        <w:ind w:left="800" w:right="120" w:firstLine="482"/>
        <w:spacing w:after="0" w:line="236" w:lineRule="auto"/>
        <w:rPr>
          <w:sz w:val="20"/>
          <w:szCs w:val="20"/>
          <w:color w:val="auto"/>
        </w:rPr>
      </w:pPr>
      <w:r>
        <w:rPr>
          <w:rFonts w:ascii="Arial" w:cs="Arial" w:eastAsia="Arial" w:hAnsi="Arial"/>
          <w:sz w:val="16"/>
          <w:szCs w:val="16"/>
          <w:color w:val="auto"/>
        </w:rPr>
        <w:t>We have also entered into separate agreements with each of our other bank partners. Our agreements with our bank partners are non-exclusive, generally have 12-month terms that automatically renew, subject to certain early termination provisions and minimum fee amounts, and do not include any minimum origination obligations or origination limits.</w:t>
      </w:r>
    </w:p>
    <w:p>
      <w:pPr>
        <w:spacing w:after="0" w:line="179" w:lineRule="exact"/>
        <w:rPr>
          <w:sz w:val="20"/>
          <w:szCs w:val="20"/>
          <w:color w:val="auto"/>
        </w:rPr>
      </w:pPr>
    </w:p>
    <w:p>
      <w:pPr>
        <w:jc w:val="both"/>
        <w:ind w:left="800" w:firstLine="482"/>
        <w:spacing w:after="0" w:line="258" w:lineRule="auto"/>
        <w:rPr>
          <w:sz w:val="20"/>
          <w:szCs w:val="20"/>
          <w:color w:val="auto"/>
        </w:rPr>
      </w:pPr>
      <w:r>
        <w:rPr>
          <w:rFonts w:ascii="Arial" w:cs="Arial" w:eastAsia="Arial" w:hAnsi="Arial"/>
          <w:sz w:val="15"/>
          <w:szCs w:val="15"/>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440"/>
          </w:cols>
          <w:pgMar w:left="320" w:top="419" w:right="11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20"/>
        <w:spacing w:after="0" w:line="238" w:lineRule="auto"/>
        <w:rPr>
          <w:sz w:val="20"/>
          <w:szCs w:val="20"/>
          <w:color w:val="auto"/>
        </w:rPr>
      </w:pPr>
      <w:r>
        <w:rPr>
          <w:rFonts w:ascii="Arial" w:cs="Arial" w:eastAsia="Arial" w:hAnsi="Arial"/>
          <w:sz w:val="16"/>
          <w:szCs w:val="16"/>
          <w:color w:val="auto"/>
        </w:rPr>
        <w:t>decisioning and borrower verification. Bank partners also have access to an administrative interface for reporting and program management. We also perform regulatory fairness tests on bank partners’ behalf.</w:t>
      </w:r>
    </w:p>
    <w:p>
      <w:pPr>
        <w:spacing w:after="0" w:line="254"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Institutional Investors</w:t>
      </w:r>
    </w:p>
    <w:p>
      <w:pPr>
        <w:spacing w:after="0" w:line="203" w:lineRule="exact"/>
        <w:rPr>
          <w:sz w:val="20"/>
          <w:szCs w:val="20"/>
          <w:color w:val="auto"/>
        </w:rPr>
      </w:pPr>
    </w:p>
    <w:p>
      <w:pPr>
        <w:ind w:left="800" w:right="300" w:firstLine="482"/>
        <w:spacing w:after="0" w:line="235" w:lineRule="auto"/>
        <w:rPr>
          <w:sz w:val="20"/>
          <w:szCs w:val="20"/>
          <w:color w:val="auto"/>
        </w:rPr>
      </w:pPr>
      <w:r>
        <w:rPr>
          <w:rFonts w:ascii="Arial" w:cs="Arial" w:eastAsia="Arial" w:hAnsi="Arial"/>
          <w:sz w:val="16"/>
          <w:szCs w:val="16"/>
          <w:color w:val="auto"/>
        </w:rPr>
        <w:t>Our platform allows bank partners to originate and retain loans that meet their business objectives. Because banks vary with respect to program objectives, risk tolerance and funding capacity, each bank’s program parameters can vary significantly. In the year ended December 31, 2020, approximately 21% of Upstart-powered loans orginated by bank partners were retained by those bank partners.</w:t>
      </w:r>
    </w:p>
    <w:p>
      <w:pPr>
        <w:spacing w:after="0" w:line="178" w:lineRule="exact"/>
        <w:rPr>
          <w:sz w:val="20"/>
          <w:szCs w:val="20"/>
          <w:color w:val="auto"/>
        </w:rPr>
      </w:pPr>
    </w:p>
    <w:p>
      <w:pPr>
        <w:ind w:left="800" w:right="180" w:firstLine="482"/>
        <w:spacing w:after="0" w:line="234" w:lineRule="auto"/>
        <w:rPr>
          <w:sz w:val="20"/>
          <w:szCs w:val="20"/>
          <w:color w:val="auto"/>
        </w:rPr>
      </w:pPr>
      <w:r>
        <w:rPr>
          <w:rFonts w:ascii="Arial" w:cs="Arial" w:eastAsia="Arial" w:hAnsi="Arial"/>
          <w:sz w:val="16"/>
          <w:szCs w:val="16"/>
          <w:color w:val="auto"/>
        </w:rPr>
        <w:t>Upstart-powered loans originated by bank partners can be sold to institutional investors through a variety of funding structures developed and supported by Upstart. As of December 31, 2020, loans from our bank partners were purchased or funded by our broad base of approximately 100 institutional investors and buyers. 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w:t>
      </w:r>
    </w:p>
    <w:p>
      <w:pPr>
        <w:spacing w:after="0" w:line="17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We began working with six institutional investors in 2015 and have relationships with approximately 100 institutional investors today. The institutional investors that participate in our loan funding programs include banks, insurance companies, ‘40 Act funds, hedge funds, private equity funds and other sources of institutional capital. These relationships have allowed us to expand our model beyond the risk profile of a typical bank. The combination of bank and institutional investor funding provides our platform with competitive and diverse capital, without Upstart having to retain risk in its capital markets programs.</w:t>
      </w:r>
    </w:p>
    <w:p>
      <w:pPr>
        <w:spacing w:after="0" w:line="179" w:lineRule="exact"/>
        <w:rPr>
          <w:sz w:val="20"/>
          <w:szCs w:val="20"/>
          <w:color w:val="auto"/>
        </w:rPr>
      </w:pPr>
    </w:p>
    <w:p>
      <w:pPr>
        <w:ind w:left="800" w:right="520" w:firstLine="482"/>
        <w:spacing w:after="0" w:line="238" w:lineRule="auto"/>
        <w:rPr>
          <w:sz w:val="20"/>
          <w:szCs w:val="20"/>
          <w:color w:val="auto"/>
        </w:rPr>
      </w:pPr>
      <w:r>
        <w:rPr>
          <w:rFonts w:ascii="Arial" w:cs="Arial" w:eastAsia="Arial" w:hAnsi="Arial"/>
          <w:sz w:val="16"/>
          <w:szCs w:val="16"/>
          <w:color w:val="auto"/>
        </w:rPr>
        <w:t>Our network of institutional investors includes purchasers of whole loans originated via Upstart’s platform, as well as capital markets investors that buy securities, such as pass-through certificates.</w:t>
      </w:r>
    </w:p>
    <w:p>
      <w:pPr>
        <w:spacing w:after="0" w:line="179" w:lineRule="exact"/>
        <w:rPr>
          <w:sz w:val="20"/>
          <w:szCs w:val="20"/>
          <w:color w:val="auto"/>
        </w:rPr>
      </w:pPr>
    </w:p>
    <w:p>
      <w:pPr>
        <w:jc w:val="both"/>
        <w:ind w:left="800" w:right="60" w:firstLine="482"/>
        <w:spacing w:after="0" w:line="246" w:lineRule="auto"/>
        <w:rPr>
          <w:sz w:val="20"/>
          <w:szCs w:val="20"/>
          <w:color w:val="auto"/>
        </w:rPr>
      </w:pPr>
      <w:r>
        <w:rPr>
          <w:rFonts w:ascii="Arial" w:cs="Arial" w:eastAsia="Arial" w:hAnsi="Arial"/>
          <w:sz w:val="15"/>
          <w:szCs w:val="15"/>
          <w:color w:val="auto"/>
        </w:rPr>
        <w:t>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which Upstart may attempt to fulfill on an uncommitted basis.</w:t>
      </w:r>
    </w:p>
    <w:p>
      <w:pPr>
        <w:spacing w:after="0" w:line="2" w:lineRule="exact"/>
        <w:rPr>
          <w:sz w:val="20"/>
          <w:szCs w:val="20"/>
          <w:color w:val="auto"/>
        </w:rPr>
      </w:pPr>
    </w:p>
    <w:p>
      <w:pPr>
        <w:ind w:left="800" w:right="20"/>
        <w:spacing w:after="0" w:line="269" w:lineRule="auto"/>
        <w:rPr>
          <w:sz w:val="20"/>
          <w:szCs w:val="20"/>
          <w:color w:val="auto"/>
        </w:rPr>
      </w:pPr>
      <w:r>
        <w:rPr>
          <w:rFonts w:ascii="Arial" w:cs="Arial" w:eastAsia="Arial" w:hAnsi="Arial"/>
          <w:sz w:val="15"/>
          <w:szCs w:val="15"/>
          <w:color w:val="auto"/>
        </w:rPr>
        <w:t>Both the loan purchase and loan servicing agreements are typically terminable (i) for convenience after a notice period, (ii) following the passage of a term or (iii) after certain events of default. Loan purchasers may also cease to place requests to purchase loans at any time.</w:t>
      </w:r>
    </w:p>
    <w:p>
      <w:pPr>
        <w:spacing w:after="0" w:line="157"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w:t>
      </w:r>
    </w:p>
    <w:p>
      <w:pPr>
        <w:spacing w:after="0" w:line="179" w:lineRule="exact"/>
        <w:rPr>
          <w:sz w:val="20"/>
          <w:szCs w:val="20"/>
          <w:color w:val="auto"/>
        </w:rPr>
      </w:pPr>
    </w:p>
    <w:p>
      <w:pPr>
        <w:ind w:left="800" w:right="160" w:firstLine="482"/>
        <w:spacing w:after="0" w:line="234" w:lineRule="auto"/>
        <w:rPr>
          <w:sz w:val="20"/>
          <w:szCs w:val="20"/>
          <w:color w:val="auto"/>
        </w:rPr>
      </w:pPr>
      <w:r>
        <w:rPr>
          <w:rFonts w:ascii="Arial" w:cs="Arial" w:eastAsia="Arial" w:hAnsi="Arial"/>
          <w:sz w:val="16"/>
          <w:szCs w:val="16"/>
          <w:color w:val="auto"/>
        </w:rPr>
        <w:t>While there are minimal differences between whole loan sales and sales of pass-through certificates from Upstart’s perspective, both programs are offered to provide flexibility to investors in our loan funding programs. Institutional investors may prefer pass-through certificates, which are more liquid, while other institutional investors may prefer whole loan purchases, which are generally more cost effective. The below table provides a breakdown of Upstart-powered loans purchased through whole loan sales and pass-through certificates.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380"/>
          </w:cols>
          <w:pgMar w:left="320" w:top="419" w:right="119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ind w:left="84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5095875</wp:posOffset>
            </wp:positionH>
            <wp:positionV relativeFrom="paragraph">
              <wp:posOffset>2540</wp:posOffset>
            </wp:positionV>
            <wp:extent cx="150177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501775" cy="7620"/>
                    </a:xfrm>
                    <a:prstGeom prst="rect">
                      <a:avLst/>
                    </a:prstGeom>
                    <a:noFill/>
                  </pic:spPr>
                </pic:pic>
              </a:graphicData>
            </a:graphic>
          </wp:anchor>
        </w:drawing>
      </w:r>
    </w:p>
    <w:p>
      <w:pPr>
        <w:ind w:left="8180"/>
        <w:spacing w:after="0"/>
        <w:tabs>
          <w:tab w:leader="none" w:pos="8980" w:val="left"/>
          <w:tab w:leader="none" w:pos="986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2"/>
          <w:szCs w:val="12"/>
          <w:b w:val="1"/>
          <w:bCs w:val="1"/>
          <w:color w:val="auto"/>
        </w:rPr>
        <w:t>2020</w:t>
      </w:r>
    </w:p>
    <w:tbl>
      <w:tblPr>
        <w:tblLayout w:type="fixed"/>
        <w:tblInd w:w="800" w:type="dxa"/>
        <w:tblCellMar>
          <w:top w:w="0" w:type="dxa"/>
          <w:left w:w="0" w:type="dxa"/>
          <w:bottom w:w="0" w:type="dxa"/>
          <w:right w:w="0" w:type="dxa"/>
        </w:tblCellMar>
      </w:tblPr>
      <w:tr>
        <w:trPr>
          <w:trHeight w:val="170"/>
        </w:trPr>
        <w:tc>
          <w:tcPr>
            <w:tcW w:w="72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Pass-Through Certificates</w:t>
            </w:r>
          </w:p>
        </w:tc>
        <w:tc>
          <w:tcPr>
            <w:tcW w:w="600" w:type="dxa"/>
            <w:vAlign w:val="bottom"/>
            <w:tcBorders>
              <w:top w:val="single" w:sz="8" w:color="auto"/>
            </w:tcBorders>
            <w:shd w:val="clear" w:color="auto" w:fill="CCEEFF"/>
          </w:tcPr>
          <w:p>
            <w:pPr>
              <w:ind w:left="120"/>
              <w:spacing w:after="0" w:line="170" w:lineRule="exact"/>
              <w:rPr>
                <w:sz w:val="20"/>
                <w:szCs w:val="20"/>
                <w:color w:val="auto"/>
              </w:rPr>
            </w:pPr>
            <w:r>
              <w:rPr>
                <w:rFonts w:ascii="Arial" w:cs="Arial" w:eastAsia="Arial" w:hAnsi="Arial"/>
                <w:sz w:val="16"/>
                <w:szCs w:val="16"/>
                <w:color w:val="auto"/>
                <w:w w:val="93"/>
              </w:rPr>
              <w:t>19,702</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41,623</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80,663</w:t>
            </w: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Whole Loan Sales</w:t>
            </w:r>
          </w:p>
        </w:tc>
        <w:tc>
          <w:tcPr>
            <w:tcW w:w="740" w:type="dxa"/>
            <w:vAlign w:val="bottom"/>
            <w:gridSpan w:val="2"/>
          </w:tcPr>
          <w:p>
            <w:pPr>
              <w:ind w:left="120"/>
              <w:spacing w:after="0"/>
              <w:rPr>
                <w:sz w:val="20"/>
                <w:szCs w:val="20"/>
                <w:color w:val="auto"/>
              </w:rPr>
            </w:pPr>
            <w:r>
              <w:rPr>
                <w:rFonts w:ascii="Arial" w:cs="Arial" w:eastAsia="Arial" w:hAnsi="Arial"/>
                <w:sz w:val="16"/>
                <w:szCs w:val="16"/>
                <w:color w:val="auto"/>
              </w:rPr>
              <w:t>76,720</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132,597</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185,659</w:t>
            </w:r>
          </w:p>
        </w:tc>
      </w:tr>
    </w:tbl>
    <w:p>
      <w:pPr>
        <w:spacing w:after="0" w:line="177" w:lineRule="exact"/>
        <w:rPr>
          <w:sz w:val="20"/>
          <w:szCs w:val="20"/>
          <w:color w:val="auto"/>
        </w:rPr>
      </w:pPr>
    </w:p>
    <w:p>
      <w:pPr>
        <w:jc w:val="both"/>
        <w:ind w:left="800" w:right="240" w:firstLine="482"/>
        <w:spacing w:after="0" w:line="233" w:lineRule="auto"/>
        <w:rPr>
          <w:sz w:val="20"/>
          <w:szCs w:val="20"/>
          <w:color w:val="auto"/>
        </w:rPr>
      </w:pPr>
      <w:r>
        <w:rPr>
          <w:rFonts w:ascii="Arial" w:cs="Arial" w:eastAsia="Arial" w:hAnsi="Arial"/>
          <w:sz w:val="16"/>
          <w:szCs w:val="16"/>
          <w:color w:val="auto"/>
        </w:rPr>
        <w:t>The whole loans or pass-through certificates purchased after origination may later be included in our asset-backed securitization transactions whereby interests in these Upstart-powered loans are sold to other institutional investors. The number of whole loans and pass-through certificates sold that were later included in an asset-backed securitization transaction were 28,369, 88,172 and 60,785 in 2018, 2019 and 2020, respectively. The numbers of whole loans and pass through certificates sold that were later included in an asset-backed securitization transaction reported in the previous sentence are subject to further minor fluctuations resulting from ongoing ABS transaction activities, such as periodic sales of delinquent loans to collection agencies.</w:t>
      </w:r>
    </w:p>
    <w:p>
      <w:pPr>
        <w:spacing w:after="0" w:line="182"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For our asset-backed securitization transactions, we engage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25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Operations</w:t>
      </w:r>
    </w:p>
    <w:p>
      <w:pPr>
        <w:spacing w:after="0" w:line="203" w:lineRule="exact"/>
        <w:rPr>
          <w:sz w:val="20"/>
          <w:szCs w:val="20"/>
          <w:color w:val="auto"/>
        </w:rPr>
      </w:pPr>
    </w:p>
    <w:p>
      <w:pPr>
        <w:ind w:left="800" w:right="60" w:firstLine="482"/>
        <w:spacing w:after="0" w:line="234" w:lineRule="auto"/>
        <w:rPr>
          <w:sz w:val="20"/>
          <w:szCs w:val="20"/>
          <w:color w:val="auto"/>
        </w:rPr>
      </w:pPr>
      <w:r>
        <w:rPr>
          <w:rFonts w:ascii="Arial" w:cs="Arial" w:eastAsia="Arial" w:hAnsi="Arial"/>
          <w:sz w:val="16"/>
          <w:szCs w:val="16"/>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79" w:lineRule="exact"/>
        <w:rPr>
          <w:sz w:val="20"/>
          <w:szCs w:val="20"/>
          <w:color w:val="auto"/>
        </w:rPr>
      </w:pPr>
    </w:p>
    <w:p>
      <w:pPr>
        <w:ind w:left="800" w:right="320" w:firstLine="482"/>
        <w:spacing w:after="0" w:line="238" w:lineRule="auto"/>
        <w:rPr>
          <w:sz w:val="20"/>
          <w:szCs w:val="20"/>
          <w:color w:val="auto"/>
        </w:rPr>
      </w:pPr>
      <w:r>
        <w:rPr>
          <w:rFonts w:ascii="Arial" w:cs="Arial" w:eastAsia="Arial" w:hAnsi="Arial"/>
          <w:sz w:val="16"/>
          <w:szCs w:val="16"/>
          <w:color w:val="auto"/>
        </w:rPr>
        <w:t>Our operations teams, including credit analysts, fraud specialists, customer support and payments specialists, work to deliver a seamless user experience to consumers on behalf of our bank partners.</w:t>
      </w:r>
    </w:p>
    <w:p>
      <w:pPr>
        <w:spacing w:after="0" w:line="179" w:lineRule="exact"/>
        <w:rPr>
          <w:sz w:val="20"/>
          <w:szCs w:val="20"/>
          <w:color w:val="auto"/>
        </w:rPr>
      </w:pPr>
    </w:p>
    <w:p>
      <w:pPr>
        <w:jc w:val="both"/>
        <w:ind w:left="800" w:right="200" w:firstLine="482"/>
        <w:spacing w:after="0" w:line="236" w:lineRule="auto"/>
        <w:rPr>
          <w:sz w:val="20"/>
          <w:szCs w:val="20"/>
          <w:color w:val="auto"/>
        </w:rPr>
      </w:pPr>
      <w:r>
        <w:rPr>
          <w:rFonts w:ascii="Arial" w:cs="Arial" w:eastAsia="Arial" w:hAnsi="Arial"/>
          <w:sz w:val="16"/>
          <w:szCs w:val="16"/>
          <w:color w:val="auto"/>
        </w:rPr>
        <w:t>Customer operations is divided functionally by teams that focus on pre-origination experience (verification and customer support) and post-origination experience (loan servicing). Team members are distributed between our headquarters in San Mateo, California and our second headquarters in Columbus, Ohio.</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Verification and Customer Support Operations</w:t>
      </w:r>
    </w:p>
    <w:p>
      <w:pPr>
        <w:spacing w:after="0" w:line="106" w:lineRule="exact"/>
        <w:rPr>
          <w:sz w:val="20"/>
          <w:szCs w:val="20"/>
          <w:color w:val="auto"/>
        </w:rPr>
      </w:pPr>
    </w:p>
    <w:p>
      <w:pPr>
        <w:ind w:left="800" w:right="120" w:firstLine="482"/>
        <w:spacing w:after="0" w:line="234" w:lineRule="auto"/>
        <w:rPr>
          <w:sz w:val="20"/>
          <w:szCs w:val="20"/>
          <w:color w:val="auto"/>
        </w:rPr>
      </w:pPr>
      <w:r>
        <w:rPr>
          <w:rFonts w:ascii="Arial" w:cs="Arial" w:eastAsia="Arial" w:hAnsi="Arial"/>
          <w:sz w:val="16"/>
          <w:szCs w:val="16"/>
          <w:color w:val="auto"/>
        </w:rPr>
        <w:t>This team focuses on the minority of borrowers whose applications are not entirely automated or any applicant who has questions or issues throughout the application process. While approximately 30% of Upstart-powered loans involve human intervention, the vast majority of these loans are not fraudulent. Thus, our team focuses on expediting applicants through the process to the extent possible, while identifying and rejecting fraudulent applications. Our operations team works closely with our engineering and machine learning teams to further increase our levels of automation.</w:t>
      </w:r>
    </w:p>
    <w:p>
      <w:pPr>
        <w:spacing w:after="0" w:line="179" w:lineRule="exact"/>
        <w:rPr>
          <w:sz w:val="20"/>
          <w:szCs w:val="20"/>
          <w:color w:val="auto"/>
        </w:rPr>
      </w:pPr>
    </w:p>
    <w:p>
      <w:pPr>
        <w:ind w:left="800" w:right="200" w:firstLine="482"/>
        <w:spacing w:after="0" w:line="238" w:lineRule="auto"/>
        <w:rPr>
          <w:sz w:val="20"/>
          <w:szCs w:val="20"/>
          <w:color w:val="auto"/>
        </w:rPr>
      </w:pPr>
      <w:r>
        <w:rPr>
          <w:rFonts w:ascii="Arial" w:cs="Arial" w:eastAsia="Arial" w:hAnsi="Arial"/>
          <w:sz w:val="16"/>
          <w:szCs w:val="16"/>
          <w:color w:val="auto"/>
        </w:rPr>
        <w:t>Most prospective borrowers and applicants interact with Upstart via our online platform and help center, but we also make agent-based support readily available to all borrowers. For phone support,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440"/>
          </w:cols>
          <w:pgMar w:left="320" w:top="419" w:right="113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partner with an external call center vendor and have a team of dedicated Upstart agents with specialized training.</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Servicing Operations</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Upstart-powered loans are serviced via our homegrown platform. For borrowers who miss payments, we focus on early intervention and attempt to reach them via emails, calls, texts and skip-trace to help bring their account current or offer hardship options in accordance with our servicing policies. Borrowers on our platform are supported via a combination of internal payments specialists and a third-party service provider.</w:t>
      </w:r>
    </w:p>
    <w:p>
      <w:pPr>
        <w:spacing w:after="0" w:line="178"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Competition</w:t>
      </w:r>
    </w:p>
    <w:p>
      <w:pPr>
        <w:spacing w:after="0" w:line="203" w:lineRule="exact"/>
        <w:rPr>
          <w:sz w:val="20"/>
          <w:szCs w:val="20"/>
          <w:color w:val="auto"/>
        </w:rPr>
      </w:pPr>
    </w:p>
    <w:p>
      <w:pPr>
        <w:ind w:left="800" w:right="380" w:firstLine="482"/>
        <w:spacing w:after="0" w:line="235" w:lineRule="auto"/>
        <w:rPr>
          <w:sz w:val="20"/>
          <w:szCs w:val="20"/>
          <w:color w:val="auto"/>
        </w:rPr>
      </w:pPr>
      <w:r>
        <w:rPr>
          <w:rFonts w:ascii="Arial" w:cs="Arial" w:eastAsia="Arial" w:hAnsi="Arial"/>
          <w:sz w:val="16"/>
          <w:szCs w:val="16"/>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78"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We believe we compete favorably based on the following competitive factors:</w:t>
      </w:r>
    </w:p>
    <w:p>
      <w:pPr>
        <w:spacing w:after="0" w:line="100" w:lineRule="exact"/>
        <w:rPr>
          <w:sz w:val="20"/>
          <w:szCs w:val="20"/>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Constantly improving AI models;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Compelling loan offers to consumers that improve regularly;</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Automated and user-friendly loan application process;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Consistent and predictable loan performance;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Cloud-native, multi-tenant architecture;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Combination of technology and customer acquisition for bank partners;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Robust and diverse loan funding program;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Brand recognition and trust.</w:t>
      </w:r>
    </w:p>
    <w:p>
      <w:pPr>
        <w:spacing w:after="0" w:line="257"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Government Regulation</w:t>
      </w:r>
    </w:p>
    <w:p>
      <w:pPr>
        <w:spacing w:after="0" w:line="203" w:lineRule="exact"/>
        <w:rPr>
          <w:sz w:val="20"/>
          <w:szCs w:val="20"/>
          <w:color w:val="auto"/>
        </w:rPr>
      </w:pPr>
    </w:p>
    <w:p>
      <w:pPr>
        <w:jc w:val="both"/>
        <w:ind w:left="800" w:right="100" w:firstLine="482"/>
        <w:spacing w:after="0" w:line="236" w:lineRule="auto"/>
        <w:rPr>
          <w:sz w:val="20"/>
          <w:szCs w:val="20"/>
          <w:color w:val="auto"/>
        </w:rPr>
      </w:pPr>
      <w:r>
        <w:rPr>
          <w:rFonts w:ascii="Arial" w:cs="Arial" w:eastAsia="Arial" w:hAnsi="Arial"/>
          <w:sz w:val="16"/>
          <w:szCs w:val="16"/>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440"/>
          </w:cols>
          <w:pgMar w:left="320" w:top="419" w:right="113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0"/>
        <w:spacing w:after="0" w:line="235" w:lineRule="auto"/>
        <w:rPr>
          <w:sz w:val="20"/>
          <w:szCs w:val="20"/>
          <w:color w:val="auto"/>
        </w:rPr>
      </w:pPr>
      <w:r>
        <w:rPr>
          <w:rFonts w:ascii="Arial" w:cs="Arial" w:eastAsia="Arial" w:hAnsi="Arial"/>
          <w:sz w:val="16"/>
          <w:szCs w:val="16"/>
          <w:color w:val="auto"/>
        </w:rPr>
        <w:t>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are currently, and expect in the future, to be regulated by the CFPB. In addition to the CFPB, the Federal Trade Commission has jurisdiction to investigate aspects of our business, including with respect to marketing practices. Other state and federal agencies, including prudential bank regulators and state attorneys general have the ability to regulate aspects of our business. Further, we are subject to inspections, examinations, supervision and regulation by applicable agencies in each state in which we are licensed. Regulatory oversight of our 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179" w:lineRule="exact"/>
        <w:rPr>
          <w:sz w:val="20"/>
          <w:szCs w:val="20"/>
          <w:color w:val="auto"/>
        </w:rPr>
      </w:pPr>
    </w:p>
    <w:p>
      <w:pPr>
        <w:jc w:val="both"/>
        <w:ind w:left="800" w:right="240" w:firstLine="482"/>
        <w:spacing w:after="0" w:line="236" w:lineRule="auto"/>
        <w:rPr>
          <w:sz w:val="20"/>
          <w:szCs w:val="20"/>
          <w:color w:val="auto"/>
        </w:rPr>
      </w:pPr>
      <w:r>
        <w:rPr>
          <w:rFonts w:ascii="Arial" w:cs="Arial" w:eastAsia="Arial" w:hAnsi="Arial"/>
          <w:sz w:val="16"/>
          <w:szCs w:val="16"/>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Federal Lending and Related Laws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Truth in Lending Act</w:t>
      </w:r>
    </w:p>
    <w:p>
      <w:pPr>
        <w:spacing w:after="0" w:line="106" w:lineRule="exact"/>
        <w:rPr>
          <w:sz w:val="20"/>
          <w:szCs w:val="20"/>
          <w:color w:val="auto"/>
        </w:rPr>
      </w:pPr>
    </w:p>
    <w:p>
      <w:pPr>
        <w:ind w:left="800" w:right="40" w:firstLine="482"/>
        <w:spacing w:after="0" w:line="248" w:lineRule="auto"/>
        <w:rPr>
          <w:sz w:val="20"/>
          <w:szCs w:val="20"/>
          <w:color w:val="auto"/>
        </w:rPr>
      </w:pPr>
      <w:r>
        <w:rPr>
          <w:rFonts w:ascii="Arial" w:cs="Arial" w:eastAsia="Arial" w:hAnsi="Arial"/>
          <w:sz w:val="15"/>
          <w:szCs w:val="15"/>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 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5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Equal Credit Opportunity Act</w:t>
      </w:r>
    </w:p>
    <w:p>
      <w:pPr>
        <w:spacing w:after="0" w:line="106"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The Equal Credit Opportunity Act, or ECOA, prohibits creditors from discriminating against credit applicants on the basis of race, color, sex, age (provided that the applicant has the capacity to enter</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420"/>
          </w:cols>
          <w:pgMar w:left="320" w:top="419" w:right="115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2" w:lineRule="auto"/>
        <w:rPr>
          <w:sz w:val="20"/>
          <w:szCs w:val="20"/>
          <w:color w:val="auto"/>
        </w:rPr>
      </w:pPr>
      <w:r>
        <w:rPr>
          <w:rFonts w:ascii="Arial" w:cs="Arial" w:eastAsia="Arial" w:hAnsi="Arial"/>
          <w:sz w:val="16"/>
          <w:szCs w:val="16"/>
          <w:color w:val="auto"/>
        </w:rPr>
        <w:t>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184"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 13, 2020, we received an inquiry from five members of the U.S. Senate seeking information regarding our compliance with ECOA, and in July 2020, three of these Senators recommended to the CFPB as part of their inquiry findings, that the CFPB further review Upstart’s use of educational variables in its model and requested that the CFPB stop issuing no-action letters related to the ECOA. Upstart strongly disputes the underlying conclusions of the consumer advocacy group’s report as it pertained to Upstart’s practices, given that Upstart’s model considers over 1,000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 On December 1, 2020, in connection with these inquiries, we entered into an agreement with the LDF and the SBPC in which we agreed to, among other things, participate in fair lending reviews of our AI model. See the section titled “Risk Factors—Risks Related to Our Business and Industry” for more information.</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Fair Credit Reporting Act</w:t>
      </w:r>
    </w:p>
    <w:p>
      <w:pPr>
        <w:spacing w:after="0" w:line="106" w:lineRule="exact"/>
        <w:rPr>
          <w:sz w:val="20"/>
          <w:szCs w:val="20"/>
          <w:color w:val="auto"/>
        </w:rPr>
      </w:pPr>
    </w:p>
    <w:p>
      <w:pPr>
        <w:ind w:left="800" w:right="160" w:firstLine="482"/>
        <w:spacing w:after="0" w:line="234" w:lineRule="auto"/>
        <w:rPr>
          <w:sz w:val="20"/>
          <w:szCs w:val="20"/>
          <w:color w:val="auto"/>
        </w:rPr>
      </w:pPr>
      <w:r>
        <w:rPr>
          <w:rFonts w:ascii="Arial" w:cs="Arial" w:eastAsia="Arial" w:hAnsi="Arial"/>
          <w:sz w:val="16"/>
          <w:szCs w:val="16"/>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179" w:lineRule="exact"/>
        <w:rPr>
          <w:sz w:val="20"/>
          <w:szCs w:val="20"/>
          <w:color w:val="auto"/>
        </w:rPr>
      </w:pPr>
    </w:p>
    <w:p>
      <w:pPr>
        <w:ind w:left="800" w:firstLine="482"/>
        <w:spacing w:after="0" w:line="251" w:lineRule="auto"/>
        <w:rPr>
          <w:sz w:val="20"/>
          <w:szCs w:val="20"/>
          <w:color w:val="auto"/>
        </w:rPr>
      </w:pPr>
      <w:r>
        <w:rPr>
          <w:rFonts w:ascii="Arial" w:cs="Arial" w:eastAsia="Arial" w:hAnsi="Arial"/>
          <w:sz w:val="15"/>
          <w:szCs w:val="15"/>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440"/>
          </w:cols>
          <w:pgMar w:left="320" w:top="419" w:right="113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360"/>
        <w:spacing w:after="0" w:line="258" w:lineRule="auto"/>
        <w:rPr>
          <w:sz w:val="20"/>
          <w:szCs w:val="20"/>
          <w:color w:val="auto"/>
        </w:rPr>
      </w:pPr>
      <w:r>
        <w:rPr>
          <w:rFonts w:ascii="Arial" w:cs="Arial" w:eastAsia="Arial" w:hAnsi="Arial"/>
          <w:sz w:val="15"/>
          <w:szCs w:val="15"/>
          <w:color w:val="auto"/>
        </w:rPr>
        <w:t>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Fair Debt Collection Practices Act</w:t>
      </w:r>
    </w:p>
    <w:p>
      <w:pPr>
        <w:spacing w:after="0" w:line="106"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The federal Fair Debt Collection Practices Act, or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In addition, on October 30, 2020, the CFPB issued a final rule implementing the requirements of the FDCPA, which will likely take effect in late 2021. The CFPB also issued a second final rule on debt collection focused on consumer disclosures in December 2020. These rules are set to take effect November 30, 2021.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Privacy and Data Security Laws</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 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 have a detailed privacy policy, which complies with GLBA and is accessible from every page of our website. We maintain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As our business continues to expand, and as state and federal laws and regulations continue to be passed and their interpretations continue to evolve, additional laws and regulations may become relevant to us.</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Dodd-Frank Wall Street Reform and Consumer Protection Act</w:t>
      </w:r>
    </w:p>
    <w:p>
      <w:pPr>
        <w:spacing w:after="0" w:line="106" w:lineRule="exact"/>
        <w:rPr>
          <w:sz w:val="20"/>
          <w:szCs w:val="20"/>
          <w:color w:val="auto"/>
        </w:rPr>
      </w:pPr>
    </w:p>
    <w:p>
      <w:pPr>
        <w:ind w:left="800" w:right="200" w:firstLine="482"/>
        <w:spacing w:after="0" w:line="236" w:lineRule="auto"/>
        <w:rPr>
          <w:sz w:val="20"/>
          <w:szCs w:val="20"/>
          <w:color w:val="auto"/>
        </w:rPr>
      </w:pPr>
      <w:r>
        <w:rPr>
          <w:rFonts w:ascii="Arial" w:cs="Arial" w:eastAsia="Arial" w:hAnsi="Arial"/>
          <w:sz w:val="16"/>
          <w:szCs w:val="16"/>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440"/>
          </w:cols>
          <w:pgMar w:left="320" w:top="419" w:right="113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3" w:lineRule="auto"/>
        <w:rPr>
          <w:sz w:val="20"/>
          <w:szCs w:val="20"/>
          <w:color w:val="auto"/>
        </w:rPr>
      </w:pPr>
      <w:r>
        <w:rPr>
          <w:rFonts w:ascii="Arial" w:cs="Arial" w:eastAsia="Arial" w:hAnsi="Arial"/>
          <w:sz w:val="16"/>
          <w:szCs w:val="16"/>
          <w:color w:val="auto"/>
        </w:rPr>
        <w:t>to implement and enforce federal consumer financial laws, such as the TILA and the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81"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The CFPB has imposed, and will continue to impose, restrictions on lending practices, including with respect to the terms of certain loans. We and our bank partners are subject to the CFPB’s enforcement authority.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We are not currently subject to any enforcement actions by the CFPB.</w:t>
      </w:r>
    </w:p>
    <w:p>
      <w:pPr>
        <w:spacing w:after="0" w:line="179"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For more information regarding the CFPB and the CFPB rules to which we are subject or may become subject, see Risk Factors— Risks Related to Our Business and Industry.</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Federal Trade Commission Act</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Under Section 5 of the Federal Trade Commission Act, we and our bank partners are prohibited from engaging in unfair and deceptive acts and practices, or UDAP. For nonbank financial institutions, the FTC is the primary regulator enforcing this prohibition, and in recent years the FTC has been focused on practices of financial technology companies. Based on publicly available actions, the FTC’s primary focus has been with respect to financial technology company marketing and disclosure practices. We maintain policies and procedures that require our marketing and loan application and servicing operations comply with UDAP standards. For more information regarding the FTC’s enforcement actions, see Risk Factors.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Electronic Fund Transfer Act and NACHA Rules</w:t>
      </w:r>
    </w:p>
    <w:p>
      <w:pPr>
        <w:spacing w:after="0" w:line="106" w:lineRule="exact"/>
        <w:rPr>
          <w:sz w:val="20"/>
          <w:szCs w:val="20"/>
          <w:color w:val="auto"/>
        </w:rPr>
      </w:pPr>
    </w:p>
    <w:p>
      <w:pPr>
        <w:ind w:left="800" w:right="120" w:firstLine="482"/>
        <w:spacing w:after="0" w:line="232" w:lineRule="auto"/>
        <w:rPr>
          <w:sz w:val="20"/>
          <w:szCs w:val="20"/>
          <w:color w:val="auto"/>
        </w:rPr>
      </w:pPr>
      <w:r>
        <w:rPr>
          <w:rFonts w:ascii="Arial" w:cs="Arial" w:eastAsia="Arial" w:hAnsi="Arial"/>
          <w:sz w:val="16"/>
          <w:szCs w:val="16"/>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440"/>
          </w:cols>
          <w:pgMar w:left="320" w:top="419" w:right="11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Electronic Signatures in Global and National Commerce Act</w:t>
      </w:r>
    </w:p>
    <w:p>
      <w:pPr>
        <w:spacing w:after="0" w:line="106" w:lineRule="exact"/>
        <w:rPr>
          <w:sz w:val="20"/>
          <w:szCs w:val="20"/>
          <w:color w:val="auto"/>
        </w:rPr>
      </w:pPr>
    </w:p>
    <w:p>
      <w:pPr>
        <w:ind w:left="800" w:firstLine="482"/>
        <w:spacing w:after="0" w:line="250" w:lineRule="auto"/>
        <w:rPr>
          <w:sz w:val="20"/>
          <w:szCs w:val="20"/>
          <w:color w:val="auto"/>
        </w:rPr>
      </w:pPr>
      <w:r>
        <w:rPr>
          <w:rFonts w:ascii="Arial" w:cs="Arial" w:eastAsia="Arial" w:hAnsi="Arial"/>
          <w:sz w:val="15"/>
          <w:szCs w:val="15"/>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Federal Marketing Regulations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182" w:lineRule="exact"/>
        <w:rPr>
          <w:sz w:val="20"/>
          <w:szCs w:val="20"/>
          <w:color w:val="auto"/>
        </w:rPr>
      </w:pPr>
    </w:p>
    <w:p>
      <w:pPr>
        <w:ind w:left="800" w:right="300" w:firstLine="482"/>
        <w:spacing w:after="0" w:line="234" w:lineRule="auto"/>
        <w:rPr>
          <w:sz w:val="20"/>
          <w:szCs w:val="20"/>
          <w:color w:val="auto"/>
        </w:rPr>
      </w:pPr>
      <w:r>
        <w:rPr>
          <w:rFonts w:ascii="Arial" w:cs="Arial" w:eastAsia="Arial" w:hAnsi="Arial"/>
          <w:sz w:val="16"/>
          <w:szCs w:val="16"/>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Servicemembers Civil Relief Act</w:t>
      </w:r>
    </w:p>
    <w:p>
      <w:pPr>
        <w:spacing w:after="0" w:line="106"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Military Lending Act</w:t>
      </w:r>
    </w:p>
    <w:p>
      <w:pPr>
        <w:spacing w:after="0" w:line="106"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Under the Military Lending Act, certain members of the armed forces serving on active duty and their dependents must be identified and be provided with certain protections when becoming obligated</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420"/>
          </w:cols>
          <w:pgMar w:left="320" w:top="419" w:right="115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Bank Secrecy Act, USA PATRIOT Act, and U.S. Sanctions Laws</w:t>
      </w:r>
    </w:p>
    <w:p>
      <w:pPr>
        <w:spacing w:after="0" w:line="106" w:lineRule="exact"/>
        <w:rPr>
          <w:sz w:val="20"/>
          <w:szCs w:val="20"/>
          <w:color w:val="auto"/>
        </w:rPr>
      </w:pPr>
    </w:p>
    <w:p>
      <w:pPr>
        <w:ind w:left="800" w:right="100" w:firstLine="482"/>
        <w:spacing w:after="0" w:line="232" w:lineRule="auto"/>
        <w:rPr>
          <w:sz w:val="20"/>
          <w:szCs w:val="20"/>
          <w:color w:val="auto"/>
        </w:rPr>
      </w:pPr>
      <w:r>
        <w:rPr>
          <w:rFonts w:ascii="Arial" w:cs="Arial" w:eastAsia="Arial" w:hAnsi="Arial"/>
          <w:sz w:val="16"/>
          <w:szCs w:val="16"/>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Bankruptcy Code</w:t>
      </w:r>
    </w:p>
    <w:p>
      <w:pPr>
        <w:spacing w:after="0" w:line="106" w:lineRule="exact"/>
        <w:rPr>
          <w:sz w:val="20"/>
          <w:szCs w:val="20"/>
          <w:color w:val="auto"/>
        </w:rPr>
      </w:pPr>
    </w:p>
    <w:p>
      <w:pPr>
        <w:jc w:val="both"/>
        <w:ind w:left="800" w:right="220" w:firstLine="482"/>
        <w:spacing w:after="0" w:line="236" w:lineRule="auto"/>
        <w:rPr>
          <w:sz w:val="20"/>
          <w:szCs w:val="20"/>
          <w:color w:val="auto"/>
        </w:rPr>
      </w:pPr>
      <w:r>
        <w:rPr>
          <w:rFonts w:ascii="Arial" w:cs="Arial" w:eastAsia="Arial" w:hAnsi="Arial"/>
          <w:sz w:val="16"/>
          <w:szCs w:val="16"/>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State Lending Regulations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State Usury Limitations</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Tiffany v. National Bank of Missouri and Marquette National Bank of Minneapolis v. First Omaha Service Corporation), and relevant regulatory guidance (including FDIC advisory opinion 92-47) permit certain depository 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See Risk Factors for more information about the risk if any loans were deemed subject to any state’s usury limits.</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440"/>
          </w:cols>
          <w:pgMar w:left="320" w:top="419" w:right="113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right="40" w:firstLine="482"/>
        <w:spacing w:after="0" w:line="236" w:lineRule="auto"/>
        <w:rPr>
          <w:sz w:val="20"/>
          <w:szCs w:val="20"/>
          <w:color w:val="auto"/>
        </w:rPr>
      </w:pPr>
      <w:r>
        <w:rPr>
          <w:rFonts w:ascii="Arial" w:cs="Arial" w:eastAsia="Arial" w:hAnsi="Arial"/>
          <w:sz w:val="16"/>
          <w:szCs w:val="16"/>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 for more information about recent case law developments.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State Disclosure and Lending Practice Requirements</w:t>
      </w:r>
    </w:p>
    <w:p>
      <w:pPr>
        <w:spacing w:after="0" w:line="106"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State Licensing/Registration</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hold licenses, registrations, and similar filings so that we can conduct business, including providing referral services and origination assistance to lenders on our platform and servicing and 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auto lending,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State licensing statutes impose a variety of requirements and restrictions, including:</w:t>
      </w:r>
    </w:p>
    <w:p>
      <w:pPr>
        <w:spacing w:after="0" w:line="100" w:lineRule="exact"/>
        <w:rPr>
          <w:sz w:val="20"/>
          <w:szCs w:val="20"/>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record-keeping requirements;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collection and servicing practices;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requirements governing electronic payments, transactions, signatures and disclosures;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examination requirements;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surety bond and minimum net worth requirements;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financial reporting requirements;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notification requirements for changes in principal officers, stock ownership or corporate control;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restrictions on advertising and other loan solicitation activity, as well as restrictions on loan referral or similar practices.</w:t>
      </w:r>
    </w:p>
    <w:p>
      <w:pPr>
        <w:spacing w:after="0" w:line="25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Federal Securities Regulations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Securities Act</w:t>
      </w:r>
    </w:p>
    <w:p>
      <w:pPr>
        <w:spacing w:after="0" w:line="106"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Upstart and certain of our subsidiaries have relied on Section 4(a)(2) of the Securities Act for placement of asset-backed securities directly to investors or to investment bank initial purchasers, which have relied on Rule 144A and Regulation S exemptions from registration to place such asset-backed securities to qualified institutional buyers and non-U.S. investors, respectively.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420"/>
          </w:cols>
          <w:pgMar w:left="320" w:top="419" w:right="115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Investment Advisers Act</w:t>
      </w:r>
    </w:p>
    <w:p>
      <w:pPr>
        <w:spacing w:after="0" w:line="106" w:lineRule="exact"/>
        <w:rPr>
          <w:sz w:val="20"/>
          <w:szCs w:val="20"/>
          <w:color w:val="auto"/>
        </w:rPr>
      </w:pPr>
    </w:p>
    <w:p>
      <w:pPr>
        <w:ind w:left="800" w:right="180" w:firstLine="482"/>
        <w:spacing w:after="0" w:line="234" w:lineRule="auto"/>
        <w:rPr>
          <w:sz w:val="20"/>
          <w:szCs w:val="20"/>
          <w:color w:val="auto"/>
        </w:rPr>
      </w:pPr>
      <w:r>
        <w:rPr>
          <w:rFonts w:ascii="Arial" w:cs="Arial" w:eastAsia="Arial" w:hAnsi="Arial"/>
          <w:sz w:val="16"/>
          <w:szCs w:val="16"/>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Broker-Dealer Regulations under the Exchange Act</w:t>
      </w:r>
    </w:p>
    <w:p>
      <w:pPr>
        <w:spacing w:after="0" w:line="106"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ABS Risk Retention Rules</w:t>
      </w:r>
    </w:p>
    <w:p>
      <w:pPr>
        <w:spacing w:after="0" w:line="106"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Compliance</w:t>
      </w:r>
    </w:p>
    <w:p>
      <w:pPr>
        <w:spacing w:after="0" w:line="106" w:lineRule="exact"/>
        <w:rPr>
          <w:sz w:val="20"/>
          <w:szCs w:val="20"/>
          <w:color w:val="auto"/>
        </w:rPr>
      </w:pPr>
    </w:p>
    <w:p>
      <w:pPr>
        <w:ind w:left="800" w:firstLine="482"/>
        <w:spacing w:after="0" w:line="251" w:lineRule="auto"/>
        <w:rPr>
          <w:sz w:val="20"/>
          <w:szCs w:val="20"/>
          <w:color w:val="auto"/>
        </w:rPr>
      </w:pPr>
      <w:r>
        <w:rPr>
          <w:rFonts w:ascii="Arial" w:cs="Arial" w:eastAsia="Arial" w:hAnsi="Arial"/>
          <w:sz w:val="15"/>
          <w:szCs w:val="15"/>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246"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Intellectual Property</w:t>
      </w:r>
    </w:p>
    <w:p>
      <w:pPr>
        <w:spacing w:after="0" w:line="203"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2020, we had 2 patent applications in the United States related to our proprietary risk model. We may file additional patent applications or pursue additional patent protection in the future to the extent we believe it will be beneficial.</w:t>
      </w:r>
    </w:p>
    <w:p>
      <w:pPr>
        <w:spacing w:after="0" w:line="178"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We have trademark rights in our name, our logo and other brand indicia, and have trademark registrations for select marks in the United States. We will pursue additional trademark registrations to</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420"/>
          </w:cols>
          <w:pgMar w:left="320" w:top="419" w:right="115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40"/>
        <w:spacing w:after="0" w:line="238" w:lineRule="auto"/>
        <w:rPr>
          <w:sz w:val="20"/>
          <w:szCs w:val="20"/>
          <w:color w:val="auto"/>
        </w:rPr>
      </w:pPr>
      <w:r>
        <w:rPr>
          <w:rFonts w:ascii="Arial" w:cs="Arial" w:eastAsia="Arial" w:hAnsi="Arial"/>
          <w:sz w:val="16"/>
          <w:szCs w:val="16"/>
          <w:color w:val="auto"/>
        </w:rPr>
        <w:t>the extent we believe it will be beneficial. We also have registered domain names for websites that we use in our business. We may be subject to third party claims from time to time with respect to our intellectual property.</w:t>
      </w:r>
    </w:p>
    <w:p>
      <w:pPr>
        <w:spacing w:after="0" w:line="179"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79"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For additional information about our intellectual property and associated risks, see the section titled “Risk Factors—Risks Related to Our Business and Industry.”</w:t>
      </w:r>
    </w:p>
    <w:p>
      <w:pPr>
        <w:spacing w:after="0" w:line="25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Human Capital</w:t>
      </w:r>
    </w:p>
    <w:p>
      <w:pPr>
        <w:spacing w:after="0" w:line="203"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We have built something very special at Upstart in terms of our company culture. Building a great place to work for the best talent was a priority for us from day one. It is not an accident that we have received best place to work awards in both our San Mateo and Columbus locations. Our employee engagement results are seven points higher than our technology peers and have even increased over the past year during the COVID-19 pandemic.</w:t>
      </w:r>
      <w:r>
        <w:rPr>
          <w:rFonts w:ascii="Arial" w:cs="Arial" w:eastAsia="Arial" w:hAnsi="Arial"/>
          <w:sz w:val="13"/>
          <w:szCs w:val="13"/>
          <w:color w:val="auto"/>
        </w:rPr>
        <w:t>71</w:t>
      </w:r>
    </w:p>
    <w:p>
      <w:pPr>
        <w:spacing w:after="0" w:line="178" w:lineRule="exact"/>
        <w:rPr>
          <w:sz w:val="20"/>
          <w:szCs w:val="20"/>
          <w:color w:val="auto"/>
        </w:rPr>
      </w:pPr>
    </w:p>
    <w:p>
      <w:pPr>
        <w:ind w:left="800" w:right="380" w:firstLine="482"/>
        <w:spacing w:after="0" w:line="236" w:lineRule="auto"/>
        <w:rPr>
          <w:sz w:val="20"/>
          <w:szCs w:val="20"/>
          <w:color w:val="auto"/>
        </w:rPr>
      </w:pPr>
      <w:r>
        <w:rPr>
          <w:rFonts w:ascii="Arial" w:cs="Arial" w:eastAsia="Arial" w:hAnsi="Arial"/>
          <w:sz w:val="16"/>
          <w:szCs w:val="16"/>
          <w:color w:val="auto"/>
        </w:rPr>
        <w:t>We have brought together a remarkable diversity of thinkers. The members of our management team come from diverse backgrounds with varying ethnicities, education backgrounds, genders and ages. As the focal point of our human capital strategy, we attract and recruit diverse, exceptionally talented, highly educated, experienced and motivated employees.</w:t>
      </w:r>
    </w:p>
    <w:p>
      <w:pPr>
        <w:spacing w:after="0" w:line="179"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We have an extremely rigorous recruiting and employee candidate screening process. Our machine learning team, responsible for the development and constant improvement of our AI models, is unlike any other in consumer lending. The majority of the members of our machine learning team have doctorate degrees in statistics, mathematics, computer science, economics or physics and many have extensive past experience in quantitative finance.</w:t>
      </w:r>
    </w:p>
    <w:p>
      <w:pPr>
        <w:spacing w:after="0" w:line="178"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Beyond delivering on business results, our employees are engaged in a culture of collaboration and community—they have founded more than 20 clubs and special interest groups, created seven employee resource groups and hosted countless lunch and learns on topics ranging from startup financing to salsa classes taught by our chief compliance officer.</w:t>
      </w:r>
    </w:p>
    <w:p>
      <w:pPr>
        <w:spacing w:after="0" w:line="179" w:lineRule="exact"/>
        <w:rPr>
          <w:sz w:val="20"/>
          <w:szCs w:val="20"/>
          <w:color w:val="auto"/>
        </w:rPr>
      </w:pPr>
    </w:p>
    <w:p>
      <w:pPr>
        <w:ind w:left="800" w:right="40" w:firstLine="482"/>
        <w:spacing w:after="0" w:line="236" w:lineRule="auto"/>
        <w:rPr>
          <w:sz w:val="20"/>
          <w:szCs w:val="20"/>
          <w:color w:val="auto"/>
        </w:rPr>
      </w:pPr>
      <w:r>
        <w:rPr>
          <w:rFonts w:ascii="Arial" w:cs="Arial" w:eastAsia="Arial" w:hAnsi="Arial"/>
          <w:sz w:val="16"/>
          <w:szCs w:val="16"/>
          <w:color w:val="auto"/>
        </w:rPr>
        <w:t>As of December 31, 2020, we had 554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253"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Facilities</w:t>
      </w:r>
    </w:p>
    <w:p>
      <w:pPr>
        <w:spacing w:after="0" w:line="203"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Our corporate headquarters are located in San Mateo, California and Columbus, Ohio and consist of approximately 48,244 square feet and 54,870 square feet of space, respectively, under leases that expire in March 2024 and June 2027, respectively. We also lease and license facilities in New York, New York. We believe that our facilities are adequate for our current needs and that, if necessary, additional facilities will be available to accommodate the expansion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68580</wp:posOffset>
            </wp:positionV>
            <wp:extent cx="67564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9" w:lineRule="exact"/>
        <w:rPr>
          <w:sz w:val="20"/>
          <w:szCs w:val="20"/>
          <w:color w:val="auto"/>
        </w:rPr>
      </w:pPr>
    </w:p>
    <w:p>
      <w:pPr>
        <w:ind w:left="1280" w:right="80" w:hanging="481"/>
        <w:spacing w:after="0" w:line="180" w:lineRule="auto"/>
        <w:tabs>
          <w:tab w:leader="none" w:pos="1280" w:val="left"/>
        </w:tabs>
        <w:numPr>
          <w:ilvl w:val="0"/>
          <w:numId w:val="85"/>
        </w:numPr>
        <w:rPr>
          <w:rFonts w:ascii="Arial" w:cs="Arial" w:eastAsia="Arial" w:hAnsi="Arial"/>
          <w:sz w:val="21"/>
          <w:szCs w:val="21"/>
          <w:color w:val="auto"/>
          <w:vertAlign w:val="superscript"/>
        </w:rPr>
      </w:pPr>
      <w:r>
        <w:rPr>
          <w:rFonts w:ascii="Arial" w:cs="Arial" w:eastAsia="Arial" w:hAnsi="Arial"/>
          <w:sz w:val="13"/>
          <w:szCs w:val="13"/>
          <w:color w:val="auto"/>
        </w:rPr>
        <w:t>Based on internal survey results obtained using a third-party service as compared to an industry benchmark for technology companies of a similar size provided by such third-party.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420"/>
          </w:cols>
          <w:pgMar w:left="320" w:top="419" w:right="115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Legal Proceedings</w:t>
      </w:r>
    </w:p>
    <w:p>
      <w:pPr>
        <w:spacing w:after="0" w:line="20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From time to time, we and certain of our subsidiaries may be subject to legal proceedings and claims that arise in the ordinary course of business, as well as governmental and other regulatory investigations and proceedings. In addition, third parties may from time to time assert claims against us in the form of letters and other communications. We are not currently subject to any legal proceedings that, if determined adversely to us, would, in our opinion, have a material adverse effect on our business, results of operations or financial condition. Future litigation may be necessary to defend ourselves or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360"/>
          </w:cols>
          <w:pgMar w:left="320" w:top="419" w:right="121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MANAGEMENT</w:t>
      </w:r>
    </w:p>
    <w:p>
      <w:pPr>
        <w:spacing w:after="0" w:line="277"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Executive Officers and Directors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provides information regarding our executive officers and directors as of March 15, 2021:</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66"/>
        </w:trPr>
        <w:tc>
          <w:tcPr>
            <w:tcW w:w="38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ind w:left="100"/>
              <w:spacing w:after="0"/>
              <w:rPr>
                <w:sz w:val="20"/>
                <w:szCs w:val="20"/>
                <w:color w:val="auto"/>
              </w:rPr>
            </w:pPr>
            <w:r>
              <w:rPr>
                <w:rFonts w:ascii="Arial" w:cs="Arial" w:eastAsia="Arial" w:hAnsi="Arial"/>
                <w:sz w:val="13"/>
                <w:szCs w:val="13"/>
                <w:b w:val="1"/>
                <w:bCs w:val="1"/>
                <w:color w:val="auto"/>
              </w:rPr>
              <w:t>Age</w:t>
            </w:r>
          </w:p>
        </w:tc>
        <w:tc>
          <w:tcPr>
            <w:tcW w:w="4920" w:type="dxa"/>
            <w:vAlign w:val="bottom"/>
          </w:tcPr>
          <w:p>
            <w:pPr>
              <w:spacing w:after="0"/>
              <w:rPr>
                <w:sz w:val="20"/>
                <w:szCs w:val="20"/>
                <w:color w:val="auto"/>
              </w:rPr>
            </w:pPr>
            <w:r>
              <w:rPr>
                <w:rFonts w:ascii="Arial" w:cs="Arial" w:eastAsia="Arial" w:hAnsi="Arial"/>
                <w:sz w:val="13"/>
                <w:szCs w:val="13"/>
                <w:b w:val="1"/>
                <w:bCs w:val="1"/>
                <w:color w:val="auto"/>
              </w:rPr>
              <w:t>Position(s)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i w:val="1"/>
                <w:iCs w:val="1"/>
                <w:color w:val="auto"/>
              </w:rPr>
              <w:t>Executive Officers:</w:t>
            </w:r>
          </w:p>
        </w:tc>
        <w:tc>
          <w:tcPr>
            <w:tcW w:w="2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4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Dave Girouard</w:t>
            </w:r>
          </w:p>
        </w:tc>
        <w:tc>
          <w:tcPr>
            <w:tcW w:w="88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55</w:t>
            </w:r>
          </w:p>
        </w:tc>
        <w:tc>
          <w:tcPr>
            <w:tcW w:w="4920" w:type="dxa"/>
            <w:vAlign w:val="bottom"/>
          </w:tcPr>
          <w:p>
            <w:pPr>
              <w:spacing w:after="0" w:line="178" w:lineRule="exact"/>
              <w:rPr>
                <w:sz w:val="20"/>
                <w:szCs w:val="20"/>
                <w:color w:val="auto"/>
              </w:rPr>
            </w:pPr>
            <w:r>
              <w:rPr>
                <w:rFonts w:ascii="Arial" w:cs="Arial" w:eastAsia="Arial" w:hAnsi="Arial"/>
                <w:sz w:val="16"/>
                <w:szCs w:val="16"/>
                <w:color w:val="auto"/>
              </w:rPr>
              <w:t>Chief Executive Officer, Chairperson of the Board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Sanjay Datta</w:t>
            </w:r>
          </w:p>
        </w:tc>
        <w:tc>
          <w:tcPr>
            <w:tcW w:w="88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47</w:t>
            </w:r>
          </w:p>
        </w:tc>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Anna M. Counselman</w:t>
            </w:r>
          </w:p>
        </w:tc>
        <w:tc>
          <w:tcPr>
            <w:tcW w:w="88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40</w:t>
            </w:r>
          </w:p>
        </w:tc>
        <w:tc>
          <w:tcPr>
            <w:tcW w:w="4920" w:type="dxa"/>
            <w:vAlign w:val="bottom"/>
          </w:tcPr>
          <w:p>
            <w:pPr>
              <w:spacing w:after="0" w:line="178" w:lineRule="exact"/>
              <w:rPr>
                <w:sz w:val="20"/>
                <w:szCs w:val="20"/>
                <w:color w:val="auto"/>
              </w:rPr>
            </w:pPr>
            <w:r>
              <w:rPr>
                <w:rFonts w:ascii="Arial" w:cs="Arial" w:eastAsia="Arial" w:hAnsi="Arial"/>
                <w:sz w:val="16"/>
                <w:szCs w:val="16"/>
                <w:color w:val="auto"/>
              </w:rPr>
              <w:t>SVP, People and Operations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Paul Gu</w:t>
            </w:r>
          </w:p>
        </w:tc>
        <w:tc>
          <w:tcPr>
            <w:tcW w:w="88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30</w:t>
            </w:r>
          </w:p>
        </w:tc>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SVP, Product and Data Science, Director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Alison Nicoll</w:t>
            </w:r>
          </w:p>
        </w:tc>
        <w:tc>
          <w:tcPr>
            <w:tcW w:w="880" w:type="dxa"/>
            <w:vAlign w:val="bottom"/>
            <w:gridSpan w:val="2"/>
          </w:tcPr>
          <w:p>
            <w:pPr>
              <w:jc w:val="right"/>
              <w:ind w:right="460"/>
              <w:spacing w:after="0"/>
              <w:rPr>
                <w:sz w:val="20"/>
                <w:szCs w:val="20"/>
                <w:color w:val="auto"/>
              </w:rPr>
            </w:pPr>
            <w:r>
              <w:rPr>
                <w:rFonts w:ascii="Arial" w:cs="Arial" w:eastAsia="Arial" w:hAnsi="Arial"/>
                <w:sz w:val="16"/>
                <w:szCs w:val="16"/>
                <w:color w:val="auto"/>
              </w:rPr>
              <w:t>49</w:t>
            </w:r>
          </w:p>
        </w:tc>
        <w:tc>
          <w:tcPr>
            <w:tcW w:w="4920" w:type="dxa"/>
            <w:vAlign w:val="bottom"/>
          </w:tcPr>
          <w:p>
            <w:pPr>
              <w:spacing w:after="0"/>
              <w:rPr>
                <w:sz w:val="20"/>
                <w:szCs w:val="20"/>
                <w:color w:val="auto"/>
              </w:rPr>
            </w:pPr>
            <w:r>
              <w:rPr>
                <w:rFonts w:ascii="Arial" w:cs="Arial" w:eastAsia="Arial" w:hAnsi="Arial"/>
                <w:sz w:val="16"/>
                <w:szCs w:val="16"/>
                <w:color w:val="auto"/>
              </w:rPr>
              <w:t>General Counsel</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i w:val="1"/>
                <w:iCs w:val="1"/>
                <w:color w:val="auto"/>
              </w:rPr>
              <w:t>Non-Employee Directors:</w:t>
            </w: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Kerry W. Cooper</w:t>
            </w:r>
          </w:p>
        </w:tc>
        <w:tc>
          <w:tcPr>
            <w:tcW w:w="88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49</w:t>
            </w:r>
          </w:p>
        </w:tc>
        <w:tc>
          <w:tcPr>
            <w:tcW w:w="4920" w:type="dxa"/>
            <w:vAlign w:val="bottom"/>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Mary Hentges</w:t>
            </w:r>
            <w:r>
              <w:rPr>
                <w:rFonts w:ascii="Arial" w:cs="Arial" w:eastAsia="Arial" w:hAnsi="Arial"/>
                <w:sz w:val="13"/>
                <w:szCs w:val="13"/>
                <w:color w:val="auto"/>
              </w:rPr>
              <w:t>(1)</w:t>
            </w:r>
          </w:p>
        </w:tc>
        <w:tc>
          <w:tcPr>
            <w:tcW w:w="88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62</w:t>
            </w:r>
          </w:p>
        </w:tc>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Oskar Mielczarek de la Miel</w:t>
            </w:r>
            <w:r>
              <w:rPr>
                <w:rFonts w:ascii="Arial" w:cs="Arial" w:eastAsia="Arial" w:hAnsi="Arial"/>
                <w:sz w:val="13"/>
                <w:szCs w:val="13"/>
                <w:color w:val="auto"/>
              </w:rPr>
              <w:t>(3)</w:t>
            </w:r>
          </w:p>
        </w:tc>
        <w:tc>
          <w:tcPr>
            <w:tcW w:w="88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48</w:t>
            </w:r>
          </w:p>
        </w:tc>
        <w:tc>
          <w:tcPr>
            <w:tcW w:w="4920" w:type="dxa"/>
            <w:vAlign w:val="bottom"/>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Ciaran O’Kelly</w:t>
            </w:r>
            <w:r>
              <w:rPr>
                <w:rFonts w:ascii="Arial" w:cs="Arial" w:eastAsia="Arial" w:hAnsi="Arial"/>
                <w:sz w:val="13"/>
                <w:szCs w:val="13"/>
                <w:color w:val="auto"/>
              </w:rPr>
              <w:t>(1) (3)</w:t>
            </w:r>
          </w:p>
        </w:tc>
        <w:tc>
          <w:tcPr>
            <w:tcW w:w="88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52</w:t>
            </w:r>
          </w:p>
        </w:tc>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Robert Schwartz</w:t>
            </w:r>
            <w:r>
              <w:rPr>
                <w:rFonts w:ascii="Arial" w:cs="Arial" w:eastAsia="Arial" w:hAnsi="Arial"/>
                <w:sz w:val="13"/>
                <w:szCs w:val="13"/>
                <w:color w:val="auto"/>
              </w:rPr>
              <w:t>(2)(3)</w:t>
            </w:r>
          </w:p>
        </w:tc>
        <w:tc>
          <w:tcPr>
            <w:tcW w:w="880" w:type="dxa"/>
            <w:vAlign w:val="bottom"/>
            <w:gridSpan w:val="2"/>
          </w:tcPr>
          <w:p>
            <w:pPr>
              <w:jc w:val="right"/>
              <w:ind w:right="460"/>
              <w:spacing w:after="0" w:line="178" w:lineRule="exact"/>
              <w:rPr>
                <w:sz w:val="20"/>
                <w:szCs w:val="20"/>
                <w:color w:val="auto"/>
              </w:rPr>
            </w:pPr>
            <w:r>
              <w:rPr>
                <w:rFonts w:ascii="Arial" w:cs="Arial" w:eastAsia="Arial" w:hAnsi="Arial"/>
                <w:sz w:val="16"/>
                <w:szCs w:val="16"/>
                <w:color w:val="auto"/>
              </w:rPr>
              <w:t>59</w:t>
            </w:r>
          </w:p>
        </w:tc>
        <w:tc>
          <w:tcPr>
            <w:tcW w:w="4920" w:type="dxa"/>
            <w:vAlign w:val="bottom"/>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Sukhinder Singh Cassidy</w:t>
            </w:r>
            <w:r>
              <w:rPr>
                <w:rFonts w:ascii="Arial" w:cs="Arial" w:eastAsia="Arial" w:hAnsi="Arial"/>
                <w:sz w:val="13"/>
                <w:szCs w:val="13"/>
                <w:color w:val="auto"/>
              </w:rPr>
              <w:t>(2)</w:t>
            </w:r>
          </w:p>
        </w:tc>
        <w:tc>
          <w:tcPr>
            <w:tcW w:w="880" w:type="dxa"/>
            <w:vAlign w:val="bottom"/>
            <w:gridSpan w:val="2"/>
            <w:shd w:val="clear" w:color="auto" w:fill="CCEEFF"/>
          </w:tcPr>
          <w:p>
            <w:pPr>
              <w:jc w:val="right"/>
              <w:ind w:right="460"/>
              <w:spacing w:after="0" w:line="178" w:lineRule="exact"/>
              <w:rPr>
                <w:sz w:val="20"/>
                <w:szCs w:val="20"/>
                <w:color w:val="auto"/>
              </w:rPr>
            </w:pPr>
            <w:r>
              <w:rPr>
                <w:rFonts w:ascii="Arial" w:cs="Arial" w:eastAsia="Arial" w:hAnsi="Arial"/>
                <w:sz w:val="16"/>
                <w:szCs w:val="16"/>
                <w:color w:val="auto"/>
              </w:rPr>
              <w:t>51</w:t>
            </w:r>
          </w:p>
        </w:tc>
        <w:tc>
          <w:tcPr>
            <w:tcW w:w="4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Hilliard C. Terry III</w:t>
            </w:r>
            <w:r>
              <w:rPr>
                <w:rFonts w:ascii="Arial" w:cs="Arial" w:eastAsia="Arial" w:hAnsi="Arial"/>
                <w:sz w:val="13"/>
                <w:szCs w:val="13"/>
                <w:color w:val="auto"/>
              </w:rPr>
              <w:t>(1)</w:t>
            </w:r>
          </w:p>
        </w:tc>
        <w:tc>
          <w:tcPr>
            <w:tcW w:w="880" w:type="dxa"/>
            <w:vAlign w:val="bottom"/>
            <w:gridSpan w:val="2"/>
          </w:tcPr>
          <w:p>
            <w:pPr>
              <w:jc w:val="right"/>
              <w:ind w:right="460"/>
              <w:spacing w:after="0"/>
              <w:rPr>
                <w:sz w:val="20"/>
                <w:szCs w:val="20"/>
                <w:color w:val="auto"/>
              </w:rPr>
            </w:pPr>
            <w:r>
              <w:rPr>
                <w:rFonts w:ascii="Arial" w:cs="Arial" w:eastAsia="Arial" w:hAnsi="Arial"/>
                <w:sz w:val="16"/>
                <w:szCs w:val="16"/>
                <w:color w:val="auto"/>
              </w:rPr>
              <w:t>51</w:t>
            </w:r>
          </w:p>
        </w:tc>
        <w:tc>
          <w:tcPr>
            <w:tcW w:w="4920" w:type="dxa"/>
            <w:vAlign w:val="bottom"/>
          </w:tcPr>
          <w:p>
            <w:pPr>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67945</wp:posOffset>
            </wp:positionV>
            <wp:extent cx="67564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1" w:lineRule="exact"/>
        <w:rPr>
          <w:sz w:val="20"/>
          <w:szCs w:val="20"/>
          <w:color w:val="auto"/>
        </w:rPr>
      </w:pPr>
    </w:p>
    <w:p>
      <w:pPr>
        <w:ind w:left="1280" w:hanging="481"/>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Member of the audit committee</w:t>
      </w:r>
    </w:p>
    <w:p>
      <w:pPr>
        <w:ind w:left="1280" w:hanging="481"/>
        <w:spacing w:after="0" w:line="227" w:lineRule="auto"/>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ind w:left="1280" w:hanging="481"/>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Executive Officers</w:t>
      </w:r>
    </w:p>
    <w:p>
      <w:pPr>
        <w:spacing w:after="0" w:line="88"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b w:val="1"/>
          <w:bCs w:val="1"/>
          <w:i w:val="1"/>
          <w:iCs w:val="1"/>
          <w:color w:val="auto"/>
        </w:rPr>
        <w:t xml:space="preserve">Dave Girouard. </w:t>
      </w:r>
      <w:r>
        <w:rPr>
          <w:rFonts w:ascii="Arial" w:cs="Arial" w:eastAsia="Arial" w:hAnsi="Arial"/>
          <w:sz w:val="16"/>
          <w:szCs w:val="16"/>
          <w:color w:val="auto"/>
        </w:rPr>
        <w:t>Mr. Girouard is one of our co-founders and has served as our Chief Executive Officer and a member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since our incorporation. From February 2004 to April 2012, Mr. Girouard served in various roles at Google, a technology company, most recently as President of Google Enterprise, where he helped build Google’s cloud applications business worldwide, including product development, sales, marketing, and customer support. He started his career in Silicon Valley as a Product Manager at Apple, a technology company, and previously served as an associate in the consulting firm Booz Allen’s Information Technology practice. Mr. Girouard’s career began in software development with the Boston office of Accenture, a consulting firm. He graduated from Dartmouth College with a B.A. in Engineering Sciences and a B.E. in Computer Engineering. Mr. Girouard also holds an M.B.A. from the University of Michigan with High Distinction.</w:t>
      </w:r>
    </w:p>
    <w:p>
      <w:pPr>
        <w:spacing w:after="0" w:line="179" w:lineRule="exact"/>
        <w:rPr>
          <w:sz w:val="20"/>
          <w:szCs w:val="20"/>
          <w:color w:val="auto"/>
        </w:rPr>
      </w:pPr>
    </w:p>
    <w:p>
      <w:pPr>
        <w:ind w:left="800" w:right="320" w:firstLine="482"/>
        <w:spacing w:after="0" w:line="238" w:lineRule="auto"/>
        <w:rPr>
          <w:sz w:val="20"/>
          <w:szCs w:val="20"/>
          <w:color w:val="auto"/>
        </w:rPr>
      </w:pPr>
      <w:r>
        <w:rPr>
          <w:rFonts w:ascii="Arial" w:cs="Arial" w:eastAsia="Arial" w:hAnsi="Arial"/>
          <w:sz w:val="16"/>
          <w:szCs w:val="16"/>
          <w:color w:val="auto"/>
        </w:rPr>
        <w:t>Mr. Girouard was selected to serve on our board of directors because of the perspective and experience he brings as our Chief Executive Officer and as one of our co-founders, as well as his extensive experience with technology companies.</w:t>
      </w:r>
    </w:p>
    <w:p>
      <w:pPr>
        <w:spacing w:after="0" w:line="161" w:lineRule="exact"/>
        <w:rPr>
          <w:sz w:val="20"/>
          <w:szCs w:val="20"/>
          <w:color w:val="auto"/>
        </w:rPr>
      </w:pPr>
    </w:p>
    <w:p>
      <w:pPr>
        <w:ind w:left="800" w:right="20" w:firstLine="482"/>
        <w:spacing w:after="0" w:line="237" w:lineRule="auto"/>
        <w:rPr>
          <w:sz w:val="20"/>
          <w:szCs w:val="20"/>
          <w:color w:val="auto"/>
        </w:rPr>
      </w:pPr>
      <w:r>
        <w:rPr>
          <w:rFonts w:ascii="Arial" w:cs="Arial" w:eastAsia="Arial" w:hAnsi="Arial"/>
          <w:sz w:val="16"/>
          <w:szCs w:val="16"/>
          <w:b w:val="1"/>
          <w:bCs w:val="1"/>
          <w:i w:val="1"/>
          <w:iCs w:val="1"/>
          <w:color w:val="auto"/>
        </w:rPr>
        <w:t xml:space="preserve">Sanjay Datta. </w:t>
      </w:r>
      <w:r>
        <w:rPr>
          <w:rFonts w:ascii="Arial" w:cs="Arial" w:eastAsia="Arial" w:hAnsi="Arial"/>
          <w:sz w:val="16"/>
          <w:szCs w:val="16"/>
          <w:color w:val="auto"/>
        </w:rPr>
        <w:t>Mr. Datta has served as our Chief Financial Officer since December 2016. From June 2005 to December 2016,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in various roles at Google, including as Vice President of Finance for Global Advertising, Finance Director of Corporate Revenue and Product Profitability, and in various international finance leadership positions based in Asia and Europe. Prior to Google, Mr. Datta worked at Artisan Capital, a private investment group, from November 2002 to May 2005, sourcing and reviewing prospective private equity investments, and worked at Deloitte Consulting, a consulting firm, from June 1996 to July 2000. Mr. Datta has a joint honors degree in Economics and Finance from McGill University in Montreal and an M.B.A. from Stanford University.</w:t>
      </w:r>
    </w:p>
    <w:p>
      <w:pPr>
        <w:spacing w:after="0" w:line="1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440"/>
          </w:cols>
          <w:pgMar w:left="320" w:top="419" w:right="113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firstLine="482"/>
        <w:spacing w:after="0" w:line="258" w:lineRule="auto"/>
        <w:rPr>
          <w:sz w:val="20"/>
          <w:szCs w:val="20"/>
          <w:color w:val="auto"/>
        </w:rPr>
      </w:pPr>
      <w:r>
        <w:rPr>
          <w:rFonts w:ascii="Arial" w:cs="Arial" w:eastAsia="Arial" w:hAnsi="Arial"/>
          <w:sz w:val="15"/>
          <w:szCs w:val="15"/>
          <w:b w:val="1"/>
          <w:bCs w:val="1"/>
          <w:i w:val="1"/>
          <w:iCs w:val="1"/>
          <w:color w:val="auto"/>
        </w:rPr>
        <w:t xml:space="preserve">Anna M. Counselman. </w:t>
      </w:r>
      <w:r>
        <w:rPr>
          <w:rFonts w:ascii="Arial" w:cs="Arial" w:eastAsia="Arial" w:hAnsi="Arial"/>
          <w:sz w:val="15"/>
          <w:szCs w:val="15"/>
          <w:color w:val="auto"/>
        </w:rPr>
        <w:t>Ms. Counselman is one of our co-founders and has served in various roles since May 2012,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recently as Senior Vice President, People and Operations. From February 2007 to May 2012, she served in various roles at Google, including most recently as Head of Premium Services &amp; Customer Programs. Ms. Counselman began her career in industrial operations at a management development program at McMaster-Carr, a supplier of hardware, tools, raw materials, and maintenance equipment industrial materials. Ms. Counselman graduated Summa Cum Laude from Boston University with a B.A. in Finance and Entrepreneurship.</w:t>
      </w:r>
    </w:p>
    <w:p>
      <w:pPr>
        <w:spacing w:after="0" w:line="149" w:lineRule="exact"/>
        <w:rPr>
          <w:sz w:val="20"/>
          <w:szCs w:val="20"/>
          <w:color w:val="auto"/>
        </w:rPr>
      </w:pPr>
    </w:p>
    <w:p>
      <w:pPr>
        <w:ind w:left="800" w:right="60" w:firstLine="482"/>
        <w:spacing w:after="0" w:line="237" w:lineRule="auto"/>
        <w:rPr>
          <w:sz w:val="20"/>
          <w:szCs w:val="20"/>
          <w:color w:val="auto"/>
        </w:rPr>
      </w:pPr>
      <w:r>
        <w:rPr>
          <w:rFonts w:ascii="Arial" w:cs="Arial" w:eastAsia="Arial" w:hAnsi="Arial"/>
          <w:sz w:val="16"/>
          <w:szCs w:val="16"/>
          <w:b w:val="1"/>
          <w:bCs w:val="1"/>
          <w:i w:val="1"/>
          <w:iCs w:val="1"/>
          <w:color w:val="auto"/>
        </w:rPr>
        <w:t xml:space="preserve">Paul Gu. </w:t>
      </w:r>
      <w:r>
        <w:rPr>
          <w:rFonts w:ascii="Arial" w:cs="Arial" w:eastAsia="Arial" w:hAnsi="Arial"/>
          <w:sz w:val="16"/>
          <w:szCs w:val="16"/>
          <w:color w:val="auto"/>
        </w:rPr>
        <w:t>Mr. Gu is one of our co-founders and has served in various roles since April 2012, including most recently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Vice President, Product and Data Science. He has also served as a member of our board of directors since April 2015. Mr. Gu has a background in quantitative finance, built his first algorithmic trading strategies on the Interactive Brokers API at the age of 20 and previously worked in risk analysis at the D.E. Shaw Group, a hedge fund, in 2011. During college, Mr. Gu led underwriting for two non-profit microlenders in the United States. Mr. Gu studied economics and computer science at Yale University and then joined the Thiel Fellowship.</w:t>
      </w:r>
    </w:p>
    <w:p>
      <w:pPr>
        <w:spacing w:after="0" w:line="181" w:lineRule="exact"/>
        <w:rPr>
          <w:sz w:val="20"/>
          <w:szCs w:val="20"/>
          <w:color w:val="auto"/>
        </w:rPr>
      </w:pPr>
    </w:p>
    <w:p>
      <w:pPr>
        <w:ind w:left="800" w:right="300" w:firstLine="482"/>
        <w:spacing w:after="0" w:line="238" w:lineRule="auto"/>
        <w:rPr>
          <w:sz w:val="20"/>
          <w:szCs w:val="20"/>
          <w:color w:val="auto"/>
        </w:rPr>
      </w:pPr>
      <w:r>
        <w:rPr>
          <w:rFonts w:ascii="Arial" w:cs="Arial" w:eastAsia="Arial" w:hAnsi="Arial"/>
          <w:sz w:val="16"/>
          <w:szCs w:val="16"/>
          <w:color w:val="auto"/>
        </w:rPr>
        <w:t>Mr. Gu was selected to serve on our board of directors because of the perspective and experience he brings as our Senior Vice President, Product and Data Science and as one of our co-founders, as well as his expertise in data science.</w:t>
      </w:r>
    </w:p>
    <w:p>
      <w:pPr>
        <w:spacing w:after="0" w:line="161" w:lineRule="exact"/>
        <w:rPr>
          <w:sz w:val="20"/>
          <w:szCs w:val="20"/>
          <w:color w:val="auto"/>
        </w:rPr>
      </w:pPr>
    </w:p>
    <w:p>
      <w:pPr>
        <w:ind w:left="800" w:firstLine="482"/>
        <w:spacing w:after="0" w:line="256" w:lineRule="auto"/>
        <w:rPr>
          <w:sz w:val="20"/>
          <w:szCs w:val="20"/>
          <w:color w:val="auto"/>
        </w:rPr>
      </w:pPr>
      <w:r>
        <w:rPr>
          <w:rFonts w:ascii="Arial" w:cs="Arial" w:eastAsia="Arial" w:hAnsi="Arial"/>
          <w:sz w:val="15"/>
          <w:szCs w:val="15"/>
          <w:b w:val="1"/>
          <w:bCs w:val="1"/>
          <w:i w:val="1"/>
          <w:iCs w:val="1"/>
          <w:color w:val="auto"/>
        </w:rPr>
        <w:t xml:space="preserve">Alison Nicoll. </w:t>
      </w:r>
      <w:r>
        <w:rPr>
          <w:rFonts w:ascii="Arial" w:cs="Arial" w:eastAsia="Arial" w:hAnsi="Arial"/>
          <w:sz w:val="15"/>
          <w:szCs w:val="15"/>
          <w:color w:val="auto"/>
        </w:rPr>
        <w:t>Ms. Nicoll has served as our General Counsel since May 2012. From July 2006 to May 2012, Ms. Nicoll worked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legal team at PayPal, Inc., a financial services technology company, where she ultimately served as Associate General Counsel and managed the North America legal team responsible for supporting multiple business units on issues ranging from corporate strategy, general commercial matters, regulatory developments and compliance, consumer protection, online and mobile payments and merchant payment acceptance. From 2003 to 2006, she also served as the General Counsel of TSYS Prepaid, a prepaid payments processing company. Ms. Nicoll holds a law degree from the University of Glasgow in Scotland and a Masters of Law from Columbia Law School.</w:t>
      </w:r>
    </w:p>
    <w:p>
      <w:pPr>
        <w:spacing w:after="0" w:line="244"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88" w:lineRule="exact"/>
        <w:rPr>
          <w:sz w:val="20"/>
          <w:szCs w:val="20"/>
          <w:color w:val="auto"/>
        </w:rPr>
      </w:pPr>
    </w:p>
    <w:p>
      <w:pPr>
        <w:ind w:left="800" w:right="140" w:firstLine="482"/>
        <w:spacing w:after="0" w:line="239" w:lineRule="auto"/>
        <w:rPr>
          <w:sz w:val="20"/>
          <w:szCs w:val="20"/>
          <w:color w:val="auto"/>
        </w:rPr>
      </w:pPr>
      <w:r>
        <w:rPr>
          <w:rFonts w:ascii="Arial" w:cs="Arial" w:eastAsia="Arial" w:hAnsi="Arial"/>
          <w:sz w:val="16"/>
          <w:szCs w:val="16"/>
          <w:b w:val="1"/>
          <w:bCs w:val="1"/>
          <w:i w:val="1"/>
          <w:iCs w:val="1"/>
          <w:color w:val="auto"/>
        </w:rPr>
        <w:t xml:space="preserve">Kerry W. Cooper. </w:t>
      </w:r>
      <w:r>
        <w:rPr>
          <w:rFonts w:ascii="Arial" w:cs="Arial" w:eastAsia="Arial" w:hAnsi="Arial"/>
          <w:sz w:val="16"/>
          <w:szCs w:val="16"/>
          <w:color w:val="auto"/>
        </w:rPr>
        <w:t>Ms. Cooper has served as a member of our board of directors since March 2021. Ms. Cooper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Operating Officer of Rothy’s, a direct to consumer footwear company, from November 2017 to January 2020. Before joining Rothy’s, Ms. Cooper was Chief Executive Officer of Choose Energy, a consumer services energy company, from 2013 to 2016. She is currently a director of PG&amp;E Corp., a utility, and TPB Acquisition Corp I. Ms. Cooper holds a B.S. in Mechanical Engineering from University of Texas at Austin and an M.B.A. from Harvard Business School.</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Ms. Cooper was selected to serve on our board of directors because of her extensive experience as an executive in the consumer</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space.</w:t>
      </w:r>
    </w:p>
    <w:p>
      <w:pPr>
        <w:spacing w:after="0" w:line="165"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b w:val="1"/>
          <w:bCs w:val="1"/>
          <w:i w:val="1"/>
          <w:iCs w:val="1"/>
          <w:color w:val="auto"/>
        </w:rPr>
        <w:t xml:space="preserve">Mary Hentges. </w:t>
      </w:r>
      <w:r>
        <w:rPr>
          <w:rFonts w:ascii="Arial" w:cs="Arial" w:eastAsia="Arial" w:hAnsi="Arial"/>
          <w:sz w:val="16"/>
          <w:szCs w:val="16"/>
          <w:color w:val="auto"/>
        </w:rPr>
        <w:t>Ms. Hentges has served as a member of our board of directors since December 2019. Ms. Hentges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Interim Chief Financial Officer for ShotSpotter, a precision-policing solutions company from October 2020 to January 2021 Ms. Hentges previously served as the Chief Financial Officer of Yapstone, Inc., a financial services company, from 2012 to 2014, the Chief Financial Officer of CBS Interactive, a media company, from 2010 to 2012, and the Chief Financial Officer of PayPal, Inc. from 2003 to 2010. She is also a Certified Public Accountant (inactive). Ms. Hentges holds a B.S. in Accounting from Arizona State University. Ms. Hentges was selected to serve on our board of directors because of her financial expertise and extensive experience as an executive in the technology industry.</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440"/>
          </w:cols>
          <w:pgMar w:left="320" w:top="419" w:right="113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b w:val="1"/>
          <w:bCs w:val="1"/>
          <w:i w:val="1"/>
          <w:iCs w:val="1"/>
          <w:color w:val="auto"/>
        </w:rPr>
        <w:t xml:space="preserve">Oskar Mielczarek de la Miel. </w:t>
      </w:r>
      <w:r>
        <w:rPr>
          <w:rFonts w:ascii="Arial" w:cs="Arial" w:eastAsia="Arial" w:hAnsi="Arial"/>
          <w:sz w:val="16"/>
          <w:szCs w:val="16"/>
          <w:color w:val="auto"/>
        </w:rPr>
        <w:t>Mr. Mielczarek de la Miel has served as a member of our board of directors since November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Mielczarek de la Miel will not stand for re-election at the 2021 Annual Meeting. Mr. Mielczarek de la Miel is an executive officer of Rakuten, Inc. a technology company, and is Managing Partner at Rakuten Capital, the corporate venture capital arm of Rakuten, Inc., where he manages fintech, mobility, digital media and other investments. He also serves on the board of directors for Rakuten Europe S.a.r.l., Azimo, Ltd, 1XL PremFina, Ltd, Cyndx Holdco, Inc., Glovapp23, S.L., FeverLabs, Inc. and Contenidos y Marcas, S.L. Prior to joining Rakuten, Mr. Mielczarek de la Miel served in various roles in the financial industry, including in investment banking at J.P. Morgan and Merrill Lynch, financial services firms. Mr. Mielczarek de la Miel holds a B.A. from ICADE in Spain and an M.B.A. from Harvard Business School.</w:t>
      </w:r>
    </w:p>
    <w:p>
      <w:pPr>
        <w:spacing w:after="0" w:line="179"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Mr. Mielczarek de la Miel was selected to serve on our board of directors because of his experience in the venture capital industry and his international market knowledge and experience serving as a director of various private companies.</w:t>
      </w:r>
    </w:p>
    <w:p>
      <w:pPr>
        <w:spacing w:after="0" w:line="161"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b w:val="1"/>
          <w:bCs w:val="1"/>
          <w:i w:val="1"/>
          <w:iCs w:val="1"/>
          <w:color w:val="auto"/>
        </w:rPr>
        <w:t xml:space="preserve">Ciaran O’Kelly. </w:t>
      </w:r>
      <w:r>
        <w:rPr>
          <w:rFonts w:ascii="Arial" w:cs="Arial" w:eastAsia="Arial" w:hAnsi="Arial"/>
          <w:sz w:val="16"/>
          <w:szCs w:val="16"/>
          <w:color w:val="auto"/>
        </w:rPr>
        <w:t>Ciaran O’Kelly has served as a member of our board of directors since April 2018. Mr. O’Kelly has been a full-time employee of Square, Inc. since August 2020. From 2009 to 2013, Mr. O’Kelly served in various roles at Nomura Securities, a financial services firm, most recently as Senior Managing Director and Head of Equities, Americas. Prior to 2009, Mr. O’Kelly served in various roles at two financial services firms, Bank of America, including Head of Global Equities and Head of Equity Capital Markets, and Salomon Smith Barney, including Head of Equity Trading. He previously served on the board of Square Financial Services, Inc., a technology company, Bank of America Securities and Nomura Securities International. Mr. O’Kelly holds a B.B.S. in Business Studies from Dublin City University.</w:t>
      </w:r>
    </w:p>
    <w:p>
      <w:pPr>
        <w:spacing w:after="0" w:line="183"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Mr. O’Kelly was selected to serve on our board of directors because of the perspective and extensive experience he brings from his background in financial services.</w:t>
      </w:r>
    </w:p>
    <w:p>
      <w:pPr>
        <w:spacing w:after="0" w:line="161"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16"/>
          <w:szCs w:val="16"/>
          <w:b w:val="1"/>
          <w:bCs w:val="1"/>
          <w:i w:val="1"/>
          <w:iCs w:val="1"/>
          <w:color w:val="auto"/>
        </w:rPr>
        <w:t>Robert Schwartz.</w:t>
      </w:r>
      <w:r>
        <w:rPr>
          <w:sz w:val="20"/>
          <w:szCs w:val="20"/>
          <w:color w:val="auto"/>
        </w:rPr>
        <w:tab/>
      </w:r>
      <w:r>
        <w:rPr>
          <w:rFonts w:ascii="Arial" w:cs="Arial" w:eastAsia="Arial" w:hAnsi="Arial"/>
          <w:sz w:val="15"/>
          <w:szCs w:val="15"/>
          <w:color w:val="auto"/>
        </w:rPr>
        <w:t>Mr. Schwartz has served as a member of our board of directors since June 2015. Since June 2000,</w:t>
      </w:r>
    </w:p>
    <w:p>
      <w:pPr>
        <w:spacing w:after="0" w:line="11" w:lineRule="exact"/>
        <w:rPr>
          <w:sz w:val="20"/>
          <w:szCs w:val="20"/>
          <w:color w:val="auto"/>
        </w:rPr>
      </w:pPr>
    </w:p>
    <w:p>
      <w:pPr>
        <w:ind w:left="800" w:right="200"/>
        <w:spacing w:after="0" w:line="234" w:lineRule="auto"/>
        <w:rPr>
          <w:sz w:val="20"/>
          <w:szCs w:val="20"/>
          <w:color w:val="auto"/>
        </w:rPr>
      </w:pPr>
      <w:r>
        <w:rPr>
          <w:rFonts w:ascii="Arial" w:cs="Arial" w:eastAsia="Arial" w:hAnsi="Arial"/>
          <w:sz w:val="16"/>
          <w:szCs w:val="16"/>
          <w:color w:val="auto"/>
        </w:rPr>
        <w:t>Mr. Schwartz has been Managing Partner of Third Point Ventures, the Menlo Park, California based venture capital arm of Third Point LLC, which is a registered investment adviser based in New York and the investment manager of the Third Point Funds. He previously served on the board of Apigee and the board of Enphase Energy until 2016. Previously, for 23 years, Mr. Schwartz was the President of RF Associates North, a privately held communications semiconductor manufacturer’s representative firm. Mr. Schwartz holds a multi-discipline engineering degree from the University of California, Berkeley.</w:t>
      </w:r>
    </w:p>
    <w:p>
      <w:pPr>
        <w:spacing w:after="0" w:line="179" w:lineRule="exact"/>
        <w:rPr>
          <w:sz w:val="20"/>
          <w:szCs w:val="20"/>
          <w:color w:val="auto"/>
        </w:rPr>
      </w:pPr>
    </w:p>
    <w:p>
      <w:pPr>
        <w:ind w:left="800" w:right="400" w:firstLine="482"/>
        <w:spacing w:after="0" w:line="238" w:lineRule="auto"/>
        <w:rPr>
          <w:sz w:val="20"/>
          <w:szCs w:val="20"/>
          <w:color w:val="auto"/>
        </w:rPr>
      </w:pPr>
      <w:r>
        <w:rPr>
          <w:rFonts w:ascii="Arial" w:cs="Arial" w:eastAsia="Arial" w:hAnsi="Arial"/>
          <w:sz w:val="16"/>
          <w:szCs w:val="16"/>
          <w:color w:val="auto"/>
        </w:rPr>
        <w:t>Mr. Schwartz was selected to serve on our board of directors because of his experience in the venture capital industry and his market knowledge and experience serving as a director of various private and public companies.</w:t>
      </w:r>
    </w:p>
    <w:p>
      <w:pPr>
        <w:spacing w:after="0" w:line="161"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b w:val="1"/>
          <w:bCs w:val="1"/>
          <w:i w:val="1"/>
          <w:iCs w:val="1"/>
          <w:color w:val="auto"/>
        </w:rPr>
        <w:t xml:space="preserve">Sukhinder Singh Cassidy. </w:t>
      </w:r>
      <w:r>
        <w:rPr>
          <w:rFonts w:ascii="Arial" w:cs="Arial" w:eastAsia="Arial" w:hAnsi="Arial"/>
          <w:sz w:val="16"/>
          <w:szCs w:val="16"/>
          <w:color w:val="auto"/>
        </w:rPr>
        <w:t>Ms. Singh Cassidy has served as a member of our board of directors since February 2020.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2015, Ms. Singh Cassidy has served as the founder and chairman of the Boardlist, and in February 2021 began serving as a Founding Venture Partner of the Acrew Diversify Capital Fund, a growth stage fund aimed at diversifying the cap tables of leading growth companies. Ms. Singh Cassidy most recently served as the President of StubHub Inc., a technology company, from May 2018 to May 2020. From 2011 to September 2017, Ms. Singh Cassidy served in various roles at Joyus, Inc., an internet video shopping network, most recently as Founder and Chairman. From 2003 to 2009, she served in various senior executive roles at Google, Inc., a technology company, most recently as President of Asia Pacific and Latin America Operations. Earlier in her career, she co-founded fintech pioneer Yodlee, Inc, which went public in 2014. She is currently a director of Urban Outfitters, Inc. Ms. Singh Cassidy previously served on the board of Tripadvisor, Inc</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440"/>
          </w:cols>
          <w:pgMar w:left="320" w:top="419" w:right="113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0"/>
        <w:spacing w:after="0" w:line="238" w:lineRule="auto"/>
        <w:rPr>
          <w:sz w:val="20"/>
          <w:szCs w:val="20"/>
          <w:color w:val="auto"/>
        </w:rPr>
      </w:pPr>
      <w:r>
        <w:rPr>
          <w:rFonts w:ascii="Arial" w:cs="Arial" w:eastAsia="Arial" w:hAnsi="Arial"/>
          <w:sz w:val="16"/>
          <w:szCs w:val="16"/>
          <w:color w:val="auto"/>
        </w:rPr>
        <w:t>and the board of Ericsson until 2018. Ms. Singh Cassidy holds a B.A. in Business Administration from the Ivey Business School at Western University.</w:t>
      </w:r>
    </w:p>
    <w:p>
      <w:pPr>
        <w:spacing w:after="0" w:line="179"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Ms. Singh Cassidy was selected to serve on our board of directors because of her extensive experience as an executive in the technology industry and her experience serving as a director of a publicly traded company.</w:t>
      </w:r>
    </w:p>
    <w:p>
      <w:pPr>
        <w:spacing w:after="0" w:line="161"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b w:val="1"/>
          <w:bCs w:val="1"/>
          <w:i w:val="1"/>
          <w:iCs w:val="1"/>
          <w:color w:val="auto"/>
        </w:rPr>
        <w:t xml:space="preserve">Hilliard C. Terry, III. </w:t>
      </w:r>
      <w:r>
        <w:rPr>
          <w:rFonts w:ascii="Arial" w:cs="Arial" w:eastAsia="Arial" w:hAnsi="Arial"/>
          <w:sz w:val="16"/>
          <w:szCs w:val="16"/>
          <w:color w:val="auto"/>
        </w:rPr>
        <w:t>Mr. Terry has served as a member of our board of directors since February 2019. Currently, Mr. Terry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 and interim CEO to a private equity-backed portfolio company. From January 2012 to 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initial public offering and spinoff from Hewlett-Packard Company. He previously held positions in investor relations and/or investment banking with Kenetech Corporation, an alternative energy company, VeriFone, Inc., a payments company, and Goldman Sachs &amp; Co., a financial services firm. Mr. Terry is currently a director of Umpqua Holdings Corporation, a bank holding company, where he chairs the Audit and Compliance Committee and serves on the Finance and Capital, Nominating &amp; Governance and Strategy Committees, and TLG One Acquisition Corporation, a special purpose acquisition company. Mr. Terry holds a B.A. in Economics from the University of California, Berkeley and an M.B.A. from Golden Gate University.</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Mr. Terry was selected to serve on our board of directors because of his financial expertise and experience in the banking industry.</w:t>
      </w:r>
    </w:p>
    <w:p>
      <w:pPr>
        <w:spacing w:after="0" w:line="269"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Family Relationships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257"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Code of Ethics</w:t>
      </w:r>
    </w:p>
    <w:p>
      <w:pPr>
        <w:spacing w:after="0" w:line="203" w:lineRule="exact"/>
        <w:rPr>
          <w:sz w:val="20"/>
          <w:szCs w:val="20"/>
          <w:color w:val="auto"/>
        </w:rPr>
      </w:pPr>
    </w:p>
    <w:p>
      <w:pPr>
        <w:ind w:left="800" w:right="140" w:firstLine="482"/>
        <w:spacing w:after="0" w:line="235" w:lineRule="auto"/>
        <w:rPr>
          <w:sz w:val="20"/>
          <w:szCs w:val="20"/>
          <w:color w:val="auto"/>
        </w:rPr>
      </w:pPr>
      <w:r>
        <w:rPr>
          <w:rFonts w:ascii="Arial" w:cs="Arial" w:eastAsia="Arial" w:hAnsi="Arial"/>
          <w:sz w:val="16"/>
          <w:szCs w:val="16"/>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5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Board of Directors</w:t>
      </w:r>
    </w:p>
    <w:p>
      <w:pPr>
        <w:spacing w:after="0" w:line="203"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is fixed by our board of directors, subject to the terms of our amended and restated certificate of incorporation and amended and restated bylaws. Our board of directors has set the authorized number of directors as nine. Each of our current directors will continue to serve as a director until the election and qualification of his or her successor, or until his or her earlier death, resignation or removal.</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Classified Board of Directors</w:t>
      </w:r>
    </w:p>
    <w:p>
      <w:pPr>
        <w:spacing w:after="0" w:line="203" w:lineRule="exact"/>
        <w:rPr>
          <w:sz w:val="20"/>
          <w:szCs w:val="20"/>
          <w:color w:val="auto"/>
        </w:rPr>
      </w:pPr>
    </w:p>
    <w:p>
      <w:pPr>
        <w:ind w:left="800" w:right="220" w:firstLine="482"/>
        <w:spacing w:after="0" w:line="258" w:lineRule="auto"/>
        <w:rPr>
          <w:sz w:val="20"/>
          <w:szCs w:val="20"/>
          <w:color w:val="auto"/>
        </w:rPr>
      </w:pPr>
      <w:r>
        <w:rPr>
          <w:rFonts w:ascii="Arial" w:cs="Arial" w:eastAsia="Arial" w:hAnsi="Arial"/>
          <w:sz w:val="15"/>
          <w:szCs w:val="15"/>
          <w:color w:val="auto"/>
        </w:rPr>
        <w:t>Our amended and restated certificate of incorporation provides that our board of directors shall be divided into three classes with staggered three-year terms. Only one class of directors will be elected at each annual meeting of stockholders, with the other classes continuing for the remainder of their respective three-year terms. Our current directors are divided among the three classes as follows: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440"/>
          </w:cols>
          <w:pgMar w:left="320" w:top="419" w:right="11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1460" w:right="300" w:hanging="188"/>
        <w:spacing w:after="0" w:line="238" w:lineRule="auto"/>
        <w:tabs>
          <w:tab w:leader="none" w:pos="1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Class I directors are Dave Girouard, Oskar Mielczarek de la Miel and Hilliard C. Terry III, and their terms will expire at the annual meeting of stockholders to be held in 2021;</w:t>
      </w:r>
    </w:p>
    <w:p>
      <w:pPr>
        <w:spacing w:after="0" w:line="96" w:lineRule="exact"/>
        <w:rPr>
          <w:rFonts w:ascii="Arial" w:cs="Arial" w:eastAsia="Arial" w:hAnsi="Arial"/>
          <w:sz w:val="16"/>
          <w:szCs w:val="16"/>
          <w:color w:val="auto"/>
        </w:rPr>
      </w:pPr>
    </w:p>
    <w:p>
      <w:pPr>
        <w:ind w:left="1460" w:right="460" w:hanging="188"/>
        <w:spacing w:after="0" w:line="238" w:lineRule="auto"/>
        <w:tabs>
          <w:tab w:leader="none" w:pos="1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Class II directors are Paul Gu, Sukhinder Singh Cassidy and Robert Schwartz, and their terms will expire at the annual meeting of stockholders to be held in 2022; and</w:t>
      </w:r>
    </w:p>
    <w:p>
      <w:pPr>
        <w:spacing w:after="0" w:line="96" w:lineRule="exact"/>
        <w:rPr>
          <w:rFonts w:ascii="Arial" w:cs="Arial" w:eastAsia="Arial" w:hAnsi="Arial"/>
          <w:sz w:val="16"/>
          <w:szCs w:val="16"/>
          <w:color w:val="auto"/>
        </w:rPr>
      </w:pPr>
    </w:p>
    <w:p>
      <w:pPr>
        <w:ind w:left="1460" w:right="160" w:hanging="188"/>
        <w:spacing w:after="0" w:line="238" w:lineRule="auto"/>
        <w:tabs>
          <w:tab w:leader="none" w:pos="1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Class III directors are Kerry W. Cooper, Ciaran O’Kelly and Mary Hentges, and their terms will expire at the annual meeting of stockholders to be held in 2023.</w:t>
      </w:r>
    </w:p>
    <w:p>
      <w:pPr>
        <w:spacing w:after="0" w:line="179" w:lineRule="exact"/>
        <w:rPr>
          <w:sz w:val="20"/>
          <w:szCs w:val="20"/>
          <w:color w:val="auto"/>
        </w:rPr>
      </w:pPr>
    </w:p>
    <w:p>
      <w:pPr>
        <w:jc w:val="both"/>
        <w:ind w:left="800" w:right="60" w:firstLine="482"/>
        <w:spacing w:after="0" w:line="236" w:lineRule="auto"/>
        <w:rPr>
          <w:sz w:val="20"/>
          <w:szCs w:val="20"/>
          <w:color w:val="auto"/>
        </w:rPr>
      </w:pPr>
      <w:r>
        <w:rPr>
          <w:rFonts w:ascii="Arial" w:cs="Arial" w:eastAsia="Arial" w:hAnsi="Arial"/>
          <w:sz w:val="16"/>
          <w:szCs w:val="16"/>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This classification of our board of directors may have the effect of delaying or preventing changes in control of our company.</w:t>
      </w:r>
    </w:p>
    <w:p>
      <w:pPr>
        <w:spacing w:after="0" w:line="257"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Director Independence</w:t>
      </w:r>
    </w:p>
    <w:p>
      <w:pPr>
        <w:spacing w:after="0" w:line="203"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Kerry W. Cooper, Mary Hentges, Oskar Mielczarek de la Miel, Ciaran O’Kelly, Robert Schwartz, Sukhinder Singh Cassidy and Hilliard C. Terry III do not have a relationship that would interfere with the exercise of independent judgment in carrying out the responsibilities of a director and that each of these directors is “independent” as that term is defined under the listing standards of the Nasdaq Global Select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Lead Independent Director</w:t>
      </w:r>
    </w:p>
    <w:p>
      <w:pPr>
        <w:spacing w:after="0" w:line="20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board of directors has adopted corporate governance guidelines that provides that one of our independent directors should serve as our Lead Independent Director at any time when our Chief Executive Officer serves as the Chairperson of our board of directors or if the Chairperson is not otherwise independent. Because Mr. Girouard is our Chairperson and is not an “independent” director as defined in the listing standards of the Nasdaq Global Select Market, our board of directors has appointed Sukhinder Singh Cassidy to serve as our Lead Independent Director. As Lead Independent Director, Ms. Singh Cassidy presides over periodic meetings of our independent directors, serves as a liaison between our Chairperson and our independent directors, and performs such additional duties as our board of directors may otherwise determine and delegate.</w:t>
      </w:r>
    </w:p>
    <w:p>
      <w:pPr>
        <w:spacing w:after="0" w:line="255"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Committees of the Board of Directors</w:t>
      </w:r>
    </w:p>
    <w:p>
      <w:pPr>
        <w:spacing w:after="0" w:line="203" w:lineRule="exact"/>
        <w:rPr>
          <w:sz w:val="20"/>
          <w:szCs w:val="20"/>
          <w:color w:val="auto"/>
        </w:rPr>
      </w:pPr>
    </w:p>
    <w:p>
      <w:pPr>
        <w:ind w:left="800" w:right="480" w:firstLine="482"/>
        <w:spacing w:after="0" w:line="236"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of the committees of our board of directors is described below. Members serve on these committees until their resignation or until as otherwise determined by our board of directors.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440"/>
          </w:cols>
          <w:pgMar w:left="320" w:top="419" w:right="11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06"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Our audit committee consists of Hilliard C. Terry III, Mary Hentges, and Ciaran O’Kelly with Mr. Terry serving as Chairperson, each of whom meets the requirements for independence under the listing standards of the Nasdaq Global Select Market and SEC rules and regulations. Each member of our audit committee also meets the financial literacy and sophistication requirements of the listing standards of the Nasdaq Global Select Market. In addition, our board of directors has determined that Ms. Hentges and Mr. Terry are both audit committee financial experts within the meaning of Item 407(d) of Regulation S-K under the Securities Act. Our audit committee, among other things:</w:t>
      </w:r>
    </w:p>
    <w:p>
      <w:pPr>
        <w:spacing w:after="0" w:line="99" w:lineRule="exact"/>
        <w:rPr>
          <w:sz w:val="20"/>
          <w:szCs w:val="20"/>
          <w:color w:val="auto"/>
        </w:rPr>
      </w:pPr>
    </w:p>
    <w:p>
      <w:pPr>
        <w:ind w:left="1460" w:hanging="188"/>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selects a qualified firm to serve as the independent registered public accounting firm to audit our financial statements;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helps to ensure the independence and performance of the independent registered public accounting firm;</w:t>
      </w:r>
    </w:p>
    <w:p>
      <w:pPr>
        <w:spacing w:after="0" w:line="99" w:lineRule="exact"/>
        <w:rPr>
          <w:rFonts w:ascii="Arial" w:cs="Arial" w:eastAsia="Arial" w:hAnsi="Arial"/>
          <w:sz w:val="16"/>
          <w:szCs w:val="16"/>
          <w:color w:val="auto"/>
        </w:rPr>
      </w:pPr>
    </w:p>
    <w:p>
      <w:pPr>
        <w:ind w:left="1460" w:right="820" w:hanging="188"/>
        <w:spacing w:after="0" w:line="269" w:lineRule="auto"/>
        <w:tabs>
          <w:tab w:leader="none" w:pos="1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discusses the scope and results of the audit with the independent registered public accounting firm, and reviews, with management and the independent registered public accounting firm, our interim and year-end results of operation;</w:t>
      </w:r>
    </w:p>
    <w:p>
      <w:pPr>
        <w:spacing w:after="0" w:line="74" w:lineRule="exact"/>
        <w:rPr>
          <w:rFonts w:ascii="Arial" w:cs="Arial" w:eastAsia="Arial" w:hAnsi="Arial"/>
          <w:sz w:val="15"/>
          <w:szCs w:val="15"/>
          <w:color w:val="auto"/>
        </w:rPr>
      </w:pPr>
    </w:p>
    <w:p>
      <w:pPr>
        <w:ind w:left="1460" w:hanging="188"/>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develops procedures for employees to submit concerns anonymously about questionable accounting or audit matters;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reviews our policies on risk assessment and risk management;</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reviews related party transactions; and</w:t>
      </w:r>
    </w:p>
    <w:p>
      <w:pPr>
        <w:spacing w:after="0" w:line="99" w:lineRule="exact"/>
        <w:rPr>
          <w:rFonts w:ascii="Arial" w:cs="Arial" w:eastAsia="Arial" w:hAnsi="Arial"/>
          <w:sz w:val="16"/>
          <w:szCs w:val="16"/>
          <w:color w:val="auto"/>
        </w:rPr>
      </w:pPr>
    </w:p>
    <w:p>
      <w:pPr>
        <w:ind w:left="1460" w:hanging="188"/>
        <w:spacing w:after="0" w:line="238" w:lineRule="auto"/>
        <w:tabs>
          <w:tab w:leader="none" w:pos="1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approves or, as required, pre-approves, all audit and all permissible non-audit services, other than de minimis non-audit services, to be performed by the independent registered public accounting firm.</w:t>
      </w:r>
    </w:p>
    <w:p>
      <w:pPr>
        <w:spacing w:after="0" w:line="179" w:lineRule="exact"/>
        <w:rPr>
          <w:sz w:val="20"/>
          <w:szCs w:val="20"/>
          <w:color w:val="auto"/>
        </w:rPr>
      </w:pPr>
    </w:p>
    <w:p>
      <w:pPr>
        <w:ind w:left="800" w:right="120" w:firstLine="482"/>
        <w:spacing w:after="0" w:line="269" w:lineRule="auto"/>
        <w:rPr>
          <w:sz w:val="20"/>
          <w:szCs w:val="20"/>
          <w:color w:val="auto"/>
        </w:rPr>
      </w:pPr>
      <w:r>
        <w:rPr>
          <w:rFonts w:ascii="Arial" w:cs="Arial" w:eastAsia="Arial" w:hAnsi="Arial"/>
          <w:sz w:val="15"/>
          <w:szCs w:val="15"/>
          <w:color w:val="auto"/>
        </w:rPr>
        <w:t>Our audit committee operates under a written charter that satisfies the applicable rules and regulations of the SEC and the listing standards of the Nasdaq Global Select Market. A copy of the charter for our audit committee is available on our website at ir.upstart.com.</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Our compensation committee consists of Sukhinder Singh Cassidy, and Robert Schwartz, with Ms. Singh Cassidy serving as Chairperson, each of whom meets the requirements for independence under the listing standards of the Nasdaq Global Select Market and SEC rules and regulations. Each member of our compensation committee is also a non-employee director, as defined pursuant to Rule 16b-3 promulgated under the Exchange Act, or Rule 16b-3. Our compensation committee, among other things:</w:t>
      </w:r>
    </w:p>
    <w:p>
      <w:pPr>
        <w:spacing w:after="0" w:line="95" w:lineRule="exact"/>
        <w:rPr>
          <w:sz w:val="20"/>
          <w:szCs w:val="20"/>
          <w:color w:val="auto"/>
        </w:rPr>
      </w:pPr>
    </w:p>
    <w:p>
      <w:pPr>
        <w:ind w:left="1460" w:right="300" w:hanging="188"/>
        <w:spacing w:after="0" w:line="238" w:lineRule="auto"/>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reviews, approves, and determines, or makes recommendations to our board of directors regarding, the compensation of our executive officers;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administers our equity compensation plans;</w:t>
      </w:r>
    </w:p>
    <w:p>
      <w:pPr>
        <w:spacing w:after="0" w:line="99" w:lineRule="exact"/>
        <w:rPr>
          <w:rFonts w:ascii="Arial" w:cs="Arial" w:eastAsia="Arial" w:hAnsi="Arial"/>
          <w:sz w:val="16"/>
          <w:szCs w:val="16"/>
          <w:color w:val="auto"/>
        </w:rPr>
      </w:pPr>
    </w:p>
    <w:p>
      <w:pPr>
        <w:ind w:left="1460" w:right="440" w:hanging="188"/>
        <w:spacing w:after="0" w:line="238" w:lineRule="auto"/>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reviews and approves and makes recommendations to our board of directors regarding incentive compensation and equity compensation plans; and</w:t>
      </w:r>
    </w:p>
    <w:p>
      <w:pPr>
        <w:spacing w:after="0" w:line="96" w:lineRule="exact"/>
        <w:rPr>
          <w:rFonts w:ascii="Arial" w:cs="Arial" w:eastAsia="Arial" w:hAnsi="Arial"/>
          <w:sz w:val="16"/>
          <w:szCs w:val="16"/>
          <w:color w:val="auto"/>
        </w:rPr>
      </w:pPr>
    </w:p>
    <w:p>
      <w:pPr>
        <w:ind w:left="1460" w:right="660" w:hanging="188"/>
        <w:spacing w:after="0" w:line="238" w:lineRule="auto"/>
        <w:tabs>
          <w:tab w:leader="none" w:pos="1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establishes and periodically reviews policies and programs relating to compensation and benefits of our employees and executives.</w:t>
      </w:r>
    </w:p>
    <w:p>
      <w:pPr>
        <w:spacing w:after="0" w:line="179"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the Nasdaq Global Select Market. A copy of the charter for our compensation committee is available on our website at ir.upstart.com.</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440"/>
          </w:cols>
          <w:pgMar w:left="320" w:top="419" w:right="113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06" w:lineRule="exact"/>
        <w:rPr>
          <w:sz w:val="20"/>
          <w:szCs w:val="20"/>
          <w:color w:val="auto"/>
        </w:rPr>
      </w:pPr>
    </w:p>
    <w:p>
      <w:pPr>
        <w:ind w:left="800" w:right="20" w:firstLine="482"/>
        <w:spacing w:after="0" w:line="258" w:lineRule="auto"/>
        <w:rPr>
          <w:sz w:val="20"/>
          <w:szCs w:val="20"/>
          <w:color w:val="auto"/>
        </w:rPr>
      </w:pPr>
      <w:r>
        <w:rPr>
          <w:rFonts w:ascii="Arial" w:cs="Arial" w:eastAsia="Arial" w:hAnsi="Arial"/>
          <w:sz w:val="15"/>
          <w:szCs w:val="15"/>
          <w:color w:val="auto"/>
        </w:rPr>
        <w:t>Our nominating and corporate governance committee consists of Ciaran O’Kelly, Oskar Mielczarek de la Miel and Robert Schwartz, with Mr. O’Kelly serving as Chairperson, each of whom meets the requirements for independence under the listing standards of the Nasdaq Global Select Market and SEC rules and regulations. Our nominating and corporate governance committee, among other things:</w:t>
      </w:r>
    </w:p>
    <w:p>
      <w:pPr>
        <w:spacing w:after="0" w:line="82" w:lineRule="exact"/>
        <w:rPr>
          <w:sz w:val="20"/>
          <w:szCs w:val="20"/>
          <w:color w:val="auto"/>
        </w:rPr>
      </w:pPr>
    </w:p>
    <w:p>
      <w:pPr>
        <w:ind w:left="1460" w:right="220" w:hanging="188"/>
        <w:spacing w:after="0" w:line="238" w:lineRule="auto"/>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identifies, evaluates, and selects, or makes recommendations to our board of directors regarding, nominees for election to our board of directors and its committees;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evaluates the performance of our board of directors and of individual directors;</w:t>
      </w:r>
    </w:p>
    <w:p>
      <w:pPr>
        <w:spacing w:after="0" w:line="99" w:lineRule="exact"/>
        <w:rPr>
          <w:rFonts w:ascii="Arial" w:cs="Arial" w:eastAsia="Arial" w:hAnsi="Arial"/>
          <w:sz w:val="16"/>
          <w:szCs w:val="16"/>
          <w:color w:val="auto"/>
        </w:rPr>
      </w:pPr>
    </w:p>
    <w:p>
      <w:pPr>
        <w:ind w:left="1460" w:right="400" w:hanging="188"/>
        <w:spacing w:after="0" w:line="238" w:lineRule="auto"/>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considers and makes recommendations to our board of directors regarding the composition of our board of directors and its committees;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reviews developments in corporate governance practices;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evaluates the adequacy of our corporate governance practices and reporting;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develops and makes recommendations to our board of directors regarding corporate governance guidelines and matters.</w:t>
      </w:r>
    </w:p>
    <w:p>
      <w:pPr>
        <w:spacing w:after="0" w:line="183"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listing standards of the Nasdaq Global Select Market. A copy of the charter for our nominating and corporate governance committee is available on our website at ir.upstart.com.</w:t>
      </w:r>
    </w:p>
    <w:p>
      <w:pPr>
        <w:spacing w:after="0" w:line="253"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03"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None of the members of our compensation committee is or has been an executive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on our compensation committee.</w:t>
      </w:r>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Non-Employee Director Compensation</w:t>
      </w:r>
    </w:p>
    <w:p>
      <w:pPr>
        <w:spacing w:after="0" w:line="203"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The table set forth below provides information regarding the compensation of our non-executive officer directors for service as directors during the year ended December 31, 2020. Our employee directors, Messrs. Girouard and Gu, did not receive any compensation for their services as directors and therefore are not included in the table below. The compensation received by Messrs. Girouard and Gu as employees is set forth in the section titled “Executive Compensation—Summary Compensation Table.”</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Option</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6080" w:type="dxa"/>
            <w:vAlign w:val="bottom"/>
            <w:vMerge w:val="restart"/>
          </w:tcPr>
          <w:p>
            <w:pPr>
              <w:spacing w:after="0"/>
              <w:rPr>
                <w:sz w:val="12"/>
                <w:szCs w:val="12"/>
                <w:color w:val="auto"/>
              </w:rPr>
            </w:pPr>
          </w:p>
        </w:tc>
        <w:tc>
          <w:tcPr>
            <w:tcW w:w="1500" w:type="dxa"/>
            <w:vAlign w:val="bottom"/>
            <w:gridSpan w:val="2"/>
          </w:tcPr>
          <w:p>
            <w:pPr>
              <w:jc w:val="right"/>
              <w:ind w:right="500"/>
              <w:spacing w:after="0" w:line="139" w:lineRule="exact"/>
              <w:rPr>
                <w:sz w:val="20"/>
                <w:szCs w:val="20"/>
                <w:color w:val="auto"/>
              </w:rPr>
            </w:pPr>
            <w:r>
              <w:rPr>
                <w:rFonts w:ascii="Arial" w:cs="Arial" w:eastAsia="Arial" w:hAnsi="Arial"/>
                <w:sz w:val="13"/>
                <w:szCs w:val="13"/>
                <w:b w:val="1"/>
                <w:bCs w:val="1"/>
                <w:color w:val="auto"/>
              </w:rPr>
              <w:t>Fees Earned or</w:t>
            </w:r>
          </w:p>
        </w:tc>
        <w:tc>
          <w:tcPr>
            <w:tcW w:w="10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7"/>
              </w:rPr>
              <w:t>Awards</w:t>
            </w:r>
          </w:p>
        </w:tc>
        <w:tc>
          <w:tcPr>
            <w:tcW w:w="66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4"/>
                <w:szCs w:val="14"/>
                <w:color w:val="auto"/>
              </w:rPr>
            </w:pPr>
          </w:p>
        </w:tc>
        <w:tc>
          <w:tcPr>
            <w:tcW w:w="6080" w:type="dxa"/>
            <w:vAlign w:val="bottom"/>
            <w:vMerge w:val="continue"/>
          </w:tcPr>
          <w:p>
            <w:pPr>
              <w:spacing w:after="0"/>
              <w:rPr>
                <w:sz w:val="14"/>
                <w:szCs w:val="14"/>
                <w:color w:val="auto"/>
              </w:rPr>
            </w:pPr>
          </w:p>
        </w:tc>
        <w:tc>
          <w:tcPr>
            <w:tcW w:w="1500" w:type="dxa"/>
            <w:vAlign w:val="bottom"/>
            <w:gridSpan w:val="2"/>
          </w:tcPr>
          <w:p>
            <w:pPr>
              <w:jc w:val="right"/>
              <w:ind w:right="420"/>
              <w:spacing w:after="0" w:line="145" w:lineRule="exact"/>
              <w:rPr>
                <w:sz w:val="20"/>
                <w:szCs w:val="20"/>
                <w:color w:val="auto"/>
              </w:rPr>
            </w:pPr>
            <w:r>
              <w:rPr>
                <w:rFonts w:ascii="Arial" w:cs="Arial" w:eastAsia="Arial" w:hAnsi="Arial"/>
                <w:sz w:val="10"/>
                <w:szCs w:val="10"/>
                <w:b w:val="1"/>
                <w:bCs w:val="1"/>
                <w:color w:val="auto"/>
              </w:rPr>
              <w:t xml:space="preserve">Paid in Cash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(1)</w:t>
            </w:r>
          </w:p>
        </w:tc>
        <w:tc>
          <w:tcPr>
            <w:tcW w:w="620" w:type="dxa"/>
            <w:vAlign w:val="bottom"/>
          </w:tcPr>
          <w:p>
            <w:pPr>
              <w:jc w:val="center"/>
              <w:spacing w:after="0" w:line="14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420" w:type="dxa"/>
            <w:vAlign w:val="bottom"/>
          </w:tcPr>
          <w:p>
            <w:pPr>
              <w:spacing w:after="0"/>
              <w:rPr>
                <w:sz w:val="14"/>
                <w:szCs w:val="14"/>
                <w:color w:val="auto"/>
              </w:rPr>
            </w:pPr>
          </w:p>
        </w:tc>
        <w:tc>
          <w:tcPr>
            <w:tcW w:w="620" w:type="dxa"/>
            <w:vAlign w:val="bottom"/>
          </w:tcPr>
          <w:p>
            <w:pPr>
              <w:jc w:val="right"/>
              <w:ind w:right="165"/>
              <w:spacing w:after="0" w:line="144"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Mary Hentges</w:t>
            </w:r>
          </w:p>
        </w:tc>
        <w:tc>
          <w:tcPr>
            <w:tcW w:w="10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1,753</w:t>
            </w:r>
          </w:p>
        </w:tc>
        <w:tc>
          <w:tcPr>
            <w:tcW w:w="4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center"/>
              <w:spacing w:after="0" w:line="161" w:lineRule="exact"/>
              <w:rPr>
                <w:sz w:val="20"/>
                <w:szCs w:val="20"/>
                <w:color w:val="auto"/>
              </w:rPr>
            </w:pPr>
            <w:r>
              <w:rPr>
                <w:rFonts w:ascii="Arial" w:cs="Arial" w:eastAsia="Arial" w:hAnsi="Arial"/>
                <w:sz w:val="16"/>
                <w:szCs w:val="16"/>
                <w:color w:val="auto"/>
                <w:w w:val="99"/>
              </w:rPr>
              <w:t>—</w:t>
            </w:r>
          </w:p>
        </w:tc>
        <w:tc>
          <w:tcPr>
            <w:tcW w:w="4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1,753</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40" w:type="dxa"/>
            <w:vAlign w:val="bottom"/>
            <w:gridSpan w:val="2"/>
          </w:tcPr>
          <w:p>
            <w:pPr>
              <w:spacing w:after="0" w:line="178" w:lineRule="exact"/>
              <w:rPr>
                <w:sz w:val="20"/>
                <w:szCs w:val="20"/>
                <w:color w:val="auto"/>
              </w:rPr>
            </w:pPr>
            <w:r>
              <w:rPr>
                <w:rFonts w:ascii="Arial" w:cs="Arial" w:eastAsia="Arial" w:hAnsi="Arial"/>
                <w:sz w:val="16"/>
                <w:szCs w:val="16"/>
                <w:color w:val="auto"/>
              </w:rPr>
              <w:t>Oskar Mielczarek de la Miel</w:t>
            </w:r>
          </w:p>
        </w:tc>
        <w:tc>
          <w:tcPr>
            <w:tcW w:w="1500" w:type="dxa"/>
            <w:vAlign w:val="bottom"/>
            <w:gridSpan w:val="2"/>
          </w:tcPr>
          <w:p>
            <w:pPr>
              <w:jc w:val="right"/>
              <w:ind w:right="420"/>
              <w:spacing w:after="0" w:line="178" w:lineRule="exact"/>
              <w:rPr>
                <w:sz w:val="20"/>
                <w:szCs w:val="20"/>
                <w:color w:val="auto"/>
              </w:rPr>
            </w:pPr>
            <w:r>
              <w:rPr>
                <w:rFonts w:ascii="Arial" w:cs="Arial" w:eastAsia="Arial" w:hAnsi="Arial"/>
                <w:sz w:val="16"/>
                <w:szCs w:val="16"/>
                <w:color w:val="auto"/>
              </w:rPr>
              <w:t>1,490</w:t>
            </w:r>
          </w:p>
        </w:tc>
        <w:tc>
          <w:tcPr>
            <w:tcW w:w="1040" w:type="dxa"/>
            <w:vAlign w:val="bottom"/>
            <w:gridSpan w:val="2"/>
          </w:tcPr>
          <w:p>
            <w:pPr>
              <w:jc w:val="center"/>
              <w:ind w:right="360"/>
              <w:spacing w:after="0" w:line="178" w:lineRule="exact"/>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77"/>
        </w:trPr>
        <w:tc>
          <w:tcPr>
            <w:tcW w:w="64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Ciaran O’Kelly</w:t>
            </w:r>
          </w:p>
        </w:tc>
        <w:tc>
          <w:tcPr>
            <w:tcW w:w="1500" w:type="dxa"/>
            <w:vAlign w:val="bottom"/>
            <w:gridSpan w:val="2"/>
            <w:shd w:val="clear" w:color="auto" w:fill="CCEEFF"/>
          </w:tcPr>
          <w:p>
            <w:pPr>
              <w:jc w:val="right"/>
              <w:ind w:right="420"/>
              <w:spacing w:after="0" w:line="178" w:lineRule="exact"/>
              <w:rPr>
                <w:sz w:val="20"/>
                <w:szCs w:val="20"/>
                <w:color w:val="auto"/>
              </w:rPr>
            </w:pPr>
            <w:r>
              <w:rPr>
                <w:rFonts w:ascii="Arial" w:cs="Arial" w:eastAsia="Arial" w:hAnsi="Arial"/>
                <w:sz w:val="16"/>
                <w:szCs w:val="16"/>
                <w:color w:val="auto"/>
              </w:rPr>
              <w:t>2,104</w:t>
            </w:r>
          </w:p>
        </w:tc>
        <w:tc>
          <w:tcPr>
            <w:tcW w:w="1040" w:type="dxa"/>
            <w:vAlign w:val="bottom"/>
            <w:gridSpan w:val="2"/>
            <w:shd w:val="clear" w:color="auto" w:fill="CCEEFF"/>
          </w:tcPr>
          <w:p>
            <w:pPr>
              <w:jc w:val="center"/>
              <w:ind w:right="360"/>
              <w:spacing w:after="0" w:line="178" w:lineRule="exact"/>
              <w:rPr>
                <w:sz w:val="20"/>
                <w:szCs w:val="20"/>
                <w:color w:val="auto"/>
              </w:rPr>
            </w:pPr>
            <w:r>
              <w:rPr>
                <w:rFonts w:ascii="Arial" w:cs="Arial" w:eastAsia="Arial" w:hAnsi="Arial"/>
                <w:sz w:val="16"/>
                <w:szCs w:val="16"/>
                <w:color w:val="auto"/>
                <w:w w:val="96"/>
              </w:rPr>
              <w:t>312,029</w:t>
            </w:r>
          </w:p>
        </w:tc>
        <w:tc>
          <w:tcPr>
            <w:tcW w:w="6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314,133</w:t>
            </w:r>
          </w:p>
        </w:tc>
        <w:tc>
          <w:tcPr>
            <w:tcW w:w="0" w:type="dxa"/>
            <w:vAlign w:val="bottom"/>
          </w:tcPr>
          <w:p>
            <w:pPr>
              <w:spacing w:after="0"/>
              <w:rPr>
                <w:sz w:val="1"/>
                <w:szCs w:val="1"/>
                <w:color w:val="auto"/>
              </w:rPr>
            </w:pPr>
          </w:p>
        </w:tc>
      </w:tr>
      <w:tr>
        <w:trPr>
          <w:trHeight w:val="177"/>
        </w:trPr>
        <w:tc>
          <w:tcPr>
            <w:tcW w:w="6440" w:type="dxa"/>
            <w:vAlign w:val="bottom"/>
            <w:gridSpan w:val="2"/>
          </w:tcPr>
          <w:p>
            <w:pPr>
              <w:spacing w:after="0" w:line="178" w:lineRule="exact"/>
              <w:rPr>
                <w:sz w:val="20"/>
                <w:szCs w:val="20"/>
                <w:color w:val="auto"/>
              </w:rPr>
            </w:pPr>
            <w:r>
              <w:rPr>
                <w:rFonts w:ascii="Arial" w:cs="Arial" w:eastAsia="Arial" w:hAnsi="Arial"/>
                <w:sz w:val="16"/>
                <w:szCs w:val="16"/>
                <w:color w:val="auto"/>
              </w:rPr>
              <w:t>Robert Schwartz</w:t>
            </w:r>
          </w:p>
        </w:tc>
        <w:tc>
          <w:tcPr>
            <w:tcW w:w="1500" w:type="dxa"/>
            <w:vAlign w:val="bottom"/>
            <w:gridSpan w:val="2"/>
          </w:tcPr>
          <w:p>
            <w:pPr>
              <w:jc w:val="right"/>
              <w:ind w:right="820"/>
              <w:spacing w:after="0" w:line="178" w:lineRule="exact"/>
              <w:rPr>
                <w:sz w:val="20"/>
                <w:szCs w:val="20"/>
                <w:color w:val="auto"/>
              </w:rPr>
            </w:pPr>
            <w:r>
              <w:rPr>
                <w:rFonts w:ascii="Arial" w:cs="Arial" w:eastAsia="Arial" w:hAnsi="Arial"/>
                <w:sz w:val="16"/>
                <w:szCs w:val="16"/>
                <w:color w:val="auto"/>
              </w:rPr>
              <w:t>—</w:t>
            </w:r>
          </w:p>
        </w:tc>
        <w:tc>
          <w:tcPr>
            <w:tcW w:w="1040" w:type="dxa"/>
            <w:vAlign w:val="bottom"/>
            <w:gridSpan w:val="2"/>
          </w:tcPr>
          <w:p>
            <w:pPr>
              <w:jc w:val="center"/>
              <w:ind w:right="360"/>
              <w:spacing w:after="0" w:line="178" w:lineRule="exact"/>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2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4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Sukhinder Singh Cassidy</w:t>
            </w:r>
          </w:p>
        </w:tc>
        <w:tc>
          <w:tcPr>
            <w:tcW w:w="1500" w:type="dxa"/>
            <w:vAlign w:val="bottom"/>
            <w:gridSpan w:val="2"/>
            <w:shd w:val="clear" w:color="auto" w:fill="CCEEFF"/>
          </w:tcPr>
          <w:p>
            <w:pPr>
              <w:jc w:val="right"/>
              <w:ind w:right="420"/>
              <w:spacing w:after="0" w:line="178" w:lineRule="exact"/>
              <w:rPr>
                <w:sz w:val="20"/>
                <w:szCs w:val="20"/>
                <w:color w:val="auto"/>
              </w:rPr>
            </w:pPr>
            <w:r>
              <w:rPr>
                <w:rFonts w:ascii="Arial" w:cs="Arial" w:eastAsia="Arial" w:hAnsi="Arial"/>
                <w:sz w:val="16"/>
                <w:szCs w:val="16"/>
                <w:color w:val="auto"/>
              </w:rPr>
              <w:t>3,025</w:t>
            </w:r>
          </w:p>
        </w:tc>
        <w:tc>
          <w:tcPr>
            <w:tcW w:w="1040" w:type="dxa"/>
            <w:vAlign w:val="bottom"/>
            <w:gridSpan w:val="2"/>
            <w:shd w:val="clear" w:color="auto" w:fill="CCEEFF"/>
          </w:tcPr>
          <w:p>
            <w:pPr>
              <w:jc w:val="center"/>
              <w:ind w:right="360"/>
              <w:spacing w:after="0" w:line="178" w:lineRule="exact"/>
              <w:rPr>
                <w:sz w:val="20"/>
                <w:szCs w:val="20"/>
                <w:color w:val="auto"/>
              </w:rPr>
            </w:pPr>
            <w:r>
              <w:rPr>
                <w:rFonts w:ascii="Arial" w:cs="Arial" w:eastAsia="Arial" w:hAnsi="Arial"/>
                <w:sz w:val="16"/>
                <w:szCs w:val="16"/>
                <w:color w:val="auto"/>
                <w:w w:val="96"/>
              </w:rPr>
              <w:t>631,609</w:t>
            </w:r>
          </w:p>
        </w:tc>
        <w:tc>
          <w:tcPr>
            <w:tcW w:w="6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634,634</w:t>
            </w:r>
          </w:p>
        </w:tc>
        <w:tc>
          <w:tcPr>
            <w:tcW w:w="0" w:type="dxa"/>
            <w:vAlign w:val="bottom"/>
          </w:tcPr>
          <w:p>
            <w:pPr>
              <w:spacing w:after="0"/>
              <w:rPr>
                <w:sz w:val="1"/>
                <w:szCs w:val="1"/>
                <w:color w:val="auto"/>
              </w:rPr>
            </w:pPr>
          </w:p>
        </w:tc>
      </w:tr>
      <w:tr>
        <w:trPr>
          <w:trHeight w:val="189"/>
        </w:trPr>
        <w:tc>
          <w:tcPr>
            <w:tcW w:w="6440" w:type="dxa"/>
            <w:vAlign w:val="bottom"/>
            <w:gridSpan w:val="2"/>
          </w:tcPr>
          <w:p>
            <w:pPr>
              <w:spacing w:after="0"/>
              <w:rPr>
                <w:sz w:val="20"/>
                <w:szCs w:val="20"/>
                <w:color w:val="auto"/>
              </w:rPr>
            </w:pPr>
            <w:r>
              <w:rPr>
                <w:rFonts w:ascii="Arial" w:cs="Arial" w:eastAsia="Arial" w:hAnsi="Arial"/>
                <w:sz w:val="16"/>
                <w:szCs w:val="16"/>
                <w:color w:val="auto"/>
              </w:rPr>
              <w:t>Hilliard C. Terry, III</w:t>
            </w:r>
          </w:p>
        </w:tc>
        <w:tc>
          <w:tcPr>
            <w:tcW w:w="1500" w:type="dxa"/>
            <w:vAlign w:val="bottom"/>
            <w:gridSpan w:val="2"/>
          </w:tcPr>
          <w:p>
            <w:pPr>
              <w:jc w:val="right"/>
              <w:ind w:right="420"/>
              <w:spacing w:after="0"/>
              <w:rPr>
                <w:sz w:val="20"/>
                <w:szCs w:val="20"/>
                <w:color w:val="auto"/>
              </w:rPr>
            </w:pPr>
            <w:r>
              <w:rPr>
                <w:rFonts w:ascii="Arial" w:cs="Arial" w:eastAsia="Arial" w:hAnsi="Arial"/>
                <w:sz w:val="16"/>
                <w:szCs w:val="16"/>
                <w:color w:val="auto"/>
              </w:rPr>
              <w:t>2,192</w:t>
            </w: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67945</wp:posOffset>
            </wp:positionV>
            <wp:extent cx="67564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8" w:lineRule="exact"/>
        <w:rPr>
          <w:sz w:val="20"/>
          <w:szCs w:val="20"/>
          <w:color w:val="auto"/>
        </w:rPr>
      </w:pPr>
    </w:p>
    <w:p>
      <w:pPr>
        <w:ind w:left="1280" w:right="120" w:hanging="481"/>
        <w:spacing w:after="0" w:line="236" w:lineRule="auto"/>
        <w:tabs>
          <w:tab w:leader="none" w:pos="12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following cash amounts were paid pursuant to the director compensation policy in the first quarter of 2021 for services during 2020 on our board of directors or committee(s) of our board of directors.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440"/>
          </w:cols>
          <w:pgMar w:left="320" w:top="419" w:right="113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1280" w:right="40" w:hanging="481"/>
        <w:spacing w:after="0" w:line="233" w:lineRule="auto"/>
        <w:tabs>
          <w:tab w:leader="none" w:pos="12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amounts reported in the “Option Awards” column represent the respective aggregate grant date fair value of such awards granted in 2020. The amounts have been computed in accordance with Financial Accounting Standards Board, or FASB, Accounting Standards Codification, or ASC, Topic 718. The following table lists all outstanding equity awards held by our non-employee directors as of December 31, 2020:</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20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w w:val="94"/>
              </w:rPr>
              <w:t>Aggregate Number of</w:t>
            </w:r>
          </w:p>
        </w:tc>
        <w:tc>
          <w:tcPr>
            <w:tcW w:w="13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6"/>
              </w:rPr>
              <w:t>Number of Securities</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5760" w:type="dxa"/>
            <w:vAlign w:val="bottom"/>
            <w:vMerge w:val="restart"/>
          </w:tcPr>
          <w:p>
            <w:pPr>
              <w:spacing w:after="0"/>
              <w:rPr>
                <w:sz w:val="12"/>
                <w:szCs w:val="12"/>
                <w:color w:val="auto"/>
              </w:rPr>
            </w:pPr>
          </w:p>
        </w:tc>
        <w:tc>
          <w:tcPr>
            <w:tcW w:w="2200" w:type="dxa"/>
            <w:vAlign w:val="bottom"/>
            <w:gridSpan w:val="2"/>
          </w:tcPr>
          <w:p>
            <w:pPr>
              <w:jc w:val="right"/>
              <w:ind w:right="1000"/>
              <w:spacing w:after="0" w:line="142" w:lineRule="exact"/>
              <w:rPr>
                <w:sz w:val="20"/>
                <w:szCs w:val="20"/>
                <w:color w:val="auto"/>
              </w:rPr>
            </w:pPr>
            <w:r>
              <w:rPr>
                <w:rFonts w:ascii="Arial" w:cs="Arial" w:eastAsia="Arial" w:hAnsi="Arial"/>
                <w:sz w:val="13"/>
                <w:szCs w:val="13"/>
                <w:b w:val="1"/>
                <w:bCs w:val="1"/>
                <w:color w:val="auto"/>
              </w:rPr>
              <w:t>Shares Underlying</w:t>
            </w:r>
          </w:p>
        </w:tc>
        <w:tc>
          <w:tcPr>
            <w:tcW w:w="1320" w:type="dxa"/>
            <w:vAlign w:val="bottom"/>
            <w:gridSpan w:val="2"/>
          </w:tcPr>
          <w:p>
            <w:pPr>
              <w:jc w:val="right"/>
              <w:ind w:right="40"/>
              <w:spacing w:after="0" w:line="142" w:lineRule="exact"/>
              <w:rPr>
                <w:sz w:val="20"/>
                <w:szCs w:val="20"/>
                <w:color w:val="auto"/>
              </w:rPr>
            </w:pPr>
            <w:r>
              <w:rPr>
                <w:rFonts w:ascii="Arial" w:cs="Arial" w:eastAsia="Arial" w:hAnsi="Arial"/>
                <w:sz w:val="13"/>
                <w:szCs w:val="13"/>
                <w:b w:val="1"/>
                <w:bCs w:val="1"/>
                <w:color w:val="auto"/>
                <w:w w:val="96"/>
              </w:rPr>
              <w:t>Underlying Unvested</w:t>
            </w:r>
          </w:p>
        </w:tc>
        <w:tc>
          <w:tcPr>
            <w:tcW w:w="0" w:type="dxa"/>
            <w:vAlign w:val="bottom"/>
          </w:tcPr>
          <w:p>
            <w:pPr>
              <w:spacing w:after="0"/>
              <w:rPr>
                <w:sz w:val="1"/>
                <w:szCs w:val="1"/>
                <w:color w:val="auto"/>
              </w:rPr>
            </w:pPr>
          </w:p>
        </w:tc>
      </w:tr>
      <w:tr>
        <w:trPr>
          <w:trHeight w:val="162"/>
        </w:trPr>
        <w:tc>
          <w:tcPr>
            <w:tcW w:w="360" w:type="dxa"/>
            <w:vAlign w:val="bottom"/>
            <w:tcBorders>
              <w:bottom w:val="single" w:sz="8" w:color="auto"/>
            </w:tcBorders>
            <w:vMerge w:val="continue"/>
          </w:tcPr>
          <w:p>
            <w:pPr>
              <w:spacing w:after="0"/>
              <w:rPr>
                <w:sz w:val="14"/>
                <w:szCs w:val="14"/>
                <w:color w:val="auto"/>
              </w:rPr>
            </w:pPr>
          </w:p>
        </w:tc>
        <w:tc>
          <w:tcPr>
            <w:tcW w:w="5760" w:type="dxa"/>
            <w:vAlign w:val="bottom"/>
            <w:vMerge w:val="continue"/>
          </w:tcPr>
          <w:p>
            <w:pPr>
              <w:spacing w:after="0"/>
              <w:rPr>
                <w:sz w:val="14"/>
                <w:szCs w:val="14"/>
                <w:color w:val="auto"/>
              </w:rPr>
            </w:pPr>
          </w:p>
        </w:tc>
        <w:tc>
          <w:tcPr>
            <w:tcW w:w="2200" w:type="dxa"/>
            <w:vAlign w:val="bottom"/>
            <w:gridSpan w:val="2"/>
          </w:tcPr>
          <w:p>
            <w:pPr>
              <w:jc w:val="right"/>
              <w:ind w:right="940"/>
              <w:spacing w:after="0" w:line="142" w:lineRule="exact"/>
              <w:rPr>
                <w:sz w:val="20"/>
                <w:szCs w:val="20"/>
                <w:color w:val="auto"/>
              </w:rPr>
            </w:pPr>
            <w:r>
              <w:rPr>
                <w:rFonts w:ascii="Arial" w:cs="Arial" w:eastAsia="Arial" w:hAnsi="Arial"/>
                <w:sz w:val="13"/>
                <w:szCs w:val="13"/>
                <w:b w:val="1"/>
                <w:bCs w:val="1"/>
                <w:color w:val="auto"/>
                <w:w w:val="95"/>
              </w:rPr>
              <w:t>Outstanding Options</w:t>
            </w:r>
          </w:p>
        </w:tc>
        <w:tc>
          <w:tcPr>
            <w:tcW w:w="132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61"/>
        </w:trPr>
        <w:tc>
          <w:tcPr>
            <w:tcW w:w="612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Kerry W. Cooper</w:t>
            </w:r>
          </w:p>
        </w:tc>
        <w:tc>
          <w:tcPr>
            <w:tcW w:w="1280" w:type="dxa"/>
            <w:vAlign w:val="bottom"/>
            <w:tcBorders>
              <w:top w:val="single" w:sz="8" w:color="auto"/>
            </w:tcBorders>
            <w:shd w:val="clear" w:color="auto" w:fill="CCEEFF"/>
          </w:tcPr>
          <w:p>
            <w:pPr>
              <w:jc w:val="right"/>
              <w:ind w:right="446"/>
              <w:spacing w:after="0" w:line="161"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ind w:right="426"/>
              <w:spacing w:after="0" w:line="161"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120" w:type="dxa"/>
            <w:vAlign w:val="bottom"/>
            <w:gridSpan w:val="2"/>
          </w:tcPr>
          <w:p>
            <w:pPr>
              <w:spacing w:after="0" w:line="178" w:lineRule="exact"/>
              <w:rPr>
                <w:sz w:val="20"/>
                <w:szCs w:val="20"/>
                <w:color w:val="auto"/>
              </w:rPr>
            </w:pPr>
            <w:r>
              <w:rPr>
                <w:rFonts w:ascii="Arial" w:cs="Arial" w:eastAsia="Arial" w:hAnsi="Arial"/>
                <w:sz w:val="16"/>
                <w:szCs w:val="16"/>
                <w:color w:val="auto"/>
              </w:rPr>
              <w:t>Mary Hentges</w:t>
            </w:r>
          </w:p>
        </w:tc>
        <w:tc>
          <w:tcPr>
            <w:tcW w:w="2200" w:type="dxa"/>
            <w:vAlign w:val="bottom"/>
            <w:gridSpan w:val="2"/>
          </w:tcPr>
          <w:p>
            <w:pPr>
              <w:jc w:val="right"/>
              <w:ind w:right="920"/>
              <w:spacing w:after="0" w:line="178" w:lineRule="exact"/>
              <w:rPr>
                <w:sz w:val="20"/>
                <w:szCs w:val="20"/>
                <w:color w:val="auto"/>
              </w:rPr>
            </w:pPr>
            <w:r>
              <w:rPr>
                <w:rFonts w:ascii="Arial" w:cs="Arial" w:eastAsia="Arial" w:hAnsi="Arial"/>
                <w:sz w:val="16"/>
                <w:szCs w:val="16"/>
                <w:color w:val="auto"/>
              </w:rPr>
              <w:t>128,295</w:t>
            </w: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69,494</w:t>
            </w:r>
          </w:p>
        </w:tc>
        <w:tc>
          <w:tcPr>
            <w:tcW w:w="0" w:type="dxa"/>
            <w:vAlign w:val="bottom"/>
          </w:tcPr>
          <w:p>
            <w:pPr>
              <w:spacing w:after="0"/>
              <w:rPr>
                <w:sz w:val="1"/>
                <w:szCs w:val="1"/>
                <w:color w:val="auto"/>
              </w:rPr>
            </w:pPr>
          </w:p>
        </w:tc>
      </w:tr>
      <w:tr>
        <w:trPr>
          <w:trHeight w:val="177"/>
        </w:trPr>
        <w:tc>
          <w:tcPr>
            <w:tcW w:w="61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Oskar Mielczarek de la Miel</w:t>
            </w:r>
          </w:p>
        </w:tc>
        <w:tc>
          <w:tcPr>
            <w:tcW w:w="2200" w:type="dxa"/>
            <w:vAlign w:val="bottom"/>
            <w:gridSpan w:val="2"/>
            <w:shd w:val="clear" w:color="auto" w:fill="CCEEFF"/>
          </w:tcPr>
          <w:p>
            <w:pPr>
              <w:jc w:val="right"/>
              <w:ind w:right="1440"/>
              <w:spacing w:after="0" w:line="178"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5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120" w:type="dxa"/>
            <w:vAlign w:val="bottom"/>
            <w:gridSpan w:val="2"/>
          </w:tcPr>
          <w:p>
            <w:pPr>
              <w:spacing w:after="0" w:line="178" w:lineRule="exact"/>
              <w:rPr>
                <w:sz w:val="20"/>
                <w:szCs w:val="20"/>
                <w:color w:val="auto"/>
              </w:rPr>
            </w:pPr>
            <w:r>
              <w:rPr>
                <w:rFonts w:ascii="Arial" w:cs="Arial" w:eastAsia="Arial" w:hAnsi="Arial"/>
                <w:sz w:val="16"/>
                <w:szCs w:val="16"/>
                <w:color w:val="auto"/>
              </w:rPr>
              <w:t>Ciaran O’Kelly</w:t>
            </w:r>
          </w:p>
        </w:tc>
        <w:tc>
          <w:tcPr>
            <w:tcW w:w="2200" w:type="dxa"/>
            <w:vAlign w:val="bottom"/>
            <w:gridSpan w:val="2"/>
          </w:tcPr>
          <w:p>
            <w:pPr>
              <w:jc w:val="right"/>
              <w:ind w:right="920"/>
              <w:spacing w:after="0" w:line="178" w:lineRule="exact"/>
              <w:rPr>
                <w:sz w:val="20"/>
                <w:szCs w:val="20"/>
                <w:color w:val="auto"/>
              </w:rPr>
            </w:pPr>
            <w:r>
              <w:rPr>
                <w:rFonts w:ascii="Arial" w:cs="Arial" w:eastAsia="Arial" w:hAnsi="Arial"/>
                <w:sz w:val="16"/>
                <w:szCs w:val="16"/>
                <w:color w:val="auto"/>
              </w:rPr>
              <w:t>192,443</w:t>
            </w: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177"/>
        </w:trPr>
        <w:tc>
          <w:tcPr>
            <w:tcW w:w="61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Robert Schwartz</w:t>
            </w:r>
          </w:p>
        </w:tc>
        <w:tc>
          <w:tcPr>
            <w:tcW w:w="2200" w:type="dxa"/>
            <w:vAlign w:val="bottom"/>
            <w:gridSpan w:val="2"/>
            <w:shd w:val="clear" w:color="auto" w:fill="CCEEFF"/>
          </w:tcPr>
          <w:p>
            <w:pPr>
              <w:jc w:val="right"/>
              <w:ind w:right="1440"/>
              <w:spacing w:after="0" w:line="178"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5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6120" w:type="dxa"/>
            <w:vAlign w:val="bottom"/>
            <w:gridSpan w:val="2"/>
          </w:tcPr>
          <w:p>
            <w:pPr>
              <w:spacing w:after="0" w:line="178" w:lineRule="exact"/>
              <w:rPr>
                <w:sz w:val="20"/>
                <w:szCs w:val="20"/>
                <w:color w:val="auto"/>
              </w:rPr>
            </w:pPr>
            <w:r>
              <w:rPr>
                <w:rFonts w:ascii="Arial" w:cs="Arial" w:eastAsia="Arial" w:hAnsi="Arial"/>
                <w:sz w:val="16"/>
                <w:szCs w:val="16"/>
                <w:color w:val="auto"/>
              </w:rPr>
              <w:t>Sukhinder Singh Cassidy</w:t>
            </w:r>
          </w:p>
        </w:tc>
        <w:tc>
          <w:tcPr>
            <w:tcW w:w="2200" w:type="dxa"/>
            <w:vAlign w:val="bottom"/>
            <w:gridSpan w:val="2"/>
          </w:tcPr>
          <w:p>
            <w:pPr>
              <w:jc w:val="right"/>
              <w:ind w:right="920"/>
              <w:spacing w:after="0" w:line="178" w:lineRule="exact"/>
              <w:rPr>
                <w:sz w:val="20"/>
                <w:szCs w:val="20"/>
                <w:color w:val="auto"/>
              </w:rPr>
            </w:pPr>
            <w:r>
              <w:rPr>
                <w:rFonts w:ascii="Arial" w:cs="Arial" w:eastAsia="Arial" w:hAnsi="Arial"/>
                <w:sz w:val="16"/>
                <w:szCs w:val="16"/>
                <w:color w:val="auto"/>
              </w:rPr>
              <w:t>128,295</w:t>
            </w:r>
          </w:p>
        </w:tc>
        <w:tc>
          <w:tcPr>
            <w:tcW w:w="132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80,185</w:t>
            </w:r>
          </w:p>
        </w:tc>
        <w:tc>
          <w:tcPr>
            <w:tcW w:w="0" w:type="dxa"/>
            <w:vAlign w:val="bottom"/>
          </w:tcPr>
          <w:p>
            <w:pPr>
              <w:spacing w:after="0"/>
              <w:rPr>
                <w:sz w:val="1"/>
                <w:szCs w:val="1"/>
                <w:color w:val="auto"/>
              </w:rPr>
            </w:pPr>
          </w:p>
        </w:tc>
      </w:tr>
      <w:tr>
        <w:trPr>
          <w:trHeight w:val="177"/>
        </w:trPr>
        <w:tc>
          <w:tcPr>
            <w:tcW w:w="61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Hilliard C. Terry, III</w:t>
            </w:r>
          </w:p>
        </w:tc>
        <w:tc>
          <w:tcPr>
            <w:tcW w:w="2200" w:type="dxa"/>
            <w:vAlign w:val="bottom"/>
            <w:gridSpan w:val="2"/>
            <w:shd w:val="clear" w:color="auto" w:fill="CCEEFF"/>
          </w:tcPr>
          <w:p>
            <w:pPr>
              <w:jc w:val="right"/>
              <w:ind w:right="920"/>
              <w:spacing w:after="0" w:line="178" w:lineRule="exact"/>
              <w:rPr>
                <w:sz w:val="20"/>
                <w:szCs w:val="20"/>
                <w:color w:val="auto"/>
              </w:rPr>
            </w:pPr>
            <w:r>
              <w:rPr>
                <w:rFonts w:ascii="Arial" w:cs="Arial" w:eastAsia="Arial" w:hAnsi="Arial"/>
                <w:sz w:val="16"/>
                <w:szCs w:val="16"/>
                <w:color w:val="auto"/>
              </w:rPr>
              <w:t>128,295</w:t>
            </w:r>
          </w:p>
        </w:tc>
        <w:tc>
          <w:tcPr>
            <w:tcW w:w="13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16,037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50" w:lineRule="exact"/>
        <w:rPr>
          <w:sz w:val="20"/>
          <w:szCs w:val="20"/>
          <w:color w:val="auto"/>
        </w:rPr>
      </w:pPr>
    </w:p>
    <w:p>
      <w:pPr>
        <w:ind w:left="1280" w:right="80" w:hanging="481"/>
        <w:spacing w:after="0" w:line="236" w:lineRule="auto"/>
        <w:tabs>
          <w:tab w:leader="none" w:pos="12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Kerry W. Cooper was granted 2,297 restricted stock units in March 2021 in connection with her joining our board of directors and Ms. Cooper will also receive other compensation pursuant to our Outside Director Compensation Policy.</w:t>
      </w:r>
    </w:p>
    <w:p>
      <w:pPr>
        <w:spacing w:after="0" w:line="249"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April 2020 Option Grants</w:t>
      </w:r>
    </w:p>
    <w:p>
      <w:pPr>
        <w:spacing w:after="0" w:line="108"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April 2020, our board of directors approved option grants under our 2012 Plan to each of Ms. Singh Cassidy and Mr. O’Kelly. In connection with Ms. Singh Cassidy’s appointment as a member of the board of directors in February 2020, Ms. Singh Cassidy received an option to purchase 128,295 shares of our common stock, which vests in 24 equal monthly installments beginning on March 1, 2020, subject to Ms. Singh Cassidy’s continued role as a service provider to us. Mr. O’Kelly received an option to purchase 64,148 shares of our common stock, which vests in 12 equal monthly installments beginning on May 1, 2020, subject to Mr. O’Kelly’s continued role as a service provider to us.</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Outside Director Compensation Policy</w:t>
      </w:r>
    </w:p>
    <w:p>
      <w:pPr>
        <w:spacing w:after="0" w:line="108"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In October 2020 our board of directors adopted a new compensation policy for our non-employee directors, which was amended by our board of directors and approved by our stockholders in November 2020 and became effective upon the completion of our IPO. This policy was developed with input from our independent compensation consultant regarding practices and compensation levels at comparable companies. It is designed to provide a total compensation package that enables us to attract and retain qualified and experienced individuals to serve as directors and to align our directors’ interests with those of our stockholders.</w:t>
      </w:r>
    </w:p>
    <w:p>
      <w:pPr>
        <w:spacing w:after="0" w:line="179"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Under this compensation policy, each non-employee director will receive the cash and equity compensation for board services described below. We will continue to reimburse our non-employee directors for reasonable, customary and documented travel expenses to board of directors or committee meetings.</w:t>
      </w:r>
    </w:p>
    <w:p>
      <w:pPr>
        <w:spacing w:after="0" w:line="179"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The compensation policy includes a maximum annual limit of $ 1,000,000 of cash compensation and equity awards that may be paid, issued, or granted to a non-employee director in any fiscal year, increased to $2,000,000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440"/>
          </w:cols>
          <w:pgMar w:left="320" w:top="419" w:right="113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106"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Each non-employee director will be entitled to receive the following cash compensation for their services under the outside director compensation policy:</w:t>
      </w:r>
    </w:p>
    <w:p>
      <w:pPr>
        <w:spacing w:after="0" w:line="96" w:lineRule="exact"/>
        <w:rPr>
          <w:sz w:val="20"/>
          <w:szCs w:val="20"/>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$30,000 per year for service as a board member;</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$40,000 per year for service as non-employee chair of the board;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$25,000 per year for service as a lead independent director;</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$20,000 per year for service as chair of the audit committee;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$10,000 per year for service as a member of the audit committee;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$14,000 per year for service as chair of the compensation committee;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$7,000 per year for service as a member of the compensation committee;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$8,000 per year for service as chair of the nominating and corporate governance committee;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$4,000 per year for service as a member of the nominating and corporate governance committee.</w:t>
      </w:r>
    </w:p>
    <w:p>
      <w:pPr>
        <w:spacing w:after="0" w:line="183"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Each non-employee director who serves as the chair of a committee will receive only the additional annual cash fee as the chair of the committee, and not the annual fee as a member of the committee, provided that each non-employee director who serves as the non-employee chair or the lead independent director will receive the annual fee for service as a board member and an additional annual fee as the non-employee chair or lead independent director. All cash payments to non-employee directors are paid annually in arrears on a pro-rated basis.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Election to Receive Restricted Stock Units in Lieu of Cash Compensation</w:t>
      </w:r>
    </w:p>
    <w:p>
      <w:pPr>
        <w:spacing w:after="0" w:line="106"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Each non-employee director may elect to convert all or a portion of his or her annual cash retainer payments into an award covering a number of restricted stock units, or a Retainer Award, with a grant date fair value (determined in accordance with GAAP) equal to the amount of the applicable annual cash retainer payment to which the Retainer Award relates.</w:t>
      </w:r>
    </w:p>
    <w:p>
      <w:pPr>
        <w:spacing w:after="0" w:line="179" w:lineRule="exact"/>
        <w:rPr>
          <w:sz w:val="20"/>
          <w:szCs w:val="20"/>
          <w:color w:val="auto"/>
        </w:rPr>
      </w:pPr>
    </w:p>
    <w:p>
      <w:pPr>
        <w:ind w:left="800" w:right="180" w:firstLine="482"/>
        <w:spacing w:after="0" w:line="233" w:lineRule="auto"/>
        <w:rPr>
          <w:sz w:val="20"/>
          <w:szCs w:val="20"/>
          <w:color w:val="auto"/>
        </w:rPr>
      </w:pPr>
      <w:r>
        <w:rPr>
          <w:rFonts w:ascii="Arial" w:cs="Arial" w:eastAsia="Arial" w:hAnsi="Arial"/>
          <w:sz w:val="16"/>
          <w:szCs w:val="16"/>
          <w:color w:val="auto"/>
        </w:rPr>
        <w:t>Each individual who first becomes a non-employee director must make an election to receive Retainer Awards in lieu of cash payments, or a Retainer RSU Election, with respect to annual cash retainer payments relating to services to be performed in the same calendar year as such individual first becomes a non-employee director on or prior to the date that the individual first becomes a nonemployee director. Each non-employee director must make a Retainer RSU Election with respect to annual cash retainer payments relating to services to be performed in the following calendar year by no later than December 31 of each calendar year, or such earlier deadline as established by our board of directors or the compensation committee of our board of directors.</w:t>
      </w:r>
    </w:p>
    <w:p>
      <w:pPr>
        <w:spacing w:after="0" w:line="182"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If a non-employee director who has made a valid Retainer RSU election ceases to be a non-employee director prior to the applicable grant date of a Retainer Award to which the Retainer RSU Election relates, the Retainer RSU Election will be treated as cancelled and the non-employee director will be eligible to receive a prorated payment of the annual payment of the non-employee director’s applicable annual cash retainer, calculated based on the number of days during the applicable calendar year the non-employee director served in the relevant capacities, in accordance with the terms and conditions of the policy.</w:t>
      </w:r>
    </w:p>
    <w:p>
      <w:pPr>
        <w:spacing w:after="0" w:line="179" w:lineRule="exact"/>
        <w:rPr>
          <w:sz w:val="20"/>
          <w:szCs w:val="20"/>
          <w:color w:val="auto"/>
        </w:rPr>
      </w:pPr>
    </w:p>
    <w:p>
      <w:pPr>
        <w:ind w:left="800" w:right="320" w:firstLine="482"/>
        <w:spacing w:after="0" w:line="238" w:lineRule="auto"/>
        <w:rPr>
          <w:sz w:val="20"/>
          <w:szCs w:val="20"/>
          <w:color w:val="auto"/>
        </w:rPr>
      </w:pPr>
      <w:r>
        <w:rPr>
          <w:rFonts w:ascii="Arial" w:cs="Arial" w:eastAsia="Arial" w:hAnsi="Arial"/>
          <w:sz w:val="16"/>
          <w:szCs w:val="16"/>
          <w:color w:val="auto"/>
        </w:rPr>
        <w:t>Retainer awards will be granted on January 10 immediately following the end of the calendar year for which the corresponding annual cash retainer payment was earned, except that if such date is not a</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380"/>
          </w:cols>
          <w:pgMar w:left="320" w:top="419" w:right="119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40"/>
        <w:spacing w:after="0" w:line="238" w:lineRule="auto"/>
        <w:rPr>
          <w:sz w:val="20"/>
          <w:szCs w:val="20"/>
          <w:color w:val="auto"/>
        </w:rPr>
      </w:pPr>
      <w:r>
        <w:rPr>
          <w:rFonts w:ascii="Arial" w:cs="Arial" w:eastAsia="Arial" w:hAnsi="Arial"/>
          <w:sz w:val="16"/>
          <w:szCs w:val="16"/>
          <w:color w:val="auto"/>
        </w:rPr>
        <w:t>trading day, the associated grant of the applicable Retainer Award shall occur on the next trading day following such date. Each Retainer Award will be fully vested on the date of grant.</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Initial Award</w:t>
      </w:r>
    </w:p>
    <w:p>
      <w:pPr>
        <w:spacing w:after="0" w:line="104"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Subject to the limits in our 2020 Equity Incentive Plan, each person who first becomes a non-employee director after the date of the effective date of the policy will receive, on the first trading date on or after the date on which the person first becomes a non-employee director, an initial award of restricted stock units (the “Initial Award”), covering a number of shares of our common stock having a grant date fair value (determined in accordance with GAAP) equal to $165,000; provided that any resulting fraction will be rounded down to the nearest whole share. The Initial Award will vest in its entirety on the one (1) year anniversary of the non-employee director’s initial start date, subject to the non-employee director continuing to be a non-employee director through the applicable vesting date. If the person was a member of our board of directors and also an employee, becoming a non-employee director due to termination of employment will not entitle them to an Initial Award.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Annual Award</w:t>
      </w:r>
    </w:p>
    <w:p>
      <w:pPr>
        <w:spacing w:after="0" w:line="104"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Subject to the limits in our 2020 Equity Incentive Plan, each non-employee director automatically will receive, on the date of each annual meeting of our stockholders following the effective date of the policy, an annual award of restricted stock units, or an Annual Award, covering a number of shares of our common stock having a grant date fair value (determined in accordance with GAAP) of $165,000; provided that the first annual award granted to an individual who first becomes a non-employee director following the effective date of the policy will have a grant date fair value equal to the product of (A) $165,000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vest in its entirety on the earlier of (x) the 1-year anniversary of the Annual Award’s grant date, or (y) the day immediately before the date of the next annual meeting of our stockholders that follows the grant date of the Annual Award, subject to the non-employee director’s continued service through the applicable vesting date.</w:t>
      </w:r>
    </w:p>
    <w:p>
      <w:pPr>
        <w:spacing w:after="0" w:line="184"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Pursuant to the policy, for purposes of determining the grant date fair value of Initial Awards, Annual Awards and Retainer Awards, the grant date fair value per share will equal the average closing price of one share of our common stock for the 30 trading days immediately prior to the applicable date of grant.</w:t>
      </w:r>
    </w:p>
    <w:p>
      <w:pPr>
        <w:spacing w:after="0" w:line="179" w:lineRule="exact"/>
        <w:rPr>
          <w:sz w:val="20"/>
          <w:szCs w:val="20"/>
          <w:color w:val="auto"/>
        </w:rPr>
      </w:pPr>
    </w:p>
    <w:p>
      <w:pPr>
        <w:ind w:left="800" w:right="140" w:firstLine="482"/>
        <w:spacing w:after="0" w:line="235" w:lineRule="auto"/>
        <w:rPr>
          <w:sz w:val="20"/>
          <w:szCs w:val="20"/>
          <w:color w:val="auto"/>
        </w:rPr>
      </w:pPr>
      <w:r>
        <w:rPr>
          <w:rFonts w:ascii="Arial" w:cs="Arial" w:eastAsia="Arial" w:hAnsi="Arial"/>
          <w:sz w:val="16"/>
          <w:szCs w:val="16"/>
          <w:color w:val="auto"/>
        </w:rPr>
        <w:t>In the event of a “change in control” (as defined in our 2020 Equity Incentive Plan), each non-employee director will fully vest in their outstanding company equity awards issued under the director compensation policy, including any Initial Award or Annual Award, immediately prior to the consummation of the change in control provided that the non-employee director continues to be a non-employee director through such date.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0440"/>
          </w:cols>
          <w:pgMar w:left="320" w:top="419" w:right="113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EXECUTIVE COMPENSATION</w:t>
      </w:r>
    </w:p>
    <w:p>
      <w:pPr>
        <w:spacing w:after="0" w:line="203" w:lineRule="exact"/>
        <w:rPr>
          <w:sz w:val="20"/>
          <w:szCs w:val="20"/>
          <w:color w:val="auto"/>
        </w:rPr>
      </w:pPr>
    </w:p>
    <w:p>
      <w:pPr>
        <w:ind w:left="800" w:right="320" w:firstLine="482"/>
        <w:spacing w:after="0" w:line="238" w:lineRule="auto"/>
        <w:rPr>
          <w:sz w:val="20"/>
          <w:szCs w:val="20"/>
          <w:color w:val="auto"/>
        </w:rPr>
      </w:pPr>
      <w:r>
        <w:rPr>
          <w:rFonts w:ascii="Arial" w:cs="Arial" w:eastAsia="Arial" w:hAnsi="Arial"/>
          <w:sz w:val="16"/>
          <w:szCs w:val="16"/>
          <w:color w:val="auto"/>
        </w:rPr>
        <w:t>Our named executive officers, consisting of our principal executive officer and the next two most highly compensated executive officers, as of December 31, 2020, were:</w:t>
      </w:r>
    </w:p>
    <w:p>
      <w:pPr>
        <w:spacing w:after="0" w:line="96" w:lineRule="exact"/>
        <w:rPr>
          <w:sz w:val="20"/>
          <w:szCs w:val="20"/>
          <w:color w:val="auto"/>
        </w:rPr>
      </w:pPr>
    </w:p>
    <w:p>
      <w:pPr>
        <w:ind w:left="1460" w:hanging="188"/>
        <w:spacing w:after="0"/>
        <w:tabs>
          <w:tab w:leader="none" w:pos="1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Dave Girouard, our Chief Executive Officer and Chairperson of our board of directors;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Sanjay Datta, our Chief Financial Officer;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Paul Gu, our Senior Vice President of Product and Data Science and member of our board of directors.</w:t>
      </w:r>
    </w:p>
    <w:p>
      <w:pPr>
        <w:spacing w:after="0" w:line="25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Summary Compensation Table</w:t>
      </w:r>
    </w:p>
    <w:p>
      <w:pPr>
        <w:spacing w:after="0" w:line="203" w:lineRule="exact"/>
        <w:rPr>
          <w:sz w:val="20"/>
          <w:szCs w:val="20"/>
          <w:color w:val="auto"/>
        </w:rPr>
      </w:pPr>
    </w:p>
    <w:p>
      <w:pPr>
        <w:ind w:left="800" w:right="440" w:firstLine="482"/>
        <w:spacing w:after="0" w:line="238" w:lineRule="auto"/>
        <w:rPr>
          <w:sz w:val="20"/>
          <w:szCs w:val="20"/>
          <w:color w:val="auto"/>
        </w:rPr>
      </w:pPr>
      <w:r>
        <w:rPr>
          <w:rFonts w:ascii="Arial" w:cs="Arial" w:eastAsia="Arial" w:hAnsi="Arial"/>
          <w:sz w:val="16"/>
          <w:szCs w:val="16"/>
          <w:color w:val="auto"/>
        </w:rPr>
        <w:t>The amounts below represent the compensation awarded to or earned by or paid to our named executive officers for the year ended December 31, 2020:</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Non-Equity</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5"/>
              </w:rPr>
              <w:t>Option</w:t>
            </w: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94"/>
              </w:rPr>
              <w:t>All Other</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580" w:type="dxa"/>
            <w:vAlign w:val="bottom"/>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w w:val="92"/>
              </w:rPr>
              <w:t>Fiscal</w:t>
            </w:r>
          </w:p>
        </w:tc>
        <w:tc>
          <w:tcPr>
            <w:tcW w:w="78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Salary</w:t>
            </w:r>
          </w:p>
        </w:tc>
        <w:tc>
          <w:tcPr>
            <w:tcW w:w="58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Bonus</w:t>
            </w:r>
          </w:p>
        </w:tc>
        <w:tc>
          <w:tcPr>
            <w:tcW w:w="9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3"/>
              </w:rPr>
              <w:t>Awards</w:t>
            </w: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7"/>
              </w:rPr>
              <w:t>Compensation</w:t>
            </w: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w w:val="97"/>
              </w:rPr>
              <w:t>Compensation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80" w:type="dxa"/>
            <w:vAlign w:val="bottom"/>
            <w:gridSpan w:val="2"/>
            <w:vMerge w:val="continue"/>
          </w:tcPr>
          <w:p>
            <w:pPr>
              <w:spacing w:after="0"/>
              <w:rPr>
                <w:sz w:val="14"/>
                <w:szCs w:val="14"/>
                <w:color w:val="auto"/>
              </w:rPr>
            </w:pPr>
          </w:p>
        </w:tc>
        <w:tc>
          <w:tcPr>
            <w:tcW w:w="580" w:type="dxa"/>
            <w:vAlign w:val="bottom"/>
            <w:gridSpan w:val="2"/>
          </w:tcPr>
          <w:p>
            <w:pPr>
              <w:jc w:val="right"/>
              <w:ind w:right="260"/>
              <w:spacing w:after="0" w:line="144" w:lineRule="exact"/>
              <w:rPr>
                <w:sz w:val="20"/>
                <w:szCs w:val="20"/>
                <w:color w:val="auto"/>
              </w:rPr>
            </w:pPr>
            <w:r>
              <w:rPr>
                <w:rFonts w:ascii="Arial" w:cs="Arial" w:eastAsia="Arial" w:hAnsi="Arial"/>
                <w:sz w:val="13"/>
                <w:szCs w:val="13"/>
                <w:b w:val="1"/>
                <w:bCs w:val="1"/>
                <w:color w:val="auto"/>
              </w:rPr>
              <w:t>Year</w:t>
            </w:r>
          </w:p>
        </w:tc>
        <w:tc>
          <w:tcPr>
            <w:tcW w:w="580" w:type="dxa"/>
            <w:vAlign w:val="bottom"/>
          </w:tcPr>
          <w:p>
            <w:pPr>
              <w:jc w:val="right"/>
              <w:ind w:right="131"/>
              <w:spacing w:after="0" w:line="144"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420" w:type="dxa"/>
            <w:vAlign w:val="bottom"/>
          </w:tcPr>
          <w:p>
            <w:pPr>
              <w:ind w:left="140"/>
              <w:spacing w:after="0" w:line="14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(1)</w:t>
            </w:r>
          </w:p>
        </w:tc>
        <w:tc>
          <w:tcPr>
            <w:tcW w:w="220" w:type="dxa"/>
            <w:vAlign w:val="bottom"/>
          </w:tcPr>
          <w:p>
            <w:pPr>
              <w:spacing w:after="0"/>
              <w:rPr>
                <w:sz w:val="14"/>
                <w:szCs w:val="14"/>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220" w:type="dxa"/>
            <w:vAlign w:val="bottom"/>
          </w:tcPr>
          <w:p>
            <w:pPr>
              <w:spacing w:after="0"/>
              <w:rPr>
                <w:sz w:val="14"/>
                <w:szCs w:val="14"/>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7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25"/>
        </w:trPr>
        <w:tc>
          <w:tcPr>
            <w:tcW w:w="17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9"/>
                <w:szCs w:val="9"/>
                <w:color w:val="auto"/>
              </w:rPr>
              <w:t>Dave Girouard</w:t>
            </w:r>
            <w:r>
              <w:rPr>
                <w:rFonts w:ascii="Arial" w:cs="Arial" w:eastAsia="Arial" w:hAnsi="Arial"/>
                <w:sz w:val="14"/>
                <w:szCs w:val="14"/>
                <w:color w:val="auto"/>
                <w:vertAlign w:val="superscript"/>
              </w:rPr>
              <w:t>(3)</w:t>
            </w:r>
          </w:p>
        </w:tc>
        <w:tc>
          <w:tcPr>
            <w:tcW w:w="2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396,667</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8,030,055</w:t>
            </w: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337,000</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8,763,722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2019</w:t>
            </w:r>
          </w:p>
        </w:tc>
        <w:tc>
          <w:tcPr>
            <w:tcW w:w="580" w:type="dxa"/>
            <w:vAlign w:val="bottom"/>
          </w:tcPr>
          <w:p>
            <w:pPr>
              <w:jc w:val="right"/>
              <w:spacing w:after="0"/>
              <w:rPr>
                <w:sz w:val="20"/>
                <w:szCs w:val="20"/>
                <w:color w:val="auto"/>
              </w:rPr>
            </w:pPr>
            <w:r>
              <w:rPr>
                <w:rFonts w:ascii="Arial" w:cs="Arial" w:eastAsia="Arial" w:hAnsi="Arial"/>
                <w:sz w:val="14"/>
                <w:szCs w:val="14"/>
                <w:color w:val="auto"/>
              </w:rPr>
              <w:t>360,000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w:t>
            </w:r>
          </w:p>
        </w:tc>
        <w:tc>
          <w:tcPr>
            <w:tcW w:w="11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CEEFF"/>
          </w:tcPr>
          <w:p>
            <w:pPr>
              <w:spacing w:after="0" w:line="153" w:lineRule="exact"/>
              <w:rPr>
                <w:sz w:val="20"/>
                <w:szCs w:val="20"/>
                <w:color w:val="auto"/>
              </w:rPr>
            </w:pPr>
            <w:r>
              <w:rPr>
                <w:rFonts w:ascii="Arial" w:cs="Arial" w:eastAsia="Arial" w:hAnsi="Arial"/>
                <w:sz w:val="14"/>
                <w:szCs w:val="14"/>
                <w:color w:val="auto"/>
              </w:rPr>
              <w:t>Sanjay Datta</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Financial Officer</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397,917</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1,115,300</w:t>
            </w: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339,000</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1,852,217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2019</w:t>
            </w:r>
          </w:p>
        </w:tc>
        <w:tc>
          <w:tcPr>
            <w:tcW w:w="580" w:type="dxa"/>
            <w:vAlign w:val="bottom"/>
          </w:tcPr>
          <w:p>
            <w:pPr>
              <w:jc w:val="right"/>
              <w:spacing w:after="0"/>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384,525</w:t>
            </w:r>
          </w:p>
        </w:tc>
        <w:tc>
          <w:tcPr>
            <w:tcW w:w="220" w:type="dxa"/>
            <w:vAlign w:val="bottom"/>
          </w:tcPr>
          <w:p>
            <w:pPr>
              <w:spacing w:after="0"/>
              <w:rPr>
                <w:sz w:val="14"/>
                <w:szCs w:val="14"/>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w w:val="94"/>
              </w:rPr>
              <w:t>189,000</w:t>
            </w:r>
          </w:p>
        </w:tc>
        <w:tc>
          <w:tcPr>
            <w:tcW w:w="220" w:type="dxa"/>
            <w:vAlign w:val="bottom"/>
          </w:tcPr>
          <w:p>
            <w:pPr>
              <w:spacing w:after="0"/>
              <w:rPr>
                <w:sz w:val="14"/>
                <w:szCs w:val="14"/>
                <w:color w:val="auto"/>
              </w:rPr>
            </w:pPr>
          </w:p>
        </w:tc>
        <w:tc>
          <w:tcPr>
            <w:tcW w:w="11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948,525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CEEFF"/>
          </w:tcPr>
          <w:p>
            <w:pPr>
              <w:spacing w:after="0" w:line="154" w:lineRule="exact"/>
              <w:rPr>
                <w:sz w:val="20"/>
                <w:szCs w:val="20"/>
                <w:color w:val="auto"/>
              </w:rPr>
            </w:pPr>
            <w:r>
              <w:rPr>
                <w:rFonts w:ascii="Arial" w:cs="Arial" w:eastAsia="Arial" w:hAnsi="Arial"/>
                <w:sz w:val="11"/>
                <w:szCs w:val="11"/>
                <w:color w:val="auto"/>
              </w:rPr>
              <w:t>Paul Gu</w:t>
            </w:r>
            <w:r>
              <w:rPr>
                <w:rFonts w:ascii="Arial" w:cs="Arial" w:eastAsia="Arial" w:hAnsi="Arial"/>
                <w:sz w:val="17"/>
                <w:szCs w:val="17"/>
                <w:color w:val="auto"/>
                <w:vertAlign w:val="superscript"/>
              </w:rPr>
              <w:t>(3)</w:t>
            </w: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SVP, Product and Data Science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2020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390,000</w:t>
            </w: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1,115,300</w:t>
            </w:r>
          </w:p>
        </w:tc>
        <w:tc>
          <w:tcPr>
            <w:tcW w:w="88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4"/>
              </w:rPr>
              <w:t>332,000</w:t>
            </w:r>
          </w:p>
        </w:tc>
        <w:tc>
          <w:tcPr>
            <w:tcW w:w="2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1,837,300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2019</w:t>
            </w:r>
          </w:p>
        </w:tc>
        <w:tc>
          <w:tcPr>
            <w:tcW w:w="580" w:type="dxa"/>
            <w:vAlign w:val="bottom"/>
          </w:tcPr>
          <w:p>
            <w:pPr>
              <w:jc w:val="right"/>
              <w:spacing w:after="0"/>
              <w:rPr>
                <w:sz w:val="20"/>
                <w:szCs w:val="20"/>
                <w:color w:val="auto"/>
              </w:rPr>
            </w:pPr>
            <w:r>
              <w:rPr>
                <w:rFonts w:ascii="Arial" w:cs="Arial" w:eastAsia="Arial" w:hAnsi="Arial"/>
                <w:sz w:val="14"/>
                <w:szCs w:val="14"/>
                <w:color w:val="auto"/>
              </w:rPr>
              <w:t>269,773</w:t>
            </w:r>
          </w:p>
        </w:tc>
        <w:tc>
          <w:tcPr>
            <w:tcW w:w="2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384,525</w:t>
            </w:r>
          </w:p>
        </w:tc>
        <w:tc>
          <w:tcPr>
            <w:tcW w:w="220" w:type="dxa"/>
            <w:vAlign w:val="bottom"/>
          </w:tcPr>
          <w:p>
            <w:pPr>
              <w:spacing w:after="0"/>
              <w:rPr>
                <w:sz w:val="14"/>
                <w:szCs w:val="14"/>
                <w:color w:val="auto"/>
              </w:rPr>
            </w:pPr>
          </w:p>
        </w:tc>
        <w:tc>
          <w:tcPr>
            <w:tcW w:w="880" w:type="dxa"/>
            <w:vAlign w:val="bottom"/>
          </w:tcPr>
          <w:p>
            <w:pPr>
              <w:ind w:left="380"/>
              <w:spacing w:after="0"/>
              <w:rPr>
                <w:sz w:val="20"/>
                <w:szCs w:val="20"/>
                <w:color w:val="auto"/>
              </w:rPr>
            </w:pPr>
            <w:r>
              <w:rPr>
                <w:rFonts w:ascii="Arial" w:cs="Arial" w:eastAsia="Arial" w:hAnsi="Arial"/>
                <w:sz w:val="14"/>
                <w:szCs w:val="14"/>
                <w:color w:val="auto"/>
                <w:w w:val="94"/>
              </w:rPr>
              <w:t>145,677</w:t>
            </w:r>
          </w:p>
        </w:tc>
        <w:tc>
          <w:tcPr>
            <w:tcW w:w="220" w:type="dxa"/>
            <w:vAlign w:val="bottom"/>
          </w:tcPr>
          <w:p>
            <w:pPr>
              <w:spacing w:after="0"/>
              <w:rPr>
                <w:sz w:val="14"/>
                <w:szCs w:val="14"/>
                <w:color w:val="auto"/>
              </w:rPr>
            </w:pPr>
          </w:p>
        </w:tc>
        <w:tc>
          <w:tcPr>
            <w:tcW w:w="11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799,975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71120</wp:posOffset>
            </wp:positionV>
            <wp:extent cx="67564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3" w:lineRule="exact"/>
        <w:rPr>
          <w:sz w:val="20"/>
          <w:szCs w:val="20"/>
          <w:color w:val="auto"/>
        </w:rPr>
      </w:pPr>
    </w:p>
    <w:p>
      <w:pPr>
        <w:ind w:left="1280" w:right="140" w:hanging="481"/>
        <w:spacing w:after="0" w:line="227" w:lineRule="auto"/>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 reported represents the aggregate grant-date fair value of the stock options awarded to the named executive officer in 2020, calculated in accordance with ASC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10 to our Consolidated Financial Statements. These amounts do not reflect the actual economic value that may be realized by the named executive officer.</w:t>
      </w:r>
    </w:p>
    <w:p>
      <w:pPr>
        <w:spacing w:after="0" w:line="2" w:lineRule="exact"/>
        <w:rPr>
          <w:rFonts w:ascii="Arial" w:cs="Arial" w:eastAsia="Arial" w:hAnsi="Arial"/>
          <w:sz w:val="13"/>
          <w:szCs w:val="13"/>
          <w:color w:val="auto"/>
        </w:rPr>
      </w:pPr>
    </w:p>
    <w:p>
      <w:pPr>
        <w:ind w:left="1280" w:right="40" w:hanging="481"/>
        <w:spacing w:after="0" w:line="227" w:lineRule="auto"/>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amounts reported for 2020 represent the amounts earned by the named executive officers in calendar year 2020 under Upstart’s 2020 Bonus Plan, as described in more detail below under “2020 Bonus Plan.” The amounts reported for 2019 represent the amounts earned by the named executive officers in calendar year 2019 under Upstart’s 2019 Bonus Plan.</w:t>
      </w:r>
    </w:p>
    <w:p>
      <w:pPr>
        <w:spacing w:after="0" w:line="1" w:lineRule="exact"/>
        <w:rPr>
          <w:rFonts w:ascii="Arial" w:cs="Arial" w:eastAsia="Arial" w:hAnsi="Arial"/>
          <w:sz w:val="13"/>
          <w:szCs w:val="13"/>
          <w:color w:val="auto"/>
        </w:rPr>
      </w:pPr>
    </w:p>
    <w:p>
      <w:pPr>
        <w:ind w:left="1280" w:hanging="481"/>
        <w:spacing w:after="0"/>
        <w:tabs>
          <w:tab w:leader="none" w:pos="12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Mr. Girouard and Mr. Gu serve on our board of directors but are not paid additional compensation for such service.</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440"/>
          </w:cols>
          <w:pgMar w:left="320" w:top="419" w:right="113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Outstanding Equity Awards at Year-End</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w:t>
      </w:r>
    </w:p>
    <w:p>
      <w:pPr>
        <w:ind w:left="800"/>
        <w:spacing w:after="0"/>
        <w:rPr>
          <w:sz w:val="20"/>
          <w:szCs w:val="20"/>
          <w:color w:val="auto"/>
        </w:rPr>
      </w:pPr>
      <w:r>
        <w:rPr>
          <w:rFonts w:ascii="Arial" w:cs="Arial" w:eastAsia="Arial" w:hAnsi="Arial"/>
          <w:sz w:val="16"/>
          <w:szCs w:val="16"/>
          <w:color w:val="auto"/>
        </w:rPr>
        <w:t>December 31, 2020:</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Option Awards</w:t>
            </w:r>
          </w:p>
        </w:tc>
        <w:tc>
          <w:tcPr>
            <w:tcW w:w="7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Number of</w:t>
            </w:r>
          </w:p>
        </w:tc>
        <w:tc>
          <w:tcPr>
            <w:tcW w:w="22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8"/>
              </w:rPr>
              <w:t>Number of</w:t>
            </w: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96"/>
              </w:rPr>
              <w:t>Securities</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6"/>
              </w:rPr>
              <w:t>Securities</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w w:val="97"/>
              </w:rPr>
              <w:t>Underlying</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4"/>
              </w:rPr>
              <w:t>Underlying</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100"/>
              <w:spacing w:after="0" w:line="142" w:lineRule="exact"/>
              <w:rPr>
                <w:sz w:val="20"/>
                <w:szCs w:val="20"/>
                <w:color w:val="auto"/>
              </w:rPr>
            </w:pPr>
            <w:r>
              <w:rPr>
                <w:rFonts w:ascii="Arial" w:cs="Arial" w:eastAsia="Arial" w:hAnsi="Arial"/>
                <w:sz w:val="13"/>
                <w:szCs w:val="13"/>
                <w:b w:val="1"/>
                <w:bCs w:val="1"/>
                <w:color w:val="auto"/>
                <w:w w:val="95"/>
              </w:rPr>
              <w:t>Unexercised</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3"/>
                <w:szCs w:val="13"/>
                <w:b w:val="1"/>
                <w:bCs w:val="1"/>
                <w:color w:val="auto"/>
                <w:w w:val="98"/>
              </w:rPr>
              <w:t>Unexercised</w:t>
            </w:r>
          </w:p>
        </w:tc>
        <w:tc>
          <w:tcPr>
            <w:tcW w:w="98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5"/>
              </w:rPr>
              <w:t>Option</w:t>
            </w:r>
          </w:p>
        </w:tc>
        <w:tc>
          <w:tcPr>
            <w:tcW w:w="14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39"/>
        </w:trPr>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2620" w:type="dxa"/>
            <w:vAlign w:val="bottom"/>
            <w:vMerge w:val="restart"/>
          </w:tcPr>
          <w:p>
            <w:pPr>
              <w:spacing w:after="0"/>
              <w:rPr>
                <w:sz w:val="12"/>
                <w:szCs w:val="12"/>
                <w:color w:val="auto"/>
              </w:rPr>
            </w:pPr>
          </w:p>
        </w:tc>
        <w:tc>
          <w:tcPr>
            <w:tcW w:w="18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7"/>
              </w:rPr>
              <w:t>Grant</w:t>
            </w:r>
          </w:p>
        </w:tc>
        <w:tc>
          <w:tcPr>
            <w:tcW w:w="9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Options (#)</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9"/>
              </w:rPr>
              <w:t>Options (#)</w:t>
            </w:r>
          </w:p>
        </w:tc>
        <w:tc>
          <w:tcPr>
            <w:tcW w:w="9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7"/>
              </w:rPr>
              <w:t>Exercise</w:t>
            </w:r>
          </w:p>
        </w:tc>
        <w:tc>
          <w:tcPr>
            <w:tcW w:w="14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7"/>
              </w:rPr>
              <w:t>Expiration</w:t>
            </w:r>
          </w:p>
        </w:tc>
        <w:tc>
          <w:tcPr>
            <w:tcW w:w="0" w:type="dxa"/>
            <w:vAlign w:val="bottom"/>
          </w:tcPr>
          <w:p>
            <w:pPr>
              <w:spacing w:after="0"/>
              <w:rPr>
                <w:sz w:val="1"/>
                <w:szCs w:val="1"/>
                <w:color w:val="auto"/>
              </w:rPr>
            </w:pPr>
          </w:p>
        </w:tc>
      </w:tr>
      <w:tr>
        <w:trPr>
          <w:trHeight w:val="164"/>
        </w:trPr>
        <w:tc>
          <w:tcPr>
            <w:tcW w:w="360" w:type="dxa"/>
            <w:vAlign w:val="bottom"/>
            <w:tcBorders>
              <w:bottom w:val="single" w:sz="8" w:color="auto"/>
            </w:tcBorders>
            <w:vMerge w:val="continue"/>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gridSpan w:val="2"/>
          </w:tcPr>
          <w:p>
            <w:pPr>
              <w:jc w:val="center"/>
              <w:ind w:right="280"/>
              <w:spacing w:after="0" w:line="145"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perscript"/>
              </w:rPr>
              <w:t>(1)</w:t>
            </w:r>
          </w:p>
        </w:tc>
        <w:tc>
          <w:tcPr>
            <w:tcW w:w="9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Exercisable</w:t>
            </w:r>
          </w:p>
        </w:tc>
        <w:tc>
          <w:tcPr>
            <w:tcW w:w="220" w:type="dxa"/>
            <w:vAlign w:val="bottom"/>
          </w:tcPr>
          <w:p>
            <w:pPr>
              <w:spacing w:after="0"/>
              <w:rPr>
                <w:sz w:val="14"/>
                <w:szCs w:val="14"/>
                <w:color w:val="auto"/>
              </w:rPr>
            </w:pPr>
          </w:p>
        </w:tc>
        <w:tc>
          <w:tcPr>
            <w:tcW w:w="12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Unexercisable</w:t>
            </w:r>
          </w:p>
        </w:tc>
        <w:tc>
          <w:tcPr>
            <w:tcW w:w="980" w:type="dxa"/>
            <w:vAlign w:val="bottom"/>
            <w:gridSpan w:val="2"/>
          </w:tcPr>
          <w:p>
            <w:pPr>
              <w:jc w:val="center"/>
              <w:ind w:right="280"/>
              <w:spacing w:after="0" w:line="145" w:lineRule="exact"/>
              <w:rPr>
                <w:sz w:val="20"/>
                <w:szCs w:val="20"/>
                <w:color w:val="auto"/>
              </w:rPr>
            </w:pPr>
            <w:r>
              <w:rPr>
                <w:rFonts w:ascii="Arial" w:cs="Arial" w:eastAsia="Arial" w:hAnsi="Arial"/>
                <w:sz w:val="10"/>
                <w:szCs w:val="10"/>
                <w:b w:val="1"/>
                <w:bCs w:val="1"/>
                <w:color w:val="auto"/>
              </w:rPr>
              <w:t xml:space="preserve">Price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49"/>
        </w:trPr>
        <w:tc>
          <w:tcPr>
            <w:tcW w:w="298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Dave Girouard</w:t>
            </w:r>
          </w:p>
        </w:tc>
        <w:tc>
          <w:tcPr>
            <w:tcW w:w="1600" w:type="dxa"/>
            <w:vAlign w:val="bottom"/>
            <w:tcBorders>
              <w:top w:val="single" w:sz="8" w:color="auto"/>
            </w:tcBorders>
            <w:shd w:val="clear" w:color="auto" w:fill="CCEEFF"/>
          </w:tcPr>
          <w:p>
            <w:pPr>
              <w:jc w:val="center"/>
              <w:spacing w:after="0" w:line="150" w:lineRule="exact"/>
              <w:rPr>
                <w:sz w:val="20"/>
                <w:szCs w:val="20"/>
                <w:color w:val="auto"/>
              </w:rPr>
            </w:pPr>
            <w:r>
              <w:rPr>
                <w:rFonts w:ascii="Arial" w:cs="Arial" w:eastAsia="Arial" w:hAnsi="Arial"/>
                <w:sz w:val="11"/>
                <w:szCs w:val="11"/>
                <w:color w:val="auto"/>
              </w:rPr>
              <w:t>September 20, 2016</w:t>
            </w:r>
            <w:r>
              <w:rPr>
                <w:rFonts w:ascii="Arial" w:cs="Arial" w:eastAsia="Arial" w:hAnsi="Arial"/>
                <w:sz w:val="17"/>
                <w:szCs w:val="17"/>
                <w:color w:val="auto"/>
                <w:vertAlign w:val="superscript"/>
              </w:rPr>
              <w:t>(3)</w:t>
            </w: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1,251,745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$0.83</w:t>
            </w:r>
          </w:p>
        </w:tc>
        <w:tc>
          <w:tcPr>
            <w:tcW w:w="2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September 20, 2026</w:t>
            </w: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80" w:type="dxa"/>
            <w:vAlign w:val="bottom"/>
            <w:gridSpan w:val="2"/>
          </w:tcPr>
          <w:p>
            <w:pPr>
              <w:jc w:val="center"/>
              <w:ind w:right="280"/>
              <w:spacing w:after="0" w:line="213" w:lineRule="exact"/>
              <w:rPr>
                <w:sz w:val="20"/>
                <w:szCs w:val="20"/>
                <w:color w:val="auto"/>
              </w:rPr>
            </w:pPr>
            <w:r>
              <w:rPr>
                <w:rFonts w:ascii="Arial" w:cs="Arial" w:eastAsia="Arial" w:hAnsi="Arial"/>
                <w:sz w:val="14"/>
                <w:szCs w:val="14"/>
                <w:color w:val="auto"/>
                <w:w w:val="97"/>
              </w:rPr>
              <w:t>November 6, 2020</w:t>
            </w:r>
            <w:r>
              <w:rPr>
                <w:rFonts w:ascii="Arial" w:cs="Arial" w:eastAsia="Arial" w:hAnsi="Arial"/>
                <w:sz w:val="24"/>
                <w:szCs w:val="24"/>
                <w:color w:val="auto"/>
                <w:w w:val="97"/>
                <w:vertAlign w:val="superscript"/>
              </w:rPr>
              <w:t>(4)</w:t>
            </w:r>
          </w:p>
        </w:tc>
        <w:tc>
          <w:tcPr>
            <w:tcW w:w="820" w:type="dxa"/>
            <w:vAlign w:val="bottom"/>
          </w:tcPr>
          <w:p>
            <w:pPr>
              <w:jc w:val="right"/>
              <w:spacing w:after="0"/>
              <w:rPr>
                <w:sz w:val="20"/>
                <w:szCs w:val="20"/>
                <w:color w:val="auto"/>
              </w:rPr>
            </w:pPr>
            <w:r>
              <w:rPr>
                <w:rFonts w:ascii="Arial" w:cs="Arial" w:eastAsia="Arial" w:hAnsi="Arial"/>
                <w:sz w:val="14"/>
                <w:szCs w:val="14"/>
                <w:color w:val="auto"/>
              </w:rPr>
              <w:t>58,928</w:t>
            </w:r>
          </w:p>
        </w:tc>
        <w:tc>
          <w:tcPr>
            <w:tcW w:w="100" w:type="dxa"/>
            <w:vAlign w:val="bottom"/>
          </w:tcPr>
          <w:p>
            <w:pPr>
              <w:spacing w:after="0"/>
              <w:rPr>
                <w:sz w:val="18"/>
                <w:szCs w:val="18"/>
                <w:color w:val="auto"/>
              </w:rPr>
            </w:pPr>
          </w:p>
        </w:tc>
        <w:tc>
          <w:tcPr>
            <w:tcW w:w="1180" w:type="dxa"/>
            <w:vAlign w:val="bottom"/>
            <w:gridSpan w:val="2"/>
          </w:tcPr>
          <w:p>
            <w:pPr>
              <w:jc w:val="center"/>
              <w:ind w:left="150"/>
              <w:spacing w:after="0"/>
              <w:rPr>
                <w:sz w:val="20"/>
                <w:szCs w:val="20"/>
                <w:color w:val="auto"/>
              </w:rPr>
            </w:pPr>
            <w:r>
              <w:rPr>
                <w:rFonts w:ascii="Arial" w:cs="Arial" w:eastAsia="Arial" w:hAnsi="Arial"/>
                <w:sz w:val="14"/>
                <w:szCs w:val="14"/>
                <w:color w:val="auto"/>
              </w:rPr>
              <w:t>491,072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$18.44</w:t>
            </w:r>
          </w:p>
        </w:tc>
        <w:tc>
          <w:tcPr>
            <w:tcW w:w="2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November 6, 2030</w:t>
            </w:r>
          </w:p>
        </w:tc>
        <w:tc>
          <w:tcPr>
            <w:tcW w:w="0" w:type="dxa"/>
            <w:vAlign w:val="bottom"/>
          </w:tcPr>
          <w:p>
            <w:pPr>
              <w:spacing w:after="0"/>
              <w:rPr>
                <w:sz w:val="1"/>
                <w:szCs w:val="1"/>
                <w:color w:val="auto"/>
              </w:rPr>
            </w:pPr>
          </w:p>
        </w:tc>
      </w:tr>
      <w:tr>
        <w:trPr>
          <w:trHeight w:val="166"/>
        </w:trPr>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Sanjay Datta</w:t>
            </w: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December 28, 2016</w:t>
            </w:r>
            <w:r>
              <w:rPr>
                <w:rFonts w:ascii="Arial" w:cs="Arial" w:eastAsia="Arial" w:hAnsi="Arial"/>
                <w:sz w:val="19"/>
                <w:szCs w:val="19"/>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637,346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13,561</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$1.35</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December 28, 2026</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280"/>
              <w:spacing w:after="0" w:line="165" w:lineRule="exact"/>
              <w:rPr>
                <w:sz w:val="20"/>
                <w:szCs w:val="20"/>
                <w:color w:val="auto"/>
              </w:rPr>
            </w:pPr>
            <w:r>
              <w:rPr>
                <w:rFonts w:ascii="Arial" w:cs="Arial" w:eastAsia="Arial" w:hAnsi="Arial"/>
                <w:sz w:val="12"/>
                <w:szCs w:val="12"/>
                <w:color w:val="auto"/>
              </w:rPr>
              <w:t>December 28, 2016</w:t>
            </w:r>
            <w:r>
              <w:rPr>
                <w:rFonts w:ascii="Arial" w:cs="Arial" w:eastAsia="Arial" w:hAnsi="Arial"/>
                <w:sz w:val="19"/>
                <w:szCs w:val="19"/>
                <w:color w:val="auto"/>
                <w:vertAlign w:val="superscript"/>
              </w:rPr>
              <w:t>(6)</w:t>
            </w:r>
          </w:p>
        </w:tc>
        <w:tc>
          <w:tcPr>
            <w:tcW w:w="820" w:type="dxa"/>
            <w:vAlign w:val="bottom"/>
          </w:tcPr>
          <w:p>
            <w:pPr>
              <w:jc w:val="right"/>
              <w:spacing w:after="0"/>
              <w:rPr>
                <w:sz w:val="20"/>
                <w:szCs w:val="20"/>
                <w:color w:val="auto"/>
              </w:rPr>
            </w:pPr>
            <w:r>
              <w:rPr>
                <w:rFonts w:ascii="Arial" w:cs="Arial" w:eastAsia="Arial" w:hAnsi="Arial"/>
                <w:sz w:val="14"/>
                <w:szCs w:val="14"/>
                <w:color w:val="auto"/>
              </w:rPr>
              <w:t>85,535</w:t>
            </w:r>
          </w:p>
        </w:tc>
        <w:tc>
          <w:tcPr>
            <w:tcW w:w="100" w:type="dxa"/>
            <w:vAlign w:val="bottom"/>
          </w:tcPr>
          <w:p>
            <w:pPr>
              <w:spacing w:after="0"/>
              <w:rPr>
                <w:sz w:val="14"/>
                <w:szCs w:val="14"/>
                <w:color w:val="auto"/>
              </w:rPr>
            </w:pPr>
          </w:p>
        </w:tc>
        <w:tc>
          <w:tcPr>
            <w:tcW w:w="1180" w:type="dxa"/>
            <w:vAlign w:val="bottom"/>
            <w:gridSpan w:val="2"/>
          </w:tcPr>
          <w:p>
            <w:pPr>
              <w:jc w:val="center"/>
              <w:ind w:left="150"/>
              <w:spacing w:after="0"/>
              <w:rPr>
                <w:sz w:val="20"/>
                <w:szCs w:val="20"/>
                <w:color w:val="auto"/>
              </w:rPr>
            </w:pPr>
            <w:r>
              <w:rPr>
                <w:rFonts w:ascii="Arial" w:cs="Arial" w:eastAsia="Arial" w:hAnsi="Arial"/>
                <w:sz w:val="14"/>
                <w:szCs w:val="14"/>
                <w:color w:val="auto"/>
              </w:rPr>
              <w:t>14,604</w:t>
            </w:r>
          </w:p>
        </w:tc>
        <w:tc>
          <w:tcPr>
            <w:tcW w:w="2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December 28, 2026</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December 18, 2017</w:t>
            </w:r>
            <w:r>
              <w:rPr>
                <w:rFonts w:ascii="Arial" w:cs="Arial" w:eastAsia="Arial" w:hAnsi="Arial"/>
                <w:sz w:val="19"/>
                <w:szCs w:val="19"/>
                <w:color w:val="auto"/>
                <w:vertAlign w:val="superscript"/>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27,084</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$2.15</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December 18, 2027</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280"/>
              <w:spacing w:after="0" w:line="165" w:lineRule="exact"/>
              <w:rPr>
                <w:sz w:val="20"/>
                <w:szCs w:val="20"/>
                <w:color w:val="auto"/>
              </w:rPr>
            </w:pPr>
            <w:r>
              <w:rPr>
                <w:rFonts w:ascii="Arial" w:cs="Arial" w:eastAsia="Arial" w:hAnsi="Arial"/>
                <w:sz w:val="12"/>
                <w:szCs w:val="12"/>
                <w:color w:val="auto"/>
              </w:rPr>
              <w:t>March 29, 2019</w:t>
            </w:r>
            <w:r>
              <w:rPr>
                <w:rFonts w:ascii="Arial" w:cs="Arial" w:eastAsia="Arial" w:hAnsi="Arial"/>
                <w:sz w:val="19"/>
                <w:szCs w:val="19"/>
                <w:color w:val="auto"/>
                <w:vertAlign w:val="superscript"/>
              </w:rPr>
              <w:t>(8)</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150"/>
              <w:spacing w:after="0"/>
              <w:rPr>
                <w:sz w:val="20"/>
                <w:szCs w:val="20"/>
                <w:color w:val="auto"/>
              </w:rPr>
            </w:pPr>
            <w:r>
              <w:rPr>
                <w:rFonts w:ascii="Arial" w:cs="Arial" w:eastAsia="Arial" w:hAnsi="Arial"/>
                <w:sz w:val="14"/>
                <w:szCs w:val="14"/>
                <w:color w:val="auto"/>
              </w:rPr>
              <w:t>150,000</w:t>
            </w:r>
          </w:p>
        </w:tc>
        <w:tc>
          <w:tcPr>
            <w:tcW w:w="2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$3.80</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March 29, 2029</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January 31, 2020</w:t>
            </w:r>
            <w:r>
              <w:rPr>
                <w:rFonts w:ascii="Arial" w:cs="Arial" w:eastAsia="Arial" w:hAnsi="Arial"/>
                <w:sz w:val="19"/>
                <w:szCs w:val="19"/>
                <w:color w:val="auto"/>
                <w:vertAlign w:val="superscript"/>
              </w:rPr>
              <w:t>(9)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$8.88</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31, 2030</w:t>
            </w: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4"/>
                <w:szCs w:val="14"/>
                <w:color w:val="auto"/>
              </w:rPr>
              <w:t>Paul Gu</w:t>
            </w:r>
          </w:p>
        </w:tc>
        <w:tc>
          <w:tcPr>
            <w:tcW w:w="1880" w:type="dxa"/>
            <w:vAlign w:val="bottom"/>
            <w:gridSpan w:val="2"/>
          </w:tcPr>
          <w:p>
            <w:pPr>
              <w:jc w:val="center"/>
              <w:ind w:right="280"/>
              <w:spacing w:after="0" w:line="213" w:lineRule="exact"/>
              <w:rPr>
                <w:sz w:val="20"/>
                <w:szCs w:val="20"/>
                <w:color w:val="auto"/>
              </w:rPr>
            </w:pPr>
            <w:r>
              <w:rPr>
                <w:rFonts w:ascii="Arial" w:cs="Arial" w:eastAsia="Arial" w:hAnsi="Arial"/>
                <w:sz w:val="14"/>
                <w:szCs w:val="14"/>
                <w:color w:val="auto"/>
                <w:w w:val="95"/>
              </w:rPr>
              <w:t>August 21, 2012</w:t>
            </w:r>
            <w:r>
              <w:rPr>
                <w:rFonts w:ascii="Arial" w:cs="Arial" w:eastAsia="Arial" w:hAnsi="Arial"/>
                <w:sz w:val="24"/>
                <w:szCs w:val="24"/>
                <w:color w:val="auto"/>
                <w:w w:val="95"/>
                <w:vertAlign w:val="superscript"/>
              </w:rPr>
              <w:t>(10)</w:t>
            </w:r>
          </w:p>
        </w:tc>
        <w:tc>
          <w:tcPr>
            <w:tcW w:w="820" w:type="dxa"/>
            <w:vAlign w:val="bottom"/>
          </w:tcPr>
          <w:p>
            <w:pPr>
              <w:jc w:val="right"/>
              <w:spacing w:after="0"/>
              <w:rPr>
                <w:sz w:val="20"/>
                <w:szCs w:val="20"/>
                <w:color w:val="auto"/>
              </w:rPr>
            </w:pPr>
            <w:r>
              <w:rPr>
                <w:rFonts w:ascii="Arial" w:cs="Arial" w:eastAsia="Arial" w:hAnsi="Arial"/>
                <w:sz w:val="14"/>
                <w:szCs w:val="14"/>
                <w:color w:val="auto"/>
              </w:rPr>
              <w:t>116,876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tcPr>
          <w:p>
            <w:pPr>
              <w:ind w:left="120"/>
              <w:spacing w:after="0"/>
              <w:rPr>
                <w:sz w:val="20"/>
                <w:szCs w:val="20"/>
                <w:color w:val="auto"/>
              </w:rPr>
            </w:pPr>
            <w:r>
              <w:rPr>
                <w:rFonts w:ascii="Arial" w:cs="Arial" w:eastAsia="Arial" w:hAnsi="Arial"/>
                <w:sz w:val="14"/>
                <w:szCs w:val="14"/>
                <w:color w:val="auto"/>
              </w:rPr>
              <w:t>$0.15</w:t>
            </w:r>
          </w:p>
        </w:tc>
        <w:tc>
          <w:tcPr>
            <w:tcW w:w="2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August 21, 2022</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May 23, 2013</w:t>
            </w:r>
            <w:r>
              <w:rPr>
                <w:rFonts w:ascii="Arial" w:cs="Arial" w:eastAsia="Arial" w:hAnsi="Arial"/>
                <w:sz w:val="19"/>
                <w:szCs w:val="19"/>
                <w:color w:val="auto"/>
                <w:vertAlign w:val="superscript"/>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$0.23</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May 23, 2023</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280"/>
              <w:spacing w:after="0" w:line="165" w:lineRule="exact"/>
              <w:rPr>
                <w:sz w:val="20"/>
                <w:szCs w:val="20"/>
                <w:color w:val="auto"/>
              </w:rPr>
            </w:pPr>
            <w:r>
              <w:rPr>
                <w:rFonts w:ascii="Arial" w:cs="Arial" w:eastAsia="Arial" w:hAnsi="Arial"/>
                <w:sz w:val="12"/>
                <w:szCs w:val="12"/>
                <w:color w:val="auto"/>
              </w:rPr>
              <w:t>June 19, 2014</w:t>
            </w:r>
            <w:r>
              <w:rPr>
                <w:rFonts w:ascii="Arial" w:cs="Arial" w:eastAsia="Arial" w:hAnsi="Arial"/>
                <w:sz w:val="19"/>
                <w:szCs w:val="19"/>
                <w:color w:val="auto"/>
                <w:vertAlign w:val="superscript"/>
              </w:rPr>
              <w:t>(12)</w:t>
            </w:r>
          </w:p>
        </w:tc>
        <w:tc>
          <w:tcPr>
            <w:tcW w:w="820" w:type="dxa"/>
            <w:vAlign w:val="bottom"/>
          </w:tcPr>
          <w:p>
            <w:pPr>
              <w:jc w:val="right"/>
              <w:spacing w:after="0"/>
              <w:rPr>
                <w:sz w:val="20"/>
                <w:szCs w:val="20"/>
                <w:color w:val="auto"/>
              </w:rPr>
            </w:pPr>
            <w:r>
              <w:rPr>
                <w:rFonts w:ascii="Arial" w:cs="Arial" w:eastAsia="Arial" w:hAnsi="Arial"/>
                <w:sz w:val="14"/>
                <w:szCs w:val="14"/>
                <w:color w:val="auto"/>
              </w:rPr>
              <w:t>270,000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tcPr>
          <w:p>
            <w:pPr>
              <w:ind w:left="120"/>
              <w:spacing w:after="0"/>
              <w:rPr>
                <w:sz w:val="20"/>
                <w:szCs w:val="20"/>
                <w:color w:val="auto"/>
              </w:rPr>
            </w:pPr>
            <w:r>
              <w:rPr>
                <w:rFonts w:ascii="Arial" w:cs="Arial" w:eastAsia="Arial" w:hAnsi="Arial"/>
                <w:sz w:val="14"/>
                <w:szCs w:val="14"/>
                <w:color w:val="auto"/>
              </w:rPr>
              <w:t>$0.43</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June 19, 2024</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January 14, 2015</w:t>
            </w:r>
            <w:r>
              <w:rPr>
                <w:rFonts w:ascii="Arial" w:cs="Arial" w:eastAsia="Arial" w:hAnsi="Arial"/>
                <w:sz w:val="19"/>
                <w:szCs w:val="19"/>
                <w:color w:val="auto"/>
                <w:vertAlign w:val="superscript"/>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$0.60</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14, 2025</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300"/>
              <w:spacing w:after="0" w:line="165" w:lineRule="exact"/>
              <w:rPr>
                <w:sz w:val="20"/>
                <w:szCs w:val="20"/>
                <w:color w:val="auto"/>
              </w:rPr>
            </w:pPr>
            <w:r>
              <w:rPr>
                <w:rFonts w:ascii="Arial" w:cs="Arial" w:eastAsia="Arial" w:hAnsi="Arial"/>
                <w:sz w:val="12"/>
                <w:szCs w:val="12"/>
                <w:color w:val="auto"/>
              </w:rPr>
              <w:t>December 18, 2015</w:t>
            </w:r>
            <w:r>
              <w:rPr>
                <w:rFonts w:ascii="Arial" w:cs="Arial" w:eastAsia="Arial" w:hAnsi="Arial"/>
                <w:sz w:val="19"/>
                <w:szCs w:val="19"/>
                <w:color w:val="auto"/>
                <w:vertAlign w:val="superscript"/>
              </w:rPr>
              <w:t>(14)</w:t>
            </w:r>
          </w:p>
        </w:tc>
        <w:tc>
          <w:tcPr>
            <w:tcW w:w="82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tcPr>
          <w:p>
            <w:pPr>
              <w:ind w:left="120"/>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June 24, 2016</w:t>
            </w:r>
            <w:r>
              <w:rPr>
                <w:rFonts w:ascii="Arial" w:cs="Arial" w:eastAsia="Arial" w:hAnsi="Arial"/>
                <w:sz w:val="19"/>
                <w:szCs w:val="19"/>
                <w:color w:val="auto"/>
                <w:vertAlign w:val="superscript"/>
              </w:rPr>
              <w:t>(15)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$1.17</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June 24, 2026</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280"/>
              <w:spacing w:after="0" w:line="165" w:lineRule="exact"/>
              <w:rPr>
                <w:sz w:val="20"/>
                <w:szCs w:val="20"/>
                <w:color w:val="auto"/>
              </w:rPr>
            </w:pPr>
            <w:r>
              <w:rPr>
                <w:rFonts w:ascii="Arial" w:cs="Arial" w:eastAsia="Arial" w:hAnsi="Arial"/>
                <w:sz w:val="12"/>
                <w:szCs w:val="12"/>
                <w:color w:val="auto"/>
              </w:rPr>
              <w:t>January 9, 2017</w:t>
            </w:r>
            <w:r>
              <w:rPr>
                <w:rFonts w:ascii="Arial" w:cs="Arial" w:eastAsia="Arial" w:hAnsi="Arial"/>
                <w:sz w:val="19"/>
                <w:szCs w:val="19"/>
                <w:color w:val="auto"/>
                <w:vertAlign w:val="superscript"/>
              </w:rPr>
              <w:t>(16)</w:t>
            </w:r>
          </w:p>
        </w:tc>
        <w:tc>
          <w:tcPr>
            <w:tcW w:w="820" w:type="dxa"/>
            <w:vAlign w:val="bottom"/>
          </w:tcPr>
          <w:p>
            <w:pPr>
              <w:jc w:val="right"/>
              <w:spacing w:after="0"/>
              <w:rPr>
                <w:sz w:val="20"/>
                <w:szCs w:val="20"/>
                <w:color w:val="auto"/>
              </w:rPr>
            </w:pPr>
            <w:r>
              <w:rPr>
                <w:rFonts w:ascii="Arial" w:cs="Arial" w:eastAsia="Arial" w:hAnsi="Arial"/>
                <w:sz w:val="14"/>
                <w:szCs w:val="14"/>
                <w:color w:val="auto"/>
              </w:rPr>
              <w:t>144,791</w:t>
            </w:r>
          </w:p>
        </w:tc>
        <w:tc>
          <w:tcPr>
            <w:tcW w:w="100" w:type="dxa"/>
            <w:vAlign w:val="bottom"/>
          </w:tcPr>
          <w:p>
            <w:pPr>
              <w:spacing w:after="0"/>
              <w:rPr>
                <w:sz w:val="14"/>
                <w:szCs w:val="14"/>
                <w:color w:val="auto"/>
              </w:rPr>
            </w:pPr>
          </w:p>
        </w:tc>
        <w:tc>
          <w:tcPr>
            <w:tcW w:w="1180" w:type="dxa"/>
            <w:vAlign w:val="bottom"/>
            <w:gridSpan w:val="2"/>
          </w:tcPr>
          <w:p>
            <w:pPr>
              <w:jc w:val="center"/>
              <w:ind w:left="150"/>
              <w:spacing w:after="0"/>
              <w:rPr>
                <w:sz w:val="20"/>
                <w:szCs w:val="20"/>
                <w:color w:val="auto"/>
              </w:rPr>
            </w:pPr>
            <w:r>
              <w:rPr>
                <w:rFonts w:ascii="Arial" w:cs="Arial" w:eastAsia="Arial" w:hAnsi="Arial"/>
                <w:sz w:val="14"/>
                <w:szCs w:val="14"/>
                <w:color w:val="auto"/>
              </w:rPr>
              <w:t>5,209</w:t>
            </w:r>
          </w:p>
        </w:tc>
        <w:tc>
          <w:tcPr>
            <w:tcW w:w="2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January 9, 2027</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300"/>
              <w:spacing w:after="0" w:line="165" w:lineRule="exact"/>
              <w:rPr>
                <w:sz w:val="20"/>
                <w:szCs w:val="20"/>
                <w:color w:val="auto"/>
              </w:rPr>
            </w:pPr>
            <w:r>
              <w:rPr>
                <w:rFonts w:ascii="Arial" w:cs="Arial" w:eastAsia="Arial" w:hAnsi="Arial"/>
                <w:sz w:val="12"/>
                <w:szCs w:val="12"/>
                <w:color w:val="auto"/>
              </w:rPr>
              <w:t>December 18, 2017</w:t>
            </w:r>
            <w:r>
              <w:rPr>
                <w:rFonts w:ascii="Arial" w:cs="Arial" w:eastAsia="Arial" w:hAnsi="Arial"/>
                <w:sz w:val="19"/>
                <w:szCs w:val="19"/>
                <w:color w:val="auto"/>
                <w:vertAlign w:val="superscript"/>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145,833</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54,167</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$2.15</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December 18, 2027</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gridSpan w:val="2"/>
          </w:tcPr>
          <w:p>
            <w:pPr>
              <w:jc w:val="center"/>
              <w:ind w:right="280"/>
              <w:spacing w:after="0" w:line="165" w:lineRule="exact"/>
              <w:rPr>
                <w:sz w:val="20"/>
                <w:szCs w:val="20"/>
                <w:color w:val="auto"/>
              </w:rPr>
            </w:pPr>
            <w:r>
              <w:rPr>
                <w:rFonts w:ascii="Arial" w:cs="Arial" w:eastAsia="Arial" w:hAnsi="Arial"/>
                <w:sz w:val="12"/>
                <w:szCs w:val="12"/>
                <w:color w:val="auto"/>
              </w:rPr>
              <w:t>March 29, 2019</w:t>
            </w:r>
            <w:r>
              <w:rPr>
                <w:rFonts w:ascii="Arial" w:cs="Arial" w:eastAsia="Arial" w:hAnsi="Arial"/>
                <w:sz w:val="19"/>
                <w:szCs w:val="19"/>
                <w:color w:val="auto"/>
                <w:vertAlign w:val="superscript"/>
              </w:rPr>
              <w:t>(18)</w:t>
            </w:r>
          </w:p>
        </w:tc>
        <w:tc>
          <w:tcPr>
            <w:tcW w:w="9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center"/>
              <w:ind w:left="150"/>
              <w:spacing w:after="0"/>
              <w:rPr>
                <w:sz w:val="20"/>
                <w:szCs w:val="20"/>
                <w:color w:val="auto"/>
              </w:rPr>
            </w:pPr>
            <w:r>
              <w:rPr>
                <w:rFonts w:ascii="Arial" w:cs="Arial" w:eastAsia="Arial" w:hAnsi="Arial"/>
                <w:sz w:val="14"/>
                <w:szCs w:val="14"/>
                <w:color w:val="auto"/>
              </w:rPr>
              <w:t>150,000</w:t>
            </w:r>
          </w:p>
        </w:tc>
        <w:tc>
          <w:tcPr>
            <w:tcW w:w="2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auto"/>
              </w:rPr>
              <w:t>$3.80</w:t>
            </w:r>
          </w:p>
        </w:tc>
        <w:tc>
          <w:tcPr>
            <w:tcW w:w="2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March 29, 2029</w:t>
            </w:r>
          </w:p>
        </w:tc>
        <w:tc>
          <w:tcPr>
            <w:tcW w:w="0" w:type="dxa"/>
            <w:vAlign w:val="bottom"/>
          </w:tcPr>
          <w:p>
            <w:pPr>
              <w:spacing w:after="0"/>
              <w:rPr>
                <w:sz w:val="1"/>
                <w:szCs w:val="1"/>
                <w:color w:val="auto"/>
              </w:rPr>
            </w:pPr>
          </w:p>
        </w:tc>
      </w:tr>
      <w:tr>
        <w:trPr>
          <w:trHeight w:val="166"/>
        </w:trPr>
        <w:tc>
          <w:tcPr>
            <w:tcW w:w="3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280"/>
              <w:spacing w:after="0" w:line="165" w:lineRule="exact"/>
              <w:rPr>
                <w:sz w:val="20"/>
                <w:szCs w:val="20"/>
                <w:color w:val="auto"/>
              </w:rPr>
            </w:pPr>
            <w:r>
              <w:rPr>
                <w:rFonts w:ascii="Arial" w:cs="Arial" w:eastAsia="Arial" w:hAnsi="Arial"/>
                <w:sz w:val="12"/>
                <w:szCs w:val="12"/>
                <w:color w:val="auto"/>
              </w:rPr>
              <w:t>January 31, 2020</w:t>
            </w:r>
            <w:r>
              <w:rPr>
                <w:rFonts w:ascii="Arial" w:cs="Arial" w:eastAsia="Arial" w:hAnsi="Arial"/>
                <w:sz w:val="19"/>
                <w:szCs w:val="19"/>
                <w:color w:val="auto"/>
                <w:vertAlign w:val="superscript"/>
              </w:rPr>
              <w:t>(19)</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$8.88</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31,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2" w:lineRule="exact"/>
        <w:rPr>
          <w:sz w:val="20"/>
          <w:szCs w:val="20"/>
          <w:color w:val="auto"/>
        </w:rPr>
      </w:pPr>
    </w:p>
    <w:p>
      <w:pPr>
        <w:ind w:left="1280" w:hanging="481"/>
        <w:spacing w:after="0"/>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Each of the outstanding equity awards listed in the table above was granted pursuant to our 2012 Plan.</w:t>
      </w:r>
    </w:p>
    <w:p>
      <w:pPr>
        <w:ind w:left="128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This column represents the fair value of a share of our common stock on the grant date, as determined by our board of directors.</w:t>
      </w:r>
    </w:p>
    <w:p>
      <w:pPr>
        <w:ind w:left="1280" w:right="4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Girouard’s continued role as a service provider to us, in 48 equal monthly installments beginning on October 1, 2016.</w:t>
      </w:r>
    </w:p>
    <w:p>
      <w:pPr>
        <w:spacing w:after="0" w:line="1" w:lineRule="exact"/>
        <w:rPr>
          <w:rFonts w:ascii="Arial" w:cs="Arial" w:eastAsia="Arial" w:hAnsi="Arial"/>
          <w:sz w:val="13"/>
          <w:szCs w:val="13"/>
          <w:color w:val="auto"/>
        </w:rPr>
      </w:pPr>
    </w:p>
    <w:p>
      <w:pPr>
        <w:ind w:left="1280" w:right="4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Girouard’s continued role as a service provider to us, in 28 equal monthly installments beginning on October 1, 2020.</w:t>
      </w:r>
    </w:p>
    <w:p>
      <w:pPr>
        <w:spacing w:after="0" w:line="1" w:lineRule="exact"/>
        <w:rPr>
          <w:rFonts w:ascii="Arial" w:cs="Arial" w:eastAsia="Arial" w:hAnsi="Arial"/>
          <w:sz w:val="13"/>
          <w:szCs w:val="13"/>
          <w:color w:val="auto"/>
        </w:rPr>
      </w:pPr>
    </w:p>
    <w:p>
      <w:pPr>
        <w:ind w:left="1280" w:right="2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Datta’s continued role as a service provider to us, as to 1/4th of the total shares on January 1, 2018 with 1/48th of the total shares vesting monthly thereafter.</w:t>
      </w:r>
    </w:p>
    <w:p>
      <w:pPr>
        <w:spacing w:after="0" w:line="1" w:lineRule="exact"/>
        <w:rPr>
          <w:rFonts w:ascii="Arial" w:cs="Arial" w:eastAsia="Arial" w:hAnsi="Arial"/>
          <w:sz w:val="13"/>
          <w:szCs w:val="13"/>
          <w:color w:val="auto"/>
        </w:rPr>
      </w:pPr>
    </w:p>
    <w:p>
      <w:pPr>
        <w:ind w:left="1280" w:right="10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Datta’s continued role as a service provider to us, as to 1/4th of the total shares on July 1, 2018 with 1/48th of the total shares vesting monthly thereafter.</w:t>
      </w:r>
    </w:p>
    <w:p>
      <w:pPr>
        <w:spacing w:after="0" w:line="1" w:lineRule="exact"/>
        <w:rPr>
          <w:rFonts w:ascii="Arial" w:cs="Arial" w:eastAsia="Arial" w:hAnsi="Arial"/>
          <w:sz w:val="13"/>
          <w:szCs w:val="13"/>
          <w:color w:val="auto"/>
        </w:rPr>
      </w:pPr>
    </w:p>
    <w:p>
      <w:pPr>
        <w:ind w:left="1280" w:right="16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Datta’s continued role as a service provider to us, in 48 equal monthly installments beginning on February 1, 2018.</w:t>
      </w:r>
    </w:p>
    <w:p>
      <w:pPr>
        <w:spacing w:after="0" w:line="1" w:lineRule="exact"/>
        <w:rPr>
          <w:rFonts w:ascii="Arial" w:cs="Arial" w:eastAsia="Arial" w:hAnsi="Arial"/>
          <w:sz w:val="13"/>
          <w:szCs w:val="13"/>
          <w:color w:val="auto"/>
        </w:rPr>
      </w:pPr>
    </w:p>
    <w:p>
      <w:pPr>
        <w:ind w:left="1280" w:right="16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Datta’s continued role as a service provider to us, in 12 equal monthly installments beginning on February 1, 2021.</w:t>
      </w:r>
    </w:p>
    <w:p>
      <w:pPr>
        <w:spacing w:after="0" w:line="1" w:lineRule="exact"/>
        <w:rPr>
          <w:rFonts w:ascii="Arial" w:cs="Arial" w:eastAsia="Arial" w:hAnsi="Arial"/>
          <w:sz w:val="13"/>
          <w:szCs w:val="13"/>
          <w:color w:val="auto"/>
        </w:rPr>
      </w:pPr>
    </w:p>
    <w:p>
      <w:pPr>
        <w:ind w:left="1280" w:right="16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Datta’s continued role as a service provider to us, in 12 equal monthly installments beginning on February 1, 2022.</w:t>
      </w:r>
    </w:p>
    <w:p>
      <w:pPr>
        <w:spacing w:after="0" w:line="1" w:lineRule="exact"/>
        <w:rPr>
          <w:rFonts w:ascii="Arial" w:cs="Arial" w:eastAsia="Arial" w:hAnsi="Arial"/>
          <w:sz w:val="13"/>
          <w:szCs w:val="13"/>
          <w:color w:val="auto"/>
        </w:rPr>
      </w:pPr>
    </w:p>
    <w:p>
      <w:pPr>
        <w:ind w:left="1280" w:right="36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as to 1/4th of the total shares on September 1, 2013 with 1/48th of the total shares vesting monthly thereafter.</w:t>
      </w:r>
    </w:p>
    <w:p>
      <w:pPr>
        <w:spacing w:after="0" w:line="1" w:lineRule="exact"/>
        <w:rPr>
          <w:rFonts w:ascii="Arial" w:cs="Arial" w:eastAsia="Arial" w:hAnsi="Arial"/>
          <w:sz w:val="13"/>
          <w:szCs w:val="13"/>
          <w:color w:val="auto"/>
        </w:rPr>
      </w:pPr>
    </w:p>
    <w:p>
      <w:pPr>
        <w:ind w:left="128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as to 1/4th of the total shares on May 1, 2014 with 1/48th of the total shares vesting monthly thereafter.</w:t>
      </w:r>
    </w:p>
    <w:p>
      <w:pPr>
        <w:spacing w:after="0" w:line="1" w:lineRule="exact"/>
        <w:rPr>
          <w:rFonts w:ascii="Arial" w:cs="Arial" w:eastAsia="Arial" w:hAnsi="Arial"/>
          <w:sz w:val="13"/>
          <w:szCs w:val="13"/>
          <w:color w:val="auto"/>
        </w:rPr>
      </w:pPr>
    </w:p>
    <w:p>
      <w:pPr>
        <w:ind w:left="128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as to 1/4th of the total shares on April 1, 2015 with 1/48th of the total shares vesting monthly thereafter.</w:t>
      </w:r>
    </w:p>
    <w:p>
      <w:pPr>
        <w:spacing w:after="0" w:line="1" w:lineRule="exact"/>
        <w:rPr>
          <w:rFonts w:ascii="Arial" w:cs="Arial" w:eastAsia="Arial" w:hAnsi="Arial"/>
          <w:sz w:val="13"/>
          <w:szCs w:val="13"/>
          <w:color w:val="auto"/>
        </w:rPr>
      </w:pPr>
    </w:p>
    <w:p>
      <w:pPr>
        <w:ind w:left="1280" w:right="30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48 equal monthly installments beginning on February 1, 2015.</w:t>
      </w:r>
    </w:p>
    <w:p>
      <w:pPr>
        <w:spacing w:after="0" w:line="1" w:lineRule="exact"/>
        <w:rPr>
          <w:rFonts w:ascii="Arial" w:cs="Arial" w:eastAsia="Arial" w:hAnsi="Arial"/>
          <w:sz w:val="13"/>
          <w:szCs w:val="13"/>
          <w:color w:val="auto"/>
        </w:rPr>
      </w:pPr>
    </w:p>
    <w:p>
      <w:pPr>
        <w:ind w:left="1280" w:right="300" w:hanging="481"/>
        <w:spacing w:after="0" w:line="227" w:lineRule="auto"/>
        <w:tabs>
          <w:tab w:leader="none" w:pos="12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48 equal monthly installments beginning on February 1, 2016.</w:t>
      </w:r>
    </w:p>
    <w:p>
      <w:pPr>
        <w:spacing w:after="0" w:line="1" w:lineRule="exact"/>
        <w:rPr>
          <w:rFonts w:ascii="Arial" w:cs="Arial" w:eastAsia="Arial" w:hAnsi="Arial"/>
          <w:sz w:val="13"/>
          <w:szCs w:val="13"/>
          <w:color w:val="auto"/>
        </w:rPr>
      </w:pPr>
    </w:p>
    <w:p>
      <w:pPr>
        <w:ind w:left="1280" w:hanging="481"/>
        <w:spacing w:after="0"/>
        <w:tabs>
          <w:tab w:leader="none" w:pos="128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August 1, 2016.</w:t>
      </w:r>
    </w:p>
    <w:p>
      <w:pPr>
        <w:spacing w:after="0" w:line="12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440"/>
          </w:cols>
          <w:pgMar w:left="320" w:top="419" w:right="113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6" w:lineRule="exact"/>
        <w:rPr>
          <w:sz w:val="20"/>
          <w:szCs w:val="20"/>
          <w:color w:val="auto"/>
        </w:rPr>
      </w:pPr>
    </w:p>
    <w:p>
      <w:pPr>
        <w:ind w:left="1280" w:right="260" w:hanging="481"/>
        <w:spacing w:after="0" w:line="227"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48 equal monthly installments beginning on February 1, 2017.</w:t>
      </w:r>
    </w:p>
    <w:p>
      <w:pPr>
        <w:spacing w:after="0" w:line="1" w:lineRule="exact"/>
        <w:rPr>
          <w:rFonts w:ascii="Arial" w:cs="Arial" w:eastAsia="Arial" w:hAnsi="Arial"/>
          <w:sz w:val="13"/>
          <w:szCs w:val="13"/>
          <w:color w:val="auto"/>
        </w:rPr>
      </w:pPr>
    </w:p>
    <w:p>
      <w:pPr>
        <w:ind w:left="1280" w:right="260" w:hanging="481"/>
        <w:spacing w:after="0" w:line="227"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48 equal monthly installments beginning on February 1, 2018.</w:t>
      </w:r>
    </w:p>
    <w:p>
      <w:pPr>
        <w:spacing w:after="0" w:line="1" w:lineRule="exact"/>
        <w:rPr>
          <w:rFonts w:ascii="Arial" w:cs="Arial" w:eastAsia="Arial" w:hAnsi="Arial"/>
          <w:sz w:val="13"/>
          <w:szCs w:val="13"/>
          <w:color w:val="auto"/>
        </w:rPr>
      </w:pPr>
    </w:p>
    <w:p>
      <w:pPr>
        <w:ind w:left="1280" w:right="260" w:hanging="481"/>
        <w:spacing w:after="0" w:line="227"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12 equal monthly installments beginning on February 1, 2021.</w:t>
      </w:r>
    </w:p>
    <w:p>
      <w:pPr>
        <w:spacing w:after="0" w:line="1" w:lineRule="exact"/>
        <w:rPr>
          <w:rFonts w:ascii="Arial" w:cs="Arial" w:eastAsia="Arial" w:hAnsi="Arial"/>
          <w:sz w:val="13"/>
          <w:szCs w:val="13"/>
          <w:color w:val="auto"/>
        </w:rPr>
      </w:pPr>
    </w:p>
    <w:p>
      <w:pPr>
        <w:ind w:left="1280" w:right="260" w:hanging="481"/>
        <w:spacing w:after="0" w:line="236" w:lineRule="auto"/>
        <w:tabs>
          <w:tab w:leader="none" w:pos="128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shares underlying this option vest, subject to Mr. Gu’s continued role as a service provider to us, in 12 equal monthly installments beginning on February 1, 2022.</w:t>
      </w:r>
    </w:p>
    <w:p>
      <w:pPr>
        <w:spacing w:after="0" w:line="249"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108"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October 2020, our board of directors approved our Executive Change in Control and Severance Policy (the “Severance Policy”). Each of our named executive officers participates in the Severance Policy. Pursuant to our Severance Policy, if, within the 3 month period prior to or the 12 month period following a “change in control” (as defined in the Severance Policy), we terminate the employment of an executive without “cause” (excluding death or disability) or the executive resigns for “good reason” (as such terms are defined in the applicable agreement), and within 60 days following such termination, the executive executes a waiver and release of claims in our favor that becomes effective and irrevocable, the executive will be entitled to receive (i) a lump sum payment equal to 12 months of the executive’s then current annual base salary, (ii) a lump sum payment equal to 100% of the executive’s target annual bonus amount for the year of termination (provided such amount will be prorated based on days of service during the applicable bonus period with respect to Messrs. Datta and Gu), (iii) reimbursement of premiums to maintain group health insurance continuation benefits pursuant to “COBRA” for the executive and the executive’s respective eligible dependents for up to 12 months, and (iv) vesting acceleration as to 100% of the then-unvested shares subject to each of the executive’s then outstanding equity awards (and in the case of awards with performance vesting, unless the applicable award agreement governing such award provides otherwise, all performance goals and other vesting criteria will be deemed achieved at target or as earned (determined on a pro rata basis) if greater.</w:t>
      </w:r>
    </w:p>
    <w:p>
      <w:pPr>
        <w:spacing w:after="0" w:line="183"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Pursuant to the Severance Policy, in the event any payment to an executive would be subject to the excise tax imposed by Section 4999 of the Internal Revenue Code, as amended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254"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Employee Benefit and Stock Plans</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2020 Equity Incentive Plan</w:t>
      </w:r>
    </w:p>
    <w:p>
      <w:pPr>
        <w:spacing w:after="0" w:line="108" w:lineRule="exact"/>
        <w:rPr>
          <w:sz w:val="20"/>
          <w:szCs w:val="20"/>
          <w:color w:val="auto"/>
        </w:rPr>
      </w:pPr>
    </w:p>
    <w:p>
      <w:pPr>
        <w:ind w:left="800" w:right="20" w:firstLine="482"/>
        <w:spacing w:after="0" w:line="252" w:lineRule="auto"/>
        <w:rPr>
          <w:sz w:val="20"/>
          <w:szCs w:val="20"/>
          <w:color w:val="auto"/>
        </w:rPr>
      </w:pPr>
      <w:r>
        <w:rPr>
          <w:rFonts w:ascii="Arial" w:cs="Arial" w:eastAsia="Arial" w:hAnsi="Arial"/>
          <w:sz w:val="15"/>
          <w:szCs w:val="15"/>
          <w:color w:val="auto"/>
        </w:rPr>
        <w:t>Our 2020 Plan became effective on December 15, 2020, the date immediately prior to the date of our IPO. Our 2020 Plan provides for the grant of incentive stock options, within the meaning of Section 422 of the Code, to our employees and any parent and subsidiary corporations’ employees, and for the grant of nonstatutory stock options, stock appreciation rights, restricted stock, restricted stock units, or RSUs, and performance awards to our employees, directors, and consultants and our parent and subsidiary corporations’ employees and consultants. Our 2012 Plan terminated immediately prior to effectiveness of the 2020 Plan with respect to the grant of future awards.</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Authorized Shares</w:t>
      </w:r>
    </w:p>
    <w:p>
      <w:pPr>
        <w:spacing w:after="0" w:line="106" w:lineRule="exact"/>
        <w:rPr>
          <w:sz w:val="20"/>
          <w:szCs w:val="20"/>
          <w:color w:val="auto"/>
        </w:rPr>
      </w:pPr>
    </w:p>
    <w:p>
      <w:pPr>
        <w:ind w:left="800" w:right="160" w:firstLine="482"/>
        <w:spacing w:after="0" w:line="238" w:lineRule="auto"/>
        <w:rPr>
          <w:sz w:val="20"/>
          <w:szCs w:val="20"/>
          <w:color w:val="auto"/>
        </w:rPr>
      </w:pPr>
      <w:r>
        <w:rPr>
          <w:rFonts w:ascii="Arial" w:cs="Arial" w:eastAsia="Arial" w:hAnsi="Arial"/>
          <w:sz w:val="16"/>
          <w:szCs w:val="16"/>
          <w:color w:val="auto"/>
        </w:rPr>
        <w:t>Subject to the adjustment provisions of and the automatic increase described in our 2020 Plan, a total of 5,520,000 shares of our common stock are reserved for issuance pursuant to our 2020 Plan. In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400"/>
          </w:cols>
          <w:pgMar w:left="320" w:top="419" w:right="117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addition, subject to the adjustment provisions of our 2020 Plan, the shares reserved for issuance under our 2020 Plan also include any shares subject to awards granted under our 2012 Plan that, on or after the date of our IPO, expire or otherwise terminate without having been exercised or issued in full, are tendered to or withheld by us for payment of an exercise price or for satisfying tax withholding obligations, or are forfeited to or repurchased by us due to failure to vest (provided that the maximum number of shares that may be added to our 2020 Plan pursuant to outstanding awards under the 2012 Plan is 15,000,000 shares, as determined at the time the 2020 Plan was adopted). Subject to the adjustment provisions of our 2020 Plan, the number of shares available for issuance under our 2020 Plan will also include an annual increase on the first day of each fiscal year beginning with the 2021 fiscal year and ending on the ten year anniversary of the date our board of directors approved the 2020 Plan, in an amount equal to the least of:</w:t>
      </w:r>
    </w:p>
    <w:p>
      <w:pPr>
        <w:spacing w:after="0" w:line="97" w:lineRule="exact"/>
        <w:rPr>
          <w:sz w:val="20"/>
          <w:szCs w:val="20"/>
          <w:color w:val="auto"/>
        </w:rPr>
      </w:pPr>
    </w:p>
    <w:p>
      <w:pPr>
        <w:ind w:left="1460" w:hanging="188"/>
        <w:spacing w:after="0"/>
        <w:tabs>
          <w:tab w:leader="none" w:pos="1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15,000,000 shares of our common stock;</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5% of the outstanding shares of our common stock on the last day of our immediately preceding fiscal year; or</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such number of shares of our common stock as the administrator may determine.</w:t>
      </w:r>
    </w:p>
    <w:p>
      <w:pPr>
        <w:spacing w:after="0" w:line="183" w:lineRule="exact"/>
        <w:rPr>
          <w:sz w:val="20"/>
          <w:szCs w:val="20"/>
          <w:color w:val="auto"/>
        </w:rPr>
      </w:pPr>
    </w:p>
    <w:p>
      <w:pPr>
        <w:ind w:left="800" w:firstLine="482"/>
        <w:spacing w:after="0" w:line="248" w:lineRule="auto"/>
        <w:rPr>
          <w:sz w:val="20"/>
          <w:szCs w:val="20"/>
          <w:color w:val="auto"/>
        </w:rPr>
      </w:pPr>
      <w:r>
        <w:rPr>
          <w:rFonts w:ascii="Arial" w:cs="Arial" w:eastAsia="Arial" w:hAnsi="Arial"/>
          <w:sz w:val="15"/>
          <w:szCs w:val="15"/>
          <w:color w:val="auto"/>
        </w:rPr>
        <w:t>If a stock option or stock appreciation right granted under the 2020 Plan expires or becomes unexercisable without having been exercised in full or is surrendered pursuant to an exchange program or, with respect to restricted stock, RSUs or stock settled performance awards, is forfeited to, or repurchased by, us due to failure to vest, then the unpurchased shares (or for awards other than stock options or stock appreciation rights, the forfeited or repurchased shares) which were subject thereto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under any award will not be returned to the 2020 Plan; provided, however, that if shares issued pursuant to awards of restricted stock, RSUs or performance awards are repurchased or forfeited to us due to failure to vest, such shares will become available for future grant under the 2020 Plan. Shares used to pay the exercise price of an award or to satisfy the tax withholding obligations related to an award will become available for future grant or sale under the 2020 Plan. To the extent an award is paid out in cash rather than shares, the cash payment will not result in a reduction in the number of shares available for issuance under the 2020 Plan.</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Plan Administration</w:t>
      </w:r>
    </w:p>
    <w:p>
      <w:pPr>
        <w:spacing w:after="0" w:line="106" w:lineRule="exact"/>
        <w:rPr>
          <w:sz w:val="20"/>
          <w:szCs w:val="20"/>
          <w:color w:val="auto"/>
        </w:rPr>
      </w:pPr>
    </w:p>
    <w:p>
      <w:pPr>
        <w:ind w:left="800" w:right="40" w:firstLine="482"/>
        <w:spacing w:after="0" w:line="248" w:lineRule="auto"/>
        <w:rPr>
          <w:sz w:val="20"/>
          <w:szCs w:val="20"/>
          <w:color w:val="auto"/>
        </w:rPr>
      </w:pPr>
      <w:r>
        <w:rPr>
          <w:rFonts w:ascii="Arial" w:cs="Arial" w:eastAsia="Arial" w:hAnsi="Arial"/>
          <w:sz w:val="15"/>
          <w:szCs w:val="15"/>
          <w:color w:val="auto"/>
        </w:rPr>
        <w:t>Our compensation committee administers our 2020 Plan and may further delegate authority to one or more subcommittees or officers to the extent such delegation complies with applicable laws. Subject to the provisions of our 2020 Plan, the administrator will have the power to administer our 2020 Plan and make all determinations deemed necessary or advisable for administering our 2020 Plan, including but not limited to: the power to determine the fair market value of our common stock; select the service providers to whom awards may be granted; determine the number of shares covered by each award; approve forms of award agreements for use under our 2020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2020 Plan and awards granted under it, including but not limited to determining whether and when a change in control has occurred; establish, amend, and rescind rules and regulations relating to our 2020 Plan, and adopt sub-plans relating to the 2020 Plan; interpret, modify or amend each award, including but not limited to the discretionary authority to extend the post-termination exercisability period of awards; allow participants to satisfy tax withholding obligations in any manner permitted by the 2020 Plan; delegate ministerial duties to any of our employees; authorize any person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440"/>
          </w:cols>
          <w:pgMar w:left="320" w:top="419" w:right="113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2" w:lineRule="auto"/>
        <w:rPr>
          <w:sz w:val="20"/>
          <w:szCs w:val="20"/>
          <w:color w:val="auto"/>
        </w:rPr>
      </w:pPr>
      <w:r>
        <w:rPr>
          <w:rFonts w:ascii="Arial" w:cs="Arial" w:eastAsia="Arial" w:hAnsi="Arial"/>
          <w:sz w:val="16"/>
          <w:szCs w:val="16"/>
          <w:color w:val="auto"/>
        </w:rPr>
        <w:t>to take any steps and execute, on our behalf, any documents required for an award previously granted by the administrator to be effective; temporarily suspend the exercisability of an award if the administrator deems such suspension to be necessary or appropriate for administrative purposes, provided that, unless prohibited by applicable laws, such suspension shall be lifted in all cases not less than ten trading days before the last date that the award may be exercised; allow a participant to defer the receipt of payment of cash or the delivery of shares that would otherwise be due to such participant under an award; and make any determinations necessary or appropriate under the adjustment provisions of the 2020 Plan.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will be final and binding on all participants to the full extent permitted by law.</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Stock Options</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Our 2020 Plan permits the grant of options. The exercise price of options granted under our 2020 Plan must be at least equal to the fair market value of our common stock on the date of grant, except that options may be granted with a lower exercise price to a service provider who is not a U.S. taxpayer, or pursuant to certain transactions. The term of an option is determined by the administrator, provided that the term of an incentive stock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determines the methods of payment of the exercise price of an option, which may include cash, check or wire transfer, cashless exercise, net exercise, promissory note, shares, or other consideration or method of payment acceptable to the administrator, to the extent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the option will remain exercisable for thirty days. These exercise periods may be tolled in certain circumstances, for example if exercise prior to the end of the applicable period is not permitted because of applicable laws. However, in no event may an option be exercised later than the expiration of its term.</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Stock Appreciation Rights</w:t>
      </w:r>
    </w:p>
    <w:p>
      <w:pPr>
        <w:spacing w:after="0" w:line="106"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Our 2020 Plan permits the grant of stock appreciation rights. Stock appreciation rights allow the recipient to receive the appreciation in the fair market value of our common stock between the exercise date and the date of grant. The term of stock appreciation rights is determined by the administrator.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thirty days following the termination of service. These exercise periods may be tolled in certain circumstances, for example if exercise prior to the end of the applicable period is not permitted because of applicable laws.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440"/>
          </w:cols>
          <w:pgMar w:left="320" w:top="419" w:right="11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60"/>
        <w:spacing w:after="0" w:line="238" w:lineRule="auto"/>
        <w:rPr>
          <w:sz w:val="20"/>
          <w:szCs w:val="20"/>
          <w:color w:val="auto"/>
        </w:rPr>
      </w:pPr>
      <w:r>
        <w:rPr>
          <w:rFonts w:ascii="Arial" w:cs="Arial" w:eastAsia="Arial" w:hAnsi="Arial"/>
          <w:sz w:val="16"/>
          <w:szCs w:val="16"/>
          <w:color w:val="auto"/>
        </w:rPr>
        <w:t>combination thereof, except that the per share exercise price for the shares to be issued pursuant to the exercise of a stock appreciation right must be no less than 100% of the fair market value per share on the date of grant.</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2020 Plan permits the grant of restricted stock. Restricted stock awards are grants of shares of our common stock that vest in accordance with terms and conditions established by the administrator. The administrator determines the number of shares of restricted stock granted to any employee, director, or consultant and, subject to the provisions of our 2020 Plan, determines the terms and conditions of such awards. The administrator has the authority to impose whatever conditions to vesting it determines to be appropriate (for example, the administrator will be able to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2020 Plan permits the grant of RSUs. Each RSU will represent an amount equal to the fair market value of one share of our common stock. Subject to the provisions of our 2020 Plan, the administrator determines the terms and conditions of RSUs, including the vesting criteria and the form and timing of payment. The administrator has the authority to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RSUs in the form of cash, in shares, or in some combination of both. Notwithstanding the foregoing, the administrator, in its sole discretion, may accelerate the vesting, or reduce or waive the criteria that must be met for vesting, of the RSUs or the time at which any restrictions will lapse or be removed.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Performance Awards</w:t>
      </w:r>
    </w:p>
    <w:p>
      <w:pPr>
        <w:spacing w:after="0" w:line="106"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Our 2020 Plan permits the grant of performance awards. Performance awards are awards that will result in a payment to a participant only if performance goals established by the administrator are achieved or the awards otherwise vest. The administrator may establish performance objectives or other vesting criteria in its discretion, which, depending on the extent to which they are met, will determine the number and/or the value of performance awards to be paid out to participants. The administrator has the authority to set performance objectives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criteria or other vesting provisions for such performance award. The administrator, in its sole discretion, may pay earned performance awards in the form of cash, in shares, or in some combination thereof.</w:t>
      </w: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06"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Our 2020 Plan provides that all outside (non-employee) directors will be eligible to receive all types of awards (except for incentive stock options) under our 2020 Plan. In order to provide a</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440"/>
          </w:cols>
          <w:pgMar w:left="320" w:top="419" w:right="113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maximum limit on the awards that can be made to our non-employee directors, our 2020 Plan provides that in any given fiscal year, a</w:t>
      </w:r>
    </w:p>
    <w:p>
      <w:pPr>
        <w:ind w:left="800"/>
        <w:spacing w:after="0" w:line="231" w:lineRule="auto"/>
        <w:rPr>
          <w:sz w:val="20"/>
          <w:szCs w:val="20"/>
          <w:color w:val="auto"/>
        </w:rPr>
      </w:pPr>
      <w:r>
        <w:rPr>
          <w:rFonts w:ascii="Arial" w:cs="Arial" w:eastAsia="Arial" w:hAnsi="Arial"/>
          <w:sz w:val="16"/>
          <w:szCs w:val="16"/>
          <w:color w:val="auto"/>
        </w:rPr>
        <w:t>non-employee director will not be granted awards having a grant-date fair value greater than $1,000,000, but this limit is increased to</w:t>
      </w:r>
    </w:p>
    <w:p>
      <w:pPr>
        <w:ind w:left="800"/>
        <w:spacing w:after="0"/>
        <w:rPr>
          <w:sz w:val="20"/>
          <w:szCs w:val="20"/>
          <w:color w:val="auto"/>
        </w:rPr>
      </w:pPr>
      <w:r>
        <w:rPr>
          <w:rFonts w:ascii="Arial" w:cs="Arial" w:eastAsia="Arial" w:hAnsi="Arial"/>
          <w:sz w:val="15"/>
          <w:szCs w:val="15"/>
          <w:color w:val="auto"/>
        </w:rPr>
        <w:t>$2,000,000 in connection with his or her initially joining our board of directors (in each case, excluding awards granted to him or her as a</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5"/>
          <w:szCs w:val="15"/>
          <w:color w:val="auto"/>
        </w:rPr>
        <w:t>consultant or employee). The grant-date fair values will be determined according to GAAP. The maximum limits do not reflect the intended</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size of any potential grants or a commitment to make grants to our outside directors under our 2020 Plan in the future.</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Non-Transferability of Awards</w:t>
      </w:r>
    </w:p>
    <w:p>
      <w:pPr>
        <w:spacing w:after="0" w:line="106"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Unless the administrator provides otherwise, our 2020 Plan generally does not allow for the 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Certain Adjustments</w:t>
      </w:r>
    </w:p>
    <w:p>
      <w:pPr>
        <w:spacing w:after="0" w:line="106" w:lineRule="exact"/>
        <w:rPr>
          <w:sz w:val="20"/>
          <w:szCs w:val="20"/>
          <w:color w:val="auto"/>
        </w:rPr>
      </w:pPr>
    </w:p>
    <w:p>
      <w:pPr>
        <w:ind w:left="800" w:firstLine="482"/>
        <w:spacing w:after="0" w:line="250" w:lineRule="auto"/>
        <w:rPr>
          <w:sz w:val="20"/>
          <w:szCs w:val="20"/>
          <w:color w:val="auto"/>
        </w:rPr>
      </w:pPr>
      <w:r>
        <w:rPr>
          <w:rFonts w:ascii="Arial" w:cs="Arial" w:eastAsia="Arial" w:hAnsi="Arial"/>
          <w:sz w:val="15"/>
          <w:szCs w:val="15"/>
          <w:color w:val="auto"/>
        </w:rPr>
        <w:t>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of our common stock or other of our securities, other change in our corporate structure affecting the shares, or any similar equity restructuring transaction affecting our shares occurs (including a change in control), the administrator, to prevent diminution or enlargement of the benefits or potential benefits intended to be provided under the 2020 Plan, will adjust the number and class of shares that may be delivered under the 2020 Plan and/or the number, class, and price of shares covered by each outstanding award, and the numerical share limits set forth in our 2020 Plan. The conversion of any of our convertible securities and ordinary course repurchases of our shares or other securities will not be treated as an event that will require adjustment under the 2020 Plan.</w:t>
      </w: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Dissolution or Liquidation</w:t>
      </w:r>
    </w:p>
    <w:p>
      <w:pPr>
        <w:spacing w:after="0" w:line="106" w:lineRule="exact"/>
        <w:rPr>
          <w:sz w:val="20"/>
          <w:szCs w:val="20"/>
          <w:color w:val="auto"/>
        </w:rPr>
      </w:pPr>
    </w:p>
    <w:p>
      <w:pPr>
        <w:ind w:left="800" w:right="240" w:firstLine="482"/>
        <w:spacing w:after="0" w:line="236" w:lineRule="auto"/>
        <w:rPr>
          <w:sz w:val="20"/>
          <w:szCs w:val="20"/>
          <w:color w:val="auto"/>
        </w:rPr>
      </w:pPr>
      <w:r>
        <w:rPr>
          <w:rFonts w:ascii="Arial" w:cs="Arial" w:eastAsia="Arial" w:hAnsi="Arial"/>
          <w:sz w:val="16"/>
          <w:szCs w:val="16"/>
          <w:color w:val="auto"/>
        </w:rPr>
        <w:t>In the event of our proposed dissolution or liquidation, the administrator will notify participants as soon as practicable prior to the effective date of such proposed transaction and all awards will terminate immediately prior to the consummation of such proposed transaction.</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Merger or Change in Control</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2020 Plan provides that in the event of a merger or change in control, as defined under our 2020 Plan, each outstanding award will be treated as the administrator determines, without a requirement to obtain a participant’s consent, including, without limitation, that such award will be continued by the successor corporation or a parent or subsidiary of the successor corporation. An award generally will be considered continued if, following the transaction, (i) the award gives the right to purchase or receive the consideration received in the transaction by holders of our shares or (ii) the award is terminated in exchange for an amount of cash and/or property, if any, equal to the amount that would have been received upon the exercise or realization of the award at the closing of the transaction, which payment may be subject to any escrow applicable to holders of our common stock in connection with the transaction or subjected to the award’s original vesting schedule. The administrator will not be required to treat all awards or portions thereof the vested and unvested portions of an award, or all participants similarly.</w:t>
      </w:r>
    </w:p>
    <w:p>
      <w:pPr>
        <w:spacing w:after="0" w:line="178"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In the event that a successor corporation or its parent or subsidiary does not continue an outstanding award, then such award will fully vest, all restrictions on such award will lapse, all</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420"/>
          </w:cols>
          <w:pgMar w:left="320" w:top="419" w:right="115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0"/>
        <w:spacing w:after="0" w:line="233" w:lineRule="auto"/>
        <w:rPr>
          <w:sz w:val="20"/>
          <w:szCs w:val="20"/>
          <w:color w:val="auto"/>
        </w:rPr>
      </w:pPr>
      <w:r>
        <w:rPr>
          <w:rFonts w:ascii="Arial" w:cs="Arial" w:eastAsia="Arial" w:hAnsi="Arial"/>
          <w:sz w:val="16"/>
          <w:szCs w:val="16"/>
          <w:color w:val="auto"/>
        </w:rPr>
        <w:t>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continued,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82"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With respect to awards granted to an outside director, in the event of a change in control, all of his or her options and stock appreciation rights, if any, will vest fully and become immediately exercisable, all restrictions on his or her restricted stock and RSUs will lapse, and all performance goals or other vesting requirements for his or her performance awards will be deemed achieved at 100% of target levels, and all other terms and conditions met.</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Clawback</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Awards will be subject to any clawback policy that we are required to adopt pursuant to the listing standards of any national securities exchange or association on which our stock is listed or as otherwise required by applicable laws, and the administrator will also be able to specify in an award agreement that the participant’s rights, payments, and/or benefits with respect to an award will be subject to reduction, cancellation, forfeiture, and/or recoupment upon the occurrence of certain specified events.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Amendment and Termination</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administrator has the authority to amend, alter, suspend, or terminate our 2020 Plan, provided we will obtain stockholder approval of any amendment to the extent necessary or desirable to comply with applicable laws. However, no amendment, alteration, suspension or termination of our 2020 Plan or an Award under it may, taken as a whole, materially impair the existing rights of any participant without the participant’s consent. Our 2020 Plan will continue in effect until it is terminated, provided that incentive stock options may not be granted after the ten year anniversary of the date our board of directors approved the 2020 Plan, and the automatic annual share increase will end on the ten year anniversary of the date our board of directors approved the 2020 Plan.</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2012 Stock Plan</w:t>
      </w:r>
    </w:p>
    <w:p>
      <w:pPr>
        <w:spacing w:after="0" w:line="106"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Our 2012 Plan was originally adopted by the board of directors of Upstart Network, Inc. in April 2012 and was assumed by Upstart Holdings, Inc. in December 2013 pursuant to a restructuring.</w:t>
      </w:r>
    </w:p>
    <w:p>
      <w:pPr>
        <w:spacing w:after="0" w:line="179"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Our 2012 Plan provided for the grant of incentive stock options (within the meaning of Section 422 of the Code), or ISOs, to our employees and any of our parent and subsidiary corporations’ employees, and for the grant of nonstatutory stock options, or NSOs and restricted stock to our employees and consultants, and our parent, subsidiary, and affiliate corporations’ employees and consultants. Our 2012 Plan terminated on December 15, 2020, and we have not granted, and may not grant, any additional awards under our 2012 Plan thereafter. However, our 2012 Plan will continue to govern the terms and conditions of the outstanding awards previously granted under our 2012 Plan.</w:t>
      </w:r>
    </w:p>
    <w:p>
      <w:pPr>
        <w:spacing w:after="0" w:line="182" w:lineRule="exact"/>
        <w:rPr>
          <w:sz w:val="20"/>
          <w:szCs w:val="20"/>
          <w:color w:val="auto"/>
        </w:rPr>
      </w:pPr>
    </w:p>
    <w:p>
      <w:pPr>
        <w:jc w:val="center"/>
        <w:ind w:left="1300" w:right="300"/>
        <w:spacing w:after="0" w:line="407" w:lineRule="auto"/>
        <w:rPr>
          <w:sz w:val="20"/>
          <w:szCs w:val="20"/>
          <w:color w:val="auto"/>
        </w:rPr>
      </w:pPr>
      <w:r>
        <w:rPr>
          <w:rFonts w:ascii="Arial" w:cs="Arial" w:eastAsia="Arial" w:hAnsi="Arial"/>
          <w:sz w:val="16"/>
          <w:szCs w:val="16"/>
          <w:color w:val="auto"/>
        </w:rPr>
        <w:t>As of December 31, 2020, options to purchase 19,600,223 shares of our common stock were outstanding under our 2012 Plan. 169</w:t>
      </w:r>
    </w:p>
    <w:p>
      <w:pPr>
        <w:sectPr>
          <w:pgSz w:w="11900" w:h="16838" w:orient="portrait"/>
          <w:cols w:equalWidth="0" w:num="1">
            <w:col w:w="10440"/>
          </w:cols>
          <w:pgMar w:left="320" w:top="419" w:right="113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Plan Administration</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2012 Plan is administered by our board of directors or one or more committees appointed by our board of directors. Each committee will consist of two or more members of our board of directors and will have such authority and be responsible for such functions as our board of directors has assigned to it (the board of directors, or its designated committee, the “administrator”). Our board of directors may also authorize one or more of our officers to administer the 2012 Plan within the parameters specified by the board of directors. All decisions, interpretations, and other actions of the administrator are final and binding on all participants and all persons deriving their rights from a participant.</w:t>
      </w:r>
    </w:p>
    <w:p>
      <w:pPr>
        <w:spacing w:after="0" w:line="182"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Subject to the provisions of our 2012 Plan, the administrator has the power to determine the fair market value of shares of stock, to select the participants to whom awards may be granted, to determine the number of shares covered by an award, to approve the form(s) of agreement(s) and other related documents used under our 2012 Plan, to determine the term and conditions of awards, to amend awards or related agreements, to determine under what circumstances an option may be settled in cash, to institute an exchange program by which outstanding awards may be surrendered in exchange for awards with a higher or lower exercise price, to grant awards to foreign nationals or participants employed outside of the United States, and to construe and interpret the terms of the 2012 Plan and agreements related to awards.</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Eligibility</w:t>
      </w:r>
    </w:p>
    <w:p>
      <w:pPr>
        <w:spacing w:after="0" w:line="106"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Employees, consultants and directors of ours and employees, consultants or directors or our parent, subsidiary, and affiliate companies are eligible to receive awards. Only our employees or employees of our parent or subsidiary companies are eligible to receive incentive stock options.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Stock Options</w:t>
      </w:r>
    </w:p>
    <w:p>
      <w:pPr>
        <w:spacing w:after="0" w:line="106"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Stock options have been granted under our 2012 Plan. Subject to the provisions of our 2012 Plan, the administrator determines the term of an option, the number of shares subject to an option and the time period in which an option may be exercised.</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incentive stock option granted to a person who owns more than 10% of the total combined voting power of all classes of our outstanding stock or of our parent or any subsidiary may have a term of no longer than five years from the grant date and must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those of any parent or subsidiary) exceeds $100,000, such options will be treated as nonstatutory stock options.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administrator determines how a participant may pay the exercise price of an option, and the permissible methods are generally set forth in the applicable award agreement. If a participant’s “continuous service status” (as defined in our 2012 Plan) terminates, that participant may exercise the vested portion of his or her option for the period of time stated in the applicable award agreement. If the award agreement does not specify the terms and conditions upon which an option shall terminate upon termination of a participant’s continuous service status, the 2012 Plan provides that the vested portion of such option will (i) be exercisable for three months following the participant’s termination for reasons other than death, disability or cause, (ii) be exercisable for twelve months following the participant’s termination for reasons of death or disability, and (iii) terminate immediately upon the</w:t>
      </w:r>
    </w:p>
    <w:p>
      <w:pPr>
        <w:spacing w:after="0" w:line="1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420"/>
          </w:cols>
          <w:pgMar w:left="320" w:top="419" w:right="115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6" w:lineRule="auto"/>
        <w:rPr>
          <w:sz w:val="20"/>
          <w:szCs w:val="20"/>
          <w:color w:val="auto"/>
        </w:rPr>
      </w:pPr>
      <w:r>
        <w:rPr>
          <w:rFonts w:ascii="Arial" w:cs="Arial" w:eastAsia="Arial" w:hAnsi="Arial"/>
          <w:sz w:val="16"/>
          <w:szCs w:val="16"/>
          <w:color w:val="auto"/>
        </w:rPr>
        <w:t>participant’s termination for “cause,” as defined in the 2012 Plan.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Restricted stock may be granted under our 2012 Plan. Restricted stock awards are grants of shares of our common stock that vest in accordance with terms and conditions established by the administrator (if any). The administrator will determine the number of shares of restricted stock granted to any employee, consultant or director and, subject to the provisions of our 2012 Plan, will determine any terms and conditions of such awards. The restricted stock will vest at such rate as the administrator may determine. Once the restricted stock is purchased or issued, the participant will have the rights equivalent to those of a holder of capital stock. No adjustment will be made for a dividend or other right for which the record date is prior to the date the restricted stock is purchased or received, except as otherwise provided in the 2012 Plan.</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Non-Transferability of Awards</w:t>
      </w:r>
    </w:p>
    <w:p>
      <w:pPr>
        <w:spacing w:after="0" w:line="106"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Except as set forth in the 2012 Plan, awards may not be sold, pledged, assigned, hypothecated, transferred or disposed of in any manner other than by will or by the laws of descent or distribution. The designation of a beneficiary by a participant will not constitute a transfer. An option may be exercised during the lifetime of the holder of the option, only by such holder or a transferee permitted by the 2012 Plan.</w:t>
      </w:r>
    </w:p>
    <w:p>
      <w:pPr>
        <w:spacing w:after="0" w:line="178" w:lineRule="exact"/>
        <w:rPr>
          <w:sz w:val="20"/>
          <w:szCs w:val="20"/>
          <w:color w:val="auto"/>
        </w:rPr>
      </w:pPr>
    </w:p>
    <w:p>
      <w:pPr>
        <w:ind w:left="800" w:right="80" w:firstLine="482"/>
        <w:spacing w:after="0" w:line="269" w:lineRule="auto"/>
        <w:rPr>
          <w:sz w:val="20"/>
          <w:szCs w:val="20"/>
          <w:color w:val="auto"/>
        </w:rPr>
      </w:pPr>
      <w:r>
        <w:rPr>
          <w:rFonts w:ascii="Arial" w:cs="Arial" w:eastAsia="Arial" w:hAnsi="Arial"/>
          <w:sz w:val="15"/>
          <w:szCs w:val="15"/>
          <w:color w:val="auto"/>
        </w:rPr>
        <w:t>The administrator may in its sole discretion grant nonstatutory stock options that may be transferred by instrument to an inter vivos or testamentary trust in which the options are to be passed to beneficiaries upon the death of the trustor or by gift to family members.</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Certain Adjustments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 the event of a stock split, reverse stock split, stock dividend, combination, consolidation, reclassification of the shares or subdivision of the shares, proportionate adjustments will automatically be made in each of (i) the numbers and class of shares or other stock or securities: (x) available for future awards under the 2012 Plan and (y) covered by each outstanding award, (ii) the exercise price per share of each such outstanding option, and (iii) any repurchase price per share applicable to shares issued pursuant to any award.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at its sole discretion may make appropriate adjustments in one or more of the items listed in (i) through (iii) above.</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Mergers and Consolidations</w:t>
      </w:r>
    </w:p>
    <w:p>
      <w:pPr>
        <w:spacing w:after="0" w:line="106" w:lineRule="exact"/>
        <w:rPr>
          <w:sz w:val="20"/>
          <w:szCs w:val="20"/>
          <w:color w:val="auto"/>
        </w:rPr>
      </w:pPr>
    </w:p>
    <w:p>
      <w:pPr>
        <w:ind w:left="800" w:right="280" w:firstLine="482"/>
        <w:spacing w:after="0" w:line="234" w:lineRule="auto"/>
        <w:rPr>
          <w:sz w:val="20"/>
          <w:szCs w:val="20"/>
          <w:color w:val="auto"/>
        </w:rPr>
      </w:pPr>
      <w:r>
        <w:rPr>
          <w:rFonts w:ascii="Arial" w:cs="Arial" w:eastAsia="Arial" w:hAnsi="Arial"/>
          <w:sz w:val="16"/>
          <w:szCs w:val="16"/>
          <w:color w:val="auto"/>
        </w:rPr>
        <w:t>In the event of (i) a transfer of all or substantially all of our assets, (ii) a merger, consolidation or other capital reorganization or business combination transaction of us with or into another corporation, entity or person, or (iii) the consummation of a transaction, or series of related transactions, in which any person becomes the beneficial owner, directly or indirectly, of more than 50% of our outstanding capital stock (each a “corporate transaction”), each outstanding award will be treated as the administrator determines. The administrator’s determination may be made without the consent of any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440"/>
          </w:cols>
          <w:pgMar w:left="320" w:top="419" w:right="113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46" w:lineRule="auto"/>
        <w:rPr>
          <w:sz w:val="20"/>
          <w:szCs w:val="20"/>
          <w:color w:val="auto"/>
        </w:rPr>
      </w:pPr>
      <w:r>
        <w:rPr>
          <w:rFonts w:ascii="Arial" w:cs="Arial" w:eastAsia="Arial" w:hAnsi="Arial"/>
          <w:sz w:val="15"/>
          <w:szCs w:val="15"/>
          <w:color w:val="auto"/>
        </w:rPr>
        <w:t>participant and need not treat all outstanding awards in an identical manner. The administrator’s determination may provide for one or more of the following without limitation with respect to each outstanding award: (i) the continuation of outstanding awards by us; (ii) the assumption of outstanding awards by the surviving corporation or its parent; (iii) the substitution by the surviving corporation or its parent of new options or equity awards for such awards; (iv) the cancellation of awards and a payment to the participants equal to the excess of</w:t>
      </w:r>
    </w:p>
    <w:p>
      <w:pPr>
        <w:spacing w:after="0" w:line="2" w:lineRule="exact"/>
        <w:rPr>
          <w:sz w:val="20"/>
          <w:szCs w:val="20"/>
          <w:color w:val="auto"/>
        </w:rPr>
      </w:pPr>
    </w:p>
    <w:p>
      <w:pPr>
        <w:ind w:left="800" w:right="140" w:hanging="1"/>
        <w:spacing w:after="0" w:line="269" w:lineRule="auto"/>
        <w:tabs>
          <w:tab w:leader="none" w:pos="102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fair market value of the shares subject to awards as of the closing date of the corporate transaction over (y) the exercise price or purchase price for the shares to be issued pursuant to the exercise of awards; or (v) the cancellation of awards for no consideration.</w:t>
      </w:r>
    </w:p>
    <w:p>
      <w:pPr>
        <w:spacing w:after="0" w:line="157"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With respect to awards providing for accelerated vesting in connection with any termination of service that occurs on or after a corporate transaction, if the successor does not agree to assume the award, or to substitute an equivalent award or right for the award, then any acceleration of vesting that would otherwise occur upon such termination of service will occur immediately prior to, and contingent upon, the consummation of the corporate transaction.</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Amendment and Termination</w:t>
      </w:r>
    </w:p>
    <w:p>
      <w:pPr>
        <w:spacing w:after="0" w:line="106"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Our board of directors may amend or terminate our 2012 Plan at any time; provided, however no amendment or termination will be made that would materially and adversely affect the rights of any participant under any outstanding award, without his or her consent. To the extent necessary and desirable to comply with applicable laws, we will obtain the approval of holders of capital stock with respect to any amendments to our 2012 Plan as required. As noted above, our 2012 Plan terminated on December 15, 2020, and we have not granted, and may not grant, any additional awards under our 2012 Plan thereafter.</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2020 Employee Stock Purchase Plan</w:t>
      </w:r>
    </w:p>
    <w:p>
      <w:pPr>
        <w:spacing w:after="0" w:line="106" w:lineRule="exact"/>
        <w:rPr>
          <w:sz w:val="20"/>
          <w:szCs w:val="20"/>
          <w:color w:val="auto"/>
        </w:rPr>
      </w:pPr>
    </w:p>
    <w:p>
      <w:pPr>
        <w:ind w:left="800" w:right="320" w:firstLine="482"/>
        <w:spacing w:after="0" w:line="269" w:lineRule="auto"/>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our ESPP. Our ESPP became effective on December 15, 2020, the date immediately prior to the date of our IPO.</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Authorized Shares</w:t>
      </w:r>
    </w:p>
    <w:p>
      <w:pPr>
        <w:spacing w:after="0" w:line="106"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Subject to the adjustment provisions of our ESPP, a total of 1,380,000 shares of our common stock are reserved for issuance pursuant to our ESPP. The number of shares available for issuance under our ESPP also includes an annual increase on the first day of each fiscal year beginning with the 2021 fiscal year in an amount equal to the least of:</w:t>
      </w:r>
    </w:p>
    <w:p>
      <w:pPr>
        <w:spacing w:after="0" w:line="96" w:lineRule="exact"/>
        <w:rPr>
          <w:sz w:val="20"/>
          <w:szCs w:val="20"/>
          <w:color w:val="auto"/>
        </w:rPr>
      </w:pPr>
    </w:p>
    <w:p>
      <w:pPr>
        <w:ind w:left="1460" w:hanging="188"/>
        <w:spacing w:after="0"/>
        <w:tabs>
          <w:tab w:leader="none" w:pos="1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2,000,000 shares of our common stock;</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1% of the outstanding shares of our common stock on the last day of our immediately preceding fiscal year; or</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such number of shares of our common stock as the administrator may determine.</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ESPP Administration</w:t>
      </w:r>
    </w:p>
    <w:p>
      <w:pPr>
        <w:spacing w:after="0" w:line="106"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The compensation committee of our board of directors administers our ESPP and has full and 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360"/>
          </w:cols>
          <w:pgMar w:left="320" w:top="419" w:right="121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60"/>
        <w:spacing w:after="0" w:line="269" w:lineRule="auto"/>
        <w:rPr>
          <w:sz w:val="20"/>
          <w:szCs w:val="20"/>
          <w:color w:val="auto"/>
        </w:rPr>
      </w:pPr>
      <w:r>
        <w:rPr>
          <w:rFonts w:ascii="Arial" w:cs="Arial" w:eastAsia="Arial" w:hAnsi="Arial"/>
          <w:sz w:val="15"/>
          <w:szCs w:val="15"/>
          <w:color w:val="auto"/>
        </w:rPr>
        <w:t>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Eligibility</w:t>
      </w:r>
    </w:p>
    <w:p>
      <w:pPr>
        <w:spacing w:after="0" w:line="106" w:lineRule="exact"/>
        <w:rPr>
          <w:sz w:val="20"/>
          <w:szCs w:val="20"/>
          <w:color w:val="auto"/>
        </w:rPr>
      </w:pPr>
    </w:p>
    <w:p>
      <w:pPr>
        <w:ind w:left="800" w:firstLine="482"/>
        <w:spacing w:after="0" w:line="246" w:lineRule="auto"/>
        <w:rPr>
          <w:sz w:val="20"/>
          <w:szCs w:val="20"/>
          <w:color w:val="auto"/>
        </w:rPr>
      </w:pPr>
      <w:r>
        <w:rPr>
          <w:rFonts w:ascii="Arial" w:cs="Arial" w:eastAsia="Arial" w:hAnsi="Arial"/>
          <w:sz w:val="15"/>
          <w:szCs w:val="15"/>
          <w:color w:val="auto"/>
        </w:rPr>
        <w:t>Generally, all of our employees will be eligible to participate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w:t>
      </w:r>
    </w:p>
    <w:p>
      <w:pPr>
        <w:spacing w:after="0" w:line="2" w:lineRule="exact"/>
        <w:rPr>
          <w:sz w:val="20"/>
          <w:szCs w:val="20"/>
          <w:color w:val="auto"/>
        </w:rPr>
      </w:pPr>
    </w:p>
    <w:p>
      <w:pPr>
        <w:ind w:left="800" w:right="40" w:hanging="1"/>
        <w:spacing w:after="0" w:line="246" w:lineRule="auto"/>
        <w:tabs>
          <w:tab w:leader="none" w:pos="101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w:t>
      </w:r>
    </w:p>
    <w:p>
      <w:pPr>
        <w:spacing w:after="0" w:line="1" w:lineRule="exact"/>
        <w:rPr>
          <w:rFonts w:ascii="Arial" w:cs="Arial" w:eastAsia="Arial" w:hAnsi="Arial"/>
          <w:sz w:val="15"/>
          <w:szCs w:val="15"/>
          <w:color w:val="auto"/>
        </w:rPr>
      </w:pPr>
    </w:p>
    <w:p>
      <w:pPr>
        <w:ind w:left="800" w:right="780"/>
        <w:spacing w:after="0" w:line="238" w:lineRule="auto"/>
        <w:rPr>
          <w:rFonts w:ascii="Arial" w:cs="Arial" w:eastAsia="Arial" w:hAnsi="Arial"/>
          <w:sz w:val="15"/>
          <w:szCs w:val="15"/>
          <w:color w:val="auto"/>
        </w:rPr>
      </w:pPr>
      <w:r>
        <w:rPr>
          <w:rFonts w:ascii="Arial" w:cs="Arial" w:eastAsia="Arial" w:hAnsi="Arial"/>
          <w:sz w:val="16"/>
          <w:szCs w:val="16"/>
          <w:color w:val="auto"/>
        </w:rPr>
        <w:t>Section 414(q) of the Code with compensation above a certain level or is an officer or subject to disclosure requirements under Section 16(a) of the Exchange Act, is or is not eligible to participate in such offering period.</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However, an employee may not be granted rights to purchase shares of our common stock under our ESPP if such employee:</w:t>
      </w:r>
    </w:p>
    <w:p>
      <w:pPr>
        <w:spacing w:after="0" w:line="100" w:lineRule="exact"/>
        <w:rPr>
          <w:sz w:val="20"/>
          <w:szCs w:val="20"/>
          <w:color w:val="auto"/>
        </w:rPr>
      </w:pPr>
    </w:p>
    <w:p>
      <w:pPr>
        <w:jc w:val="both"/>
        <w:ind w:left="1460" w:right="80" w:hanging="188"/>
        <w:spacing w:after="0" w:line="269" w:lineRule="auto"/>
        <w:tabs>
          <w:tab w:leader="none" w:pos="14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and/or hold outstanding options to purchase such shares possessing 5% or more of the total combined voting power or value of all classes of capital stock of ours or of any parent or subsidiary of ours; or</w:t>
      </w:r>
    </w:p>
    <w:p>
      <w:pPr>
        <w:spacing w:after="0" w:line="74" w:lineRule="exact"/>
        <w:rPr>
          <w:rFonts w:ascii="Arial" w:cs="Arial" w:eastAsia="Arial" w:hAnsi="Arial"/>
          <w:sz w:val="15"/>
          <w:szCs w:val="15"/>
          <w:color w:val="auto"/>
        </w:rPr>
      </w:pPr>
    </w:p>
    <w:p>
      <w:pPr>
        <w:ind w:left="1460" w:right="300" w:hanging="188"/>
        <w:spacing w:after="0" w:line="236" w:lineRule="auto"/>
        <w:tabs>
          <w:tab w:leader="none" w:pos="14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holds rights to purchase shares of our common stock under all employee share purchase plans of ours or any parent or subsidiary of ours that accrue at a rate that exceeds $25,000 worth of our shares of common stock for each calendar year in which such rights are outstanding at any time.</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Offering Periods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Our ESPP includes a component that allows us to make offerings intended to qualify under Section 423 of the Code and a component that allows us to make offerings not intended to qualify under Section 423 of the Code to designated companies, as described in our ESPP. Our ESPP will provide for consecutive six-month offering periods. The offering periods will be scheduled to start on the first trading day on or after February 15 and August 15 of each year, except the first offering period commenced on the first trading day on or after the date of our IPO and will end on the last trading day on or before August 15, 2021, and the second offering period will commence on the first trading day on or after August 15, 2021.</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Contributions</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Our ESPP permits participants to purchase our shares of common stock through contributions (in the form of payroll deductions or otherwise to the extent permitted by the administrator) of up to 15% of their eligible compensation, which includes a participant’s gross payments of base salary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during an offering period, provided that during the first offering period under the ESPP a participant may decrease the rate of his or her contributions two times.</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400"/>
          </w:cols>
          <w:pgMar w:left="320" w:top="419" w:right="117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Exercise of Purchase Right</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Amounts contributed and accumulated by the participant will be used to purchase our shares of common stock at the end of each offering. A participant may purchase a maximum of 2,000 shares of our common stock during an offering period. The purchase price of the shares will be 85% of the lower of the fair market value of our shares of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Non-Transferability</w:t>
      </w:r>
    </w:p>
    <w:p>
      <w:pPr>
        <w:spacing w:after="0" w:line="106"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A participant may not transfer contributions credited to his or her account nor any rights granted under our ESPP other than by will, the laws of descent and distribution or as otherwise provided under our ESPP.</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Merger or Change in Control</w:t>
      </w:r>
    </w:p>
    <w:p>
      <w:pPr>
        <w:spacing w:after="0" w:line="106"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Our ESPP provides that in the event of a merger or change in control, as defined under our ESPP, a 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Amendment; Termination</w:t>
      </w:r>
    </w:p>
    <w:p>
      <w:pPr>
        <w:spacing w:after="0" w:line="106" w:lineRule="exact"/>
        <w:rPr>
          <w:sz w:val="20"/>
          <w:szCs w:val="20"/>
          <w:color w:val="auto"/>
        </w:rPr>
      </w:pPr>
    </w:p>
    <w:p>
      <w:pPr>
        <w:ind w:left="800" w:right="400" w:firstLine="482"/>
        <w:spacing w:after="0" w:line="238" w:lineRule="auto"/>
        <w:rPr>
          <w:sz w:val="20"/>
          <w:szCs w:val="20"/>
          <w:color w:val="auto"/>
        </w:rPr>
      </w:pPr>
      <w:r>
        <w:rPr>
          <w:rFonts w:ascii="Arial" w:cs="Arial" w:eastAsia="Arial" w:hAnsi="Arial"/>
          <w:sz w:val="16"/>
          <w:szCs w:val="16"/>
          <w:color w:val="auto"/>
        </w:rPr>
        <w:t>The administrator has the authority to amend, suspend or terminate our ESPP. Our ESPP automatically will terminate in 2040, unless we terminate it sooner.</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2020 Bonus Plan</w:t>
      </w:r>
    </w:p>
    <w:p>
      <w:pPr>
        <w:spacing w:after="0" w:line="106"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Our board of directors initially adopted an annual bonus plan for calendar year 2020 with target bonuses to be earned based on achievement of both first half and whole year goals. Due to challenges presented to the business by COVID-19, the first half goals were not achieved and in August 2020 the Compensation Committee modified the 2020 Bonus Plan to provide for the potential to earn the full amount of the annual bonus awards based on achievement of revised goals in the second half of 2020; this revised approach is described below. Our NEOs were all participants in the 2020 Bonus Plan. The 2020 Bonus Plan provided for non-equity incentive compensation based upon the combined achievement of individual and corporate performance goals over the second half of calendar year 2020. The corporate performance goal under the 2020 Bonus Plan was based on revenue attainment versus a target.</w:t>
      </w:r>
    </w:p>
    <w:p>
      <w:pPr>
        <w:spacing w:after="0" w:line="181" w:lineRule="exact"/>
        <w:rPr>
          <w:sz w:val="20"/>
          <w:szCs w:val="20"/>
          <w:color w:val="auto"/>
        </w:rPr>
      </w:pPr>
    </w:p>
    <w:p>
      <w:pPr>
        <w:ind w:left="800" w:right="20" w:firstLine="482"/>
        <w:spacing w:after="0" w:line="258" w:lineRule="auto"/>
        <w:rPr>
          <w:sz w:val="20"/>
          <w:szCs w:val="20"/>
          <w:color w:val="auto"/>
        </w:rPr>
      </w:pPr>
      <w:r>
        <w:rPr>
          <w:rFonts w:ascii="Arial" w:cs="Arial" w:eastAsia="Arial" w:hAnsi="Arial"/>
          <w:sz w:val="15"/>
          <w:szCs w:val="15"/>
          <w:color w:val="auto"/>
        </w:rPr>
        <w:t>Under the 2020 Bonus Plan, bonus payments were determined by multiplying each participant’s target bonus by (i) a factor determined by individual performance, capped at 170%, and (ii) a factor determined by the achievement of the corporate performance goals as discussed below, capped at 100%. We refer to the attainment of such factors as individual and corporate multipliers, respectively.</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440"/>
          </w:cols>
          <w:pgMar w:left="320" w:top="419" w:right="113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firstLine="482"/>
        <w:spacing w:after="0" w:line="236" w:lineRule="auto"/>
        <w:rPr>
          <w:sz w:val="20"/>
          <w:szCs w:val="20"/>
          <w:color w:val="auto"/>
        </w:rPr>
      </w:pPr>
      <w:r>
        <w:rPr>
          <w:rFonts w:ascii="Arial" w:cs="Arial" w:eastAsia="Arial" w:hAnsi="Arial"/>
          <w:sz w:val="16"/>
          <w:szCs w:val="16"/>
          <w:color w:val="auto"/>
        </w:rPr>
        <w:t>The individual multiplier was based on achievement of individual goals over calendar year 2020. The individual multiplier scaled from 0% to 170% depending on our assessment of individual performance; each of our named executive officers was determined to have performed at a level that resulted in 170% achievement.</w:t>
      </w:r>
    </w:p>
    <w:p>
      <w:pPr>
        <w:spacing w:after="0" w:line="179" w:lineRule="exact"/>
        <w:rPr>
          <w:sz w:val="20"/>
          <w:szCs w:val="20"/>
          <w:color w:val="auto"/>
        </w:rPr>
      </w:pPr>
    </w:p>
    <w:p>
      <w:pPr>
        <w:ind w:left="800" w:right="180" w:firstLine="482"/>
        <w:spacing w:after="0" w:line="234" w:lineRule="auto"/>
        <w:rPr>
          <w:sz w:val="20"/>
          <w:szCs w:val="20"/>
          <w:color w:val="auto"/>
        </w:rPr>
      </w:pPr>
      <w:r>
        <w:rPr>
          <w:rFonts w:ascii="Arial" w:cs="Arial" w:eastAsia="Arial" w:hAnsi="Arial"/>
          <w:sz w:val="16"/>
          <w:szCs w:val="16"/>
          <w:color w:val="auto"/>
        </w:rPr>
        <w:t>The corporate multiplier was based on the achievement of revenue attainment goals for the second half of calendar year 2020. Achievement started at 0% for attainment below approximately 76% of the revised second half 2020 target, scaling linearly to 50% achievement at 100% of the revised second half 2020 target, and then scaling linearly to 100% achievement at or above approximately 132% of the revised second half 2020 target. In January 2021, our compensation committee reviewed achievement of approximately 153% of the second half 2020 target and approved a corporate multiplier of 100%.</w:t>
      </w:r>
    </w:p>
    <w:p>
      <w:pPr>
        <w:spacing w:after="0" w:line="17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2020 Bonus Plan required a participant’s continued employment through the bonus payment date in order to receive a bonus payment for the applicable performance period.</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401(k) Plan</w:t>
      </w:r>
    </w:p>
    <w:p>
      <w:pPr>
        <w:spacing w:after="0" w:line="106"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We maintain a 401(k) plan for employees. The 401(k) is intended to qualify under Section 401(k) of the Code, so that contributions to the 401(k) plan by employees or by us, and the investment earnings thereon, are not taxable to the employees until withdrawn, and so that contributions made by us, if any, will be deductible by us when made. Employees may elect to reduce their current compensation by up to the statutorily prescribed annual limits and to have the amount of such reduction contributed to their 401(k) plans. The 401(k) plan permits us to make contributions up to the limits allowed by law on behalf of all eligible employees.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Employee Incentive Compensation Plan</w:t>
      </w:r>
    </w:p>
    <w:p>
      <w:pPr>
        <w:spacing w:after="0" w:line="106" w:lineRule="exact"/>
        <w:rPr>
          <w:sz w:val="20"/>
          <w:szCs w:val="20"/>
          <w:color w:val="auto"/>
        </w:rPr>
      </w:pPr>
    </w:p>
    <w:p>
      <w:pPr>
        <w:ind w:left="800" w:right="520" w:firstLine="482"/>
        <w:spacing w:after="0" w:line="236" w:lineRule="auto"/>
        <w:rPr>
          <w:sz w:val="20"/>
          <w:szCs w:val="20"/>
          <w:color w:val="auto"/>
        </w:rPr>
      </w:pPr>
      <w:r>
        <w:rPr>
          <w:rFonts w:ascii="Arial" w:cs="Arial" w:eastAsia="Arial" w:hAnsi="Arial"/>
          <w:sz w:val="16"/>
          <w:szCs w:val="16"/>
          <w:color w:val="auto"/>
        </w:rPr>
        <w:t>In October 2020, our board of directors approved our Employee Incentive Compensation Plan, or Master Bonus Plan which became effective on the date it was approved. Messrs. Girouard, Datta and Gu are participants in the Master Bonus Plan, bonus payments under the 2020 Bonus Plan were paid pursuant to the Master Bonus Plan.</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board of directors or a committee appointed by our board of directors administers the Master Bonus Plan, provided that unless and until our board of directors determines otherwise, our compensation committee will administer the Master Bonus Plan. The Master Bonus Plan allows the administrator to provide awards to employees selected for participation, who may include our named executive officers, which awards may be based upon performance goals established by the administrator. The administrator, in its sole discretion, may establish a target award for each participant under the Master Bonus Plan, which may be expressed as a percentage of the participant’s average annual base salary for the applicable performance period, a fixed dollar amount, or such other amount or based on such other formula as the administrator determines to be appropriate.</w:t>
      </w:r>
    </w:p>
    <w:p>
      <w:pPr>
        <w:spacing w:after="0" w:line="181"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Under the Master Bonus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380"/>
          </w:cols>
          <w:pgMar w:left="320" w:top="419" w:right="119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46" w:lineRule="auto"/>
        <w:rPr>
          <w:sz w:val="20"/>
          <w:szCs w:val="20"/>
          <w:color w:val="auto"/>
        </w:rPr>
      </w:pPr>
      <w:r>
        <w:rPr>
          <w:rFonts w:ascii="Arial" w:cs="Arial" w:eastAsia="Arial" w:hAnsi="Arial"/>
          <w:sz w:val="15"/>
          <w:szCs w:val="15"/>
          <w:color w:val="auto"/>
        </w:rPr>
        <w:t>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loans and loan originations; and individual objectives such as peer reviews or other subjective or objective criteria. As determined by the administrator, the performance goals may be based on GAAP or non GAAP results and any actual results may be adjusted by the administrator for one-time items or unbudgeted or unexpected items and/or payments of awards under the Master Bonus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w:t>
      </w:r>
    </w:p>
    <w:p>
      <w:pPr>
        <w:spacing w:after="0" w:line="9" w:lineRule="exact"/>
        <w:rPr>
          <w:sz w:val="20"/>
          <w:szCs w:val="20"/>
          <w:color w:val="auto"/>
        </w:rPr>
      </w:pPr>
    </w:p>
    <w:p>
      <w:pPr>
        <w:ind w:left="800" w:right="100" w:hanging="1"/>
        <w:spacing w:after="0" w:line="233" w:lineRule="auto"/>
        <w:tabs>
          <w:tab w:leader="none" w:pos="10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relative terms (including, but not limited to, results for other periods, passage of time and/or against another company or companies or an index or indices), (d) on a per-share basis, (e) against our performance as a whole or a segment and/or (f) on a pre-tax or after-tax basis. The performance goals may differ from participant to participant and from award to award. Failure to meet the applicable performance goals will result in a failure to earn the target award, subject to the administrator’s discretion to modify an award. The administrator also may determine that a target award (or portion thereof) will not have a performance goal associated with it but instead will be granted (if at all) as determined by the administrator.</w:t>
      </w:r>
    </w:p>
    <w:p>
      <w:pPr>
        <w:spacing w:after="0" w:line="182"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Actual awards under the Master Bonus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administrator, to earn an actual award, a participant must be employed by us (or an affiliate of us, as applicable) through the date the bonus is paid. Payment of bonuses occurs as soon as administratively practicable after the end of the applicable performance period, but in no case after the later of (i) the 15th day of the third month of the fiscal year immediately following the fiscal year in which the bonuses vest and (ii) March 15 of the calendar year immediately following the calendar year in which the bonuses vest.</w:t>
      </w:r>
    </w:p>
    <w:p>
      <w:pPr>
        <w:spacing w:after="0" w:line="179"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Awards under our Master Bonus Plan will be subject to reduction, cancellation, forfeiture, or recoupment in accordance with any clawback policy that we adopt pursuant to the listing standards of any national securities exchange or association on which our securities are listed or as is otherwise required by the Dodd-Frank Wall Street Reform and Consumer Protection Act or other applicable laws. In addition, the administrator may impose such other clawback, recovery or recoupment provisions with</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440"/>
          </w:cols>
          <w:pgMar w:left="320" w:top="419" w:right="113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8" w:lineRule="auto"/>
        <w:rPr>
          <w:sz w:val="20"/>
          <w:szCs w:val="20"/>
          <w:color w:val="auto"/>
        </w:rPr>
      </w:pPr>
      <w:r>
        <w:rPr>
          <w:rFonts w:ascii="Arial" w:cs="Arial" w:eastAsia="Arial" w:hAnsi="Arial"/>
          <w:sz w:val="16"/>
          <w:szCs w:val="16"/>
          <w:color w:val="auto"/>
        </w:rPr>
        <w:t>respect to an award under the Master Bonus Plan as the administrator determines necessary or appropriate, including without limitation a reacquisition right in respect of previously acquired cash, stock, or other property provided with respect to an award.</w:t>
      </w:r>
    </w:p>
    <w:p>
      <w:pPr>
        <w:spacing w:after="0" w:line="179" w:lineRule="exact"/>
        <w:rPr>
          <w:sz w:val="20"/>
          <w:szCs w:val="20"/>
          <w:color w:val="auto"/>
        </w:rPr>
      </w:pPr>
    </w:p>
    <w:p>
      <w:pPr>
        <w:ind w:left="800" w:right="160" w:firstLine="482"/>
        <w:spacing w:after="0" w:line="236" w:lineRule="auto"/>
        <w:rPr>
          <w:sz w:val="20"/>
          <w:szCs w:val="20"/>
          <w:color w:val="auto"/>
        </w:rPr>
      </w:pPr>
      <w:r>
        <w:rPr>
          <w:rFonts w:ascii="Arial" w:cs="Arial" w:eastAsia="Arial" w:hAnsi="Arial"/>
          <w:sz w:val="16"/>
          <w:szCs w:val="16"/>
          <w:color w:val="auto"/>
        </w:rPr>
        <w:t>The administrator will have the authority to amend or terminate the Master Bonus Plan. However, such action may not materially alter or materially impair the existing rights of any participant with respect to any earned bonus without the participant’s consent. The Master Bonus Plan will remain in effect until terminated in accordance with the terms of the Master Bonus Plan.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360"/>
          </w:cols>
          <w:pgMar w:left="320" w:top="420" w:right="121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203" w:lineRule="exact"/>
        <w:rPr>
          <w:sz w:val="20"/>
          <w:szCs w:val="20"/>
          <w:color w:val="auto"/>
        </w:rPr>
      </w:pPr>
    </w:p>
    <w:p>
      <w:pPr>
        <w:ind w:left="800" w:right="560" w:firstLine="482"/>
        <w:spacing w:after="0" w:line="236" w:lineRule="auto"/>
        <w:rPr>
          <w:sz w:val="20"/>
          <w:szCs w:val="20"/>
          <w:color w:val="auto"/>
        </w:rPr>
      </w:pPr>
      <w:r>
        <w:rPr>
          <w:rFonts w:ascii="Arial" w:cs="Arial" w:eastAsia="Arial" w:hAnsi="Arial"/>
          <w:sz w:val="16"/>
          <w:szCs w:val="16"/>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2018 and each currently proposed transaction in which:</w:t>
      </w:r>
    </w:p>
    <w:p>
      <w:pPr>
        <w:spacing w:after="0" w:line="96" w:lineRule="exact"/>
        <w:rPr>
          <w:sz w:val="20"/>
          <w:szCs w:val="20"/>
          <w:color w:val="auto"/>
        </w:rPr>
      </w:pPr>
    </w:p>
    <w:p>
      <w:pPr>
        <w:ind w:left="1460" w:hanging="188"/>
        <w:spacing w:after="0"/>
        <w:tabs>
          <w:tab w:leader="none" w:pos="1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amount involved exceeded or exceeds $120,000; and</w:t>
      </w:r>
    </w:p>
    <w:p>
      <w:pPr>
        <w:spacing w:after="0" w:line="99" w:lineRule="exact"/>
        <w:rPr>
          <w:rFonts w:ascii="Arial" w:cs="Arial" w:eastAsia="Arial" w:hAnsi="Arial"/>
          <w:sz w:val="16"/>
          <w:szCs w:val="16"/>
          <w:color w:val="auto"/>
        </w:rPr>
      </w:pPr>
    </w:p>
    <w:p>
      <w:pPr>
        <w:ind w:left="1460" w:right="20" w:hanging="188"/>
        <w:spacing w:after="0" w:line="236" w:lineRule="auto"/>
        <w:tabs>
          <w:tab w:leader="none" w:pos="1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3"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Equity Financings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Series D Convertible Preferred Stock Financing</w:t>
      </w:r>
    </w:p>
    <w:p>
      <w:pPr>
        <w:spacing w:after="0" w:line="106"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From December 2018 to April 2019, we sold an aggregate of 6,010,911 shares of our Series D convertible preferred stock at a purchase price of $9.000295 per share, for an aggregate purchase price of $54.1 million. The following table summarizes purchases of our Series D convertible preferred stock by related persons: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Shares of</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6"/>
              </w:rPr>
              <w:t>Series 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7"/>
              </w:rPr>
              <w:t>Convertible</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 w:type="dxa"/>
            <w:vAlign w:val="bottom"/>
            <w:vMerge w:val="restart"/>
          </w:tcPr>
          <w:p>
            <w:pPr>
              <w:spacing w:after="0"/>
              <w:rPr>
                <w:sz w:val="20"/>
                <w:szCs w:val="20"/>
                <w:color w:val="auto"/>
              </w:rPr>
            </w:pPr>
            <w:r>
              <w:rPr>
                <w:rFonts w:ascii="Arial" w:cs="Arial" w:eastAsia="Arial" w:hAnsi="Arial"/>
                <w:sz w:val="13"/>
                <w:szCs w:val="13"/>
                <w:b w:val="1"/>
                <w:bCs w:val="1"/>
                <w:color w:val="auto"/>
                <w:w w:val="95"/>
              </w:rPr>
              <w:t>Stockholder</w:t>
            </w:r>
          </w:p>
        </w:tc>
        <w:tc>
          <w:tcPr>
            <w:tcW w:w="6480" w:type="dxa"/>
            <w:vAlign w:val="bottom"/>
            <w:vMerge w:val="restart"/>
          </w:tcPr>
          <w:p>
            <w:pPr>
              <w:spacing w:after="0"/>
              <w:rPr>
                <w:sz w:val="12"/>
                <w:szCs w:val="12"/>
                <w:color w:val="auto"/>
              </w:rPr>
            </w:pPr>
          </w:p>
        </w:tc>
        <w:tc>
          <w:tcPr>
            <w:tcW w:w="10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Preferred</w:t>
            </w: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4"/>
              </w:rPr>
              <w:t>Total Purchase</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61"/>
        </w:trPr>
        <w:tc>
          <w:tcPr>
            <w:tcW w:w="722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Entities affiliated with Andrew Quigg</w:t>
            </w:r>
            <w:r>
              <w:rPr>
                <w:rFonts w:ascii="Arial" w:cs="Arial" w:eastAsia="Arial" w:hAnsi="Arial"/>
                <w:sz w:val="13"/>
                <w:szCs w:val="13"/>
                <w:color w:val="auto"/>
              </w:rPr>
              <w:t>(1)</w:t>
            </w:r>
          </w:p>
        </w:tc>
        <w:tc>
          <w:tcPr>
            <w:tcW w:w="9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3,011,011</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27,099,987.26</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50" w:lineRule="exact"/>
        <w:rPr>
          <w:sz w:val="20"/>
          <w:szCs w:val="20"/>
          <w:color w:val="auto"/>
        </w:rPr>
      </w:pPr>
    </w:p>
    <w:p>
      <w:pPr>
        <w:ind w:left="1280" w:right="100" w:hanging="481"/>
        <w:spacing w:after="0" w:line="236"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Shares purchased by Progressive Investment Company, Inc. Andrew Quigg, a former member of our board of directors, is the Chief Strategy Officer of Progressive Insurance, an affiliate of Progressive Investment Company, Inc.</w:t>
      </w:r>
    </w:p>
    <w:p>
      <w:pPr>
        <w:spacing w:after="0" w:line="249"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Investors’ Rights Agreement</w:t>
      </w:r>
    </w:p>
    <w:p>
      <w:pPr>
        <w:spacing w:after="0" w:line="203"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We are party to the IRA, which provides, among other things, that certain holders of our capital stock, including entities affiliated with Third Point Ventures LLC, or Third Point, Stone Ridge Trust V, Khosla Ventures, Rakuten, First Round Capital and Progressive have the right to demand that we file a registration statement or request that their shares of our capital stock be covered by a registration statement that we are otherwise filing. Entities affiliated with Dave Girouard, our co-founder, chief executive officer and a member of our board of directors, are party to the IRA. Robert Schwartz, a member of our board of directors, is affiliated with Third Point. Oskar Mielczarek de la Miel, a member of our board of directors, is affiliated with Rakuten. Andrew Quigg, a former member of our board of directors, is affiliated with Progressive. See the section titled “Description of Capital Stock—Registration Rights” for additional information regarding these registration rights.</w:t>
      </w:r>
    </w:p>
    <w:p>
      <w:pPr>
        <w:spacing w:after="0" w:line="25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Right of First Refusal</w:t>
      </w:r>
    </w:p>
    <w:p>
      <w:pPr>
        <w:spacing w:after="0" w:line="203"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Pursuant to certain of our equity compensation plans and certain agreements with our stockholders, including an amended and restated right of first refusal and co-sale agreement, dated as of December 31, 2018, we or our assignees have a right to purchase shares of our capital stock which stockholders propose to sell to other parties. This right terminated upon completion of our IPO. Dave Girouard, our co-founder, chief executive officer and a member of our board of directors, and entities affiliated with Third Point, Stone Ridge Trust V, Khosla Ventures, Rakuten, First Round Capital and</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440"/>
          </w:cols>
          <w:pgMar w:left="320" w:top="419" w:right="113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20"/>
        <w:spacing w:after="0" w:line="236" w:lineRule="auto"/>
        <w:rPr>
          <w:sz w:val="20"/>
          <w:szCs w:val="20"/>
          <w:color w:val="auto"/>
        </w:rPr>
      </w:pPr>
      <w:r>
        <w:rPr>
          <w:rFonts w:ascii="Arial" w:cs="Arial" w:eastAsia="Arial" w:hAnsi="Arial"/>
          <w:sz w:val="16"/>
          <w:szCs w:val="16"/>
          <w:color w:val="auto"/>
        </w:rPr>
        <w:t>Progressive are party to the right of first refusal and co-sale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53"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Transactions with Stone Ridge and Affiliated Entities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Convertible Promissory Notes</w:t>
      </w:r>
    </w:p>
    <w:p>
      <w:pPr>
        <w:spacing w:after="0" w:line="106" w:lineRule="exact"/>
        <w:rPr>
          <w:sz w:val="20"/>
          <w:szCs w:val="20"/>
          <w:color w:val="auto"/>
        </w:rPr>
      </w:pPr>
    </w:p>
    <w:p>
      <w:pPr>
        <w:ind w:left="800" w:firstLine="482"/>
        <w:spacing w:after="0" w:line="254" w:lineRule="auto"/>
        <w:rPr>
          <w:sz w:val="20"/>
          <w:szCs w:val="20"/>
          <w:color w:val="auto"/>
        </w:rPr>
      </w:pPr>
      <w:r>
        <w:rPr>
          <w:rFonts w:ascii="Arial" w:cs="Arial" w:eastAsia="Arial" w:hAnsi="Arial"/>
          <w:sz w:val="15"/>
          <w:szCs w:val="15"/>
          <w:color w:val="auto"/>
        </w:rPr>
        <w:t>In September and October 2017, we issued two subordinated convertible promissory notes to Stone Ridge Trust V. Each of the notes had an aggregate principal amount of $5.0 million, an interest rate of 8% per annum and a maturity date of June 30, 2018. On June 30, 2018, the outstanding principal and accrued and unpaid interest of $10.6 million on the notes were converted into 2,932,657 shares of Series C-1 convertible preferred stock at a per share price of $3.612, equal to the issue price in the Series C-1 financing round.</w:t>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Warrants</w:t>
      </w:r>
    </w:p>
    <w:p>
      <w:pPr>
        <w:spacing w:after="0" w:line="106"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In September and October 2017, we issued two preferred stock purchase warrants to Stone Ridge Trust V in connection with the convertible promissory notes described above. These warrants entitled Stone Ridge Trust V to purchase up to 415,234 shares of Series C-1 convertible preferred stock for a total of $1.5 million. On June 30, 2018, each of the warrants were cancelled when the convertible promissory notes converted into shares of Series C-1 convertible preferred stock.</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Whole Loan Purchases</w:t>
      </w:r>
    </w:p>
    <w:p>
      <w:pPr>
        <w:spacing w:after="0" w:line="106" w:lineRule="exact"/>
        <w:rPr>
          <w:sz w:val="20"/>
          <w:szCs w:val="20"/>
          <w:color w:val="auto"/>
        </w:rPr>
      </w:pPr>
    </w:p>
    <w:p>
      <w:pPr>
        <w:ind w:left="800" w:right="600" w:firstLine="482"/>
        <w:spacing w:after="0" w:line="238" w:lineRule="auto"/>
        <w:rPr>
          <w:sz w:val="20"/>
          <w:szCs w:val="20"/>
          <w:color w:val="auto"/>
        </w:rPr>
      </w:pPr>
      <w:r>
        <w:rPr>
          <w:rFonts w:ascii="Arial" w:cs="Arial" w:eastAsia="Arial" w:hAnsi="Arial"/>
          <w:sz w:val="16"/>
          <w:szCs w:val="16"/>
          <w:color w:val="auto"/>
        </w:rPr>
        <w:t>Stone Ridge Trust V and certain affiliated entities purchased whole loans through our platform in the aggregate amount of $411.9 million, $173.2 million and $370.2 million in 2018, 2019 and 2020, respectively.</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Securitization Transactions</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As the sponsor of securitization transactions, we create several legal entities for the roles of depositors, issuers, and grantor trusts and majority-owned affiliates, or MOAs, for each securitization transaction. Concurrently with the closing of the 2018-1 securitization transaction, we sold 80% of our ownership interests in the related MOAs to Stone Ridge Trust V in exchange for approximately $8.0 million. For more information about this transaction, see Note 3 to our consolidated financial statements.</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addition, Stone Ridge Trust V and certain affiliated entities also contributed approximately $100.1 million, $137.3 million and</w:t>
      </w:r>
    </w:p>
    <w:p>
      <w:pPr>
        <w:ind w:left="800"/>
        <w:spacing w:after="0"/>
        <w:rPr>
          <w:sz w:val="20"/>
          <w:szCs w:val="20"/>
          <w:color w:val="auto"/>
        </w:rPr>
      </w:pPr>
      <w:r>
        <w:rPr>
          <w:rFonts w:ascii="Arial" w:cs="Arial" w:eastAsia="Arial" w:hAnsi="Arial"/>
          <w:sz w:val="15"/>
          <w:szCs w:val="15"/>
          <w:color w:val="auto"/>
        </w:rPr>
        <w:t>$95.2 million in loans as collateral in private offering securitization transactions that we sponsored and serviced in 2018, 2019 and 2020,</w:t>
      </w:r>
    </w:p>
    <w:p>
      <w:pPr>
        <w:ind w:left="800"/>
        <w:spacing w:after="0" w:line="237" w:lineRule="auto"/>
        <w:rPr>
          <w:sz w:val="20"/>
          <w:szCs w:val="20"/>
          <w:color w:val="auto"/>
        </w:rPr>
      </w:pPr>
      <w:r>
        <w:rPr>
          <w:rFonts w:ascii="Arial" w:cs="Arial" w:eastAsia="Arial" w:hAnsi="Arial"/>
          <w:sz w:val="16"/>
          <w:szCs w:val="16"/>
          <w:color w:val="auto"/>
        </w:rPr>
        <w:t>respectively. In connection with these contributions, Stone Ridge Trust V and certain affiliated entities received approximately cash</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payments of $100.1 million, $138.5 million and $95.6 million in 2018, 2019, and 2020, respectively.</w:t>
      </w:r>
    </w:p>
    <w:p>
      <w:pPr>
        <w:spacing w:after="0" w:line="183"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As of December 31, 2018, 2019, and 2020, the balance of payable to securitization note holders and residual certificate holders due to Stone Ridge Trust V and certain affiliated entities was $22.4 million, $0 and $0, respectively.</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Servicing Fees</w:t>
      </w:r>
    </w:p>
    <w:p>
      <w:pPr>
        <w:spacing w:after="0" w:line="106" w:lineRule="exact"/>
        <w:rPr>
          <w:sz w:val="20"/>
          <w:szCs w:val="20"/>
          <w:color w:val="auto"/>
        </w:rPr>
      </w:pPr>
    </w:p>
    <w:p>
      <w:pPr>
        <w:jc w:val="both"/>
        <w:ind w:left="800" w:right="140" w:firstLine="482"/>
        <w:spacing w:after="0" w:line="236" w:lineRule="auto"/>
        <w:rPr>
          <w:sz w:val="20"/>
          <w:szCs w:val="20"/>
          <w:color w:val="auto"/>
        </w:rPr>
      </w:pPr>
      <w:r>
        <w:rPr>
          <w:rFonts w:ascii="Arial" w:cs="Arial" w:eastAsia="Arial" w:hAnsi="Arial"/>
          <w:sz w:val="16"/>
          <w:szCs w:val="16"/>
          <w:color w:val="auto"/>
        </w:rPr>
        <w:t>We are the servicer of certain loans purchased and held by Stone Ridge Trust V and certain affiliated entities. In 2018, 2019 and 2020, we received servicing fees in the amount of $2.1 million, $2.3 million and $1.5 million, respectively, from Stone Ridge Trust V and certain affiliated entities.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340"/>
          </w:cols>
          <w:pgMar w:left="320" w:top="420" w:right="123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Transactions with Third Point and Affiliated Entities</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Convertible Promissory Note</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September 2017, we issued a subordinated convertible promissory note to Third Point Ventures LLC. The note had an aggregate principal amount of $ 10.0 million, an interest rate of 8% per annum and a maturity date of June 30, 2018. On June 30, 2018, the outstanding principal and accrued and unpaid interest of $10.6 million on the note was converted into 2,938,725 shares of Series C-1 convertible preferred stock at a per share price of $3.612, equal to the issue price in the Series C-1 financing round.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Warrants</w:t>
      </w:r>
    </w:p>
    <w:p>
      <w:pPr>
        <w:spacing w:after="0" w:line="106"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In September 2017, we issued a preferred stock purchase warrant to Third Point Ventures LLC in connection with the convertible promissory notes described above. The warrant entitled Third Point Ventures LLC to purchase up to 415,234 shares of Series C-1 preferred stock for a total of $1.5 million. On June 30, 2018, the warrant was cancelled when the convertible promissory note converted into shares of Series C-1 convertible preferred stock.</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Pass-Through Certificates</w:t>
      </w:r>
    </w:p>
    <w:p>
      <w:pPr>
        <w:spacing w:after="0" w:line="106"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Certain entities affiliated with Third Point purchased approximately $219.4 million, and $454.0 million and $96.1 million in pass-through certificates backed by Upstart-powered loans in 2018, and 2019 and 2020, respectively, from a series trust affiliated with Jefferies LLC.</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Securitization Transactions</w:t>
      </w:r>
    </w:p>
    <w:p>
      <w:pPr>
        <w:spacing w:after="0" w:line="106"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In 2018, certain entities affiliated with Third Point purchased approximately $66.1 million of asset-backed securities in a private offering securitization transaction that we sponsored and serviced.</w:t>
      </w:r>
    </w:p>
    <w:p>
      <w:pPr>
        <w:spacing w:after="0" w:line="179"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In 2019 and 2020, certain entities affiliated with Third Point contributed approximately $340.6 million and $150.3 million, respectively, in loans as collateral in private offering securitization transactions that we sponsored and serviced through a series trust affiliated with Jefferies LLC and related entities. In connection with these contributions, certain entities affiliated with Third Point received approximately $53.5 million and $0 in asset-backed securities and cash payments of $306.9 million and $151.8 million.</w:t>
      </w:r>
    </w:p>
    <w:p>
      <w:pPr>
        <w:spacing w:after="0" w:line="178"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As of December 31, 2018, 2019 and 2020, the balance of payable to securitization note holders and residual certificate holders due to certain entities affiliated with Third Point was $61.4 million, and $41.3 million and $0, respectively.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440"/>
          </w:cols>
          <w:pgMar w:left="320" w:top="419" w:right="11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Other Transactions</w:t>
      </w:r>
    </w:p>
    <w:p>
      <w:pPr>
        <w:spacing w:after="0" w:line="20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2018, 2019 and 2020, certain of our executive officers and directors participated in Upstart’s platform by purchasing fractional interests in Upstart-powered loans from a sponsored trust entity. For more information about our fractional loan program, see Note 3 to our consolidated financial statements. The aggregate amount of the notes purchased and distributions received by such participating executive officers and directors are set forth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6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For the year ended December 31,</w:t>
            </w:r>
          </w:p>
        </w:tc>
        <w:tc>
          <w:tcPr>
            <w:tcW w:w="2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Executive</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b w:val="1"/>
                <w:bCs w:val="1"/>
                <w:color w:val="auto"/>
              </w:rPr>
              <w:t>Officers</w:t>
            </w:r>
          </w:p>
        </w:tc>
        <w:tc>
          <w:tcPr>
            <w:tcW w:w="280" w:type="dxa"/>
            <w:vAlign w:val="bottom"/>
          </w:tcPr>
          <w:p>
            <w:pPr>
              <w:spacing w:after="0"/>
              <w:rPr>
                <w:sz w:val="14"/>
                <w:szCs w:val="14"/>
                <w:color w:val="auto"/>
              </w:rPr>
            </w:pPr>
          </w:p>
        </w:tc>
        <w:tc>
          <w:tcPr>
            <w:tcW w:w="60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Directors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60" w:type="dxa"/>
            <w:vAlign w:val="bottom"/>
            <w:tcBorders>
              <w:top w:val="single" w:sz="8" w:color="auto"/>
            </w:tcBorders>
            <w:shd w:val="clear" w:color="auto" w:fill="CCEEFF"/>
          </w:tcPr>
          <w:p>
            <w:pPr>
              <w:spacing w:after="0" w:line="137" w:lineRule="exact"/>
              <w:rPr>
                <w:sz w:val="20"/>
                <w:szCs w:val="20"/>
                <w:color w:val="auto"/>
              </w:rPr>
            </w:pPr>
            <w:r>
              <w:rPr>
                <w:rFonts w:ascii="Arial" w:cs="Arial" w:eastAsia="Arial" w:hAnsi="Arial"/>
                <w:sz w:val="14"/>
                <w:szCs w:val="14"/>
                <w:b w:val="1"/>
                <w:bCs w:val="1"/>
                <w:color w:val="auto"/>
              </w:rPr>
              <w:t>2018</w:t>
            </w:r>
          </w:p>
        </w:tc>
        <w:tc>
          <w:tcPr>
            <w:tcW w:w="3700" w:type="dxa"/>
            <w:vAlign w:val="bottom"/>
            <w:tcBorders>
              <w:top w:val="single" w:sz="8" w:color="CCEEFF"/>
            </w:tcBorders>
            <w:shd w:val="clear" w:color="auto" w:fill="CCEEFF"/>
          </w:tcPr>
          <w:p>
            <w:pPr>
              <w:spacing w:after="0"/>
              <w:rPr>
                <w:sz w:val="11"/>
                <w:szCs w:val="11"/>
                <w:color w:val="auto"/>
              </w:rPr>
            </w:pPr>
          </w:p>
        </w:tc>
        <w:tc>
          <w:tcPr>
            <w:tcW w:w="2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680" w:type="dxa"/>
            <w:vAlign w:val="bottom"/>
            <w:gridSpan w:val="3"/>
          </w:tcPr>
          <w:p>
            <w:pPr>
              <w:spacing w:after="0"/>
              <w:rPr>
                <w:sz w:val="20"/>
                <w:szCs w:val="20"/>
                <w:color w:val="auto"/>
              </w:rPr>
            </w:pPr>
            <w:r>
              <w:rPr>
                <w:rFonts w:ascii="Arial" w:cs="Arial" w:eastAsia="Arial" w:hAnsi="Arial"/>
                <w:sz w:val="14"/>
                <w:szCs w:val="14"/>
                <w:color w:val="auto"/>
              </w:rPr>
              <w:t>Aggregate amount of loan-related securities purchased</w:t>
            </w:r>
          </w:p>
        </w:tc>
        <w:tc>
          <w:tcPr>
            <w:tcW w:w="2360" w:type="dxa"/>
            <w:vAlign w:val="bottom"/>
            <w:gridSpan w:val="2"/>
          </w:tcPr>
          <w:p>
            <w:pPr>
              <w:ind w:left="2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654</w:t>
            </w:r>
          </w:p>
        </w:tc>
        <w:tc>
          <w:tcPr>
            <w:tcW w:w="5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Distributions received</w:t>
            </w: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2,148</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98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370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Aggregate amount of loan-related securities purchased</w:t>
            </w:r>
          </w:p>
        </w:tc>
        <w:tc>
          <w:tcPr>
            <w:tcW w:w="2360" w:type="dxa"/>
            <w:vAlign w:val="bottom"/>
            <w:gridSpan w:val="2"/>
            <w:shd w:val="clear" w:color="auto" w:fill="CCEEFF"/>
          </w:tcPr>
          <w:p>
            <w:pPr>
              <w:ind w:left="2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680" w:type="dxa"/>
            <w:vAlign w:val="bottom"/>
            <w:gridSpan w:val="3"/>
          </w:tcPr>
          <w:p>
            <w:pPr>
              <w:spacing w:after="0"/>
              <w:rPr>
                <w:sz w:val="20"/>
                <w:szCs w:val="20"/>
                <w:color w:val="auto"/>
              </w:rPr>
            </w:pPr>
            <w:r>
              <w:rPr>
                <w:rFonts w:ascii="Arial" w:cs="Arial" w:eastAsia="Arial" w:hAnsi="Arial"/>
                <w:sz w:val="14"/>
                <w:szCs w:val="14"/>
                <w:color w:val="auto"/>
              </w:rPr>
              <w:t>Distributions received</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1,364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960" w:type="dxa"/>
            <w:vAlign w:val="bottom"/>
          </w:tcPr>
          <w:p>
            <w:pPr>
              <w:spacing w:after="0"/>
              <w:rPr>
                <w:sz w:val="7"/>
                <w:szCs w:val="7"/>
                <w:color w:val="auto"/>
              </w:rPr>
            </w:pPr>
          </w:p>
        </w:tc>
        <w:tc>
          <w:tcPr>
            <w:tcW w:w="37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2020</w:t>
            </w:r>
          </w:p>
        </w:tc>
        <w:tc>
          <w:tcPr>
            <w:tcW w:w="370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680" w:type="dxa"/>
            <w:vAlign w:val="bottom"/>
            <w:gridSpan w:val="3"/>
          </w:tcPr>
          <w:p>
            <w:pPr>
              <w:spacing w:after="0"/>
              <w:rPr>
                <w:sz w:val="20"/>
                <w:szCs w:val="20"/>
                <w:color w:val="auto"/>
              </w:rPr>
            </w:pPr>
            <w:r>
              <w:rPr>
                <w:rFonts w:ascii="Arial" w:cs="Arial" w:eastAsia="Arial" w:hAnsi="Arial"/>
                <w:sz w:val="14"/>
                <w:szCs w:val="14"/>
                <w:color w:val="auto"/>
              </w:rPr>
              <w:t>Aggregate amount of loan-related securities purchased</w:t>
            </w:r>
          </w:p>
        </w:tc>
        <w:tc>
          <w:tcPr>
            <w:tcW w:w="2360" w:type="dxa"/>
            <w:vAlign w:val="bottom"/>
            <w:gridSpan w:val="2"/>
          </w:tcPr>
          <w:p>
            <w:pPr>
              <w:ind w:left="2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Distributions received</w:t>
            </w:r>
          </w:p>
        </w:tc>
        <w:tc>
          <w:tcPr>
            <w:tcW w:w="2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781</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We have granted stock options to our executive officers and certain of our directors. See the sections titled “Executive Compensation—Outstanding Equity Awards at Year-End” and “Management—Non-Employee Director Compensation” for a description of these stock options.</w:t>
      </w:r>
    </w:p>
    <w:p>
      <w:pPr>
        <w:spacing w:after="0" w:line="179" w:lineRule="exact"/>
        <w:rPr>
          <w:sz w:val="20"/>
          <w:szCs w:val="20"/>
          <w:color w:val="auto"/>
        </w:rPr>
      </w:pPr>
    </w:p>
    <w:p>
      <w:pPr>
        <w:ind w:left="800" w:right="220" w:firstLine="482"/>
        <w:spacing w:after="0" w:line="236" w:lineRule="auto"/>
        <w:rPr>
          <w:sz w:val="20"/>
          <w:szCs w:val="20"/>
          <w:color w:val="auto"/>
        </w:rPr>
      </w:pPr>
      <w:r>
        <w:rPr>
          <w:rFonts w:ascii="Arial" w:cs="Arial" w:eastAsia="Arial" w:hAnsi="Arial"/>
          <w:sz w:val="16"/>
          <w:szCs w:val="16"/>
          <w:color w:val="auto"/>
        </w:rPr>
        <w:t>We have entered into employment agreement and offer letters with certain of our executive officers that provide for, among other things, certain severance and change in control benefits. See the section titled “Executive Compensation—Executive Employment Agreements” for additional information.</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2018, we have not entered into any transactions, nor are there any currently proposed transactions, between us and a related party where the amount involved exceeds, or would exceed, $ 120,000,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5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Limitation of Liability and Indemnification of Officers and Directors</w:t>
      </w:r>
    </w:p>
    <w:p>
      <w:pPr>
        <w:spacing w:after="0" w:line="203"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for liability for any:</w:t>
      </w:r>
    </w:p>
    <w:p>
      <w:pPr>
        <w:spacing w:after="0" w:line="96" w:lineRule="exact"/>
        <w:rPr>
          <w:sz w:val="20"/>
          <w:szCs w:val="20"/>
          <w:color w:val="auto"/>
        </w:rPr>
      </w:pPr>
    </w:p>
    <w:p>
      <w:pPr>
        <w:ind w:left="1460" w:hanging="188"/>
        <w:spacing w:after="0"/>
        <w:tabs>
          <w:tab w:leader="none" w:pos="1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breach of their duty of loyalty to our company or our stockholders;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act or omission not in good faith or that involves intentional misconduct or a knowing violation of law;</w:t>
      </w:r>
    </w:p>
    <w:p>
      <w:pPr>
        <w:spacing w:after="0" w:line="99" w:lineRule="exact"/>
        <w:rPr>
          <w:rFonts w:ascii="Arial" w:cs="Arial" w:eastAsia="Arial" w:hAnsi="Arial"/>
          <w:sz w:val="16"/>
          <w:szCs w:val="16"/>
          <w:color w:val="auto"/>
        </w:rPr>
      </w:pPr>
    </w:p>
    <w:p>
      <w:pPr>
        <w:ind w:left="1460" w:right="520" w:hanging="188"/>
        <w:spacing w:after="0" w:line="238" w:lineRule="auto"/>
        <w:tabs>
          <w:tab w:leader="none" w:pos="1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as provided in Section 174 of the Delaware General Corporation Law; or</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transaction from which they derived an improper personal benefit.</w:t>
      </w:r>
    </w:p>
    <w:p>
      <w:pPr>
        <w:spacing w:after="0" w:line="183" w:lineRule="exact"/>
        <w:rPr>
          <w:sz w:val="20"/>
          <w:szCs w:val="20"/>
          <w:color w:val="auto"/>
        </w:rPr>
      </w:pPr>
    </w:p>
    <w:p>
      <w:pPr>
        <w:ind w:left="800" w:right="260" w:firstLine="482"/>
        <w:spacing w:after="0" w:line="238"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440"/>
          </w:cols>
          <w:pgMar w:left="320" w:top="420" w:right="11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360"/>
        <w:spacing w:after="0" w:line="236" w:lineRule="auto"/>
        <w:rPr>
          <w:sz w:val="20"/>
          <w:szCs w:val="20"/>
          <w:color w:val="auto"/>
        </w:rPr>
      </w:pPr>
      <w:r>
        <w:rPr>
          <w:rFonts w:ascii="Arial" w:cs="Arial" w:eastAsia="Arial" w:hAnsi="Arial"/>
          <w:sz w:val="16"/>
          <w:szCs w:val="16"/>
          <w:color w:val="auto"/>
        </w:rPr>
        <w:t>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9"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9"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2"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5"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8" w:lineRule="exact"/>
        <w:rPr>
          <w:sz w:val="20"/>
          <w:szCs w:val="20"/>
          <w:color w:val="auto"/>
        </w:rPr>
      </w:pPr>
    </w:p>
    <w:p>
      <w:pPr>
        <w:ind w:left="800" w:right="420" w:firstLine="482"/>
        <w:spacing w:after="0" w:line="23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or indemnified against certain liabilities incurred in their capacity as members of our board of directors.</w:t>
      </w:r>
    </w:p>
    <w:p>
      <w:pPr>
        <w:spacing w:after="0" w:line="179" w:lineRule="exact"/>
        <w:rPr>
          <w:sz w:val="20"/>
          <w:szCs w:val="20"/>
          <w:color w:val="auto"/>
        </w:rPr>
      </w:pPr>
    </w:p>
    <w:p>
      <w:pPr>
        <w:ind w:left="800" w:right="280" w:firstLine="482"/>
        <w:spacing w:after="0" w:line="238" w:lineRule="auto"/>
        <w:rPr>
          <w:sz w:val="20"/>
          <w:szCs w:val="20"/>
          <w:color w:val="auto"/>
        </w:rPr>
      </w:pPr>
      <w:r>
        <w:rPr>
          <w:rFonts w:ascii="Arial" w:cs="Arial" w:eastAsia="Arial" w:hAnsi="Arial"/>
          <w:sz w:val="16"/>
          <w:szCs w:val="16"/>
          <w:color w:val="auto"/>
        </w:rPr>
        <w:t>The underwriting agreement related to this offering will provide for indemnification by the underwriters of us and our officers and directors for certain liabilities arising under the Securities Act or otherwise.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440"/>
          </w:cols>
          <w:pgMar w:left="320" w:top="419" w:right="113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53"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Policies and Procedures for Related Party Transactions</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Our audit committee has the primary responsibility for reviewing and approving or disapproving “related party transactions,” which</w:t>
      </w:r>
    </w:p>
    <w:p>
      <w:pPr>
        <w:ind w:left="800"/>
        <w:spacing w:after="0" w:line="237" w:lineRule="auto"/>
        <w:rPr>
          <w:sz w:val="20"/>
          <w:szCs w:val="20"/>
          <w:color w:val="auto"/>
        </w:rPr>
      </w:pPr>
      <w:r>
        <w:rPr>
          <w:rFonts w:ascii="Arial" w:cs="Arial" w:eastAsia="Arial" w:hAnsi="Arial"/>
          <w:sz w:val="16"/>
          <w:szCs w:val="16"/>
          <w:color w:val="auto"/>
        </w:rPr>
        <w:t>are transactions between us and related persons in which the aggregate amount involved exceeds or may be expected to exceed</w:t>
      </w:r>
    </w:p>
    <w:p>
      <w:pPr>
        <w:ind w:left="800"/>
        <w:spacing w:after="0" w:line="232" w:lineRule="auto"/>
        <w:rPr>
          <w:sz w:val="20"/>
          <w:szCs w:val="20"/>
          <w:color w:val="auto"/>
        </w:rPr>
      </w:pPr>
      <w:r>
        <w:rPr>
          <w:rFonts w:ascii="Arial" w:cs="Arial" w:eastAsia="Arial" w:hAnsi="Arial"/>
          <w:sz w:val="16"/>
          <w:szCs w:val="16"/>
          <w:color w:val="auto"/>
        </w:rPr>
        <w:t>$120,000 and in which a related person has or will have a direct or indirect material interest. Our written policy regarding transactions</w:t>
      </w:r>
    </w:p>
    <w:p>
      <w:pPr>
        <w:ind w:left="800"/>
        <w:spacing w:after="0"/>
        <w:rPr>
          <w:sz w:val="20"/>
          <w:szCs w:val="20"/>
          <w:color w:val="auto"/>
        </w:rPr>
      </w:pPr>
      <w:r>
        <w:rPr>
          <w:rFonts w:ascii="Arial" w:cs="Arial" w:eastAsia="Arial" w:hAnsi="Arial"/>
          <w:sz w:val="15"/>
          <w:szCs w:val="15"/>
          <w:color w:val="auto"/>
        </w:rPr>
        <w:t>between us and related persons provides that a related person is defined as a director, executive officer, nominee for director, or greater</w:t>
      </w:r>
    </w:p>
    <w:p>
      <w:pPr>
        <w:ind w:left="800"/>
        <w:spacing w:after="0" w:line="237" w:lineRule="auto"/>
        <w:rPr>
          <w:sz w:val="20"/>
          <w:szCs w:val="20"/>
          <w:color w:val="auto"/>
        </w:rPr>
      </w:pPr>
      <w:r>
        <w:rPr>
          <w:rFonts w:ascii="Arial" w:cs="Arial" w:eastAsia="Arial" w:hAnsi="Arial"/>
          <w:sz w:val="16"/>
          <w:szCs w:val="16"/>
          <w:color w:val="auto"/>
        </w:rPr>
        <w:t>than 5% beneficial owner of our common stock, in each case since the beginning of the most recently completed year, and any of their</w:t>
      </w:r>
    </w:p>
    <w:p>
      <w:pPr>
        <w:ind w:left="800"/>
        <w:spacing w:after="0" w:line="232" w:lineRule="auto"/>
        <w:rPr>
          <w:sz w:val="20"/>
          <w:szCs w:val="20"/>
          <w:color w:val="auto"/>
        </w:rPr>
      </w:pPr>
      <w:r>
        <w:rPr>
          <w:rFonts w:ascii="Arial" w:cs="Arial" w:eastAsia="Arial" w:hAnsi="Arial"/>
          <w:sz w:val="16"/>
          <w:szCs w:val="16"/>
          <w:color w:val="auto"/>
        </w:rPr>
        <w:t>immediate family members. Our audit committee charter provides that our audit committee shall review and approve or disapprove any</w:t>
      </w:r>
    </w:p>
    <w:p>
      <w:pPr>
        <w:ind w:left="800"/>
        <w:spacing w:after="0"/>
        <w:rPr>
          <w:sz w:val="20"/>
          <w:szCs w:val="20"/>
          <w:color w:val="auto"/>
        </w:rPr>
      </w:pPr>
      <w:r>
        <w:rPr>
          <w:rFonts w:ascii="Arial" w:cs="Arial" w:eastAsia="Arial" w:hAnsi="Arial"/>
          <w:sz w:val="16"/>
          <w:szCs w:val="16"/>
          <w:color w:val="auto"/>
        </w:rPr>
        <w:t>related party transactions.</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380"/>
          </w:cols>
          <w:pgMar w:left="320" w:top="420" w:right="119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PRINCIPAL STOCKHOLDERS</w:t>
      </w:r>
    </w:p>
    <w:p>
      <w:pPr>
        <w:spacing w:after="0" w:line="203"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capital stock as of March 15, 2021, and as adjusted to reflect the sale of our common stock in this offering assuming no exercise of the underwriters’ option to purchase additional shares of our common stock, for:</w:t>
      </w:r>
    </w:p>
    <w:p>
      <w:pPr>
        <w:spacing w:after="0" w:line="96" w:lineRule="exact"/>
        <w:rPr>
          <w:sz w:val="20"/>
          <w:szCs w:val="20"/>
          <w:color w:val="auto"/>
        </w:rPr>
      </w:pPr>
    </w:p>
    <w:p>
      <w:pPr>
        <w:ind w:left="1460" w:hanging="188"/>
        <w:spacing w:after="0"/>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of our directors;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 and</w:t>
      </w:r>
    </w:p>
    <w:p>
      <w:pPr>
        <w:spacing w:after="0" w:line="99" w:lineRule="exact"/>
        <w:rPr>
          <w:rFonts w:ascii="Arial" w:cs="Arial" w:eastAsia="Arial" w:hAnsi="Arial"/>
          <w:sz w:val="16"/>
          <w:szCs w:val="16"/>
          <w:color w:val="auto"/>
        </w:rPr>
      </w:pPr>
    </w:p>
    <w:p>
      <w:pPr>
        <w:ind w:left="1460" w:right="40" w:hanging="188"/>
        <w:spacing w:after="0" w:line="238" w:lineRule="auto"/>
        <w:tabs>
          <w:tab w:leader="none" w:pos="1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person or group of affiliated persons, known by us to be the beneficial owner of more than 5% of the outstanding shares of our common stock.</w:t>
      </w:r>
    </w:p>
    <w:p>
      <w:pPr>
        <w:spacing w:after="0" w:line="179"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have based our calculation of the percentage of beneficial ownership prior to this offering on 73,887,420 shares of our common stock outstanding as of March 15, 2021. We have based our calculation of the percentage of beneficial ownership after this offering on 2,000,000 shares of our common stock issued by us in our public offering and 75,887,420 shares of common stock outstanding immediately after the completion of this offering, assuming that the underwriters will not exercise their option to purchase up to an additional 300,000 shares of our common stock from us. We have deemed shares of our common stock subject to stock options that are currently exercisable or exercisable within 60 days of March 15,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9" w:lineRule="exact"/>
        <w:rPr>
          <w:sz w:val="20"/>
          <w:szCs w:val="20"/>
          <w:color w:val="auto"/>
        </w:rPr>
      </w:pPr>
    </w:p>
    <w:p>
      <w:pPr>
        <w:ind w:left="800" w:right="900" w:firstLine="482"/>
        <w:spacing w:after="0" w:line="238" w:lineRule="auto"/>
        <w:rPr>
          <w:sz w:val="20"/>
          <w:szCs w:val="20"/>
          <w:color w:val="auto"/>
        </w:rPr>
      </w:pPr>
      <w:r>
        <w:rPr>
          <w:rFonts w:ascii="Arial" w:cs="Arial" w:eastAsia="Arial" w:hAnsi="Arial"/>
          <w:sz w:val="16"/>
          <w:szCs w:val="16"/>
          <w:color w:val="auto"/>
        </w:rPr>
        <w:t>Unless otherwise indicated, the address of each beneficial owner listed in the table below is c/o Upstart Holdings, Inc., 2950 S. Delaware Street, Suite 300, San Mateo, California 94403.</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400"/>
          </w:cols>
          <w:pgMar w:left="320" w:top="419" w:right="117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54"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gridSpan w:val="4"/>
          </w:tcPr>
          <w:p>
            <w:pPr>
              <w:jc w:val="right"/>
              <w:ind w:right="300"/>
              <w:spacing w:after="0"/>
              <w:rPr>
                <w:sz w:val="20"/>
                <w:szCs w:val="20"/>
                <w:color w:val="auto"/>
              </w:rPr>
            </w:pPr>
            <w:r>
              <w:rPr>
                <w:rFonts w:ascii="Arial" w:cs="Arial" w:eastAsia="Arial" w:hAnsi="Arial"/>
                <w:sz w:val="11"/>
                <w:szCs w:val="11"/>
                <w:b w:val="1"/>
                <w:bCs w:val="1"/>
                <w:color w:val="auto"/>
              </w:rPr>
              <w:t>Percentage of Shares</w:t>
            </w:r>
          </w:p>
        </w:tc>
        <w:tc>
          <w:tcPr>
            <w:tcW w:w="0" w:type="dxa"/>
            <w:vAlign w:val="bottom"/>
          </w:tcPr>
          <w:p>
            <w:pPr>
              <w:spacing w:after="0"/>
              <w:rPr>
                <w:sz w:val="1"/>
                <w:szCs w:val="1"/>
                <w:color w:val="auto"/>
              </w:rPr>
            </w:pPr>
          </w:p>
        </w:tc>
      </w:tr>
      <w:tr>
        <w:trPr>
          <w:trHeight w:val="138"/>
        </w:trPr>
        <w:tc>
          <w:tcPr>
            <w:tcW w:w="138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1"/>
                <w:szCs w:val="11"/>
                <w:b w:val="1"/>
                <w:bCs w:val="1"/>
                <w:color w:val="auto"/>
                <w:w w:val="98"/>
              </w:rPr>
              <w:t>Total Number</w:t>
            </w:r>
          </w:p>
        </w:tc>
        <w:tc>
          <w:tcPr>
            <w:tcW w:w="158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Beneficially Owned</w:t>
            </w: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5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12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w w:val="99"/>
              </w:rPr>
              <w:t>of Shares</w:t>
            </w:r>
          </w:p>
        </w:tc>
        <w:tc>
          <w:tcPr>
            <w:tcW w:w="960" w:type="dxa"/>
            <w:vAlign w:val="bottom"/>
            <w:gridSpan w:val="2"/>
          </w:tcPr>
          <w:p>
            <w:pPr>
              <w:jc w:val="center"/>
              <w:ind w:right="520"/>
              <w:spacing w:after="0" w:line="119" w:lineRule="exact"/>
              <w:rPr>
                <w:sz w:val="20"/>
                <w:szCs w:val="20"/>
                <w:color w:val="auto"/>
              </w:rPr>
            </w:pPr>
            <w:r>
              <w:rPr>
                <w:rFonts w:ascii="Arial" w:cs="Arial" w:eastAsia="Arial" w:hAnsi="Arial"/>
                <w:sz w:val="11"/>
                <w:szCs w:val="11"/>
                <w:b w:val="1"/>
                <w:bCs w:val="1"/>
                <w:color w:val="auto"/>
              </w:rPr>
              <w:t>Before</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380" w:type="dxa"/>
            <w:vAlign w:val="bottom"/>
            <w:vMerge w:val="restart"/>
          </w:tcPr>
          <w:p>
            <w:pPr>
              <w:spacing w:after="0"/>
              <w:rPr>
                <w:sz w:val="20"/>
                <w:szCs w:val="20"/>
                <w:color w:val="auto"/>
              </w:rPr>
            </w:pPr>
            <w:r>
              <w:rPr>
                <w:rFonts w:ascii="Arial" w:cs="Arial" w:eastAsia="Arial" w:hAnsi="Arial"/>
                <w:sz w:val="11"/>
                <w:szCs w:val="11"/>
                <w:b w:val="1"/>
                <w:bCs w:val="1"/>
                <w:color w:val="auto"/>
              </w:rPr>
              <w:t>Name of Beneficial Owner</w:t>
            </w:r>
          </w:p>
        </w:tc>
        <w:tc>
          <w:tcPr>
            <w:tcW w:w="5560" w:type="dxa"/>
            <w:vAlign w:val="bottom"/>
            <w:vMerge w:val="restart"/>
          </w:tcPr>
          <w:p>
            <w:pPr>
              <w:spacing w:after="0"/>
              <w:rPr>
                <w:sz w:val="10"/>
                <w:szCs w:val="10"/>
                <w:color w:val="auto"/>
              </w:rPr>
            </w:pPr>
          </w:p>
        </w:tc>
        <w:tc>
          <w:tcPr>
            <w:tcW w:w="1120" w:type="dxa"/>
            <w:vAlign w:val="bottom"/>
            <w:gridSpan w:val="2"/>
          </w:tcPr>
          <w:p>
            <w:pPr>
              <w:jc w:val="center"/>
              <w:ind w:right="420"/>
              <w:spacing w:after="0" w:line="119" w:lineRule="exact"/>
              <w:rPr>
                <w:sz w:val="20"/>
                <w:szCs w:val="20"/>
                <w:color w:val="auto"/>
              </w:rPr>
            </w:pPr>
            <w:r>
              <w:rPr>
                <w:rFonts w:ascii="Arial" w:cs="Arial" w:eastAsia="Arial" w:hAnsi="Arial"/>
                <w:sz w:val="11"/>
                <w:szCs w:val="11"/>
                <w:b w:val="1"/>
                <w:bCs w:val="1"/>
                <w:color w:val="auto"/>
              </w:rPr>
              <w:t>Beneficially</w:t>
            </w:r>
          </w:p>
        </w:tc>
        <w:tc>
          <w:tcPr>
            <w:tcW w:w="960" w:type="dxa"/>
            <w:vAlign w:val="bottom"/>
            <w:gridSpan w:val="2"/>
          </w:tcPr>
          <w:p>
            <w:pPr>
              <w:jc w:val="center"/>
              <w:ind w:right="520"/>
              <w:spacing w:after="0" w:line="119" w:lineRule="exact"/>
              <w:rPr>
                <w:sz w:val="20"/>
                <w:szCs w:val="20"/>
                <w:color w:val="auto"/>
              </w:rPr>
            </w:pPr>
            <w:r>
              <w:rPr>
                <w:rFonts w:ascii="Arial" w:cs="Arial" w:eastAsia="Arial" w:hAnsi="Arial"/>
                <w:sz w:val="11"/>
                <w:szCs w:val="11"/>
                <w:b w:val="1"/>
                <w:bCs w:val="1"/>
                <w:color w:val="auto"/>
                <w:w w:val="96"/>
              </w:rPr>
              <w:t>the</w:t>
            </w:r>
          </w:p>
        </w:tc>
        <w:tc>
          <w:tcPr>
            <w:tcW w:w="620" w:type="dxa"/>
            <w:vAlign w:val="bottom"/>
            <w:gridSpan w:val="2"/>
          </w:tcPr>
          <w:p>
            <w:pPr>
              <w:jc w:val="right"/>
              <w:ind w:right="160"/>
              <w:spacing w:after="0" w:line="119" w:lineRule="exact"/>
              <w:rPr>
                <w:sz w:val="20"/>
                <w:szCs w:val="20"/>
                <w:color w:val="auto"/>
              </w:rPr>
            </w:pPr>
            <w:r>
              <w:rPr>
                <w:rFonts w:ascii="Arial" w:cs="Arial" w:eastAsia="Arial" w:hAnsi="Arial"/>
                <w:sz w:val="11"/>
                <w:szCs w:val="11"/>
                <w:b w:val="1"/>
                <w:bCs w:val="1"/>
                <w:color w:val="auto"/>
                <w:w w:val="97"/>
              </w:rPr>
              <w:t>After the</w:t>
            </w:r>
          </w:p>
        </w:tc>
        <w:tc>
          <w:tcPr>
            <w:tcW w:w="0" w:type="dxa"/>
            <w:vAlign w:val="bottom"/>
          </w:tcPr>
          <w:p>
            <w:pPr>
              <w:spacing w:after="0"/>
              <w:rPr>
                <w:sz w:val="1"/>
                <w:szCs w:val="1"/>
                <w:color w:val="auto"/>
              </w:rPr>
            </w:pPr>
          </w:p>
        </w:tc>
      </w:tr>
      <w:tr>
        <w:trPr>
          <w:trHeight w:val="146"/>
        </w:trPr>
        <w:tc>
          <w:tcPr>
            <w:tcW w:w="1380" w:type="dxa"/>
            <w:vAlign w:val="bottom"/>
            <w:tcBorders>
              <w:bottom w:val="single" w:sz="8" w:color="auto"/>
            </w:tcBorders>
            <w:vMerge w:val="continue"/>
          </w:tcPr>
          <w:p>
            <w:pPr>
              <w:spacing w:after="0"/>
              <w:rPr>
                <w:sz w:val="12"/>
                <w:szCs w:val="12"/>
                <w:color w:val="auto"/>
              </w:rPr>
            </w:pPr>
          </w:p>
        </w:tc>
        <w:tc>
          <w:tcPr>
            <w:tcW w:w="5560" w:type="dxa"/>
            <w:vAlign w:val="bottom"/>
            <w:vMerge w:val="continue"/>
          </w:tcPr>
          <w:p>
            <w:pPr>
              <w:spacing w:after="0"/>
              <w:rPr>
                <w:sz w:val="12"/>
                <w:szCs w:val="12"/>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rPr>
              <w:t>Owned</w:t>
            </w:r>
            <w:r>
              <w:rPr>
                <w:rFonts w:ascii="Arial" w:cs="Arial" w:eastAsia="Arial" w:hAnsi="Arial"/>
                <w:sz w:val="9"/>
                <w:szCs w:val="9"/>
                <w:b w:val="1"/>
                <w:bCs w:val="1"/>
                <w:color w:val="auto"/>
              </w:rPr>
              <w:t>(1)</w:t>
            </w:r>
          </w:p>
        </w:tc>
        <w:tc>
          <w:tcPr>
            <w:tcW w:w="96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rPr>
              <w:t>Offering</w:t>
            </w:r>
          </w:p>
        </w:tc>
        <w:tc>
          <w:tcPr>
            <w:tcW w:w="6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8"/>
              </w:rPr>
              <w:t>Offering</w:t>
            </w:r>
          </w:p>
        </w:tc>
        <w:tc>
          <w:tcPr>
            <w:tcW w:w="0" w:type="dxa"/>
            <w:vAlign w:val="bottom"/>
          </w:tcPr>
          <w:p>
            <w:pPr>
              <w:spacing w:after="0"/>
              <w:rPr>
                <w:sz w:val="1"/>
                <w:szCs w:val="1"/>
                <w:color w:val="auto"/>
              </w:rPr>
            </w:pPr>
          </w:p>
        </w:tc>
      </w:tr>
      <w:tr>
        <w:trPr>
          <w:trHeight w:val="149"/>
        </w:trPr>
        <w:tc>
          <w:tcPr>
            <w:tcW w:w="694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Named Executive Officers and Directors:</w:t>
            </w:r>
          </w:p>
        </w:tc>
        <w:tc>
          <w:tcPr>
            <w:tcW w:w="7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Dave Girouard</w:t>
            </w:r>
            <w:r>
              <w:rPr>
                <w:rFonts w:ascii="Arial" w:cs="Arial" w:eastAsia="Arial" w:hAnsi="Arial"/>
                <w:sz w:val="16"/>
                <w:szCs w:val="16"/>
                <w:color w:val="auto"/>
                <w:vertAlign w:val="superscript"/>
              </w:rPr>
              <w:t>(2)</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13,201,727</w:t>
            </w: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17.5%</w:t>
            </w: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Sanjay Datta</w:t>
            </w:r>
            <w:r>
              <w:rPr>
                <w:rFonts w:ascii="Arial" w:cs="Arial" w:eastAsia="Arial" w:hAnsi="Arial"/>
                <w:sz w:val="16"/>
                <w:szCs w:val="16"/>
                <w:color w:val="auto"/>
                <w:vertAlign w:val="superscript"/>
              </w:rPr>
              <w:t>(3)</w:t>
            </w:r>
          </w:p>
        </w:tc>
        <w:tc>
          <w:tcPr>
            <w:tcW w:w="112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880,206</w:t>
            </w:r>
          </w:p>
        </w:tc>
        <w:tc>
          <w:tcPr>
            <w:tcW w:w="96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1.2%</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Paul Gu</w:t>
            </w:r>
            <w:r>
              <w:rPr>
                <w:rFonts w:ascii="Arial" w:cs="Arial" w:eastAsia="Arial" w:hAnsi="Arial"/>
                <w:sz w:val="16"/>
                <w:szCs w:val="16"/>
                <w:color w:val="auto"/>
                <w:vertAlign w:val="superscript"/>
              </w:rPr>
              <w:t>(4)</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2,003,542</w:t>
            </w: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2.6%</w:t>
            </w: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Kerry W. Cooper</w:t>
            </w:r>
          </w:p>
        </w:tc>
        <w:tc>
          <w:tcPr>
            <w:tcW w:w="112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Mary Hentges</w:t>
            </w:r>
            <w:r>
              <w:rPr>
                <w:rFonts w:ascii="Arial" w:cs="Arial" w:eastAsia="Arial" w:hAnsi="Arial"/>
                <w:sz w:val="16"/>
                <w:szCs w:val="16"/>
                <w:color w:val="auto"/>
                <w:vertAlign w:val="superscript"/>
              </w:rPr>
              <w:t>(5)</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85,530</w:t>
            </w: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Oskar Mielczarek de la Miel</w:t>
            </w:r>
          </w:p>
        </w:tc>
        <w:tc>
          <w:tcPr>
            <w:tcW w:w="112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Ciaran O’Kelly</w:t>
            </w:r>
            <w:r>
              <w:rPr>
                <w:rFonts w:ascii="Arial" w:cs="Arial" w:eastAsia="Arial" w:hAnsi="Arial"/>
                <w:sz w:val="16"/>
                <w:szCs w:val="16"/>
                <w:color w:val="auto"/>
                <w:vertAlign w:val="superscript"/>
              </w:rPr>
              <w:t>(6)</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192,443</w:t>
            </w: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Robert Schwartz</w:t>
            </w:r>
          </w:p>
        </w:tc>
        <w:tc>
          <w:tcPr>
            <w:tcW w:w="1120" w:type="dxa"/>
            <w:vAlign w:val="bottom"/>
            <w:gridSpan w:val="2"/>
            <w:shd w:val="clear" w:color="auto" w:fill="CCEEFF"/>
          </w:tcPr>
          <w:p>
            <w:pPr>
              <w:ind w:left="520"/>
              <w:spacing w:after="0" w:line="142"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Sukhinder Singh Cassidy</w:t>
            </w:r>
            <w:r>
              <w:rPr>
                <w:rFonts w:ascii="Arial" w:cs="Arial" w:eastAsia="Arial" w:hAnsi="Arial"/>
                <w:sz w:val="16"/>
                <w:szCs w:val="16"/>
                <w:color w:val="auto"/>
                <w:vertAlign w:val="superscript"/>
              </w:rPr>
              <w:t>(7)</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74,838</w:t>
            </w: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Hilliard C. Terry, III</w:t>
            </w:r>
            <w:r>
              <w:rPr>
                <w:rFonts w:ascii="Arial" w:cs="Arial" w:eastAsia="Arial" w:hAnsi="Arial"/>
                <w:sz w:val="16"/>
                <w:szCs w:val="16"/>
                <w:color w:val="auto"/>
                <w:vertAlign w:val="superscript"/>
              </w:rPr>
              <w:t>(8)</w:t>
            </w:r>
          </w:p>
        </w:tc>
        <w:tc>
          <w:tcPr>
            <w:tcW w:w="112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128,295</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7"/>
        </w:trPr>
        <w:tc>
          <w:tcPr>
            <w:tcW w:w="6940" w:type="dxa"/>
            <w:vAlign w:val="bottom"/>
            <w:gridSpan w:val="2"/>
          </w:tcPr>
          <w:p>
            <w:pPr>
              <w:spacing w:after="0" w:line="237" w:lineRule="exact"/>
              <w:rPr>
                <w:sz w:val="20"/>
                <w:szCs w:val="20"/>
                <w:color w:val="auto"/>
              </w:rPr>
            </w:pPr>
            <w:r>
              <w:rPr>
                <w:rFonts w:ascii="Arial" w:cs="Arial" w:eastAsia="Arial" w:hAnsi="Arial"/>
                <w:sz w:val="13"/>
                <w:szCs w:val="13"/>
                <w:color w:val="auto"/>
              </w:rPr>
              <w:t>All executive officers and directors as a group (12 persons)</w:t>
            </w:r>
            <w:r>
              <w:rPr>
                <w:rFonts w:ascii="Arial" w:cs="Arial" w:eastAsia="Arial" w:hAnsi="Arial"/>
                <w:sz w:val="21"/>
                <w:szCs w:val="21"/>
                <w:color w:val="auto"/>
                <w:vertAlign w:val="superscript"/>
              </w:rPr>
              <w:t>(9)</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18,638,268</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25.2%</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7"/>
        </w:trPr>
        <w:tc>
          <w:tcPr>
            <w:tcW w:w="69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5% Stockholders:</w:t>
            </w: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gridSpan w:val="2"/>
          </w:tcPr>
          <w:p>
            <w:pPr>
              <w:spacing w:after="0" w:line="142" w:lineRule="exact"/>
              <w:rPr>
                <w:sz w:val="20"/>
                <w:szCs w:val="20"/>
                <w:color w:val="auto"/>
              </w:rPr>
            </w:pPr>
            <w:r>
              <w:rPr>
                <w:rFonts w:ascii="Arial" w:cs="Arial" w:eastAsia="Arial" w:hAnsi="Arial"/>
                <w:sz w:val="10"/>
                <w:szCs w:val="10"/>
                <w:color w:val="auto"/>
              </w:rPr>
              <w:t>Entities affiliated with Third Point Ventures</w:t>
            </w:r>
            <w:r>
              <w:rPr>
                <w:rFonts w:ascii="Arial" w:cs="Arial" w:eastAsia="Arial" w:hAnsi="Arial"/>
                <w:sz w:val="16"/>
                <w:szCs w:val="16"/>
                <w:color w:val="auto"/>
                <w:vertAlign w:val="superscript"/>
              </w:rPr>
              <w:t>(10)</w:t>
            </w:r>
          </w:p>
        </w:tc>
        <w:tc>
          <w:tcPr>
            <w:tcW w:w="112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13,381,222</w:t>
            </w: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3"/>
                <w:szCs w:val="13"/>
                <w:color w:val="auto"/>
              </w:rPr>
              <w:t>18.1%</w:t>
            </w:r>
          </w:p>
        </w:tc>
        <w:tc>
          <w:tcPr>
            <w:tcW w:w="62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42"/>
        </w:trPr>
        <w:tc>
          <w:tcPr>
            <w:tcW w:w="6940" w:type="dxa"/>
            <w:vAlign w:val="bottom"/>
            <w:gridSpan w:val="2"/>
            <w:shd w:val="clear" w:color="auto" w:fill="CCEEFF"/>
          </w:tcPr>
          <w:p>
            <w:pPr>
              <w:spacing w:after="0" w:line="142" w:lineRule="exact"/>
              <w:rPr>
                <w:sz w:val="20"/>
                <w:szCs w:val="20"/>
                <w:color w:val="auto"/>
              </w:rPr>
            </w:pPr>
            <w:r>
              <w:rPr>
                <w:rFonts w:ascii="Arial" w:cs="Arial" w:eastAsia="Arial" w:hAnsi="Arial"/>
                <w:sz w:val="10"/>
                <w:szCs w:val="10"/>
                <w:color w:val="auto"/>
              </w:rPr>
              <w:t>Entities affiliated with Stone Ridge Trust V</w:t>
            </w:r>
            <w:r>
              <w:rPr>
                <w:rFonts w:ascii="Arial" w:cs="Arial" w:eastAsia="Arial" w:hAnsi="Arial"/>
                <w:sz w:val="16"/>
                <w:szCs w:val="16"/>
                <w:color w:val="auto"/>
                <w:vertAlign w:val="superscript"/>
              </w:rPr>
              <w:t>(11)</w:t>
            </w:r>
          </w:p>
        </w:tc>
        <w:tc>
          <w:tcPr>
            <w:tcW w:w="112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3,685,913</w:t>
            </w:r>
          </w:p>
        </w:tc>
        <w:tc>
          <w:tcPr>
            <w:tcW w:w="96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3"/>
                <w:szCs w:val="13"/>
                <w:color w:val="auto"/>
              </w:rPr>
              <w:t>5%</w:t>
            </w: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74"/>
        </w:trPr>
        <w:tc>
          <w:tcPr>
            <w:tcW w:w="6940" w:type="dxa"/>
            <w:vAlign w:val="bottom"/>
            <w:gridSpan w:val="2"/>
          </w:tcPr>
          <w:p>
            <w:pPr>
              <w:spacing w:after="0"/>
              <w:rPr>
                <w:sz w:val="20"/>
                <w:szCs w:val="20"/>
                <w:color w:val="auto"/>
              </w:rPr>
            </w:pPr>
            <w:r>
              <w:rPr>
                <w:rFonts w:ascii="Arial" w:cs="Arial" w:eastAsia="Arial" w:hAnsi="Arial"/>
                <w:sz w:val="13"/>
                <w:szCs w:val="13"/>
                <w:color w:val="auto"/>
              </w:rPr>
              <w:t>Entities affiliated with Khosla Ventures</w:t>
            </w:r>
            <w:r>
              <w:rPr>
                <w:rFonts w:ascii="Arial" w:cs="Arial" w:eastAsia="Arial" w:hAnsi="Arial"/>
                <w:sz w:val="21"/>
                <w:szCs w:val="21"/>
                <w:color w:val="auto"/>
                <w:vertAlign w:val="superscript"/>
              </w:rPr>
              <w:t>(12)</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5,248,588</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-8255</wp:posOffset>
            </wp:positionV>
            <wp:extent cx="67564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0" w:lineRule="exact"/>
        <w:rPr>
          <w:sz w:val="20"/>
          <w:szCs w:val="20"/>
          <w:color w:val="auto"/>
        </w:rPr>
      </w:pPr>
    </w:p>
    <w:p>
      <w:pPr>
        <w:ind w:left="1280" w:hanging="481"/>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beneficial ownership of less than 1% of the outstanding shares of our common stock.</w:t>
      </w:r>
    </w:p>
    <w:p>
      <w:pPr>
        <w:ind w:left="1280" w:right="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Represents shares beneficially owned by such individual or entity, and includes shares held in the beneficial owner’s name or jointly with others, or in the name of a bank, nominee or trustee for the beneficial owner’s account.</w:t>
      </w:r>
    </w:p>
    <w:p>
      <w:pPr>
        <w:spacing w:after="0" w:line="1" w:lineRule="exact"/>
        <w:rPr>
          <w:rFonts w:ascii="Arial" w:cs="Arial" w:eastAsia="Arial" w:hAnsi="Arial"/>
          <w:sz w:val="13"/>
          <w:szCs w:val="13"/>
          <w:color w:val="auto"/>
        </w:rPr>
      </w:pPr>
    </w:p>
    <w:p>
      <w:pPr>
        <w:ind w:left="1280" w:right="14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9,592,840 shares of common stock were held of record by the 2008 G&amp;T Girouard Revocable Trust, for which Mr. Girouard serves as co-trustee, (ii) 200,000 shares of common stock were held of record by Mr. Girouard as trustee of the GIROUARD 2020 GRAT, dated October 19, 2020, (iii) 1,000,000 shares of common stock were held of record by Mr. Girouard’s sister-in-law, Tristen Baird Willard, as trustee of the JRG 2020 Exempt Gift Trust, (iv) 1,000,000 shares were held of record by Mr. Girouard’s sister-in-law, Tristen Baird Willard, as trustee of the TMG 2020 Exempt Gift Trust and (v) options to purchase an aggregate of 1,408,887 shares of Common Stock held by Mr. Girouard were exercisable within 60 days of March 15, 2021.</w:t>
      </w:r>
    </w:p>
    <w:p>
      <w:pPr>
        <w:spacing w:after="0" w:line="2" w:lineRule="exact"/>
        <w:rPr>
          <w:rFonts w:ascii="Arial" w:cs="Arial" w:eastAsia="Arial" w:hAnsi="Arial"/>
          <w:sz w:val="13"/>
          <w:szCs w:val="13"/>
          <w:color w:val="auto"/>
        </w:rPr>
      </w:pP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880,206 shares subject to options exercisable within 60 days of March 15, 2021 held by Mr. Datta.</w:t>
      </w:r>
    </w:p>
    <w:p>
      <w:pPr>
        <w:ind w:left="1280" w:hanging="481"/>
        <w:spacing w:after="0"/>
        <w:tabs>
          <w:tab w:leader="none" w:pos="12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Consists of (i) 210,000 shares held of record by Mr. Gu and (ii) 1,793,542 shares subject to options exercisable within 60 days of March 15, 2021 held by Mr. Gu.</w:t>
      </w:r>
    </w:p>
    <w:p>
      <w:pPr>
        <w:spacing w:after="0" w:line="3" w:lineRule="exact"/>
        <w:rPr>
          <w:rFonts w:ascii="Arial" w:cs="Arial" w:eastAsia="Arial" w:hAnsi="Arial"/>
          <w:sz w:val="12"/>
          <w:szCs w:val="12"/>
          <w:color w:val="auto"/>
        </w:rPr>
      </w:pP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85,530 shares subject to options exercisable within 60 days of March 15, 2021 held by Ms. Hentges.</w:t>
      </w: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192,443 shares subject to options exercisable within 60 days of March 15, 2021 held by Mr. O’Kelly.</w:t>
      </w: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74,838 shares subject to options exercisable within 60 days of March 15, 2021 held by Ms. Singh Cassidy.</w:t>
      </w: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128,295 shares subject to options exercisable within 60 days of March 15, 2021 held by Mr. Terry.</w:t>
      </w:r>
    </w:p>
    <w:p>
      <w:pPr>
        <w:ind w:left="128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(i) 12,002,840 shares beneficially owned by our executive officers and directors and (ii) 6,635,428 shares subject to options exercisable within 60 days of March 15, 2021.</w:t>
      </w:r>
    </w:p>
    <w:p>
      <w:pPr>
        <w:spacing w:after="0" w:line="1" w:lineRule="exact"/>
        <w:rPr>
          <w:rFonts w:ascii="Arial" w:cs="Arial" w:eastAsia="Arial" w:hAnsi="Arial"/>
          <w:sz w:val="13"/>
          <w:szCs w:val="13"/>
          <w:color w:val="auto"/>
        </w:rPr>
      </w:pPr>
    </w:p>
    <w:p>
      <w:pPr>
        <w:ind w:left="1280" w:right="120" w:hanging="481"/>
        <w:spacing w:after="0" w:line="246" w:lineRule="auto"/>
        <w:tabs>
          <w:tab w:leader="none" w:pos="12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Based on a Schedule 13G filed with the SEC on February 12, 2021 on behalf of Third Point LLC. Consists of 13,381,222 shares held of record by Third Point Ventures LLC, as nominee for funds managed and/or advised by Third Point LLC. Third Point LLC and Daniel S. Loeb, managing member of Third Point LLC, may be deemed to have voting and investment power over such shares. The address for each of these entities is 55 Hudson Yards, New York, New York 10001.</w:t>
      </w:r>
    </w:p>
    <w:p>
      <w:pPr>
        <w:spacing w:after="0" w:line="1" w:lineRule="exact"/>
        <w:rPr>
          <w:rFonts w:ascii="Arial" w:cs="Arial" w:eastAsia="Arial" w:hAnsi="Arial"/>
          <w:sz w:val="12"/>
          <w:szCs w:val="12"/>
          <w:color w:val="auto"/>
        </w:rPr>
      </w:pPr>
    </w:p>
    <w:p>
      <w:pPr>
        <w:ind w:left="1280" w:right="20" w:hanging="481"/>
        <w:spacing w:after="0" w:line="227"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Consists of 3,685,913 shares held of record by Stone Ridge Trust V, on behalf of its series Stone Ridge Alternative Lending Risk Premium Fund, or LENDX. Stone Ridge Asset Management LLC, or Stone Ridge, acts as the investment adviser to LENDX, and Stone Ridge is controlled by Ross Stevens. Each of Stone Ridge and Ross Stevens may be deemed to have voting and dispositive power of such shares held by LENDX. The address for each of these entities is 510 Madison Avenue, 21st Floor, New York, New York 10022. LENDX previously entered into an agreement with us pursuant to which it will be entitled to no more than 4.99% of the aggregate voting power of all shares of common stock with respect to any matter presented to our stockholders.</w:t>
      </w:r>
    </w:p>
    <w:p>
      <w:pPr>
        <w:spacing w:after="0" w:line="2" w:lineRule="exact"/>
        <w:rPr>
          <w:rFonts w:ascii="Arial" w:cs="Arial" w:eastAsia="Arial" w:hAnsi="Arial"/>
          <w:sz w:val="13"/>
          <w:szCs w:val="13"/>
          <w:color w:val="auto"/>
        </w:rPr>
      </w:pPr>
    </w:p>
    <w:p>
      <w:pPr>
        <w:ind w:left="1280" w:right="20" w:hanging="481"/>
        <w:spacing w:after="0" w:line="249" w:lineRule="auto"/>
        <w:tabs>
          <w:tab w:leader="none" w:pos="12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Consists of 50,508 shares held of record by Khosla Ventures Seed B (CF), LP, or Seed B CF, 889,783 shares held of record by Khosla Ventures Seed B, LP, or Seed B, and 4,308,297 shares held of record by Khosla Ventures V, LP, or KV V, The general partner of Seed B CF and Seed B is Khosla Ventures Seed Associates B, LLC, or B Associates. VK Services, LLC, or VK Services, is the sole manager of B Associates. Vinod Khosla is the managing member of VK Services. Each of Mr. Khosla, VK Services and B Associates may be deemed to share voting and dispositive power of such securities held by Seed B CF and Seed B. Mr. Khosla, VK Services and B Associates disclaim beneficial ownership of such securities held by Seed B CF and Seed B, except to the extent of their respective pecuniary interests therein. The general partner of KV V is Khosla Ventures Associates V, LLC, or KVA V. VK Services, LLC, or VK Services, is the sole manager of KVA V. Vinod Khosla is the managing member of VK Services. Each of Mr. Khosla, VK Services and KVA V may be deemed to share voting and dispositive power of such securities held by KV V. Mr. Khosla, VK Services and KVA V disclaim beneficial ownership of such securities held by KV V, except to the extent of their respective pecuniary interests therein. The address for each of these entities is 2128 Sand Hill Road, Menlo Park, California 94025.</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440"/>
          </w:cols>
          <w:pgMar w:left="320" w:top="419" w:right="113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DESCRIPTION OF CAPITAL STOCK</w:t>
      </w:r>
    </w:p>
    <w:p>
      <w:pPr>
        <w:spacing w:after="0" w:line="277"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General</w:t>
      </w:r>
    </w:p>
    <w:p>
      <w:pPr>
        <w:spacing w:after="0" w:line="20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following description summarizes certain important terms of our capital stock as currently in effect.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Our authorized capital stock consists of 770,000,000 shares of capital stock, $0.0001 par value per share, of which:</w:t>
      </w:r>
    </w:p>
    <w:p>
      <w:pPr>
        <w:spacing w:after="0" w:line="99" w:lineRule="exact"/>
        <w:rPr>
          <w:sz w:val="20"/>
          <w:szCs w:val="20"/>
          <w:color w:val="auto"/>
        </w:rPr>
      </w:pPr>
    </w:p>
    <w:p>
      <w:pPr>
        <w:ind w:left="1460" w:hanging="188"/>
        <w:spacing w:after="0"/>
        <w:tabs>
          <w:tab w:leader="none" w:pos="1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700,000,000 shares are designated as common stock; and</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70,000,000 shares are designated as preferred stock.</w:t>
      </w:r>
    </w:p>
    <w:p>
      <w:pPr>
        <w:spacing w:after="0" w:line="183"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As of December 31, 2020, there were 73,314,026 shares of our common stock outstanding. Pursuant to our amended and restated certificate of incorporation, our board of directors has the authority, without stockholder approval except as required by the listing standards of the Nasdaq Global Select Market, to issue additional shares of our capital stock.</w:t>
      </w:r>
    </w:p>
    <w:p>
      <w:pPr>
        <w:spacing w:after="0" w:line="25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Common Stock</w:t>
      </w:r>
    </w:p>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Dividend Rights</w:t>
      </w:r>
    </w:p>
    <w:p>
      <w:pPr>
        <w:spacing w:after="0" w:line="108"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Voting Rights</w:t>
      </w:r>
    </w:p>
    <w:p>
      <w:pPr>
        <w:spacing w:after="0" w:line="108"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No Preemptive or Similar Rights</w:t>
      </w: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common stock is not entitled to preemptive rights, and is not subject to conversion, redemption or sinking fund provisions.</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Right to Receive Liquidation Distributions</w:t>
      </w:r>
    </w:p>
    <w:p>
      <w:pPr>
        <w:spacing w:after="0" w:line="108"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400"/>
          </w:cols>
          <w:pgMar w:left="320" w:top="419" w:right="117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Fully Paid and Non-Assessable</w:t>
      </w:r>
    </w:p>
    <w:p>
      <w:pPr>
        <w:spacing w:after="0" w:line="108"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In connection with this offering, our legal counsel will opine that the shares of our common stock to be issued in this offering will be fully paid and non-assessable.</w:t>
      </w:r>
    </w:p>
    <w:p>
      <w:pPr>
        <w:spacing w:after="0" w:line="25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Preferred Stock</w:t>
      </w:r>
    </w:p>
    <w:p>
      <w:pPr>
        <w:spacing w:after="0" w:line="20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We do not have any shares of our preferred stock outstanding. Pursuant to our amended and restated certificate of incorporation, 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59"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Options</w:t>
      </w:r>
    </w:p>
    <w:p>
      <w:pPr>
        <w:spacing w:after="0" w:line="203"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As of December 31, 2020, we had outstanding options to purchase an aggregate of 19,600,223 shares of our common stock, with a weighted-average exercise price of approximately $4.27 per share, under our equity compensation plans.</w:t>
      </w:r>
    </w:p>
    <w:p>
      <w:pPr>
        <w:spacing w:after="0" w:line="25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Warrants</w:t>
      </w:r>
    </w:p>
    <w:p>
      <w:pPr>
        <w:spacing w:after="0" w:line="203"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As of December 31, 2020, we had outstanding warrants to purchase 75,000 shares of our common stock with a weighted-average exercise price of $2.16 per share.</w:t>
      </w:r>
    </w:p>
    <w:p>
      <w:pPr>
        <w:spacing w:after="0" w:line="25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Registration Rights</w:t>
      </w:r>
    </w:p>
    <w:p>
      <w:pPr>
        <w:spacing w:after="0" w:line="203"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Certain holders of our common stock are entitled to rights with respect to the registration of their shares under the Securities Act pursuant to the IRA. We and certain holders of our common stock are parties to the IRA. The registration rights set forth in the IRA will expire four years following the completion of our IPO,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 We expect that our stockholders will waive their rights under the IRA (i) to receive notice of this offering and (ii) to include their registrable shares in this offering. In addition, in connection with our IPO, each stockholder that has registration rights agreed not to sell or otherwise dispose of any securities without the prior written consent of us and the underwriters for a period of 180 days after December 15, 2020, subject to certain terms and conditions. See the section titled “Shares Eligible for Future Sale—Lock-Up and Market Standoff Agreements” for additional information regarding such restrictions.</w:t>
      </w:r>
    </w:p>
    <w:p>
      <w:pPr>
        <w:spacing w:after="0" w:line="1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440"/>
          </w:cols>
          <w:pgMar w:left="320" w:top="419" w:right="11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Demand Registration Rights</w:t>
      </w:r>
    </w:p>
    <w:p>
      <w:pPr>
        <w:spacing w:after="0" w:line="108" w:lineRule="exact"/>
        <w:rPr>
          <w:sz w:val="20"/>
          <w:szCs w:val="20"/>
          <w:color w:val="auto"/>
        </w:rPr>
      </w:pPr>
    </w:p>
    <w:p>
      <w:pPr>
        <w:ind w:left="800" w:right="220" w:firstLine="482"/>
        <w:spacing w:after="0" w:line="251" w:lineRule="auto"/>
        <w:rPr>
          <w:sz w:val="20"/>
          <w:szCs w:val="20"/>
          <w:color w:val="auto"/>
        </w:rPr>
      </w:pPr>
      <w:r>
        <w:rPr>
          <w:rFonts w:ascii="Arial" w:cs="Arial" w:eastAsia="Arial" w:hAnsi="Arial"/>
          <w:sz w:val="15"/>
          <w:szCs w:val="15"/>
          <w:color w:val="auto"/>
        </w:rPr>
        <w:t>The holders of up to 47,949,785 shares of our common stock are entitled to certain demand registration rights under the IRA. At any time beginning six months after the date of our IPO, the holders of at least a majority of these shares then outstanding can request that we register the offer and sale of their shares. Such request for registration must cover securities, the anticipated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Piggyback Registration Rights</w:t>
      </w:r>
    </w:p>
    <w:p>
      <w:pPr>
        <w:spacing w:after="0" w:line="10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If we propose to register the offer and sale of our common stock under the Securities Act, in connection with the public offering of such common stock the holders of up to 59,949,785 shares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S-3 Registration Rights</w:t>
      </w:r>
    </w:p>
    <w:p>
      <w:pPr>
        <w:spacing w:after="0" w:line="108" w:lineRule="exact"/>
        <w:rPr>
          <w:sz w:val="20"/>
          <w:szCs w:val="20"/>
          <w:color w:val="auto"/>
        </w:rPr>
      </w:pPr>
    </w:p>
    <w:p>
      <w:pPr>
        <w:ind w:left="800" w:right="60" w:firstLine="482"/>
        <w:spacing w:after="0" w:line="246" w:lineRule="auto"/>
        <w:rPr>
          <w:sz w:val="20"/>
          <w:szCs w:val="20"/>
          <w:color w:val="auto"/>
        </w:rPr>
      </w:pPr>
      <w:r>
        <w:rPr>
          <w:rFonts w:ascii="Arial" w:cs="Arial" w:eastAsia="Arial" w:hAnsi="Arial"/>
          <w:sz w:val="15"/>
          <w:szCs w:val="15"/>
          <w:color w:val="auto"/>
        </w:rPr>
        <w:t>After 180 days following the date of our IPO, the holders of up to 59,949,785 shares of our common stock will be entitled to certain Form S-3 registration rights. The holders of at least a majority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w:t>
      </w:r>
    </w:p>
    <w:p>
      <w:pPr>
        <w:spacing w:after="0" w:line="4" w:lineRule="exact"/>
        <w:rPr>
          <w:sz w:val="20"/>
          <w:szCs w:val="20"/>
          <w:color w:val="auto"/>
        </w:rPr>
      </w:pPr>
    </w:p>
    <w:p>
      <w:pPr>
        <w:jc w:val="both"/>
        <w:ind w:left="800" w:right="280"/>
        <w:spacing w:after="0" w:line="236" w:lineRule="auto"/>
        <w:rPr>
          <w:sz w:val="20"/>
          <w:szCs w:val="20"/>
          <w:color w:val="auto"/>
        </w:rPr>
      </w:pPr>
      <w:r>
        <w:rPr>
          <w:rFonts w:ascii="Arial" w:cs="Arial" w:eastAsia="Arial" w:hAnsi="Arial"/>
          <w:sz w:val="16"/>
          <w:szCs w:val="16"/>
          <w:color w:val="auto"/>
        </w:rPr>
        <w:t>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5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Anti-Takeover Provisions</w:t>
      </w:r>
    </w:p>
    <w:p>
      <w:pPr>
        <w:spacing w:after="0" w:line="203"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440"/>
          </w:cols>
          <w:pgMar w:left="320" w:top="419" w:right="113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Delaware Law</w:t>
      </w:r>
    </w:p>
    <w:p>
      <w:pPr>
        <w:spacing w:after="0" w:line="108" w:lineRule="exact"/>
        <w:rPr>
          <w:sz w:val="20"/>
          <w:szCs w:val="20"/>
          <w:color w:val="auto"/>
        </w:rPr>
      </w:pPr>
    </w:p>
    <w:p>
      <w:pPr>
        <w:jc w:val="both"/>
        <w:ind w:left="800" w:right="220" w:firstLine="482"/>
        <w:spacing w:after="0" w:line="236" w:lineRule="auto"/>
        <w:rPr>
          <w:sz w:val="20"/>
          <w:szCs w:val="20"/>
          <w:color w:val="auto"/>
        </w:rPr>
      </w:pPr>
      <w:r>
        <w:rPr>
          <w:rFonts w:ascii="Arial" w:cs="Arial" w:eastAsia="Arial" w:hAnsi="Arial"/>
          <w:sz w:val="16"/>
          <w:szCs w:val="16"/>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96" w:lineRule="exact"/>
        <w:rPr>
          <w:sz w:val="20"/>
          <w:szCs w:val="20"/>
          <w:color w:val="auto"/>
        </w:rPr>
      </w:pPr>
    </w:p>
    <w:p>
      <w:pPr>
        <w:ind w:left="1460" w:right="80" w:hanging="188"/>
        <w:spacing w:after="0" w:line="238" w:lineRule="auto"/>
        <w:tabs>
          <w:tab w:leader="none" w:pos="1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96" w:lineRule="exact"/>
        <w:rPr>
          <w:rFonts w:ascii="Arial" w:cs="Arial" w:eastAsia="Arial" w:hAnsi="Arial"/>
          <w:sz w:val="16"/>
          <w:szCs w:val="16"/>
          <w:color w:val="auto"/>
        </w:rPr>
      </w:pPr>
    </w:p>
    <w:p>
      <w:pPr>
        <w:ind w:left="1460" w:right="140" w:hanging="188"/>
        <w:spacing w:after="0" w:line="234" w:lineRule="auto"/>
        <w:tabs>
          <w:tab w:leader="none" w:pos="1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96" w:lineRule="exact"/>
        <w:rPr>
          <w:rFonts w:ascii="Arial" w:cs="Arial" w:eastAsia="Arial" w:hAnsi="Arial"/>
          <w:sz w:val="16"/>
          <w:szCs w:val="16"/>
          <w:color w:val="auto"/>
        </w:rPr>
      </w:pPr>
    </w:p>
    <w:p>
      <w:pPr>
        <w:ind w:left="1460" w:right="120" w:hanging="188"/>
        <w:spacing w:after="0" w:line="236" w:lineRule="auto"/>
        <w:tabs>
          <w:tab w:leader="none" w:pos="1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9" w:lineRule="exact"/>
        <w:rPr>
          <w:sz w:val="20"/>
          <w:szCs w:val="20"/>
          <w:color w:val="auto"/>
        </w:rPr>
      </w:pPr>
    </w:p>
    <w:p>
      <w:pPr>
        <w:ind w:left="800" w:right="120" w:firstLine="482"/>
        <w:spacing w:after="0" w:line="235"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5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Amended and Restated Certificate of Incorporation and Amended and Restated Bylaw Provisions</w:t>
      </w:r>
    </w:p>
    <w:p>
      <w:pPr>
        <w:spacing w:after="0" w:line="108" w:lineRule="exact"/>
        <w:rPr>
          <w:sz w:val="20"/>
          <w:szCs w:val="20"/>
          <w:color w:val="auto"/>
        </w:rPr>
      </w:pPr>
    </w:p>
    <w:p>
      <w:pPr>
        <w:ind w:left="800" w:firstLine="482"/>
        <w:spacing w:after="0" w:line="269" w:lineRule="auto"/>
        <w:rPr>
          <w:sz w:val="20"/>
          <w:szCs w:val="20"/>
          <w:color w:val="auto"/>
        </w:rPr>
      </w:pPr>
      <w:r>
        <w:rPr>
          <w:rFonts w:ascii="Arial" w:cs="Arial" w:eastAsia="Arial" w:hAnsi="Arial"/>
          <w:sz w:val="15"/>
          <w:szCs w:val="15"/>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Board of Directors Vacancies</w:t>
      </w:r>
    </w:p>
    <w:p>
      <w:pPr>
        <w:spacing w:after="0" w:line="106" w:lineRule="exact"/>
        <w:rPr>
          <w:sz w:val="20"/>
          <w:szCs w:val="20"/>
          <w:color w:val="auto"/>
        </w:rPr>
      </w:pPr>
    </w:p>
    <w:p>
      <w:pPr>
        <w:ind w:left="800" w:right="20" w:firstLine="482"/>
        <w:spacing w:after="0" w:line="252" w:lineRule="auto"/>
        <w:rPr>
          <w:sz w:val="20"/>
          <w:szCs w:val="20"/>
          <w:color w:val="auto"/>
        </w:rPr>
      </w:pPr>
      <w:r>
        <w:rPr>
          <w:rFonts w:ascii="Arial" w:cs="Arial" w:eastAsia="Arial" w:hAnsi="Arial"/>
          <w:sz w:val="15"/>
          <w:szCs w:val="15"/>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Classified Board</w:t>
      </w:r>
    </w:p>
    <w:p>
      <w:pPr>
        <w:spacing w:after="0" w:line="106" w:lineRule="exact"/>
        <w:rPr>
          <w:sz w:val="20"/>
          <w:szCs w:val="20"/>
          <w:color w:val="auto"/>
        </w:rPr>
      </w:pPr>
    </w:p>
    <w:p>
      <w:pPr>
        <w:ind w:left="800" w:right="260" w:firstLine="482"/>
        <w:spacing w:after="0" w:line="235"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0420"/>
          </w:cols>
          <w:pgMar w:left="320" w:top="419" w:right="115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Advance Notice Requirements for Stockholder Proposals and Director Nominations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106" w:lineRule="exact"/>
        <w:rPr>
          <w:sz w:val="20"/>
          <w:szCs w:val="20"/>
          <w:color w:val="auto"/>
        </w:rPr>
      </w:pPr>
    </w:p>
    <w:p>
      <w:pPr>
        <w:ind w:left="800" w:right="300" w:firstLine="482"/>
        <w:spacing w:after="0" w:line="236"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Directors Removed Only for Cause</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amended and restated certificate of incorporation provides that stockholders may remove directors only for cause.</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Amendment of Charter Provisions</w:t>
      </w:r>
    </w:p>
    <w:p>
      <w:pPr>
        <w:spacing w:after="0" w:line="106"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Any amendment of the above provisions in our amended and restated certificate of incorporation would require approval by holders of at least 66 2/3% of our then outstanding capital stock.</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Issuance of Undesignated Preferred Stock</w:t>
      </w:r>
    </w:p>
    <w:p>
      <w:pPr>
        <w:spacing w:after="0" w:line="106"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Exclusive Forum</w:t>
      </w:r>
    </w:p>
    <w:p>
      <w:pPr>
        <w:spacing w:after="0" w:line="106"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to the fullest extent permitted by law, the sole and exclusive forum for (i) any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0440"/>
          </w:cols>
          <w:pgMar w:left="320" w:top="419" w:right="113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2" w:lineRule="auto"/>
        <w:rPr>
          <w:sz w:val="20"/>
          <w:szCs w:val="20"/>
          <w:color w:val="auto"/>
        </w:rPr>
      </w:pPr>
      <w:r>
        <w:rPr>
          <w:rFonts w:ascii="Arial" w:cs="Arial" w:eastAsia="Arial" w:hAnsi="Arial"/>
          <w:sz w:val="16"/>
          <w:szCs w:val="16"/>
          <w:color w:val="auto"/>
        </w:rPr>
        <w:t>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Our amended and restated bylaws further provide that the federal district courts of the United States will be the exclusive forum for resolving any complaints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courts have exclusive jurisdiction.</w:t>
      </w:r>
    </w:p>
    <w:p>
      <w:pPr>
        <w:spacing w:after="0" w:line="258"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Transfer Agent and Registrar</w:t>
      </w:r>
    </w:p>
    <w:p>
      <w:pPr>
        <w:spacing w:after="0" w:line="297" w:lineRule="exact"/>
        <w:rPr>
          <w:sz w:val="20"/>
          <w:szCs w:val="20"/>
          <w:color w:val="auto"/>
        </w:rPr>
      </w:pPr>
    </w:p>
    <w:p>
      <w:pPr>
        <w:ind w:left="800" w:right="460" w:firstLine="482"/>
        <w:spacing w:after="0" w:line="238" w:lineRule="auto"/>
        <w:rPr>
          <w:sz w:val="20"/>
          <w:szCs w:val="20"/>
          <w:color w:val="auto"/>
        </w:rPr>
      </w:pPr>
      <w:r>
        <w:rPr>
          <w:rFonts w:ascii="Arial" w:cs="Arial" w:eastAsia="Arial" w:hAnsi="Arial"/>
          <w:sz w:val="16"/>
          <w:szCs w:val="16"/>
          <w:color w:val="auto"/>
        </w:rPr>
        <w:t>The transfer agent and registrar for our common stock is American Stock Transfer &amp; Trust Company. The transfer agent and registrar’s address is 6201 15th Avenue, Brooklyn, NY 11219.</w:t>
      </w:r>
    </w:p>
    <w:p>
      <w:pPr>
        <w:spacing w:after="0" w:line="254"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Limitations of Liability and Indemnification</w:t>
      </w:r>
    </w:p>
    <w:p>
      <w:pPr>
        <w:spacing w:after="0" w:line="203"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See the section titled “Certain Relationships and Related Party Transactions—Limitation of Liability and Indemnification of Officers and Directors.”</w:t>
      </w:r>
    </w:p>
    <w:p>
      <w:pPr>
        <w:spacing w:after="0" w:line="254"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Listing</w:t>
      </w:r>
    </w:p>
    <w:p>
      <w:pPr>
        <w:spacing w:after="0" w:line="20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Our common stock is listed on the Nasdaq Global Select Market under the symbol “UPST”.</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0380"/>
          </w:cols>
          <w:pgMar w:left="320" w:top="419" w:right="119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SHARES ELIGIBLE FOR FUTURE SALE</w:t>
      </w:r>
    </w:p>
    <w:p>
      <w:pPr>
        <w:spacing w:after="0" w:line="203"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9" w:lineRule="exact"/>
        <w:rPr>
          <w:sz w:val="20"/>
          <w:szCs w:val="20"/>
          <w:color w:val="auto"/>
        </w:rPr>
      </w:pPr>
    </w:p>
    <w:p>
      <w:pPr>
        <w:ind w:left="800" w:right="40" w:firstLine="482"/>
        <w:spacing w:after="0" w:line="254" w:lineRule="auto"/>
        <w:rPr>
          <w:sz w:val="20"/>
          <w:szCs w:val="20"/>
          <w:color w:val="auto"/>
        </w:rPr>
      </w:pPr>
      <w:r>
        <w:rPr>
          <w:rFonts w:ascii="Arial" w:cs="Arial" w:eastAsia="Arial" w:hAnsi="Arial"/>
          <w:sz w:val="15"/>
          <w:szCs w:val="15"/>
          <w:color w:val="auto"/>
        </w:rPr>
        <w:t>Following the completion of this offering, based on the number of shares of our capital stock outstanding as of December 31, 2020, we will have a total of 75,314,026 shares of our common stock outstanding. Of these outstanding shares, all 2,000,000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69"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The remaining outstanding shares of our common stock will be, and shares subject to stock options will be upon issuance,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in the section titled “Description of Capital Stock—Registration Rights,” and subject to the provisions of Rule 144 or Rule 701, shares of our common stock are or will be available for sale in the public market as follows:</w:t>
      </w:r>
    </w:p>
    <w:p>
      <w:pPr>
        <w:spacing w:after="0" w:line="99" w:lineRule="exact"/>
        <w:rPr>
          <w:sz w:val="20"/>
          <w:szCs w:val="20"/>
          <w:color w:val="auto"/>
        </w:rPr>
      </w:pPr>
    </w:p>
    <w:p>
      <w:pPr>
        <w:ind w:left="1460" w:right="440" w:hanging="188"/>
        <w:spacing w:after="0" w:line="238"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beginning on the date of this prospectus, all 2,000,000 shares of our common stock sold in this offering will be immediately available for sale in the public market; and</w:t>
      </w:r>
    </w:p>
    <w:p>
      <w:pPr>
        <w:spacing w:after="0" w:line="96" w:lineRule="exact"/>
        <w:rPr>
          <w:rFonts w:ascii="Arial" w:cs="Arial" w:eastAsia="Arial" w:hAnsi="Arial"/>
          <w:sz w:val="16"/>
          <w:szCs w:val="16"/>
          <w:color w:val="auto"/>
        </w:rPr>
      </w:pPr>
    </w:p>
    <w:p>
      <w:pPr>
        <w:ind w:left="1460" w:hanging="188"/>
        <w:spacing w:after="0" w:line="236" w:lineRule="auto"/>
        <w:tabs>
          <w:tab w:leader="none" w:pos="1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the terms of the lock-up and market standoff agreements described below, all remaining shares will become eligible for sale in the public market, of which 25,384,062 shares will be held by affiliates and subject to the volume and other restrictions of Rule 144, as described below.</w:t>
      </w:r>
    </w:p>
    <w:p>
      <w:pPr>
        <w:spacing w:after="0" w:line="253"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Lock-Up and Market Standoff Agreements</w:t>
      </w:r>
    </w:p>
    <w:p>
      <w:pPr>
        <w:spacing w:after="0" w:line="203"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connection with our IPO, we and our officers and directors, the selling stockholders, and the other holders of our common stock, who collectively hold substantially all of our common stock and stock options, agreed with the underwriters, subject to certain exceptions, not to offer, sell, contract to sell, pledge, 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180 days after December 15, 2020, except with the prior written consent of Goldman Sachs &amp; Co. LLC, BofA Securities, Inc. and Citigroup Global Markets Inc. See the section titled “Underwriting.”</w:t>
      </w:r>
    </w:p>
    <w:p>
      <w:pPr>
        <w:spacing w:after="0" w:line="181"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Goldman Sachs &amp; Co. LLC, BofA Securities, Inc. and Citigroup Global Markets Inc. have agreed to release the restriction on our issuing additional shares of common stock, which was executed in connection with the IPO, in order to permit this offering. See the section titled “Underwriting.”</w:t>
      </w:r>
    </w:p>
    <w:p>
      <w:pPr>
        <w:spacing w:after="0" w:line="179"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In connection with this offering, we and our executive officers and directors have agreed or will agree with the underwriters, subject to certain exceptions, not to offer, sell, contract to sell, pledge,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0440"/>
          </w:cols>
          <w:pgMar w:left="320" w:top="419" w:right="113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20"/>
        <w:spacing w:after="0" w:line="234" w:lineRule="auto"/>
        <w:rPr>
          <w:sz w:val="20"/>
          <w:szCs w:val="20"/>
          <w:color w:val="auto"/>
        </w:rPr>
      </w:pPr>
      <w:r>
        <w:rPr>
          <w:rFonts w:ascii="Arial" w:cs="Arial" w:eastAsia="Arial" w:hAnsi="Arial"/>
          <w:sz w:val="16"/>
          <w:szCs w:val="16"/>
          <w:color w:val="auto"/>
        </w:rPr>
        <w:t>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90 days after the date of this prospectus, except with the prior written consent of Goldman Sachs &amp; Co. LLC, BofA Securities, Inc. and Citigroup Global Markets Inc. See the section titled “Underwriting.”</w:t>
      </w:r>
    </w:p>
    <w:p>
      <w:pPr>
        <w:spacing w:after="0" w:line="179" w:lineRule="exact"/>
        <w:rPr>
          <w:sz w:val="20"/>
          <w:szCs w:val="20"/>
          <w:color w:val="auto"/>
        </w:rPr>
      </w:pPr>
    </w:p>
    <w:p>
      <w:pPr>
        <w:ind w:left="800" w:right="240" w:firstLine="482"/>
        <w:spacing w:after="0" w:line="236" w:lineRule="auto"/>
        <w:rPr>
          <w:sz w:val="20"/>
          <w:szCs w:val="20"/>
          <w:color w:val="auto"/>
        </w:rPr>
      </w:pPr>
      <w:r>
        <w:rPr>
          <w:rFonts w:ascii="Arial" w:cs="Arial" w:eastAsia="Arial" w:hAnsi="Arial"/>
          <w:sz w:val="16"/>
          <w:szCs w:val="16"/>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IPO described above.</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Rule 144</w:t>
      </w:r>
    </w:p>
    <w:p>
      <w:pPr>
        <w:spacing w:after="0" w:line="203"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1"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In general, Rule 144 provides that our affiliates or persons selling shares of our common stock on behalf of our affiliates are entitled to sell upon expiration of the market standoff agreements and lock-up agreements described above, within any three-month period, a number of shares of our common stock that does not exceed the greater of:</w:t>
      </w:r>
    </w:p>
    <w:p>
      <w:pPr>
        <w:spacing w:after="0" w:line="96" w:lineRule="exact"/>
        <w:rPr>
          <w:sz w:val="20"/>
          <w:szCs w:val="20"/>
          <w:color w:val="auto"/>
        </w:rPr>
      </w:pPr>
    </w:p>
    <w:p>
      <w:pPr>
        <w:ind w:left="1460" w:right="640" w:hanging="188"/>
        <w:spacing w:after="0" w:line="238" w:lineRule="auto"/>
        <w:tabs>
          <w:tab w:leader="none" w:pos="1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1% of the number of shares of our capital stock then outstanding, which will equal 753,140 shares immediately after the completion of this offering; or</w:t>
      </w:r>
    </w:p>
    <w:p>
      <w:pPr>
        <w:spacing w:after="0" w:line="96" w:lineRule="exact"/>
        <w:rPr>
          <w:rFonts w:ascii="Arial" w:cs="Arial" w:eastAsia="Arial" w:hAnsi="Arial"/>
          <w:sz w:val="16"/>
          <w:szCs w:val="16"/>
          <w:color w:val="auto"/>
        </w:rPr>
      </w:pPr>
    </w:p>
    <w:p>
      <w:pPr>
        <w:ind w:left="1460" w:right="40" w:hanging="188"/>
        <w:spacing w:after="0" w:line="238" w:lineRule="auto"/>
        <w:tabs>
          <w:tab w:leader="none" w:pos="1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during the four calendar weeks preceding the filing of a notice on Form 144 with respect to that sale.</w:t>
      </w:r>
    </w:p>
    <w:p>
      <w:pPr>
        <w:spacing w:after="0" w:line="179"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Sales of our common stock made in reliance upon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5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Rule 701</w:t>
      </w:r>
    </w:p>
    <w:p>
      <w:pPr>
        <w:spacing w:after="0" w:line="203"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0420"/>
          </w:cols>
          <w:pgMar w:left="320" w:top="419" w:right="115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919"/>
        <w:spacing w:after="0"/>
        <w:rPr>
          <w:sz w:val="20"/>
          <w:szCs w:val="20"/>
          <w:color w:val="auto"/>
        </w:rPr>
      </w:pPr>
      <w:r>
        <w:rPr>
          <w:rFonts w:ascii="Arial" w:cs="Arial" w:eastAsia="Arial" w:hAnsi="Arial"/>
          <w:sz w:val="16"/>
          <w:szCs w:val="16"/>
          <w:b w:val="1"/>
          <w:bCs w:val="1"/>
          <w:color w:val="auto"/>
        </w:rPr>
        <w:t>Registration Rights</w:t>
      </w:r>
    </w:p>
    <w:p>
      <w:pPr>
        <w:spacing w:after="0" w:line="203" w:lineRule="exact"/>
        <w:rPr>
          <w:sz w:val="20"/>
          <w:szCs w:val="20"/>
          <w:color w:val="auto"/>
        </w:rPr>
      </w:pPr>
    </w:p>
    <w:p>
      <w:pPr>
        <w:jc w:val="both"/>
        <w:ind w:left="800" w:firstLine="482"/>
        <w:spacing w:after="0" w:line="252" w:lineRule="auto"/>
        <w:rPr>
          <w:sz w:val="20"/>
          <w:szCs w:val="20"/>
          <w:color w:val="auto"/>
        </w:rPr>
      </w:pPr>
      <w:r>
        <w:rPr>
          <w:rFonts w:ascii="Arial" w:cs="Arial" w:eastAsia="Arial" w:hAnsi="Arial"/>
          <w:sz w:val="15"/>
          <w:szCs w:val="15"/>
          <w:color w:val="auto"/>
        </w:rPr>
        <w:t>Pursuant to the IRA, after the completion of this offering, the holders of up to 59,949,785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320"/>
          </w:cols>
          <w:pgMar w:left="320" w:top="419" w:right="125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MATERIAL U.S. FEDERAL INCOME TAX CONSEQUENCES TO NON-U.S. HOLDERS OF OUR</w:t>
      </w:r>
    </w:p>
    <w:p>
      <w:pPr>
        <w:spacing w:after="0" w:line="13"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COMMON STOCK</w:t>
      </w:r>
    </w:p>
    <w:p>
      <w:pPr>
        <w:spacing w:after="0" w:line="183"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following is a summary of the material U.S. federal income tax consequences to certain non-U.S. holders (as defined below) of the ownership and disposition of our common stock,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w:t>
      </w:r>
    </w:p>
    <w:p>
      <w:pPr>
        <w:spacing w:after="0" w:line="179"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This summary does not address the tax considerations arising under the laws of any state, local or non-U.S. jurisdiction, or under U.S. federal gift and estate tax laws. In addition, this discussion does not address tax considerations applicable to a non-U.S. holder’s particular circumstances or non-U.S. holders that may be subject to special tax rules, including, without limitation:</w:t>
      </w:r>
    </w:p>
    <w:p>
      <w:pPr>
        <w:spacing w:after="0" w:line="96" w:lineRule="exact"/>
        <w:rPr>
          <w:sz w:val="20"/>
          <w:szCs w:val="20"/>
          <w:color w:val="auto"/>
        </w:rPr>
      </w:pPr>
    </w:p>
    <w:p>
      <w:pPr>
        <w:ind w:left="146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banks, insurance companies or other financial institutions (except to the extent specifically set forth below), regulated investment companies or real estate investment trusts;</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subject to the alternative minimum tax or Medicare contribution tax on net investment income;</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tax-exempt organizations or governmental organizations;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pension plans or tax-exempt retirement plans;</w:t>
      </w:r>
    </w:p>
    <w:p>
      <w:pPr>
        <w:spacing w:after="0" w:line="99" w:lineRule="exact"/>
        <w:rPr>
          <w:rFonts w:ascii="Arial" w:cs="Arial" w:eastAsia="Arial" w:hAnsi="Arial"/>
          <w:sz w:val="16"/>
          <w:szCs w:val="16"/>
          <w:color w:val="auto"/>
        </w:rPr>
      </w:pPr>
    </w:p>
    <w:p>
      <w:pPr>
        <w:ind w:left="1460" w:right="4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brokers or dealers in securities or currencies;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traders in securities or other persons that elect to use a mark-to-market method of accounting for their holdings in our stock;</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that own, or are deemed to own, more than 5% of our capital stock (except to the extent specifically set forth below);</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U.S. expatriates and certain former citizens or long-term residents of the United States;</w:t>
      </w:r>
    </w:p>
    <w:p>
      <w:pPr>
        <w:spacing w:after="0" w:line="99" w:lineRule="exact"/>
        <w:rPr>
          <w:rFonts w:ascii="Arial" w:cs="Arial" w:eastAsia="Arial" w:hAnsi="Arial"/>
          <w:sz w:val="16"/>
          <w:szCs w:val="16"/>
          <w:color w:val="auto"/>
        </w:rPr>
      </w:pPr>
    </w:p>
    <w:p>
      <w:pPr>
        <w:ind w:left="1460" w:right="32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partnerships, entities or arrangements classified as partnerships for U.S. federal income tax purposes or other pass-through entities (and investors therein);</w:t>
      </w:r>
    </w:p>
    <w:p>
      <w:pPr>
        <w:spacing w:after="0" w:line="96" w:lineRule="exact"/>
        <w:rPr>
          <w:rFonts w:ascii="Arial" w:cs="Arial" w:eastAsia="Arial" w:hAnsi="Arial"/>
          <w:sz w:val="16"/>
          <w:szCs w:val="16"/>
          <w:color w:val="auto"/>
        </w:rPr>
      </w:pPr>
    </w:p>
    <w:p>
      <w:pPr>
        <w:ind w:left="1460" w:right="32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 or integrated investment;</w:t>
      </w:r>
    </w:p>
    <w:p>
      <w:pPr>
        <w:spacing w:after="0" w:line="96" w:lineRule="exact"/>
        <w:rPr>
          <w:rFonts w:ascii="Arial" w:cs="Arial" w:eastAsia="Arial" w:hAnsi="Arial"/>
          <w:sz w:val="16"/>
          <w:szCs w:val="16"/>
          <w:color w:val="auto"/>
        </w:rPr>
      </w:pPr>
    </w:p>
    <w:p>
      <w:pPr>
        <w:ind w:left="1460" w:right="72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96" w:lineRule="exact"/>
        <w:rPr>
          <w:rFonts w:ascii="Arial" w:cs="Arial" w:eastAsia="Arial" w:hAnsi="Arial"/>
          <w:sz w:val="16"/>
          <w:szCs w:val="16"/>
          <w:color w:val="auto"/>
        </w:rPr>
      </w:pPr>
    </w:p>
    <w:p>
      <w:pPr>
        <w:ind w:left="1460" w:right="120" w:hanging="188"/>
        <w:spacing w:after="0" w:line="238" w:lineRule="auto"/>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or</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83" w:lineRule="exact"/>
        <w:rPr>
          <w:sz w:val="20"/>
          <w:szCs w:val="20"/>
          <w:color w:val="auto"/>
        </w:rPr>
      </w:pPr>
    </w:p>
    <w:p>
      <w:pPr>
        <w:jc w:val="both"/>
        <w:ind w:left="800" w:right="280" w:firstLine="482"/>
        <w:spacing w:after="0" w:line="236" w:lineRule="auto"/>
        <w:rPr>
          <w:sz w:val="20"/>
          <w:szCs w:val="20"/>
          <w:color w:val="auto"/>
        </w:rPr>
      </w:pPr>
      <w:r>
        <w:rPr>
          <w:rFonts w:ascii="Arial" w:cs="Arial" w:eastAsia="Arial" w:hAnsi="Arial"/>
          <w:sz w:val="16"/>
          <w:szCs w:val="16"/>
          <w:color w:val="auto"/>
        </w:rPr>
        <w:t>In addition, if a partnership, including an entity or arrangement classified as a partnership for U.S. federal income tax purposes, holds our common stock, the tax treatment of a partner generally will depend on the status of the partner and upon the activities of the partnership. Accordingly,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0400"/>
          </w:cols>
          <w:pgMar w:left="320" w:top="419" w:right="117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800"/>
        <w:spacing w:after="0" w:line="238" w:lineRule="auto"/>
        <w:rPr>
          <w:sz w:val="20"/>
          <w:szCs w:val="20"/>
          <w:color w:val="auto"/>
        </w:rPr>
      </w:pPr>
      <w:r>
        <w:rPr>
          <w:rFonts w:ascii="Arial" w:cs="Arial" w:eastAsia="Arial" w:hAnsi="Arial"/>
          <w:sz w:val="16"/>
          <w:szCs w:val="16"/>
          <w:color w:val="auto"/>
        </w:rPr>
        <w:t>partnerships that hold our common stock, and partners in such partnerships, should consult their tax advisors regarding the tax consequences of the ownership and disposition of our common stock through a partnership.</w:t>
      </w:r>
    </w:p>
    <w:p>
      <w:pPr>
        <w:spacing w:after="0" w:line="159" w:lineRule="exact"/>
        <w:rPr>
          <w:sz w:val="20"/>
          <w:szCs w:val="20"/>
          <w:color w:val="auto"/>
        </w:rPr>
      </w:pPr>
    </w:p>
    <w:p>
      <w:pPr>
        <w:ind w:left="800" w:right="120" w:firstLine="482"/>
        <w:spacing w:after="0" w:line="242" w:lineRule="auto"/>
        <w:rPr>
          <w:sz w:val="20"/>
          <w:szCs w:val="20"/>
          <w:color w:val="auto"/>
        </w:rPr>
      </w:pPr>
      <w:r>
        <w:rPr>
          <w:rFonts w:ascii="Arial" w:cs="Arial" w:eastAsia="Arial" w:hAnsi="Arial"/>
          <w:sz w:val="16"/>
          <w:szCs w:val="16"/>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5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Non-U.S. Holder Defined</w:t>
      </w:r>
    </w:p>
    <w:p>
      <w:pPr>
        <w:spacing w:after="0" w:line="203" w:lineRule="exact"/>
        <w:rPr>
          <w:sz w:val="20"/>
          <w:szCs w:val="20"/>
          <w:color w:val="auto"/>
        </w:rPr>
      </w:pPr>
    </w:p>
    <w:p>
      <w:pPr>
        <w:ind w:left="800" w:right="440" w:firstLine="482"/>
        <w:spacing w:after="0" w:line="236" w:lineRule="auto"/>
        <w:rPr>
          <w:sz w:val="20"/>
          <w:szCs w:val="20"/>
          <w:color w:val="auto"/>
        </w:rPr>
      </w:pPr>
      <w:r>
        <w:rPr>
          <w:rFonts w:ascii="Arial" w:cs="Arial" w:eastAsia="Arial" w:hAnsi="Arial"/>
          <w:sz w:val="16"/>
          <w:szCs w:val="16"/>
          <w:color w:val="auto"/>
        </w:rPr>
        <w:t>For purposes of this discussion, you are a non-U.S. holder if you are any beneficial owner of our common stock that is not a partnership (including an entity or arrangement treated as a partnership for U.S. federal income tax purposes) and are not any of the following:</w:t>
      </w:r>
    </w:p>
    <w:p>
      <w:pPr>
        <w:spacing w:after="0" w:line="96" w:lineRule="exact"/>
        <w:rPr>
          <w:sz w:val="20"/>
          <w:szCs w:val="20"/>
          <w:color w:val="auto"/>
        </w:rPr>
      </w:pPr>
    </w:p>
    <w:p>
      <w:pPr>
        <w:ind w:left="1460" w:hanging="188"/>
        <w:spacing w:after="0"/>
        <w:tabs>
          <w:tab w:leader="none" w:pos="1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 (for U.S. federal income tax purposes);</w:t>
      </w:r>
    </w:p>
    <w:p>
      <w:pPr>
        <w:spacing w:after="0" w:line="93" w:lineRule="exact"/>
        <w:rPr>
          <w:rFonts w:ascii="Arial" w:cs="Arial" w:eastAsia="Arial" w:hAnsi="Arial"/>
          <w:sz w:val="16"/>
          <w:szCs w:val="16"/>
          <w:color w:val="auto"/>
        </w:rPr>
      </w:pPr>
    </w:p>
    <w:p>
      <w:pPr>
        <w:ind w:left="1460" w:hanging="188"/>
        <w:spacing w:after="0"/>
        <w:tabs>
          <w:tab w:leader="none" w:pos="1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United States or under the laws of the</w:t>
      </w:r>
    </w:p>
    <w:p>
      <w:pPr>
        <w:ind w:left="1460"/>
        <w:spacing w:after="0"/>
        <w:rPr>
          <w:rFonts w:ascii="Arial" w:cs="Arial" w:eastAsia="Arial" w:hAnsi="Arial"/>
          <w:sz w:val="16"/>
          <w:szCs w:val="16"/>
          <w:color w:val="auto"/>
        </w:rPr>
      </w:pPr>
      <w:r>
        <w:rPr>
          <w:rFonts w:ascii="Arial" w:cs="Arial" w:eastAsia="Arial" w:hAnsi="Arial"/>
          <w:sz w:val="16"/>
          <w:szCs w:val="16"/>
          <w:color w:val="auto"/>
        </w:rPr>
        <w:t>United States, any state thereof or the District of Columbia or other entity treated as such for U.S. federal income tax purposes;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99" w:lineRule="exact"/>
        <w:rPr>
          <w:rFonts w:ascii="Arial" w:cs="Arial" w:eastAsia="Arial" w:hAnsi="Arial"/>
          <w:sz w:val="16"/>
          <w:szCs w:val="16"/>
          <w:color w:val="auto"/>
        </w:rPr>
      </w:pPr>
    </w:p>
    <w:p>
      <w:pPr>
        <w:ind w:left="1460" w:right="100" w:hanging="188"/>
        <w:spacing w:after="0" w:line="246" w:lineRule="auto"/>
        <w:tabs>
          <w:tab w:leader="none" w:pos="14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spacing w:after="0" w:line="1" w:lineRule="exact"/>
        <w:rPr>
          <w:rFonts w:ascii="Arial" w:cs="Arial" w:eastAsia="Arial" w:hAnsi="Arial"/>
          <w:sz w:val="15"/>
          <w:szCs w:val="15"/>
          <w:color w:val="auto"/>
        </w:rPr>
      </w:pPr>
    </w:p>
    <w:p>
      <w:pPr>
        <w:ind w:left="1460"/>
        <w:spacing w:after="0"/>
        <w:rPr>
          <w:rFonts w:ascii="Arial" w:cs="Arial" w:eastAsia="Arial" w:hAnsi="Arial"/>
          <w:sz w:val="15"/>
          <w:szCs w:val="15"/>
          <w:color w:val="auto"/>
        </w:rPr>
      </w:pPr>
      <w:r>
        <w:rPr>
          <w:rFonts w:ascii="Arial" w:cs="Arial" w:eastAsia="Arial" w:hAnsi="Arial"/>
          <w:sz w:val="16"/>
          <w:szCs w:val="16"/>
          <w:color w:val="auto"/>
        </w:rPr>
        <w:t>(y) which has made a valid election to be treated as a U.S. person.</w:t>
      </w:r>
    </w:p>
    <w:p>
      <w:pPr>
        <w:spacing w:after="0" w:line="257"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Distributions</w:t>
      </w:r>
    </w:p>
    <w:p>
      <w:pPr>
        <w:spacing w:after="0" w:line="203" w:lineRule="exact"/>
        <w:rPr>
          <w:sz w:val="20"/>
          <w:szCs w:val="20"/>
          <w:color w:val="auto"/>
        </w:rPr>
      </w:pPr>
    </w:p>
    <w:p>
      <w:pPr>
        <w:ind w:left="800" w:right="20" w:firstLine="482"/>
        <w:spacing w:after="0" w:line="251" w:lineRule="auto"/>
        <w:rPr>
          <w:sz w:val="20"/>
          <w:szCs w:val="20"/>
          <w:color w:val="auto"/>
        </w:rPr>
      </w:pPr>
      <w:r>
        <w:rPr>
          <w:rFonts w:ascii="Arial" w:cs="Arial" w:eastAsia="Arial" w:hAnsi="Arial"/>
          <w:sz w:val="15"/>
          <w:szCs w:val="15"/>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under “—Gain on Disposition of Our Common Stock.”</w:t>
      </w:r>
    </w:p>
    <w:p>
      <w:pPr>
        <w:spacing w:after="0" w:line="171" w:lineRule="exact"/>
        <w:rPr>
          <w:sz w:val="20"/>
          <w:szCs w:val="20"/>
          <w:color w:val="auto"/>
        </w:rPr>
      </w:pPr>
    </w:p>
    <w:p>
      <w:pPr>
        <w:ind w:left="800" w:right="120" w:firstLine="482"/>
        <w:spacing w:after="0" w:line="234" w:lineRule="auto"/>
        <w:rPr>
          <w:sz w:val="20"/>
          <w:szCs w:val="20"/>
          <w:color w:val="auto"/>
        </w:rPr>
      </w:pPr>
      <w:r>
        <w:rPr>
          <w:rFonts w:ascii="Arial" w:cs="Arial" w:eastAsia="Arial" w:hAnsi="Arial"/>
          <w:sz w:val="16"/>
          <w:szCs w:val="16"/>
          <w:color w:val="auto"/>
        </w:rPr>
        <w:t>Except as otherwise described below in the discussion on effectively connected income and the sections titled “–Backup Withholding and Information Reporting” and “–FATCA,” any dividend paid to you generally will be subject to U.S. federal withholding tax either at a rate of 30% of the gross amount of the dividend or such lower rate as may be specified by an applicable income tax treaty. If you are eligible for exemption of U.S. federal withholding tax pursuant to an income tax treaty, you may be entitled to a refund or credit of any excess tax withheld by timely filing an appropriate claim with the IRS.</w:t>
      </w:r>
    </w:p>
    <w:p>
      <w:pPr>
        <w:spacing w:after="0" w:line="179"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In order to be subject to withholding at a reduced treaty rate, you must provide us with an IRS Form W-8BEN, IRS Form W-8BEN-E or other appropriate version of IRS Form W-8, including any required attachments and your taxpayer identification number, certifying qualification for the exemption;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0440"/>
          </w:cols>
          <w:pgMar w:left="320" w:top="419" w:right="113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5" w:lineRule="auto"/>
        <w:rPr>
          <w:sz w:val="20"/>
          <w:szCs w:val="20"/>
          <w:color w:val="auto"/>
        </w:rPr>
      </w:pPr>
      <w:r>
        <w:rPr>
          <w:rFonts w:ascii="Arial" w:cs="Arial" w:eastAsia="Arial" w:hAnsi="Arial"/>
          <w:sz w:val="16"/>
          <w:szCs w:val="16"/>
          <w:color w:val="auto"/>
        </w:rPr>
        <w:t>additionally, you will be required to update such forms and certifications from time to time as required by law. If you hold our stock through a financial institution or other agent acting on your behalf, you will be required to provide appropriate documentation to the agent, which then will be required to provide certification to us or our paying agent, either directly or through other intermediaries. You should consult your tax advisor regarding entitlement to benefits under any applicable income tax treaties.</w:t>
      </w:r>
    </w:p>
    <w:p>
      <w:pPr>
        <w:spacing w:after="0" w:line="178"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Dividends received by you that are effectively connected with your conduct of a U.S. trade or business (and, if required by an applicable income tax treaty, attributable to a permanent establishment or fixed base maintained by you in the United States) are generally exempt from such withholding tax. In order to obtain this exemption, you must provide us with an IRS Form W-8ECI, including any required attachments and your taxpayer identification number, certifying qualification for the exemption; additionally, you will be required to update such forms and certifications from time to time as required by law. Such effectively connected dividends, although not subject to withholding tax, are includable on your U.S. income tax return and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59"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Gain on Disposition of Our Common Stock</w:t>
      </w:r>
    </w:p>
    <w:p>
      <w:pPr>
        <w:spacing w:after="0" w:line="203" w:lineRule="exact"/>
        <w:rPr>
          <w:sz w:val="20"/>
          <w:szCs w:val="20"/>
          <w:color w:val="auto"/>
        </w:rPr>
      </w:pPr>
    </w:p>
    <w:p>
      <w:pPr>
        <w:ind w:left="800" w:right="320" w:firstLine="482"/>
        <w:spacing w:after="0" w:line="236" w:lineRule="auto"/>
        <w:rPr>
          <w:sz w:val="20"/>
          <w:szCs w:val="20"/>
          <w:color w:val="auto"/>
        </w:rPr>
      </w:pPr>
      <w:r>
        <w:rPr>
          <w:rFonts w:ascii="Arial" w:cs="Arial" w:eastAsia="Arial" w:hAnsi="Arial"/>
          <w:sz w:val="16"/>
          <w:szCs w:val="16"/>
          <w:color w:val="auto"/>
        </w:rPr>
        <w:t>Except as otherwise described below in the section titled “–Backup Withholding and Information Reporting” and “–FATCA,” you generally will not be subject to U.S. federal income tax on any gain realized upon the sale or other disposition of our common stock unless:</w:t>
      </w:r>
    </w:p>
    <w:p>
      <w:pPr>
        <w:spacing w:after="0" w:line="96" w:lineRule="exact"/>
        <w:rPr>
          <w:sz w:val="20"/>
          <w:szCs w:val="20"/>
          <w:color w:val="auto"/>
        </w:rPr>
      </w:pPr>
    </w:p>
    <w:p>
      <w:pPr>
        <w:ind w:left="1460" w:right="420" w:hanging="188"/>
        <w:spacing w:after="0" w:line="238" w:lineRule="auto"/>
        <w:tabs>
          <w:tab w:leader="none" w:pos="1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required by an applicable income tax treaty, is attributable to a permanent establishment or fixed base maintained by you in the United States);</w:t>
      </w:r>
    </w:p>
    <w:p>
      <w:pPr>
        <w:spacing w:after="0" w:line="96" w:lineRule="exact"/>
        <w:rPr>
          <w:rFonts w:ascii="Arial" w:cs="Arial" w:eastAsia="Arial" w:hAnsi="Arial"/>
          <w:sz w:val="16"/>
          <w:szCs w:val="16"/>
          <w:color w:val="auto"/>
        </w:rPr>
      </w:pPr>
    </w:p>
    <w:p>
      <w:pPr>
        <w:ind w:left="1460" w:right="100" w:hanging="188"/>
        <w:spacing w:after="0" w:line="238" w:lineRule="auto"/>
        <w:tabs>
          <w:tab w:leader="none" w:pos="1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96" w:lineRule="exact"/>
        <w:rPr>
          <w:rFonts w:ascii="Arial" w:cs="Arial" w:eastAsia="Arial" w:hAnsi="Arial"/>
          <w:sz w:val="16"/>
          <w:szCs w:val="16"/>
          <w:color w:val="auto"/>
        </w:rPr>
      </w:pPr>
    </w:p>
    <w:p>
      <w:pPr>
        <w:ind w:left="1460" w:right="40" w:hanging="188"/>
        <w:spacing w:after="0" w:line="234" w:lineRule="auto"/>
        <w:tabs>
          <w:tab w:leader="none" w:pos="1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179"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United States real property interest only if you actually or constructively hold more than 5% of such regularly traded common stock at any time during the shorter of the five-year period preceding your disposition of, or your holding period for, our common stock.</w:t>
      </w:r>
    </w:p>
    <w:p>
      <w:pPr>
        <w:spacing w:after="0" w:line="181"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If you are a non-U.S. holder described in the first bullet above, you will generally be required to pay tax on the net gain derived from the sale under regular graduated U.S. federal income tax rates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0420"/>
          </w:cols>
          <w:pgMar w:left="320" w:top="419" w:right="115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180"/>
        <w:spacing w:after="0" w:line="233" w:lineRule="auto"/>
        <w:rPr>
          <w:sz w:val="20"/>
          <w:szCs w:val="20"/>
          <w:color w:val="auto"/>
        </w:rPr>
      </w:pPr>
      <w:r>
        <w:rPr>
          <w:rFonts w:ascii="Arial" w:cs="Arial" w:eastAsia="Arial" w:hAnsi="Arial"/>
          <w:sz w:val="16"/>
          <w:szCs w:val="16"/>
          <w:color w:val="auto"/>
        </w:rPr>
        <w:t>(and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56"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203"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ind w:left="800" w:right="140" w:firstLine="482"/>
        <w:spacing w:after="0" w:line="233" w:lineRule="auto"/>
        <w:rPr>
          <w:sz w:val="20"/>
          <w:szCs w:val="20"/>
          <w:color w:val="auto"/>
        </w:rPr>
      </w:pPr>
      <w:r>
        <w:rPr>
          <w:rFonts w:ascii="Arial" w:cs="Arial" w:eastAsia="Arial" w:hAnsi="Arial"/>
          <w:sz w:val="16"/>
          <w:szCs w:val="16"/>
          <w:color w:val="auto"/>
        </w:rPr>
        <w:t>Payments of dividends or of proceeds from the disposition of our common stock made to you may be subject to information reporting and backup withholding at a current rate of 24% unless you establish an exemption, for example, by properly certifying your non-U.S. status on an IRS Form W-8BEN, IRS Form W-8BEN-E or another appropriate version of IRS Form W-8. Any documentation provided to an applicable withholding agent may need to be updated in certain circumstances. Notwithstanding the foregoing, backup withholding and information reporting may apply if either we or our paying agent has actual knowledge, or reason to know, that you are a U.S. person.</w:t>
      </w:r>
    </w:p>
    <w:p>
      <w:pPr>
        <w:spacing w:after="0" w:line="182"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9" w:lineRule="exact"/>
        <w:rPr>
          <w:sz w:val="20"/>
          <w:szCs w:val="20"/>
          <w:color w:val="auto"/>
        </w:rPr>
      </w:pPr>
    </w:p>
    <w:p>
      <w:pPr>
        <w:jc w:val="both"/>
        <w:ind w:left="800" w:right="40" w:firstLine="482"/>
        <w:spacing w:after="0" w:line="258" w:lineRule="auto"/>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under the backup withholding rules. If backup withholding results in an overpayment of taxes, a refund or credit may generally be obtained from the IRS, provided that the required information is furnished to the IRS in a timely manner.</w:t>
      </w:r>
    </w:p>
    <w:p>
      <w:pPr>
        <w:spacing w:after="0" w:line="24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FATCA</w:t>
      </w:r>
    </w:p>
    <w:p>
      <w:pPr>
        <w:spacing w:after="0" w:line="203" w:lineRule="exact"/>
        <w:rPr>
          <w:sz w:val="20"/>
          <w:szCs w:val="20"/>
          <w:color w:val="auto"/>
        </w:rPr>
      </w:pPr>
    </w:p>
    <w:p>
      <w:pPr>
        <w:ind w:left="800" w:right="160" w:firstLine="482"/>
        <w:spacing w:after="0" w:line="233" w:lineRule="auto"/>
        <w:rPr>
          <w:sz w:val="20"/>
          <w:szCs w:val="20"/>
          <w:color w:val="auto"/>
        </w:rPr>
      </w:pPr>
      <w:r>
        <w:rPr>
          <w:rFonts w:ascii="Arial" w:cs="Arial" w:eastAsia="Arial" w:hAnsi="Arial"/>
          <w:sz w:val="16"/>
          <w:szCs w:val="16"/>
          <w:color w:val="auto"/>
        </w:rPr>
        <w:t>The Foreign Account Tax Compliance Act and the rules and Treasury regulations promulgated thereunder, or collectively, FATCA, generally impose U.S. federal withholding tax at a rate of 30% on dividends on and (subject to the proposed Treasury regulations discussed below) the gross proceeds from a sale or other disposition of our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w:t>
      </w:r>
    </w:p>
    <w:p>
      <w:pPr>
        <w:spacing w:after="0" w:line="12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0440"/>
          </w:cols>
          <w:pgMar w:left="320" w:top="419" w:right="113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spacing w:after="0" w:line="232" w:lineRule="auto"/>
        <w:rPr>
          <w:sz w:val="20"/>
          <w:szCs w:val="20"/>
          <w:color w:val="auto"/>
        </w:rPr>
      </w:pPr>
      <w:r>
        <w:rPr>
          <w:rFonts w:ascii="Arial" w:cs="Arial" w:eastAsia="Arial" w:hAnsi="Arial"/>
          <w:sz w:val="16"/>
          <w:szCs w:val="16"/>
          <w:color w:val="auto"/>
        </w:rPr>
        <w:t>withholding tax of 30% on dividends on and (subject to the proposed Treasury regulations discussed below) the gross proceeds from a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common stock. While withholding under FATCA would have applied also to payments of gross proceeds from the sale or other disposition of our common stock on or after January 1, 2019, proposed Treasury regulations provide that the withholding provisions under FATCA do not apply with respect to the payment of gross proceeds from a sale or other disposition of our common stock. These proposed Treasury regulations may be relied upon by taxpayers until final Treasury regulations are issued. An intergovernmental agreement between the United States and your country of tax residence may modify the requirements described in this paragraph. Non-U.S. holders should consult their own tax advisors regarding the possible implications of FATCA on their investment in our common stock.</w:t>
      </w:r>
    </w:p>
    <w:p>
      <w:pPr>
        <w:spacing w:after="0" w:line="164" w:lineRule="exact"/>
        <w:rPr>
          <w:sz w:val="20"/>
          <w:szCs w:val="20"/>
          <w:color w:val="auto"/>
        </w:rPr>
      </w:pPr>
    </w:p>
    <w:p>
      <w:pPr>
        <w:jc w:val="both"/>
        <w:ind w:left="800" w:right="300" w:firstLine="482"/>
        <w:spacing w:after="0" w:line="247"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0420"/>
          </w:cols>
          <w:pgMar w:left="320" w:top="419" w:right="115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UNDERWRITING</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We and the underwriters named below have entered into an underwriting agreement with respect to the shares being offered.</w:t>
      </w:r>
    </w:p>
    <w:p>
      <w:pPr>
        <w:ind w:left="800"/>
        <w:spacing w:after="0" w:line="231" w:lineRule="auto"/>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w:t>
      </w:r>
    </w:p>
    <w:p>
      <w:pPr>
        <w:ind w:left="800"/>
        <w:spacing w:after="0"/>
        <w:rPr>
          <w:sz w:val="20"/>
          <w:szCs w:val="20"/>
          <w:color w:val="auto"/>
        </w:rPr>
      </w:pPr>
      <w:r>
        <w:rPr>
          <w:rFonts w:ascii="Arial" w:cs="Arial" w:eastAsia="Arial" w:hAnsi="Arial"/>
          <w:sz w:val="16"/>
          <w:szCs w:val="16"/>
          <w:color w:val="auto"/>
        </w:rPr>
        <w:t>Goldman Sachs &amp; Co. LLC, BofA Securities, Inc. and Citigroup Global Markets Inc. are the representatives of the underwriters.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74"/>
        </w:trPr>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Underwriters</w:t>
            </w:r>
          </w:p>
        </w:tc>
        <w:tc>
          <w:tcPr>
            <w:tcW w:w="774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4"/>
              </w:rPr>
              <w:t>Number of Shares</w:t>
            </w:r>
          </w:p>
        </w:tc>
      </w:tr>
      <w:tr>
        <w:trPr>
          <w:trHeight w:val="161"/>
        </w:trPr>
        <w:tc>
          <w:tcPr>
            <w:tcW w:w="852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Goldman Sachs &amp; Co. LLC</w:t>
            </w:r>
          </w:p>
        </w:tc>
        <w:tc>
          <w:tcPr>
            <w:tcW w:w="10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77"/>
        </w:trPr>
        <w:tc>
          <w:tcPr>
            <w:tcW w:w="8520" w:type="dxa"/>
            <w:vAlign w:val="bottom"/>
            <w:gridSpan w:val="2"/>
          </w:tcPr>
          <w:p>
            <w:pPr>
              <w:spacing w:after="0" w:line="177" w:lineRule="exact"/>
              <w:rPr>
                <w:sz w:val="20"/>
                <w:szCs w:val="20"/>
                <w:color w:val="auto"/>
              </w:rPr>
            </w:pPr>
            <w:r>
              <w:rPr>
                <w:rFonts w:ascii="Arial" w:cs="Arial" w:eastAsia="Arial" w:hAnsi="Arial"/>
                <w:sz w:val="16"/>
                <w:szCs w:val="16"/>
                <w:color w:val="auto"/>
              </w:rPr>
              <w:t>BofA Securities, Inc.</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8520" w:type="dxa"/>
            <w:vAlign w:val="bottom"/>
            <w:gridSpan w:val="2"/>
          </w:tcPr>
          <w:p>
            <w:pPr>
              <w:spacing w:after="0"/>
              <w:rPr>
                <w:sz w:val="20"/>
                <w:szCs w:val="20"/>
                <w:color w:val="auto"/>
              </w:rPr>
            </w:pPr>
            <w:r>
              <w:rPr>
                <w:rFonts w:ascii="Arial" w:cs="Arial" w:eastAsia="Arial" w:hAnsi="Arial"/>
                <w:sz w:val="16"/>
                <w:szCs w:val="16"/>
                <w:color w:val="auto"/>
              </w:rPr>
              <w:t>Citigroup Global Markets Inc.</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9"/>
        </w:trPr>
        <w:tc>
          <w:tcPr>
            <w:tcW w:w="852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Jefferies LLC</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7"/>
        </w:trPr>
        <w:tc>
          <w:tcPr>
            <w:tcW w:w="8520" w:type="dxa"/>
            <w:vAlign w:val="bottom"/>
            <w:gridSpan w:val="2"/>
          </w:tcPr>
          <w:p>
            <w:pPr>
              <w:spacing w:after="0" w:line="178" w:lineRule="exact"/>
              <w:rPr>
                <w:sz w:val="20"/>
                <w:szCs w:val="20"/>
                <w:color w:val="auto"/>
              </w:rPr>
            </w:pPr>
            <w:r>
              <w:rPr>
                <w:rFonts w:ascii="Arial" w:cs="Arial" w:eastAsia="Arial" w:hAnsi="Arial"/>
                <w:sz w:val="16"/>
                <w:szCs w:val="16"/>
                <w:color w:val="auto"/>
              </w:rPr>
              <w:t>Barclays Capital Inc.</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85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JMP Securities LLC</w:t>
            </w:r>
          </w:p>
        </w:tc>
        <w:tc>
          <w:tcPr>
            <w:tcW w:w="10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1"/>
        </w:trPr>
        <w:tc>
          <w:tcPr>
            <w:tcW w:w="8520" w:type="dxa"/>
            <w:vAlign w:val="bottom"/>
            <w:gridSpan w:val="2"/>
          </w:tcPr>
          <w:p>
            <w:pPr>
              <w:spacing w:after="0" w:line="178" w:lineRule="exact"/>
              <w:rPr>
                <w:sz w:val="20"/>
                <w:szCs w:val="20"/>
                <w:color w:val="auto"/>
              </w:rPr>
            </w:pPr>
            <w:r>
              <w:rPr>
                <w:rFonts w:ascii="Arial" w:cs="Arial" w:eastAsia="Arial" w:hAnsi="Arial"/>
                <w:sz w:val="16"/>
                <w:szCs w:val="16"/>
                <w:color w:val="auto"/>
              </w:rPr>
              <w:t>Piper Sandler &amp; Co.</w:t>
            </w:r>
          </w:p>
        </w:tc>
        <w:tc>
          <w:tcPr>
            <w:tcW w:w="10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8520" w:type="dxa"/>
            <w:vAlign w:val="bottom"/>
            <w:gridSpan w:val="2"/>
            <w:shd w:val="clear" w:color="auto" w:fill="CCEEFF"/>
          </w:tcPr>
          <w:p>
            <w:pPr>
              <w:ind w:left="320"/>
              <w:spacing w:after="0" w:line="178" w:lineRule="exact"/>
              <w:rPr>
                <w:sz w:val="20"/>
                <w:szCs w:val="20"/>
                <w:color w:val="auto"/>
              </w:rPr>
            </w:pPr>
            <w:r>
              <w:rPr>
                <w:rFonts w:ascii="Arial" w:cs="Arial" w:eastAsia="Arial" w:hAnsi="Arial"/>
                <w:sz w:val="16"/>
                <w:szCs w:val="16"/>
                <w:color w:val="auto"/>
              </w:rPr>
              <w:t>Total</w:t>
            </w:r>
          </w:p>
        </w:tc>
        <w:tc>
          <w:tcPr>
            <w:tcW w:w="11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2,000,000</w:t>
            </w:r>
          </w:p>
        </w:tc>
      </w:tr>
      <w:tr>
        <w:trPr>
          <w:trHeight w:val="20"/>
        </w:trPr>
        <w:tc>
          <w:tcPr>
            <w:tcW w:w="7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520" w:firstLine="482"/>
        <w:spacing w:after="0" w:line="238" w:lineRule="auto"/>
        <w:rPr>
          <w:sz w:val="20"/>
          <w:szCs w:val="20"/>
          <w:color w:val="auto"/>
        </w:rPr>
      </w:pPr>
      <w:r>
        <w:rPr>
          <w:rFonts w:ascii="Arial" w:cs="Arial" w:eastAsia="Arial" w:hAnsi="Arial"/>
          <w:sz w:val="16"/>
          <w:szCs w:val="16"/>
          <w:color w:val="auto"/>
        </w:rPr>
        <w:t>The underwriters will be committed to take and pay for all of the shares being offered, if any are taken, other than the shares covered by the option described below unless and until this option is exercised.</w:t>
      </w:r>
    </w:p>
    <w:p>
      <w:pPr>
        <w:spacing w:after="0" w:line="179" w:lineRule="exact"/>
        <w:rPr>
          <w:sz w:val="20"/>
          <w:szCs w:val="20"/>
          <w:color w:val="auto"/>
        </w:rPr>
      </w:pPr>
    </w:p>
    <w:p>
      <w:pPr>
        <w:jc w:val="both"/>
        <w:ind w:left="800" w:right="80" w:firstLine="482"/>
        <w:spacing w:after="0" w:line="236" w:lineRule="auto"/>
        <w:rPr>
          <w:sz w:val="20"/>
          <w:szCs w:val="20"/>
          <w:color w:val="auto"/>
        </w:rPr>
      </w:pPr>
      <w:r>
        <w:rPr>
          <w:rFonts w:ascii="Arial" w:cs="Arial" w:eastAsia="Arial" w:hAnsi="Arial"/>
          <w:sz w:val="16"/>
          <w:szCs w:val="16"/>
          <w:color w:val="auto"/>
        </w:rPr>
        <w:t>The underwriters will have an option to buy up to an additional 300,000 shares from us. They may exercise that option for 30 days. If any shares are purchased pursuant to this option, the underwriters will severally purchase shares in approximately the same proportion as set forth in the table above.</w:t>
      </w:r>
    </w:p>
    <w:p>
      <w:pPr>
        <w:spacing w:after="0" w:line="17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w:t>
      </w:r>
    </w:p>
    <w:p>
      <w:pPr>
        <w:ind w:left="800"/>
        <w:spacing w:after="0"/>
        <w:rPr>
          <w:sz w:val="20"/>
          <w:szCs w:val="20"/>
          <w:color w:val="auto"/>
        </w:rPr>
      </w:pPr>
      <w:r>
        <w:rPr>
          <w:rFonts w:ascii="Arial" w:cs="Arial" w:eastAsia="Arial" w:hAnsi="Arial"/>
          <w:sz w:val="15"/>
          <w:szCs w:val="15"/>
          <w:color w:val="auto"/>
        </w:rPr>
        <w:t>Such amounts are shown assuming both no exercise and full exercise of the underwriters’ option to purchase 300,000 additional shares.</w:t>
      </w:r>
    </w:p>
    <w:p>
      <w:pPr>
        <w:spacing w:after="0" w:line="174"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Paid by us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58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auto"/>
              </w:rPr>
              <w:t>No Exercise</w:t>
            </w: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w w:val="99"/>
              </w:rPr>
              <w:t>Full Exercise</w:t>
            </w:r>
          </w:p>
        </w:tc>
      </w:tr>
      <w:tr>
        <w:trPr>
          <w:trHeight w:val="169"/>
        </w:trPr>
        <w:tc>
          <w:tcPr>
            <w:tcW w:w="75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Per Share</w:t>
            </w:r>
          </w:p>
        </w:tc>
        <w:tc>
          <w:tcPr>
            <w:tcW w:w="7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7580" w:type="dxa"/>
            <w:vAlign w:val="bottom"/>
          </w:tcPr>
          <w:p>
            <w:pPr>
              <w:spacing w:after="0"/>
              <w:rPr>
                <w:sz w:val="20"/>
                <w:szCs w:val="20"/>
                <w:color w:val="auto"/>
              </w:rPr>
            </w:pPr>
            <w:r>
              <w:rPr>
                <w:rFonts w:ascii="Arial" w:cs="Arial" w:eastAsia="Arial" w:hAnsi="Arial"/>
                <w:sz w:val="16"/>
                <w:szCs w:val="16"/>
                <w:color w:val="auto"/>
              </w:rPr>
              <w:t>Total</w:t>
            </w:r>
          </w:p>
        </w:tc>
        <w:tc>
          <w:tcPr>
            <w:tcW w:w="740" w:type="dxa"/>
            <w:vAlign w:val="bottom"/>
          </w:tcPr>
          <w:p>
            <w:pPr>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bl>
    <w:p>
      <w:pPr>
        <w:spacing w:after="0" w:line="17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Shares sold by the underwriters to the public will initially be offered at the public offering price set forth on the cover of this</w:t>
      </w:r>
    </w:p>
    <w:p>
      <w:pPr>
        <w:ind w:left="800" w:right="100"/>
        <w:spacing w:after="0" w:line="235" w:lineRule="auto"/>
        <w:rPr>
          <w:sz w:val="20"/>
          <w:szCs w:val="20"/>
          <w:color w:val="auto"/>
        </w:rPr>
      </w:pPr>
      <w:r>
        <w:rPr>
          <w:rFonts w:ascii="Arial" w:cs="Arial" w:eastAsia="Arial" w:hAnsi="Arial"/>
          <w:sz w:val="16"/>
          <w:szCs w:val="16"/>
          <w:color w:val="auto"/>
        </w:rPr>
        <w:t>prospectus. Any shares sold by the underwriters to securities dealers may be sold at a discount of up to $ per share from the public offering price. After the initial offering of our common stock, the representatives may change the offering price and the other selling terms. The offering of our common stock by the underwriters is subject to receipt and acceptance and subject to the underwriters’ right to reject any order in whole or in part.</w:t>
      </w:r>
    </w:p>
    <w:p>
      <w:pPr>
        <w:spacing w:after="0" w:line="178"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 connection with our IPO, we and our officers and directors, the selling stockholders, and the other holders of our common stock, who collectively hold substantially all of our common stock, agreed with the underwriters, subject to certain exceptions, not to dispose of or hedge any common stock or securities convertible into or exchangeable for shares of common stock during the period from the date of such agreement continuing through the date 180 days after December 15, 2020, except with the prior written consent of the representatives. This agreement does not apply to any existing employee benefit plans. See “Shares Available for Future Sale” for a discussion of certain transfer restrictions. Goldman Sachs &amp; Co. LLC, BofA Securities, Inc. and Citigroup Global Markets Inc. have agreed to release the restriction on our issuing additional shares of common stock, which was executed in connection with the IPO, in order to permit this offering.</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0440"/>
          </w:cols>
          <w:pgMar w:left="320" w:top="419" w:right="11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 connection with this offering, we and our executive officers and directors have agreed or will agree with the underwriters, subject to certain exceptions, not to offer, sell, contract to sell, pledge, 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90 days after the date of this prospectus, except with the prior written consent of Goldman Sachs &amp; Co. LLC, BofA Securities, Inc. and Citigroup Global Markets Inc.</w:t>
      </w:r>
    </w:p>
    <w:p>
      <w:pPr>
        <w:spacing w:after="0" w:line="182"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3"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2" w:lineRule="exact"/>
        <w:rPr>
          <w:sz w:val="20"/>
          <w:szCs w:val="20"/>
          <w:color w:val="auto"/>
        </w:rPr>
      </w:pPr>
    </w:p>
    <w:p>
      <w:pPr>
        <w:ind w:left="800" w:right="580" w:firstLine="482"/>
        <w:spacing w:after="0" w:line="238" w:lineRule="auto"/>
        <w:rPr>
          <w:sz w:val="20"/>
          <w:szCs w:val="20"/>
          <w:color w:val="auto"/>
        </w:rPr>
      </w:pPr>
      <w:r>
        <w:rPr>
          <w:rFonts w:ascii="Arial" w:cs="Arial" w:eastAsia="Arial" w:hAnsi="Arial"/>
          <w:sz w:val="16"/>
          <w:szCs w:val="16"/>
          <w:color w:val="auto"/>
        </w:rPr>
        <w:t>We estimate that our share of the total expenses of the offering, excluding underwriting discounts and commissions, will be approximately $0.8 million.</w:t>
      </w:r>
    </w:p>
    <w:p>
      <w:pPr>
        <w:spacing w:after="0" w:line="179" w:lineRule="exact"/>
        <w:rPr>
          <w:sz w:val="20"/>
          <w:szCs w:val="20"/>
          <w:color w:val="auto"/>
        </w:rPr>
      </w:pPr>
    </w:p>
    <w:p>
      <w:pPr>
        <w:jc w:val="both"/>
        <w:ind w:left="800" w:right="360" w:firstLine="482"/>
        <w:spacing w:after="0" w:line="236" w:lineRule="auto"/>
        <w:rPr>
          <w:sz w:val="20"/>
          <w:szCs w:val="20"/>
          <w:color w:val="auto"/>
        </w:rPr>
      </w:pPr>
      <w:r>
        <w:rPr>
          <w:rFonts w:ascii="Arial" w:cs="Arial" w:eastAsia="Arial" w:hAnsi="Arial"/>
          <w:sz w:val="16"/>
          <w:szCs w:val="16"/>
          <w:color w:val="auto"/>
        </w:rPr>
        <w:t>We will agree to reimburse the underwriters for expenses related to any applicable state securities filings and to the Financial Industry Regulatory Authority, Inc. incurred by them in connection with this offering in an amount up to $ 35,000. We will also agree to indemnify the several underwriters against certain liabilities, including liabilities under the Securities Act of 1933.</w:t>
      </w:r>
    </w:p>
    <w:p>
      <w:pPr>
        <w:spacing w:after="0" w:line="179"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0400"/>
          </w:cols>
          <w:pgMar w:left="320" w:top="419" w:right="117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40"/>
        <w:spacing w:after="0" w:line="233" w:lineRule="auto"/>
        <w:rPr>
          <w:sz w:val="20"/>
          <w:szCs w:val="20"/>
          <w:color w:val="auto"/>
        </w:rPr>
      </w:pPr>
      <w:r>
        <w:rPr>
          <w:rFonts w:ascii="Arial" w:cs="Arial" w:eastAsia="Arial" w:hAnsi="Arial"/>
          <w:sz w:val="16"/>
          <w:szCs w:val="16"/>
          <w:color w:val="auto"/>
        </w:rPr>
        <w:t>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 lender under a revolving credit facility entered into with one of our consolidated variable interest entities. Goldman Sachs &amp; Co. LLC or other affiliates of the same serve or have served as securitizer for certain consumer loans originated by our bank partners, or co-sponsor for, initial purchaser with respect to, or an investor in, certain of such securitizations. Jefferies LLC or other affiliates of the same have also served as purchaser and securitizer for certain consumer loans originated by our bank partners, or initial purchaser with respect to those and certain other securitizations of consumer loans originated by our bank partners.</w:t>
      </w:r>
    </w:p>
    <w:p>
      <w:pPr>
        <w:spacing w:after="0" w:line="178"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106" w:lineRule="exact"/>
        <w:rPr>
          <w:sz w:val="20"/>
          <w:szCs w:val="20"/>
          <w:color w:val="auto"/>
        </w:rPr>
      </w:pPr>
    </w:p>
    <w:p>
      <w:pPr>
        <w:ind w:left="800" w:right="80" w:firstLine="482"/>
        <w:spacing w:after="0" w:line="252" w:lineRule="auto"/>
        <w:rPr>
          <w:sz w:val="20"/>
          <w:szCs w:val="20"/>
          <w:color w:val="auto"/>
        </w:rPr>
      </w:pPr>
      <w:r>
        <w:rPr>
          <w:rFonts w:ascii="Arial" w:cs="Arial" w:eastAsia="Arial" w:hAnsi="Arial"/>
          <w:sz w:val="15"/>
          <w:szCs w:val="15"/>
          <w:color w:val="auto"/>
        </w:rPr>
        <w:t>In relation to each Member State of the European Economic Area (each a “Member State”), no common stock has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76" w:lineRule="exact"/>
        <w:rPr>
          <w:sz w:val="20"/>
          <w:szCs w:val="20"/>
          <w:color w:val="auto"/>
        </w:rPr>
      </w:pPr>
    </w:p>
    <w:p>
      <w:pPr>
        <w:ind w:left="1320" w:hanging="232"/>
        <w:spacing w:after="0"/>
        <w:tabs>
          <w:tab w:leader="none" w:pos="1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Regulation;</w:t>
      </w:r>
    </w:p>
    <w:p>
      <w:pPr>
        <w:spacing w:after="0" w:line="88" w:lineRule="exact"/>
        <w:rPr>
          <w:rFonts w:ascii="Arial" w:cs="Arial" w:eastAsia="Arial" w:hAnsi="Arial"/>
          <w:sz w:val="16"/>
          <w:szCs w:val="16"/>
          <w:color w:val="auto"/>
        </w:rPr>
      </w:pPr>
    </w:p>
    <w:p>
      <w:pPr>
        <w:ind w:left="1080" w:right="680" w:firstLine="8"/>
        <w:spacing w:after="0" w:line="238" w:lineRule="auto"/>
        <w:tabs>
          <w:tab w:leader="none" w:pos="131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84" w:lineRule="exact"/>
        <w:rPr>
          <w:rFonts w:ascii="Arial" w:cs="Arial" w:eastAsia="Arial" w:hAnsi="Arial"/>
          <w:sz w:val="16"/>
          <w:szCs w:val="16"/>
          <w:color w:val="auto"/>
        </w:rPr>
      </w:pPr>
    </w:p>
    <w:p>
      <w:pPr>
        <w:ind w:left="1320" w:hanging="232"/>
        <w:spacing w:after="0"/>
        <w:tabs>
          <w:tab w:leader="none" w:pos="1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83"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provided that no such offer of common stock shall result in a requirement for us or any underwriter to publish a prospectus pursuant to Article 3 of the Prospectus Regulation or supplement a prospectus pursuant to Article 23 of the Prospectus Regulation.</w:t>
      </w:r>
    </w:p>
    <w:p>
      <w:pPr>
        <w:spacing w:after="0" w:line="179"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Each person in a Member State who initially acquires any common stock or to whom any offer is made will be deemed to have represented, acknowledged and agreed with us and the representatives that it is a qualified investor within the meaning of the Prospectus Regulation.</w:t>
      </w:r>
    </w:p>
    <w:p>
      <w:pPr>
        <w:spacing w:after="0" w:line="179" w:lineRule="exact"/>
        <w:rPr>
          <w:sz w:val="20"/>
          <w:szCs w:val="20"/>
          <w:color w:val="auto"/>
        </w:rPr>
      </w:pPr>
    </w:p>
    <w:p>
      <w:pPr>
        <w:jc w:val="both"/>
        <w:ind w:left="800" w:right="400" w:firstLine="482"/>
        <w:spacing w:after="0" w:line="236" w:lineRule="auto"/>
        <w:rPr>
          <w:sz w:val="20"/>
          <w:szCs w:val="20"/>
          <w:color w:val="auto"/>
        </w:rPr>
      </w:pPr>
      <w:r>
        <w:rPr>
          <w:rFonts w:ascii="Arial" w:cs="Arial" w:eastAsia="Arial" w:hAnsi="Arial"/>
          <w:sz w:val="16"/>
          <w:szCs w:val="16"/>
          <w:color w:val="auto"/>
        </w:rPr>
        <w:t>In the case of any common stock being offered to a financial intermediary as that term is used in Article 5(1) of the Prospectus Regulation, each such financial intermediary will be deemed to have represented, acknowledged and agreed that the common stock acquired by it in the offer have not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0440"/>
          </w:cols>
          <w:pgMar w:left="320" w:top="419" w:right="113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320"/>
        <w:spacing w:after="0" w:line="258" w:lineRule="auto"/>
        <w:rPr>
          <w:sz w:val="20"/>
          <w:szCs w:val="20"/>
          <w:color w:val="auto"/>
        </w:rPr>
      </w:pPr>
      <w:r>
        <w:rPr>
          <w:rFonts w:ascii="Arial" w:cs="Arial" w:eastAsia="Arial" w:hAnsi="Arial"/>
          <w:sz w:val="15"/>
          <w:szCs w:val="15"/>
          <w:color w:val="auto"/>
        </w:rPr>
        <w:t>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65" w:lineRule="exact"/>
        <w:rPr>
          <w:sz w:val="20"/>
          <w:szCs w:val="20"/>
          <w:color w:val="auto"/>
        </w:rPr>
      </w:pPr>
    </w:p>
    <w:p>
      <w:pPr>
        <w:ind w:left="800" w:right="240" w:firstLine="482"/>
        <w:spacing w:after="0" w:line="238" w:lineRule="auto"/>
        <w:rPr>
          <w:sz w:val="20"/>
          <w:szCs w:val="20"/>
          <w:color w:val="auto"/>
        </w:rPr>
      </w:pPr>
      <w:r>
        <w:rPr>
          <w:rFonts w:ascii="Arial" w:cs="Arial" w:eastAsia="Arial" w:hAnsi="Arial"/>
          <w:sz w:val="16"/>
          <w:szCs w:val="16"/>
          <w:color w:val="auto"/>
        </w:rPr>
        <w:t>We, the underwriters and their affiliates will rely upon the truth and accuracy of the foregoing representations, acknowledgments and agreements.</w:t>
      </w:r>
    </w:p>
    <w:p>
      <w:pPr>
        <w:spacing w:after="0" w:line="179"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For the purposes of this provision, the expression an “offer to the public” in relation to any common stock in any Member State means the communication in any form and by any means of sufficient information on the terms of the offer and any common stock to be offered so as to enable an investor to decide to purchase or subscribe for our common stock, and the expression “Prospectus Regulation” means Regulation (EU) 2017/1129.</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United Kingdom</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Each underwriter has represented and agreed that:</w:t>
      </w:r>
    </w:p>
    <w:p>
      <w:pPr>
        <w:spacing w:after="0" w:line="88" w:lineRule="exact"/>
        <w:rPr>
          <w:sz w:val="20"/>
          <w:szCs w:val="20"/>
          <w:color w:val="auto"/>
        </w:rPr>
      </w:pPr>
    </w:p>
    <w:p>
      <w:pPr>
        <w:ind w:left="1080" w:right="40" w:firstLine="8"/>
        <w:spacing w:after="0" w:line="235" w:lineRule="auto"/>
        <w:tabs>
          <w:tab w:leader="none" w:pos="131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common stock in circumstances in which Section 21(1) of the FSMA does not apply to the company; and</w:t>
      </w:r>
    </w:p>
    <w:p>
      <w:pPr>
        <w:spacing w:after="0" w:line="83" w:lineRule="exact"/>
        <w:rPr>
          <w:rFonts w:ascii="Arial" w:cs="Arial" w:eastAsia="Arial" w:hAnsi="Arial"/>
          <w:sz w:val="16"/>
          <w:szCs w:val="16"/>
          <w:color w:val="auto"/>
        </w:rPr>
      </w:pPr>
    </w:p>
    <w:p>
      <w:pPr>
        <w:ind w:left="1080" w:right="380" w:firstLine="8"/>
        <w:spacing w:after="0" w:line="238" w:lineRule="auto"/>
        <w:tabs>
          <w:tab w:leader="none" w:pos="131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our common stock in, from or otherwise involving the United Kingdom.</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Canada</w:t>
      </w:r>
    </w:p>
    <w:p>
      <w:pPr>
        <w:spacing w:after="0" w:line="106"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9" w:lineRule="exact"/>
        <w:rPr>
          <w:sz w:val="20"/>
          <w:szCs w:val="20"/>
          <w:color w:val="auto"/>
        </w:rPr>
      </w:pPr>
    </w:p>
    <w:p>
      <w:pPr>
        <w:ind w:left="800" w:right="340" w:firstLine="482"/>
        <w:spacing w:after="0" w:line="238"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Hong Kong</w:t>
      </w:r>
    </w:p>
    <w:p>
      <w:pPr>
        <w:spacing w:after="0" w:line="106"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0420"/>
          </w:cols>
          <w:pgMar w:left="320" w:top="419" w:right="115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50" w:lineRule="auto"/>
        <w:rPr>
          <w:sz w:val="20"/>
          <w:szCs w:val="20"/>
          <w:color w:val="auto"/>
        </w:rPr>
      </w:pPr>
      <w:r>
        <w:rPr>
          <w:rFonts w:ascii="Arial" w:cs="Arial" w:eastAsia="Arial" w:hAnsi="Arial"/>
          <w:sz w:val="15"/>
          <w:szCs w:val="15"/>
          <w:color w:val="auto"/>
        </w:rPr>
        <w:t>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Singapore</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our common stock may not be circulated or distributed, nor may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7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Where our common stock is subscribed or purchased under Section 275 of the SFA by a relevant person which is a corporation</w:t>
      </w:r>
    </w:p>
    <w:p>
      <w:pPr>
        <w:ind w:left="800"/>
        <w:spacing w:after="0"/>
        <w:rPr>
          <w:sz w:val="20"/>
          <w:szCs w:val="20"/>
          <w:color w:val="auto"/>
        </w:rPr>
      </w:pPr>
      <w:r>
        <w:rPr>
          <w:rFonts w:ascii="Arial" w:cs="Arial" w:eastAsia="Arial" w:hAnsi="Arial"/>
          <w:sz w:val="15"/>
          <w:szCs w:val="15"/>
          <w:color w:val="auto"/>
        </w:rPr>
        <w:t>(which is not an accredited investor (as defined in Section 4A of the SFA)) the sole business of which is to hold investments and the entire</w:t>
      </w:r>
    </w:p>
    <w:p>
      <w:pPr>
        <w:ind w:left="800"/>
        <w:spacing w:after="0" w:line="237" w:lineRule="auto"/>
        <w:rPr>
          <w:sz w:val="20"/>
          <w:szCs w:val="20"/>
          <w:color w:val="auto"/>
        </w:rPr>
      </w:pPr>
      <w:r>
        <w:rPr>
          <w:rFonts w:ascii="Arial" w:cs="Arial" w:eastAsia="Arial" w:hAnsi="Arial"/>
          <w:sz w:val="16"/>
          <w:szCs w:val="16"/>
          <w:color w:val="auto"/>
        </w:rPr>
        <w:t>share capital of which is owned by one or more individuals, each of whom is an accredited investor, the securities (as defined in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Section 239(1) of the SFA) of that corporation shall not be transferable for 6 months after that corporation has acquired our common stock</w:t>
      </w:r>
    </w:p>
    <w:p>
      <w:pPr>
        <w:ind w:left="800"/>
        <w:spacing w:after="0" w:line="237" w:lineRule="auto"/>
        <w:rPr>
          <w:sz w:val="20"/>
          <w:szCs w:val="20"/>
          <w:color w:val="auto"/>
        </w:rPr>
      </w:pPr>
      <w:r>
        <w:rPr>
          <w:rFonts w:ascii="Arial" w:cs="Arial" w:eastAsia="Arial" w:hAnsi="Arial"/>
          <w:sz w:val="16"/>
          <w:szCs w:val="16"/>
          <w:color w:val="auto"/>
        </w:rPr>
        <w:t>under Section 275 of the SFA except: (1) to an institutional investor under Section 274 of the SFA or to a relevant person (as defined in</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Section 275(2) of the SFA), (2) where such transfer arises from an offer in that corporation’s securities pursuant to Section 275(1A) of the</w:t>
      </w:r>
    </w:p>
    <w:p>
      <w:pPr>
        <w:ind w:left="800"/>
        <w:spacing w:after="0" w:line="237" w:lineRule="auto"/>
        <w:rPr>
          <w:sz w:val="20"/>
          <w:szCs w:val="20"/>
          <w:color w:val="auto"/>
        </w:rPr>
      </w:pPr>
      <w:r>
        <w:rPr>
          <w:rFonts w:ascii="Arial" w:cs="Arial" w:eastAsia="Arial" w:hAnsi="Arial"/>
          <w:sz w:val="16"/>
          <w:szCs w:val="16"/>
          <w:color w:val="auto"/>
        </w:rPr>
        <w:t>SFA, (3) where no consideration is or will be given for the transfer, (4) where the transfer is by operation of law, (5) as specified in</w:t>
      </w:r>
    </w:p>
    <w:p>
      <w:pPr>
        <w:ind w:left="800"/>
        <w:spacing w:after="0" w:line="232" w:lineRule="auto"/>
        <w:rPr>
          <w:sz w:val="20"/>
          <w:szCs w:val="20"/>
          <w:color w:val="auto"/>
        </w:rPr>
      </w:pPr>
      <w:r>
        <w:rPr>
          <w:rFonts w:ascii="Arial" w:cs="Arial" w:eastAsia="Arial" w:hAnsi="Arial"/>
          <w:sz w:val="16"/>
          <w:szCs w:val="16"/>
          <w:color w:val="auto"/>
        </w:rPr>
        <w:t>Section 276(7) of the SFA, or (6) as specified in Regulation 32 of the Securities and Futures (Offers of Investments) (Shares and</w:t>
      </w:r>
    </w:p>
    <w:p>
      <w:pPr>
        <w:ind w:left="800"/>
        <w:spacing w:after="0"/>
        <w:rPr>
          <w:sz w:val="20"/>
          <w:szCs w:val="20"/>
          <w:color w:val="auto"/>
        </w:rPr>
      </w:pPr>
      <w:r>
        <w:rPr>
          <w:rFonts w:ascii="Arial" w:cs="Arial" w:eastAsia="Arial" w:hAnsi="Arial"/>
          <w:sz w:val="16"/>
          <w:szCs w:val="16"/>
          <w:color w:val="auto"/>
        </w:rPr>
        <w:t>Debentures) Regulations 2005 of Singapore (“Regulation 32”).</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Where our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0420"/>
          </w:cols>
          <w:pgMar w:left="320" w:top="419" w:right="115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Japan</w:t>
      </w:r>
    </w:p>
    <w:p>
      <w:pPr>
        <w:spacing w:after="0" w:line="106" w:lineRule="exact"/>
        <w:rPr>
          <w:sz w:val="20"/>
          <w:szCs w:val="20"/>
          <w:color w:val="auto"/>
        </w:rPr>
      </w:pPr>
    </w:p>
    <w:p>
      <w:pPr>
        <w:ind w:left="800" w:firstLine="482"/>
        <w:spacing w:after="0" w:line="252"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Dubai International Financial Centre</w:t>
      </w:r>
    </w:p>
    <w:p>
      <w:pPr>
        <w:spacing w:after="0" w:line="106" w:lineRule="exact"/>
        <w:rPr>
          <w:sz w:val="20"/>
          <w:szCs w:val="20"/>
          <w:color w:val="auto"/>
        </w:rPr>
      </w:pPr>
    </w:p>
    <w:p>
      <w:pPr>
        <w:ind w:left="800" w:right="160" w:firstLine="482"/>
        <w:spacing w:after="0" w:line="250"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our common stock should conduct their own due diligence on such shares. If you do not understand the contents of this prospectus, you should consult an authorized financial advisor.</w:t>
      </w:r>
    </w:p>
    <w:p>
      <w:pPr>
        <w:spacing w:after="0" w:line="250"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Switzerland</w:t>
      </w:r>
    </w:p>
    <w:p>
      <w:pPr>
        <w:spacing w:after="0" w:line="106" w:lineRule="exact"/>
        <w:rPr>
          <w:sz w:val="20"/>
          <w:szCs w:val="20"/>
          <w:color w:val="auto"/>
        </w:rPr>
      </w:pPr>
    </w:p>
    <w:p>
      <w:pPr>
        <w:ind w:left="800" w:right="20" w:firstLine="482"/>
        <w:spacing w:after="0" w:line="251" w:lineRule="auto"/>
        <w:rPr>
          <w:sz w:val="20"/>
          <w:szCs w:val="20"/>
          <w:color w:val="auto"/>
        </w:rPr>
      </w:pPr>
      <w:r>
        <w:rPr>
          <w:rFonts w:ascii="Arial" w:cs="Arial" w:eastAsia="Arial" w:hAnsi="Arial"/>
          <w:sz w:val="15"/>
          <w:szCs w:val="15"/>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71" w:lineRule="exact"/>
        <w:rPr>
          <w:sz w:val="20"/>
          <w:szCs w:val="20"/>
          <w:color w:val="auto"/>
        </w:rPr>
      </w:pPr>
    </w:p>
    <w:p>
      <w:pPr>
        <w:jc w:val="both"/>
        <w:ind w:left="800" w:right="80" w:firstLine="482"/>
        <w:spacing w:after="0" w:line="234" w:lineRule="auto"/>
        <w:rPr>
          <w:sz w:val="20"/>
          <w:szCs w:val="20"/>
          <w:color w:val="auto"/>
        </w:rPr>
      </w:pPr>
      <w:r>
        <w:rPr>
          <w:rFonts w:ascii="Arial" w:cs="Arial" w:eastAsia="Arial" w:hAnsi="Arial"/>
          <w:sz w:val="16"/>
          <w:szCs w:val="16"/>
          <w:color w:val="auto"/>
        </w:rPr>
        <w:t>Neither this document nor any other offering or marketing material relating to the offering, our company or our common stock has been or will be filed with or approved by any Swiss regulatory authority. In particular, this document will not be filed with, and the offer of common stock will not be supervised by, the Swiss Financial Market Supervisory Authority and the offer of common stock has not been and will not be authorized under the Swiss Federal Act on Collective Investment Schemes (“CISA”). The investor protection afforded to acquirers of interests in collective investment schemes under the CISA does not extend to acquirers of common stock.</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205</w:t>
      </w:r>
    </w:p>
    <w:p>
      <w:pPr>
        <w:sectPr>
          <w:pgSz w:w="11900" w:h="16838" w:orient="portrait"/>
          <w:cols w:equalWidth="0" w:num="1">
            <w:col w:w="10340"/>
          </w:cols>
          <w:pgMar w:left="320" w:top="419" w:right="1239" w:bottom="1440" w:gutter="0" w:footer="0" w:header="0"/>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VALIDITY OF COMMON STOCK</w:t>
      </w:r>
    </w:p>
    <w:p>
      <w:pPr>
        <w:spacing w:after="0" w:line="203" w:lineRule="exact"/>
        <w:rPr>
          <w:sz w:val="20"/>
          <w:szCs w:val="20"/>
          <w:color w:val="auto"/>
        </w:rPr>
      </w:pPr>
    </w:p>
    <w:p>
      <w:pPr>
        <w:ind w:left="800" w:right="220" w:firstLine="482"/>
        <w:spacing w:after="0" w:line="236" w:lineRule="auto"/>
        <w:rPr>
          <w:sz w:val="20"/>
          <w:szCs w:val="20"/>
          <w:color w:val="auto"/>
        </w:rPr>
      </w:pPr>
      <w:r>
        <w:rPr>
          <w:rFonts w:ascii="Arial" w:cs="Arial" w:eastAsia="Arial" w:hAnsi="Arial"/>
          <w:sz w:val="16"/>
          <w:szCs w:val="16"/>
          <w:color w:val="auto"/>
        </w:rPr>
        <w:t>Wilson Sonsini Goodrich &amp; Rosati, P.C., Palo Alto, California, which has acted as our counsel in connection with this offering, will pass upon the validity of the shares of our common stock being offered by this prospectus. The validity of the shares of common stock offered by this prospectus will be passed upon for the underwriters by Sullivan &amp; Cromwell LLP, Palo Alto, California.</w:t>
      </w:r>
    </w:p>
    <w:p>
      <w:pPr>
        <w:spacing w:after="0" w:line="348"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EXPERTS</w:t>
      </w:r>
    </w:p>
    <w:p>
      <w:pPr>
        <w:spacing w:after="0" w:line="203"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The consolidated financial statements as of December 31, 2020, and 2019 and for each of the three years in the period ended December 31, 2020, included in this prospectus have been audited by Deloitte &amp; Touche LLP, an independent registered public accounting firm, as stated in their report appearing herein. Such consolidated financial statements are included in reliance upon the report of such firm given upon their authority as experts in accounting and auditing.</w:t>
      </w:r>
    </w:p>
    <w:p>
      <w:pPr>
        <w:spacing w:after="0" w:line="347"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3"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We have submitted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85"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We file periodic reports, proxy statements, and other information with the SEC. We also maintain a website at www.Upstart.com.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0440"/>
          </w:cols>
          <w:pgMar w:left="320" w:top="419" w:right="113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Page</w:t>
            </w:r>
          </w:p>
        </w:tc>
        <w:tc>
          <w:tcPr>
            <w:tcW w:w="60" w:type="dxa"/>
            <w:vAlign w:val="bottom"/>
          </w:tcPr>
          <w:p>
            <w:pPr>
              <w:spacing w:after="0"/>
              <w:rPr>
                <w:sz w:val="13"/>
                <w:szCs w:val="13"/>
                <w:color w:val="auto"/>
              </w:rPr>
            </w:pPr>
          </w:p>
        </w:tc>
      </w:tr>
      <w:tr>
        <w:trPr>
          <w:trHeight w:val="240"/>
        </w:trPr>
        <w:tc>
          <w:tcPr>
            <w:tcW w:w="9220" w:type="dxa"/>
            <w:vAlign w:val="bottom"/>
            <w:gridSpan w:val="7"/>
          </w:tcPr>
          <w:p>
            <w:pPr>
              <w:spacing w:after="0"/>
              <w:rPr>
                <w:rFonts w:ascii="Arial" w:cs="Arial" w:eastAsia="Arial" w:hAnsi="Arial"/>
                <w:sz w:val="16"/>
                <w:szCs w:val="16"/>
                <w:color w:val="0000EE"/>
              </w:rPr>
            </w:pPr>
            <w:hyperlink w:anchor="page211">
              <w:r>
                <w:rPr>
                  <w:rFonts w:ascii="Arial" w:cs="Arial" w:eastAsia="Arial" w:hAnsi="Arial"/>
                  <w:sz w:val="16"/>
                  <w:szCs w:val="16"/>
                  <w:color w:val="0000EE"/>
                </w:rPr>
                <w:t>Report of Independent Registered Public Accounting Firm</w:t>
              </w:r>
            </w:hyperlink>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F-2</w:t>
            </w:r>
          </w:p>
        </w:tc>
      </w:tr>
      <w:tr>
        <w:trPr>
          <w:trHeight w:val="286"/>
        </w:trPr>
        <w:tc>
          <w:tcPr>
            <w:tcW w:w="40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Financial Statements:</w:t>
            </w:r>
          </w:p>
        </w:tc>
        <w:tc>
          <w:tcPr>
            <w:tcW w:w="52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9220" w:type="dxa"/>
            <w:vAlign w:val="bottom"/>
            <w:gridSpan w:val="7"/>
          </w:tcPr>
          <w:p>
            <w:pPr>
              <w:spacing w:after="0"/>
              <w:rPr>
                <w:rFonts w:ascii="Arial" w:cs="Arial" w:eastAsia="Arial" w:hAnsi="Arial"/>
                <w:sz w:val="16"/>
                <w:szCs w:val="16"/>
                <w:color w:val="0000EE"/>
              </w:rPr>
            </w:pPr>
            <w:hyperlink w:anchor="page212">
              <w:r>
                <w:rPr>
                  <w:rFonts w:ascii="Arial" w:cs="Arial" w:eastAsia="Arial" w:hAnsi="Arial"/>
                  <w:sz w:val="16"/>
                  <w:szCs w:val="16"/>
                  <w:color w:val="0000EE"/>
                </w:rPr>
                <w:t>Consolidated Balance Sheets</w:t>
              </w:r>
            </w:hyperlink>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F-3</w:t>
            </w:r>
          </w:p>
        </w:tc>
      </w:tr>
      <w:tr>
        <w:trPr>
          <w:trHeight w:val="20"/>
        </w:trPr>
        <w:tc>
          <w:tcPr>
            <w:tcW w:w="20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52"/>
        </w:trPr>
        <w:tc>
          <w:tcPr>
            <w:tcW w:w="9220" w:type="dxa"/>
            <w:vAlign w:val="bottom"/>
            <w:gridSpan w:val="7"/>
          </w:tcPr>
          <w:p>
            <w:pPr>
              <w:spacing w:after="0"/>
              <w:rPr>
                <w:rFonts w:ascii="Arial" w:cs="Arial" w:eastAsia="Arial" w:hAnsi="Arial"/>
                <w:sz w:val="16"/>
                <w:szCs w:val="16"/>
                <w:color w:val="0000EE"/>
              </w:rPr>
            </w:pPr>
            <w:hyperlink w:anchor="page214">
              <w:r>
                <w:rPr>
                  <w:rFonts w:ascii="Arial" w:cs="Arial" w:eastAsia="Arial" w:hAnsi="Arial"/>
                  <w:sz w:val="16"/>
                  <w:szCs w:val="16"/>
                  <w:color w:val="0000EE"/>
                </w:rPr>
                <w:t>Consolidated Statements of Operations and Comprehensive Income (Loss)</w:t>
              </w:r>
            </w:hyperlink>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F-5</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52"/>
        </w:trPr>
        <w:tc>
          <w:tcPr>
            <w:tcW w:w="9220" w:type="dxa"/>
            <w:vAlign w:val="bottom"/>
            <w:gridSpan w:val="7"/>
          </w:tcPr>
          <w:p>
            <w:pPr>
              <w:spacing w:after="0"/>
              <w:rPr>
                <w:rFonts w:ascii="Arial" w:cs="Arial" w:eastAsia="Arial" w:hAnsi="Arial"/>
                <w:sz w:val="16"/>
                <w:szCs w:val="16"/>
                <w:color w:val="0000EE"/>
              </w:rPr>
            </w:pPr>
            <w:hyperlink w:anchor="page215">
              <w:r>
                <w:rPr>
                  <w:rFonts w:ascii="Arial" w:cs="Arial" w:eastAsia="Arial" w:hAnsi="Arial"/>
                  <w:sz w:val="16"/>
                  <w:szCs w:val="16"/>
                  <w:color w:val="0000EE"/>
                </w:rPr>
                <w:t>Consolidated Statements of Convertible Preferred Stock and Stockholders’ Equity (Deficit)</w:t>
              </w:r>
            </w:hyperlink>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F-6</w:t>
            </w:r>
          </w:p>
        </w:tc>
      </w:tr>
      <w:tr>
        <w:trPr>
          <w:trHeight w:val="252"/>
        </w:trPr>
        <w:tc>
          <w:tcPr>
            <w:tcW w:w="6280" w:type="dxa"/>
            <w:vAlign w:val="bottom"/>
            <w:tcBorders>
              <w:top w:val="single" w:sz="8" w:color="0000EE"/>
            </w:tcBorders>
            <w:gridSpan w:val="6"/>
          </w:tcPr>
          <w:p>
            <w:pPr>
              <w:spacing w:after="0"/>
              <w:rPr>
                <w:rFonts w:ascii="Arial" w:cs="Arial" w:eastAsia="Arial" w:hAnsi="Arial"/>
                <w:sz w:val="16"/>
                <w:szCs w:val="16"/>
                <w:color w:val="0000EE"/>
              </w:rPr>
            </w:pPr>
            <w:hyperlink w:anchor="page217">
              <w:r>
                <w:rPr>
                  <w:rFonts w:ascii="Arial" w:cs="Arial" w:eastAsia="Arial" w:hAnsi="Arial"/>
                  <w:sz w:val="16"/>
                  <w:szCs w:val="16"/>
                  <w:color w:val="0000EE"/>
                </w:rPr>
                <w:t>Consolidated Statements of Cash Flows</w:t>
              </w:r>
            </w:hyperlink>
          </w:p>
        </w:tc>
        <w:tc>
          <w:tcPr>
            <w:tcW w:w="294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F-8</w:t>
            </w: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52"/>
        </w:trPr>
        <w:tc>
          <w:tcPr>
            <w:tcW w:w="9220" w:type="dxa"/>
            <w:vAlign w:val="bottom"/>
            <w:gridSpan w:val="7"/>
          </w:tcPr>
          <w:p>
            <w:pPr>
              <w:spacing w:after="0"/>
              <w:rPr>
                <w:rFonts w:ascii="Arial" w:cs="Arial" w:eastAsia="Arial" w:hAnsi="Arial"/>
                <w:sz w:val="16"/>
                <w:szCs w:val="16"/>
                <w:color w:val="0000EE"/>
              </w:rPr>
            </w:pPr>
            <w:hyperlink w:anchor="page219">
              <w:r>
                <w:rPr>
                  <w:rFonts w:ascii="Arial" w:cs="Arial" w:eastAsia="Arial" w:hAnsi="Arial"/>
                  <w:sz w:val="16"/>
                  <w:szCs w:val="16"/>
                  <w:color w:val="0000EE"/>
                </w:rPr>
                <w:t>Notes to Consolidated Financial Statements</w:t>
              </w:r>
            </w:hyperlink>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F-10</w:t>
            </w:r>
          </w:p>
        </w:tc>
      </w:tr>
      <w:tr>
        <w:trPr>
          <w:trHeight w:val="322"/>
        </w:trPr>
        <w:tc>
          <w:tcPr>
            <w:tcW w:w="20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200" w:type="dxa"/>
            <w:vAlign w:val="bottom"/>
            <w:gridSpan w:val="3"/>
          </w:tcPr>
          <w:p>
            <w:pPr>
              <w:ind w:left="680"/>
              <w:spacing w:after="0"/>
              <w:rPr>
                <w:sz w:val="20"/>
                <w:szCs w:val="20"/>
                <w:color w:val="auto"/>
              </w:rPr>
            </w:pPr>
            <w:r>
              <w:rPr>
                <w:rFonts w:ascii="Arial" w:cs="Arial" w:eastAsia="Arial" w:hAnsi="Arial"/>
                <w:sz w:val="16"/>
                <w:szCs w:val="16"/>
                <w:color w:val="auto"/>
              </w:rPr>
              <w:t>F-1</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00"/>
          </w:cols>
          <w:pgMar w:left="320" w:top="419" w:right="117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To the stockholders and the Board of Directors of Upstart Holdings, Inc.</w:t>
      </w:r>
    </w:p>
    <w:p>
      <w:pPr>
        <w:spacing w:after="0" w:line="25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8" w:lineRule="exact"/>
        <w:rPr>
          <w:sz w:val="20"/>
          <w:szCs w:val="20"/>
          <w:color w:val="auto"/>
        </w:rPr>
      </w:pPr>
    </w:p>
    <w:p>
      <w:pPr>
        <w:ind w:left="800" w:right="100"/>
        <w:spacing w:after="0" w:line="233" w:lineRule="auto"/>
        <w:rPr>
          <w:sz w:val="20"/>
          <w:szCs w:val="20"/>
          <w:color w:val="auto"/>
        </w:rPr>
      </w:pPr>
      <w:r>
        <w:rPr>
          <w:rFonts w:ascii="Arial" w:cs="Arial" w:eastAsia="Arial" w:hAnsi="Arial"/>
          <w:sz w:val="16"/>
          <w:szCs w:val="16"/>
          <w:color w:val="auto"/>
        </w:rPr>
        <w:t>We have audited the accompanying consolidated balance sheets of Upstart Holdings, Inc. and subsidiaries (the “Company”) as of December 31, 2020 and 2019, the related consolidated statements of operations and comprehensive income/loss, statement of convertible preferred stock and stockholders’ equity/deficit and statement of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Basis for Opinion</w:t>
      </w:r>
    </w:p>
    <w:p>
      <w:pPr>
        <w:spacing w:after="0" w:line="108" w:lineRule="exact"/>
        <w:rPr>
          <w:sz w:val="20"/>
          <w:szCs w:val="20"/>
          <w:color w:val="auto"/>
        </w:rPr>
      </w:pPr>
    </w:p>
    <w:p>
      <w:pPr>
        <w:ind w:left="800" w:right="200"/>
        <w:spacing w:after="0" w:line="23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left="800" w:right="20"/>
        <w:spacing w:after="0" w:line="23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Deloitte &amp; Touche LLP</w:t>
      </w:r>
    </w:p>
    <w:p>
      <w:pPr>
        <w:spacing w:after="0" w:line="17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San Francisco, CA</w:t>
      </w:r>
    </w:p>
    <w:p>
      <w:pPr>
        <w:ind w:left="800"/>
        <w:spacing w:after="0"/>
        <w:rPr>
          <w:sz w:val="20"/>
          <w:szCs w:val="20"/>
          <w:color w:val="auto"/>
        </w:rPr>
      </w:pPr>
      <w:r>
        <w:rPr>
          <w:rFonts w:ascii="Arial" w:cs="Arial" w:eastAsia="Arial" w:hAnsi="Arial"/>
          <w:sz w:val="16"/>
          <w:szCs w:val="16"/>
          <w:color w:val="auto"/>
        </w:rPr>
        <w:t>March 18, 2021</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We have served as the Company’s auditor since 2015.</w:t>
      </w:r>
    </w:p>
    <w:p>
      <w:pPr>
        <w:spacing w:after="0" w:line="1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440"/>
          </w:cols>
          <w:pgMar w:left="320" w:top="419" w:right="113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Balance Sheets</w:t>
      </w:r>
    </w:p>
    <w:p>
      <w:pPr>
        <w:spacing w:after="0" w:line="183"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80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0"/>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89"/>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06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8060" w:type="dxa"/>
            <w:vAlign w:val="bottom"/>
          </w:tcPr>
          <w:p>
            <w:pPr>
              <w:spacing w:after="0"/>
              <w:rPr>
                <w:sz w:val="20"/>
                <w:szCs w:val="20"/>
                <w:color w:val="auto"/>
              </w:rPr>
            </w:pPr>
            <w:r>
              <w:rPr>
                <w:rFonts w:ascii="Arial" w:cs="Arial" w:eastAsia="Arial" w:hAnsi="Arial"/>
                <w:sz w:val="14"/>
                <w:szCs w:val="14"/>
                <w:color w:val="auto"/>
              </w:rPr>
              <w:t>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250,819</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44,389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spacing w:after="0"/>
              <w:rPr>
                <w:sz w:val="20"/>
                <w:szCs w:val="20"/>
                <w:color w:val="auto"/>
              </w:rPr>
            </w:pPr>
            <w:r>
              <w:rPr>
                <w:rFonts w:ascii="Arial" w:cs="Arial" w:eastAsia="Arial" w:hAnsi="Arial"/>
                <w:sz w:val="14"/>
                <w:szCs w:val="14"/>
                <w:color w:val="auto"/>
              </w:rPr>
              <w:t>Loans (at fair value)</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78,460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232,305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Notes receivable and residual certificates (at fair value)</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spacing w:after="0"/>
              <w:rPr>
                <w:sz w:val="20"/>
                <w:szCs w:val="20"/>
                <w:color w:val="auto"/>
              </w:rPr>
            </w:pPr>
            <w:r>
              <w:rPr>
                <w:rFonts w:ascii="Arial" w:cs="Arial" w:eastAsia="Arial" w:hAnsi="Arial"/>
                <w:sz w:val="14"/>
                <w:szCs w:val="14"/>
                <w:color w:val="auto"/>
              </w:rPr>
              <w:t>Property, equipment, and software, net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10,032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6,030</w:t>
            </w: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 of use assets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60" w:type="dxa"/>
            <w:vAlign w:val="bottom"/>
          </w:tcPr>
          <w:p>
            <w:pPr>
              <w:spacing w:after="0"/>
              <w:rPr>
                <w:sz w:val="20"/>
                <w:szCs w:val="20"/>
                <w:color w:val="auto"/>
              </w:rPr>
            </w:pPr>
            <w:r>
              <w:rPr>
                <w:rFonts w:ascii="Arial" w:cs="Arial" w:eastAsia="Arial" w:hAnsi="Arial"/>
                <w:sz w:val="14"/>
                <w:szCs w:val="14"/>
                <w:color w:val="auto"/>
              </w:rPr>
              <w:t>Other assets (includes $6,831 and $4,725 at fair value as of December 31, 2020 and 2019, respectively)</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560"/>
              <w:spacing w:after="0" w:line="165" w:lineRule="exact"/>
              <w:rPr>
                <w:sz w:val="20"/>
                <w:szCs w:val="20"/>
                <w:color w:val="auto"/>
              </w:rPr>
            </w:pPr>
            <w:r>
              <w:rPr>
                <w:rFonts w:ascii="Arial" w:cs="Arial" w:eastAsia="Arial" w:hAnsi="Arial"/>
                <w:sz w:val="12"/>
                <w:szCs w:val="12"/>
                <w:color w:val="auto"/>
              </w:rPr>
              <w:t>Total assets</w:t>
            </w:r>
            <w:r>
              <w:rPr>
                <w:rFonts w:ascii="Arial" w:cs="Arial" w:eastAsia="Arial" w:hAnsi="Arial"/>
                <w:sz w:val="19"/>
                <w:szCs w:val="19"/>
                <w:color w:val="auto"/>
                <w:vertAlign w:val="superscript"/>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477,255</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393,462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13,775</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Payable to investors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62,626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118,609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Payable to securitization note holders and residual certificate holders (includes $0 and $89,672 at fair value and $0 and</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$41,343 to related parties as of December 31, 2020 and 2019, respectively)</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60" w:type="dxa"/>
            <w:vAlign w:val="bottom"/>
          </w:tcPr>
          <w:p>
            <w:pPr>
              <w:ind w:left="280"/>
              <w:spacing w:after="0"/>
              <w:rPr>
                <w:sz w:val="20"/>
                <w:szCs w:val="20"/>
                <w:color w:val="auto"/>
              </w:rPr>
            </w:pPr>
            <w:r>
              <w:rPr>
                <w:rFonts w:ascii="Arial" w:cs="Arial" w:eastAsia="Arial" w:hAnsi="Arial"/>
                <w:sz w:val="14"/>
                <w:szCs w:val="14"/>
                <w:color w:val="auto"/>
              </w:rPr>
              <w:t>Accrued expenses and other liabilities (includes $9,530 and $12,446 at fair value as of December 31, 2020 and 2019,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60" w:type="dxa"/>
            <w:vAlign w:val="bottom"/>
          </w:tcPr>
          <w:p>
            <w:pPr>
              <w:ind w:left="42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35,669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34,648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19,432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17,061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060" w:type="dxa"/>
            <w:vAlign w:val="bottom"/>
          </w:tcPr>
          <w:p>
            <w:pPr>
              <w:ind w:left="560"/>
              <w:spacing w:after="0" w:line="169" w:lineRule="exact"/>
              <w:rPr>
                <w:sz w:val="20"/>
                <w:szCs w:val="20"/>
                <w:color w:val="auto"/>
              </w:rPr>
            </w:pPr>
            <w:r>
              <w:rPr>
                <w:rFonts w:ascii="Arial" w:cs="Arial" w:eastAsia="Arial" w:hAnsi="Arial"/>
                <w:sz w:val="12"/>
                <w:szCs w:val="12"/>
                <w:color w:val="auto"/>
              </w:rPr>
              <w:t>Total liabilities</w:t>
            </w:r>
            <w:r>
              <w:rPr>
                <w:rFonts w:ascii="Arial" w:cs="Arial" w:eastAsia="Arial" w:hAnsi="Arial"/>
                <w:sz w:val="19"/>
                <w:szCs w:val="19"/>
                <w:color w:val="auto"/>
                <w:vertAlign w:val="superscript"/>
              </w:rPr>
              <w:t>(a)</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177,003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292,604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060" w:type="dxa"/>
            <w:vAlign w:val="bottom"/>
          </w:tcPr>
          <w:p>
            <w:pPr>
              <w:spacing w:after="0"/>
              <w:rPr>
                <w:sz w:val="20"/>
                <w:szCs w:val="20"/>
                <w:color w:val="auto"/>
              </w:rPr>
            </w:pPr>
            <w:r>
              <w:rPr>
                <w:rFonts w:ascii="Arial" w:cs="Arial" w:eastAsia="Arial" w:hAnsi="Arial"/>
                <w:sz w:val="14"/>
                <w:szCs w:val="14"/>
                <w:color w:val="auto"/>
              </w:rPr>
              <w:t>Convertible preferred stock $0.0001 par value; 70,000,000 and 53,927,657 shares authorized as of December 31, 2020 and</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140"/>
              <w:spacing w:after="0"/>
              <w:rPr>
                <w:sz w:val="20"/>
                <w:szCs w:val="20"/>
                <w:color w:val="auto"/>
              </w:rPr>
            </w:pPr>
            <w:r>
              <w:rPr>
                <w:rFonts w:ascii="Arial" w:cs="Arial" w:eastAsia="Arial" w:hAnsi="Arial"/>
                <w:sz w:val="14"/>
                <w:szCs w:val="14"/>
                <w:color w:val="auto"/>
              </w:rPr>
              <w:t>2019, respectively; aggregate liquidation preference of $0 and $166,257 as of December 31, 2020 and 2019, respectively;</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60" w:type="dxa"/>
            <w:vAlign w:val="bottom"/>
          </w:tcPr>
          <w:p>
            <w:pPr>
              <w:ind w:left="140"/>
              <w:spacing w:after="0"/>
              <w:rPr>
                <w:sz w:val="20"/>
                <w:szCs w:val="20"/>
                <w:color w:val="auto"/>
              </w:rPr>
            </w:pPr>
            <w:r>
              <w:rPr>
                <w:rFonts w:ascii="Arial" w:cs="Arial" w:eastAsia="Arial" w:hAnsi="Arial"/>
                <w:sz w:val="14"/>
                <w:szCs w:val="14"/>
                <w:color w:val="auto"/>
              </w:rPr>
              <w:t>0 and 47,349,577 shares issued and outstanding as of December 31, 2020 and 2019</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162,546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80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060" w:type="dxa"/>
            <w:vAlign w:val="bottom"/>
          </w:tcPr>
          <w:p>
            <w:pPr>
              <w:ind w:left="280"/>
              <w:spacing w:after="0"/>
              <w:rPr>
                <w:sz w:val="20"/>
                <w:szCs w:val="20"/>
                <w:color w:val="auto"/>
              </w:rPr>
            </w:pPr>
            <w:r>
              <w:rPr>
                <w:rFonts w:ascii="Arial" w:cs="Arial" w:eastAsia="Arial" w:hAnsi="Arial"/>
                <w:sz w:val="14"/>
                <w:szCs w:val="14"/>
                <w:color w:val="auto"/>
              </w:rPr>
              <w:t>Common stock, $0.0001 par value; 700,000,000 and 90,000,000 shares authorized as of December 31, 2020 and 2019,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420"/>
              <w:spacing w:after="0"/>
              <w:rPr>
                <w:sz w:val="20"/>
                <w:szCs w:val="20"/>
                <w:color w:val="auto"/>
              </w:rPr>
            </w:pPr>
            <w:r>
              <w:rPr>
                <w:rFonts w:ascii="Arial" w:cs="Arial" w:eastAsia="Arial" w:hAnsi="Arial"/>
                <w:sz w:val="14"/>
                <w:szCs w:val="14"/>
                <w:color w:val="auto"/>
              </w:rPr>
              <w:t>respectively; 73,314,026 and 14,561,398, shares issued and outstanding as of December 31, 2020 and 2019,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60" w:type="dxa"/>
            <w:vAlign w:val="bottom"/>
          </w:tcPr>
          <w:p>
            <w:pPr>
              <w:ind w:left="42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6"/>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369,467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6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(69,222)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(75,205)</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0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Upstart Holdings, Inc. stockholders’ equity (deficit)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300,252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(62,714)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tcPr>
          <w:p>
            <w:pPr>
              <w:ind w:left="280"/>
              <w:spacing w:after="0"/>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24"/>
        </w:trPr>
        <w:tc>
          <w:tcPr>
            <w:tcW w:w="8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0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300,252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60" w:type="dxa"/>
            <w:vAlign w:val="bottom"/>
          </w:tcPr>
          <w:p>
            <w:pPr>
              <w:ind w:left="560"/>
              <w:spacing w:after="0"/>
              <w:rPr>
                <w:sz w:val="20"/>
                <w:szCs w:val="20"/>
                <w:color w:val="auto"/>
              </w:rPr>
            </w:pPr>
            <w:r>
              <w:rPr>
                <w:rFonts w:ascii="Arial" w:cs="Arial" w:eastAsia="Arial" w:hAnsi="Arial"/>
                <w:sz w:val="14"/>
                <w:szCs w:val="14"/>
                <w:color w:val="auto"/>
              </w:rPr>
              <w:t>Total liabilities, convertible preferred stock, and stockholders’ equity (deficit).</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477,255</w:t>
            </w:r>
          </w:p>
        </w:tc>
        <w:tc>
          <w:tcPr>
            <w:tcW w:w="18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393,462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82550</wp:posOffset>
            </wp:positionV>
            <wp:extent cx="67564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57" w:lineRule="exact"/>
        <w:rPr>
          <w:sz w:val="20"/>
          <w:szCs w:val="20"/>
          <w:color w:val="auto"/>
        </w:rPr>
      </w:pPr>
    </w:p>
    <w:p>
      <w:pPr>
        <w:ind w:left="1280" w:right="20" w:hanging="481"/>
        <w:spacing w:after="0" w:line="234" w:lineRule="auto"/>
        <w:tabs>
          <w:tab w:leader="none" w:pos="12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following table presents information on assets and liabilities related to variable interest entities (“VIEs”) that are consolidated by Upstart Holdings, Inc. at December 31, 2020 and 2019.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440"/>
          </w:cols>
          <w:pgMar w:left="320" w:top="419" w:right="113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Consolidated Balance Sheets</w:t>
      </w:r>
    </w:p>
    <w:p>
      <w:pPr>
        <w:spacing w:after="0" w:line="183"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15" w:lineRule="exact"/>
        <w:rPr>
          <w:sz w:val="20"/>
          <w:szCs w:val="20"/>
          <w:color w:val="auto"/>
        </w:rPr>
      </w:pPr>
    </w:p>
    <w:tbl>
      <w:tblPr>
        <w:tblLayout w:type="fixed"/>
        <w:tblInd w:w="118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tcPr>
          <w:p>
            <w:pPr>
              <w:ind w:left="2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3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7"/>
              <w:spacing w:after="0" w:line="134"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340" w:type="dxa"/>
            <w:vAlign w:val="bottom"/>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Assets</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3"/>
                <w:szCs w:val="13"/>
                <w:color w:val="auto"/>
              </w:rPr>
              <w:t>Restricted cash</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12,371</w:t>
            </w: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13,839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Loans (at fair value)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75,373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231,109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3"/>
                <w:szCs w:val="13"/>
                <w:color w:val="auto"/>
              </w:rPr>
              <w:t>Notes receivable and residual certificates (at fair value)</w:t>
            </w: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17,219</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30,266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340" w:type="dxa"/>
            <w:vAlign w:val="bottom"/>
          </w:tcPr>
          <w:p>
            <w:pPr>
              <w:ind w:left="240"/>
              <w:spacing w:after="0" w:line="146" w:lineRule="exact"/>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w w:val="97"/>
              </w:rPr>
              <w:t>104,992</w:t>
            </w:r>
          </w:p>
        </w:tc>
        <w:tc>
          <w:tcPr>
            <w:tcW w:w="4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275,667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7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Liabilities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60" w:type="dxa"/>
            <w:vAlign w:val="bottom"/>
            <w:gridSpan w:val="2"/>
          </w:tcPr>
          <w:p>
            <w:pPr>
              <w:spacing w:after="0" w:line="142" w:lineRule="exact"/>
              <w:rPr>
                <w:sz w:val="20"/>
                <w:szCs w:val="20"/>
                <w:color w:val="auto"/>
              </w:rPr>
            </w:pPr>
            <w:r>
              <w:rPr>
                <w:rFonts w:ascii="Arial" w:cs="Arial" w:eastAsia="Arial" w:hAnsi="Arial"/>
                <w:sz w:val="13"/>
                <w:szCs w:val="13"/>
                <w:color w:val="auto"/>
              </w:rPr>
              <w:t>Accounts payable</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83</w:t>
            </w:r>
          </w:p>
        </w:tc>
        <w:tc>
          <w:tcPr>
            <w:tcW w:w="4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Borrowings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42,181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96,037</w:t>
            </w:r>
          </w:p>
        </w:tc>
        <w:tc>
          <w:tcPr>
            <w:tcW w:w="0" w:type="dxa"/>
            <w:vAlign w:val="bottom"/>
          </w:tcPr>
          <w:p>
            <w:pPr>
              <w:spacing w:after="0"/>
              <w:rPr>
                <w:sz w:val="1"/>
                <w:szCs w:val="1"/>
                <w:color w:val="auto"/>
              </w:rPr>
            </w:pPr>
          </w:p>
        </w:tc>
      </w:tr>
      <w:tr>
        <w:trPr>
          <w:trHeight w:val="146"/>
        </w:trPr>
        <w:tc>
          <w:tcPr>
            <w:tcW w:w="7360" w:type="dxa"/>
            <w:vAlign w:val="bottom"/>
            <w:gridSpan w:val="2"/>
          </w:tcPr>
          <w:p>
            <w:pPr>
              <w:spacing w:after="0" w:line="146" w:lineRule="exact"/>
              <w:rPr>
                <w:sz w:val="20"/>
                <w:szCs w:val="20"/>
                <w:color w:val="auto"/>
              </w:rPr>
            </w:pPr>
            <w:r>
              <w:rPr>
                <w:rFonts w:ascii="Arial" w:cs="Arial" w:eastAsia="Arial" w:hAnsi="Arial"/>
                <w:sz w:val="13"/>
                <w:szCs w:val="13"/>
                <w:color w:val="auto"/>
              </w:rPr>
              <w:t>Payable to securitization note holders and residual certificate holders (includes $0 and $89,672 at fair value, and $0 and</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340" w:type="dxa"/>
            <w:vAlign w:val="bottom"/>
          </w:tcPr>
          <w:p>
            <w:pPr>
              <w:ind w:left="120"/>
              <w:spacing w:after="0" w:line="138" w:lineRule="exact"/>
              <w:rPr>
                <w:sz w:val="20"/>
                <w:szCs w:val="20"/>
                <w:color w:val="auto"/>
              </w:rPr>
            </w:pPr>
            <w:r>
              <w:rPr>
                <w:rFonts w:ascii="Arial" w:cs="Arial" w:eastAsia="Arial" w:hAnsi="Arial"/>
                <w:sz w:val="13"/>
                <w:szCs w:val="13"/>
                <w:color w:val="auto"/>
              </w:rPr>
              <w:t>$41,343 payable to related parties as of December 31, 2020 and 2019, respectively)</w:t>
            </w:r>
          </w:p>
        </w:tc>
        <w:tc>
          <w:tcPr>
            <w:tcW w:w="10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96,107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liabilities</w:t>
            </w: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340" w:type="dxa"/>
            <w:vAlign w:val="bottom"/>
          </w:tcPr>
          <w:p>
            <w:pPr>
              <w:ind w:left="240"/>
              <w:spacing w:after="0" w:line="146" w:lineRule="exact"/>
              <w:rPr>
                <w:sz w:val="20"/>
                <w:szCs w:val="20"/>
                <w:color w:val="auto"/>
              </w:rPr>
            </w:pPr>
            <w:r>
              <w:rPr>
                <w:rFonts w:ascii="Arial" w:cs="Arial" w:eastAsia="Arial" w:hAnsi="Arial"/>
                <w:sz w:val="13"/>
                <w:szCs w:val="13"/>
                <w:color w:val="auto"/>
              </w:rPr>
              <w:t>Total liabilities</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42,296</w:t>
            </w:r>
          </w:p>
        </w:tc>
        <w:tc>
          <w:tcPr>
            <w:tcW w:w="40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193,307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4"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139"/>
          </w:cols>
          <w:pgMar w:left="320" w:top="419" w:right="1440"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183"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5"/>
              </w:rPr>
              <w:t>Year Ended December 31,</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3"/>
              <w:spacing w:after="0" w:line="134" w:lineRule="exact"/>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3"/>
              <w:spacing w:after="0" w:line="134"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3"/>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ind w:left="240"/>
              <w:spacing w:after="0" w:line="142" w:lineRule="exact"/>
              <w:rPr>
                <w:sz w:val="20"/>
                <w:szCs w:val="20"/>
                <w:color w:val="auto"/>
              </w:rPr>
            </w:pPr>
            <w:r>
              <w:rPr>
                <w:rFonts w:ascii="Arial" w:cs="Arial" w:eastAsia="Arial" w:hAnsi="Arial"/>
                <w:sz w:val="13"/>
                <w:szCs w:val="13"/>
                <w:color w:val="auto"/>
              </w:rPr>
              <w:t>Revenue from fees, net</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228,600</w:t>
            </w:r>
          </w:p>
        </w:tc>
        <w:tc>
          <w:tcPr>
            <w:tcW w:w="40" w:type="dxa"/>
            <w:vAlign w:val="bottom"/>
          </w:tcPr>
          <w:p>
            <w:pPr>
              <w:spacing w:after="0"/>
              <w:rPr>
                <w:sz w:val="12"/>
                <w:szCs w:val="12"/>
                <w:color w:val="auto"/>
              </w:rPr>
            </w:pPr>
          </w:p>
        </w:tc>
        <w:tc>
          <w:tcPr>
            <w:tcW w:w="48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159,847</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88,482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400" w:type="dxa"/>
            <w:vAlign w:val="bottom"/>
            <w:shd w:val="clear" w:color="auto" w:fill="CCEEFF"/>
          </w:tcPr>
          <w:p>
            <w:pPr>
              <w:ind w:left="240"/>
              <w:spacing w:after="0" w:line="139" w:lineRule="exact"/>
              <w:rPr>
                <w:sz w:val="20"/>
                <w:szCs w:val="20"/>
                <w:color w:val="auto"/>
              </w:rPr>
            </w:pPr>
            <w:r>
              <w:rPr>
                <w:rFonts w:ascii="Arial" w:cs="Arial" w:eastAsia="Arial" w:hAnsi="Arial"/>
                <w:sz w:val="13"/>
                <w:szCs w:val="13"/>
                <w:color w:val="auto"/>
              </w:rPr>
              <w:t>Interest income and fair value adjustments, net (includes $1,014, $2,963 and $2,452 from related</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ind w:left="380"/>
              <w:spacing w:after="0" w:line="142" w:lineRule="exact"/>
              <w:rPr>
                <w:sz w:val="20"/>
                <w:szCs w:val="20"/>
                <w:color w:val="auto"/>
              </w:rPr>
            </w:pPr>
            <w:r>
              <w:rPr>
                <w:rFonts w:ascii="Arial" w:cs="Arial" w:eastAsia="Arial" w:hAnsi="Arial"/>
                <w:sz w:val="13"/>
                <w:szCs w:val="13"/>
                <w:color w:val="auto"/>
              </w:rPr>
              <w:t>parties expense and $4,238, $7,400 and ($4,031) of related parties fair value adjustments for</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00" w:type="dxa"/>
            <w:vAlign w:val="bottom"/>
            <w:shd w:val="clear" w:color="auto" w:fill="CCEEFF"/>
          </w:tcPr>
          <w:p>
            <w:pPr>
              <w:ind w:left="380"/>
              <w:spacing w:after="0" w:line="145" w:lineRule="exact"/>
              <w:rPr>
                <w:sz w:val="20"/>
                <w:szCs w:val="20"/>
                <w:color w:val="auto"/>
              </w:rPr>
            </w:pPr>
            <w:r>
              <w:rPr>
                <w:rFonts w:ascii="Arial" w:cs="Arial" w:eastAsia="Arial" w:hAnsi="Arial"/>
                <w:sz w:val="13"/>
                <w:szCs w:val="13"/>
                <w:color w:val="auto"/>
              </w:rPr>
              <w:t>the years ended December 31, 2020, 2019 and 2018, respectively)</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4,816</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4,342</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10,831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ind w:left="520"/>
              <w:spacing w:after="0" w:line="146" w:lineRule="exact"/>
              <w:rPr>
                <w:sz w:val="20"/>
                <w:szCs w:val="20"/>
                <w:color w:val="auto"/>
              </w:rPr>
            </w:pPr>
            <w:r>
              <w:rPr>
                <w:rFonts w:ascii="Arial" w:cs="Arial" w:eastAsia="Arial" w:hAnsi="Arial"/>
                <w:sz w:val="13"/>
                <w:szCs w:val="13"/>
                <w:color w:val="auto"/>
              </w:rPr>
              <w:t>Total revenue</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233,416</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164,189</w:t>
            </w:r>
          </w:p>
        </w:tc>
        <w:tc>
          <w:tcPr>
            <w:tcW w:w="10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99,313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Operating expenses:</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ind w:left="240"/>
              <w:spacing w:after="0" w:line="142"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99,659</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93,175</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63,633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ind w:left="240"/>
              <w:spacing w:after="0" w:line="142" w:lineRule="exact"/>
              <w:rPr>
                <w:sz w:val="20"/>
                <w:szCs w:val="20"/>
                <w:color w:val="auto"/>
              </w:rPr>
            </w:pPr>
            <w:r>
              <w:rPr>
                <w:rFonts w:ascii="Arial" w:cs="Arial" w:eastAsia="Arial" w:hAnsi="Arial"/>
                <w:sz w:val="13"/>
                <w:szCs w:val="13"/>
                <w:color w:val="auto"/>
              </w:rPr>
              <w:t>Customer operations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37,581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2" w:lineRule="exact"/>
              <w:rPr>
                <w:sz w:val="20"/>
                <w:szCs w:val="20"/>
                <w:color w:val="auto"/>
              </w:rPr>
            </w:pPr>
            <w:r>
              <w:rPr>
                <w:rFonts w:ascii="Arial" w:cs="Arial" w:eastAsia="Arial" w:hAnsi="Arial"/>
                <w:sz w:val="13"/>
                <w:szCs w:val="13"/>
                <w:color w:val="auto"/>
              </w:rPr>
              <w:t>24,947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15,416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ind w:left="240"/>
              <w:spacing w:after="0" w:line="142" w:lineRule="exact"/>
              <w:rPr>
                <w:sz w:val="20"/>
                <w:szCs w:val="20"/>
                <w:color w:val="auto"/>
              </w:rPr>
            </w:pPr>
            <w:r>
              <w:rPr>
                <w:rFonts w:ascii="Arial" w:cs="Arial" w:eastAsia="Arial" w:hAnsi="Arial"/>
                <w:sz w:val="13"/>
                <w:szCs w:val="13"/>
                <w:color w:val="auto"/>
              </w:rPr>
              <w:t>Engineering and product development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38,802</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18,777</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8,415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ind w:left="240"/>
              <w:spacing w:after="0" w:line="142" w:lineRule="exact"/>
              <w:rPr>
                <w:sz w:val="20"/>
                <w:szCs w:val="20"/>
                <w:color w:val="auto"/>
              </w:rPr>
            </w:pPr>
            <w:r>
              <w:rPr>
                <w:rFonts w:ascii="Arial" w:cs="Arial" w:eastAsia="Arial" w:hAnsi="Arial"/>
                <w:sz w:val="13"/>
                <w:szCs w:val="13"/>
                <w:color w:val="auto"/>
              </w:rPr>
              <w:t>General, administrative, and other</w:t>
            </w: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45,609</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31,865</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19,820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0" w:type="dxa"/>
            <w:vAlign w:val="bottom"/>
          </w:tcPr>
          <w:p>
            <w:pPr>
              <w:ind w:left="520"/>
              <w:spacing w:after="0" w:line="146" w:lineRule="exact"/>
              <w:rPr>
                <w:sz w:val="20"/>
                <w:szCs w:val="20"/>
                <w:color w:val="auto"/>
              </w:rPr>
            </w:pPr>
            <w:r>
              <w:rPr>
                <w:rFonts w:ascii="Arial" w:cs="Arial" w:eastAsia="Arial" w:hAnsi="Arial"/>
                <w:sz w:val="13"/>
                <w:szCs w:val="13"/>
                <w:color w:val="auto"/>
              </w:rPr>
              <w:t>Total operating expenses</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221,651</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168,764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107,284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(loss) from operations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11,765</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(4,575)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(7,971)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line="142"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5,549</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2" w:lineRule="exact"/>
              <w:rPr>
                <w:sz w:val="20"/>
                <w:szCs w:val="20"/>
                <w:color w:val="auto"/>
              </w:rPr>
            </w:pPr>
            <w:r>
              <w:rPr>
                <w:rFonts w:ascii="Arial" w:cs="Arial" w:eastAsia="Arial" w:hAnsi="Arial"/>
                <w:sz w:val="13"/>
                <w:szCs w:val="13"/>
                <w:color w:val="auto"/>
              </w:rPr>
              <w:t>1,036</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487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Expense on warrants and other non-operating expenses,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(11,364)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(1,407)</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(3,734)</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gridSpan w:val="2"/>
          </w:tcPr>
          <w:p>
            <w:pPr>
              <w:spacing w:after="0" w:line="146" w:lineRule="exact"/>
              <w:rPr>
                <w:sz w:val="20"/>
                <w:szCs w:val="20"/>
                <w:color w:val="auto"/>
              </w:rPr>
            </w:pPr>
            <w:r>
              <w:rPr>
                <w:rFonts w:ascii="Arial" w:cs="Arial" w:eastAsia="Arial" w:hAnsi="Arial"/>
                <w:sz w:val="13"/>
                <w:szCs w:val="13"/>
                <w:color w:val="auto"/>
              </w:rPr>
              <w:t>Net income (loss) before income taxes</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5,950</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(4,946)</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(11,218)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Provision for income taxes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371</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74</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gridSpan w:val="2"/>
          </w:tcPr>
          <w:p>
            <w:pPr>
              <w:spacing w:after="0" w:line="146" w:lineRule="exact"/>
              <w:rPr>
                <w:sz w:val="20"/>
                <w:szCs w:val="20"/>
                <w:color w:val="auto"/>
              </w:rPr>
            </w:pPr>
            <w:r>
              <w:rPr>
                <w:rFonts w:ascii="Arial" w:cs="Arial" w:eastAsia="Arial" w:hAnsi="Arial"/>
                <w:sz w:val="13"/>
                <w:szCs w:val="13"/>
                <w:color w:val="auto"/>
              </w:rPr>
              <w:t>Net income (loss) before attribution to noncontrolling interests</w:t>
            </w:r>
          </w:p>
        </w:tc>
        <w:tc>
          <w:tcPr>
            <w:tcW w:w="8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5,579</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(5,020)</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(11,218)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income (loss) attributable to noncontrolling interests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(404)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3"/>
                <w:szCs w:val="13"/>
                <w:color w:val="auto"/>
              </w:rPr>
              <w:t>(4,554)</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gridSpan w:val="2"/>
          </w:tcPr>
          <w:p>
            <w:pPr>
              <w:spacing w:after="0" w:line="146" w:lineRule="exact"/>
              <w:rPr>
                <w:sz w:val="20"/>
                <w:szCs w:val="20"/>
                <w:color w:val="auto"/>
              </w:rPr>
            </w:pPr>
            <w:r>
              <w:rPr>
                <w:rFonts w:ascii="Arial" w:cs="Arial" w:eastAsia="Arial" w:hAnsi="Arial"/>
                <w:sz w:val="13"/>
                <w:szCs w:val="13"/>
                <w:color w:val="auto"/>
              </w:rPr>
              <w:t>Net income (loss) attributable to Upstart Holdings, Inc. common stockholders</w:t>
            </w:r>
          </w:p>
        </w:tc>
        <w:tc>
          <w:tcPr>
            <w:tcW w:w="8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5,983</w:t>
            </w:r>
          </w:p>
        </w:tc>
        <w:tc>
          <w:tcPr>
            <w:tcW w:w="40" w:type="dxa"/>
            <w:vAlign w:val="bottom"/>
          </w:tcPr>
          <w:p>
            <w:pPr>
              <w:spacing w:after="0"/>
              <w:rPr>
                <w:sz w:val="12"/>
                <w:szCs w:val="12"/>
                <w:color w:val="auto"/>
              </w:rPr>
            </w:pPr>
          </w:p>
        </w:tc>
        <w:tc>
          <w:tcPr>
            <w:tcW w:w="48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80"/>
              <w:spacing w:after="0" w:line="146" w:lineRule="exact"/>
              <w:rPr>
                <w:sz w:val="20"/>
                <w:szCs w:val="20"/>
                <w:color w:val="auto"/>
              </w:rPr>
            </w:pPr>
            <w:r>
              <w:rPr>
                <w:rFonts w:ascii="Arial" w:cs="Arial" w:eastAsia="Arial" w:hAnsi="Arial"/>
                <w:sz w:val="13"/>
                <w:szCs w:val="13"/>
                <w:color w:val="auto"/>
              </w:rPr>
              <w:t>(466)</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(12,319)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4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Net income (loss) per share attributable to Upstart Holdings, Inc. common stockholders, basic and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0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380"/>
              <w:spacing w:after="0" w:line="145" w:lineRule="exact"/>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(0.87)</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3"/>
                <w:szCs w:val="13"/>
                <w:color w:val="auto"/>
              </w:rPr>
              <w:t>Weighted-average number of shares outstanding used in computing net income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00" w:type="dxa"/>
            <w:vAlign w:val="bottom"/>
          </w:tcPr>
          <w:p>
            <w:pPr>
              <w:ind w:left="120"/>
              <w:spacing w:after="0" w:line="145" w:lineRule="exact"/>
              <w:rPr>
                <w:sz w:val="20"/>
                <w:szCs w:val="20"/>
                <w:color w:val="auto"/>
              </w:rPr>
            </w:pPr>
            <w:r>
              <w:rPr>
                <w:rFonts w:ascii="Arial" w:cs="Arial" w:eastAsia="Arial" w:hAnsi="Arial"/>
                <w:sz w:val="13"/>
                <w:szCs w:val="13"/>
                <w:color w:val="auto"/>
              </w:rPr>
              <w:t>attributable to Upstart Holdings, Inc.common stockholders, basic and diluted</w:t>
            </w:r>
          </w:p>
        </w:tc>
        <w:tc>
          <w:tcPr>
            <w:tcW w:w="8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3"/>
                <w:szCs w:val="13"/>
                <w:color w:val="auto"/>
              </w:rPr>
              <w:t>17,513,670</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20"/>
              <w:spacing w:after="0" w:line="145" w:lineRule="exact"/>
              <w:rPr>
                <w:sz w:val="20"/>
                <w:szCs w:val="20"/>
                <w:color w:val="auto"/>
              </w:rPr>
            </w:pPr>
            <w:r>
              <w:rPr>
                <w:rFonts w:ascii="Arial" w:cs="Arial" w:eastAsia="Arial" w:hAnsi="Arial"/>
                <w:sz w:val="13"/>
                <w:szCs w:val="13"/>
                <w:color w:val="auto"/>
              </w:rPr>
              <w:t>14,335,611</w:t>
            </w:r>
          </w:p>
        </w:tc>
        <w:tc>
          <w:tcPr>
            <w:tcW w:w="10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w w:val="98"/>
              </w:rPr>
              <w:t>14,128,183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440"/>
          </w:cols>
          <w:pgMar w:left="320" w:top="420" w:right="113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(In thousands, except share data)</w:t>
      </w:r>
    </w:p>
    <w:p>
      <w:pPr>
        <w:spacing w:after="0" w:line="200"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7"/>
              </w:rPr>
              <w:t>Total Upstart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20" w:type="dxa"/>
            <w:vAlign w:val="bottom"/>
          </w:tcPr>
          <w:p>
            <w:pPr>
              <w:spacing w:after="0"/>
              <w:rPr>
                <w:sz w:val="11"/>
                <w:szCs w:val="11"/>
                <w:color w:val="auto"/>
              </w:rPr>
            </w:pPr>
          </w:p>
        </w:tc>
        <w:tc>
          <w:tcPr>
            <w:tcW w:w="1620" w:type="dxa"/>
            <w:vAlign w:val="bottom"/>
            <w:tcBorders>
              <w:right w:val="single" w:sz="8" w:color="auto"/>
            </w:tcBorders>
            <w:gridSpan w:val="6"/>
          </w:tcPr>
          <w:p>
            <w:pPr>
              <w:jc w:val="right"/>
              <w:ind w:right="560"/>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Holdings, Inc.</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1620" w:type="dxa"/>
            <w:vAlign w:val="bottom"/>
            <w:tcBorders>
              <w:right w:val="single" w:sz="8" w:color="auto"/>
            </w:tcBorders>
            <w:gridSpan w:val="6"/>
          </w:tcPr>
          <w:p>
            <w:pPr>
              <w:jc w:val="right"/>
              <w:ind w:right="460"/>
              <w:spacing w:after="0" w:line="119" w:lineRule="exact"/>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0"/>
                <w:szCs w:val="10"/>
                <w:color w:val="auto"/>
              </w:rPr>
            </w:pPr>
          </w:p>
        </w:tc>
        <w:tc>
          <w:tcPr>
            <w:tcW w:w="1120" w:type="dxa"/>
            <w:vAlign w:val="bottom"/>
            <w:gridSpan w:val="3"/>
          </w:tcPr>
          <w:p>
            <w:pPr>
              <w:ind w:left="260"/>
              <w:spacing w:after="0" w:line="119" w:lineRule="exact"/>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ind w:right="160"/>
              <w:spacing w:after="0" w:line="119" w:lineRule="exact"/>
              <w:rPr>
                <w:sz w:val="20"/>
                <w:szCs w:val="20"/>
                <w:color w:val="auto"/>
              </w:rPr>
            </w:pPr>
            <w:r>
              <w:rPr>
                <w:rFonts w:ascii="Arial" w:cs="Arial" w:eastAsia="Arial" w:hAnsi="Arial"/>
                <w:sz w:val="11"/>
                <w:szCs w:val="11"/>
                <w:b w:val="1"/>
                <w:bCs w:val="1"/>
                <w:color w:val="auto"/>
              </w:rPr>
              <w:t>Stockholders’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tcPr>
          <w:p>
            <w:pPr>
              <w:jc w:val="center"/>
              <w:ind w:right="80"/>
              <w:spacing w:after="0" w:line="119"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jc w:val="right"/>
              <w:ind w:right="140"/>
              <w:spacing w:after="0" w:line="99" w:lineRule="exact"/>
              <w:rPr>
                <w:sz w:val="20"/>
                <w:szCs w:val="20"/>
                <w:color w:val="auto"/>
              </w:rPr>
            </w:pPr>
            <w:r>
              <w:rPr>
                <w:rFonts w:ascii="Arial" w:cs="Arial" w:eastAsia="Arial" w:hAnsi="Arial"/>
                <w:sz w:val="11"/>
                <w:szCs w:val="11"/>
                <w:b w:val="1"/>
                <w:bCs w:val="1"/>
                <w:color w:val="auto"/>
                <w:w w:val="98"/>
              </w:rPr>
              <w:t>Paid-in</w:t>
            </w:r>
          </w:p>
        </w:tc>
        <w:tc>
          <w:tcPr>
            <w:tcW w:w="60" w:type="dxa"/>
            <w:vAlign w:val="bottom"/>
          </w:tcPr>
          <w:p>
            <w:pPr>
              <w:spacing w:after="0"/>
              <w:rPr>
                <w:sz w:val="2"/>
                <w:szCs w:val="2"/>
                <w:color w:val="auto"/>
              </w:rPr>
            </w:pPr>
          </w:p>
        </w:tc>
        <w:tc>
          <w:tcPr>
            <w:tcW w:w="860" w:type="dxa"/>
            <w:vAlign w:val="bottom"/>
            <w:gridSpan w:val="3"/>
            <w:vMerge w:val="restart"/>
          </w:tcPr>
          <w:p>
            <w:pPr>
              <w:spacing w:after="0" w:line="99" w:lineRule="exact"/>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2"/>
                <w:szCs w:val="2"/>
                <w:color w:val="auto"/>
              </w:rPr>
            </w:pPr>
          </w:p>
        </w:tc>
        <w:tc>
          <w:tcPr>
            <w:tcW w:w="780" w:type="dxa"/>
            <w:vAlign w:val="bottom"/>
            <w:gridSpan w:val="2"/>
            <w:vMerge w:val="restart"/>
          </w:tcPr>
          <w:p>
            <w:pPr>
              <w:jc w:val="center"/>
              <w:ind w:right="280"/>
              <w:spacing w:after="0" w:line="99" w:lineRule="exact"/>
              <w:rPr>
                <w:sz w:val="20"/>
                <w:szCs w:val="20"/>
                <w:color w:val="auto"/>
              </w:rPr>
            </w:pPr>
            <w:r>
              <w:rPr>
                <w:rFonts w:ascii="Arial" w:cs="Arial" w:eastAsia="Arial" w:hAnsi="Arial"/>
                <w:sz w:val="11"/>
                <w:szCs w:val="11"/>
                <w:b w:val="1"/>
                <w:bCs w:val="1"/>
                <w:color w:val="auto"/>
              </w:rPr>
              <w:t>Equity</w:t>
            </w:r>
          </w:p>
        </w:tc>
        <w:tc>
          <w:tcPr>
            <w:tcW w:w="960" w:type="dxa"/>
            <w:vAlign w:val="bottom"/>
            <w:gridSpan w:val="3"/>
            <w:vMerge w:val="restart"/>
          </w:tcPr>
          <w:p>
            <w:pPr>
              <w:spacing w:after="0" w:line="99"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2"/>
                <w:szCs w:val="2"/>
                <w:color w:val="auto"/>
              </w:rPr>
            </w:pPr>
          </w:p>
        </w:tc>
        <w:tc>
          <w:tcPr>
            <w:tcW w:w="700" w:type="dxa"/>
            <w:vAlign w:val="bottom"/>
            <w:gridSpan w:val="2"/>
            <w:vMerge w:val="restart"/>
          </w:tcPr>
          <w:p>
            <w:pPr>
              <w:jc w:val="center"/>
              <w:ind w:right="200"/>
              <w:spacing w:after="0" w:line="9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55"/>
        </w:trPr>
        <w:tc>
          <w:tcPr>
            <w:tcW w:w="2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w w:val="98"/>
              </w:rPr>
              <w:t>Capital</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Interest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Balance as of December 31, 2017</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35,445,012</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88,868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12,752,205</w:t>
            </w:r>
          </w:p>
        </w:tc>
        <w:tc>
          <w:tcPr>
            <w:tcW w:w="2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6,038</w:t>
            </w:r>
          </w:p>
        </w:tc>
        <w:tc>
          <w:tcPr>
            <w:tcW w:w="20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(62,759)</w:t>
            </w: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(56,720)</w:t>
            </w: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13,307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Issuance of Series C-1 convertible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40"/>
              <w:spacing w:after="0"/>
              <w:rPr>
                <w:sz w:val="20"/>
                <w:szCs w:val="20"/>
                <w:color w:val="auto"/>
              </w:rPr>
            </w:pPr>
            <w:r>
              <w:rPr>
                <w:rFonts w:ascii="Arial" w:cs="Arial" w:eastAsia="Arial" w:hAnsi="Arial"/>
                <w:sz w:val="14"/>
                <w:szCs w:val="14"/>
                <w:color w:val="auto"/>
              </w:rPr>
              <w:t>preferred stock upon conversion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of convertible promissory notes</w:t>
            </w:r>
          </w:p>
        </w:tc>
        <w:tc>
          <w:tcPr>
            <w:tcW w:w="760" w:type="dxa"/>
            <w:vAlign w:val="bottom"/>
          </w:tcPr>
          <w:p>
            <w:pPr>
              <w:jc w:val="right"/>
              <w:spacing w:after="0"/>
              <w:rPr>
                <w:sz w:val="20"/>
                <w:szCs w:val="20"/>
                <w:color w:val="auto"/>
              </w:rPr>
            </w:pPr>
            <w:r>
              <w:rPr>
                <w:rFonts w:ascii="Arial" w:cs="Arial" w:eastAsia="Arial" w:hAnsi="Arial"/>
                <w:sz w:val="14"/>
                <w:szCs w:val="14"/>
                <w:color w:val="auto"/>
              </w:rPr>
              <w:t>5,871,382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21,210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Issuance of Series D convertible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net of issuance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costs of $2,255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5,566,483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47,845</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Issuance of common stock upon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239,065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323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2,045</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Contributions of interests in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consolidated VIEs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9,166</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Return of capital to interests in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(11,573)</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(12,319)</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(12,319)</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46,882,877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157,923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12,991,270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8,406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(75,078)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(66,671)</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Issuance of Series D convertible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40"/>
              <w:spacing w:after="0"/>
              <w:rPr>
                <w:sz w:val="20"/>
                <w:szCs w:val="20"/>
                <w:color w:val="auto"/>
              </w:rPr>
            </w:pPr>
            <w:r>
              <w:rPr>
                <w:rFonts w:ascii="Arial" w:cs="Arial" w:eastAsia="Arial" w:hAnsi="Arial"/>
                <w:sz w:val="14"/>
                <w:szCs w:val="14"/>
                <w:color w:val="auto"/>
              </w:rPr>
              <w:t>preferred stock, net of issuance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costs of $8</w:t>
            </w:r>
          </w:p>
        </w:tc>
        <w:tc>
          <w:tcPr>
            <w:tcW w:w="760" w:type="dxa"/>
            <w:vAlign w:val="bottom"/>
          </w:tcPr>
          <w:p>
            <w:pPr>
              <w:jc w:val="right"/>
              <w:spacing w:after="0"/>
              <w:rPr>
                <w:sz w:val="20"/>
                <w:szCs w:val="20"/>
                <w:color w:val="auto"/>
              </w:rPr>
            </w:pPr>
            <w:r>
              <w:rPr>
                <w:rFonts w:ascii="Arial" w:cs="Arial" w:eastAsia="Arial" w:hAnsi="Arial"/>
                <w:sz w:val="14"/>
                <w:szCs w:val="14"/>
                <w:color w:val="auto"/>
              </w:rPr>
              <w:t>444,428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3,992</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Issuance of Series B convertible</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upon exercise of</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convertible preferred stock</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warrants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300,103</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Repurchase and retirement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40"/>
              <w:spacing w:after="0"/>
              <w:rPr>
                <w:sz w:val="20"/>
                <w:szCs w:val="20"/>
                <w:color w:val="auto"/>
              </w:rPr>
            </w:pPr>
            <w:r>
              <w:rPr>
                <w:rFonts w:ascii="Arial" w:cs="Arial" w:eastAsia="Arial" w:hAnsi="Arial"/>
                <w:sz w:val="14"/>
                <w:szCs w:val="14"/>
                <w:color w:val="auto"/>
              </w:rPr>
              <w:t>Series C convertible preferred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stock</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(277,831)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66"/>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Exercise of common stock warrants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1,297,884</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Issuance of common stock upon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272,244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277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3,806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3,806</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67"/>
        </w:trPr>
        <w:tc>
          <w:tcPr>
            <w:tcW w:w="2320" w:type="dxa"/>
            <w:vAlign w:val="bottom"/>
          </w:tcPr>
          <w:p>
            <w:pPr>
              <w:spacing w:after="0"/>
              <w:rPr>
                <w:sz w:val="20"/>
                <w:szCs w:val="20"/>
                <w:color w:val="auto"/>
              </w:rPr>
            </w:pPr>
            <w:r>
              <w:rPr>
                <w:rFonts w:ascii="Arial" w:cs="Arial" w:eastAsia="Arial" w:hAnsi="Arial"/>
                <w:sz w:val="14"/>
                <w:szCs w:val="14"/>
                <w:color w:val="auto"/>
              </w:rPr>
              <w:t>Return of capital to interests in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tcPr>
          <w:p>
            <w:pPr>
              <w:ind w:left="140"/>
              <w:spacing w:after="0"/>
              <w:rPr>
                <w:sz w:val="20"/>
                <w:szCs w:val="20"/>
                <w:color w:val="auto"/>
              </w:rPr>
            </w:pPr>
            <w:r>
              <w:rPr>
                <w:rFonts w:ascii="Arial" w:cs="Arial" w:eastAsia="Arial" w:hAnsi="Arial"/>
                <w:sz w:val="14"/>
                <w:szCs w:val="14"/>
                <w:color w:val="auto"/>
              </w:rPr>
              <w:t>consolidated VIEs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(4,960)</w:t>
            </w: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6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Deconsolidation of interests in</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(4,554)</w:t>
            </w: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4"/>
        </w:trPr>
        <w:tc>
          <w:tcPr>
            <w:tcW w:w="2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440"/>
          </w:cols>
          <w:pgMar w:left="320" w:top="419" w:right="113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(Deficit)—(Continued)</w:t>
      </w:r>
    </w:p>
    <w:p>
      <w:pPr>
        <w:spacing w:after="0" w:line="183"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(In thousands, except share data)</w:t>
      </w:r>
    </w:p>
    <w:p>
      <w:pPr>
        <w:spacing w:after="0" w:line="200" w:lineRule="exact"/>
        <w:rPr>
          <w:sz w:val="20"/>
          <w:szCs w:val="20"/>
          <w:color w:val="auto"/>
        </w:rPr>
      </w:pPr>
    </w:p>
    <w:tbl>
      <w:tblPr>
        <w:tblLayout w:type="fixed"/>
        <w:tblInd w:w="80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300" w:type="dxa"/>
            <w:vAlign w:val="bottom"/>
          </w:tcPr>
          <w:p>
            <w:pPr>
              <w:spacing w:after="0"/>
              <w:rPr>
                <w:sz w:val="11"/>
                <w:szCs w:val="11"/>
                <w:color w:val="auto"/>
              </w:rPr>
            </w:pPr>
          </w:p>
        </w:tc>
        <w:tc>
          <w:tcPr>
            <w:tcW w:w="1780" w:type="dxa"/>
            <w:vAlign w:val="bottom"/>
            <w:tcBorders>
              <w:right w:val="single" w:sz="8" w:color="auto"/>
            </w:tcBorders>
            <w:gridSpan w:val="5"/>
          </w:tcPr>
          <w:p>
            <w:pPr>
              <w:ind w:left="540"/>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9"/>
              </w:rPr>
              <w:t>Holdings, Inc.</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18"/>
        </w:trPr>
        <w:tc>
          <w:tcPr>
            <w:tcW w:w="2300" w:type="dxa"/>
            <w:vAlign w:val="bottom"/>
          </w:tcPr>
          <w:p>
            <w:pPr>
              <w:spacing w:after="0"/>
              <w:rPr>
                <w:sz w:val="10"/>
                <w:szCs w:val="10"/>
                <w:color w:val="auto"/>
              </w:rPr>
            </w:pPr>
          </w:p>
        </w:tc>
        <w:tc>
          <w:tcPr>
            <w:tcW w:w="1780" w:type="dxa"/>
            <w:vAlign w:val="bottom"/>
            <w:tcBorders>
              <w:right w:val="single" w:sz="8" w:color="auto"/>
            </w:tcBorders>
            <w:gridSpan w:val="5"/>
          </w:tcPr>
          <w:p>
            <w:pPr>
              <w:ind w:left="440"/>
              <w:spacing w:after="0" w:line="119" w:lineRule="exact"/>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0"/>
                <w:szCs w:val="10"/>
                <w:color w:val="auto"/>
              </w:rPr>
            </w:pPr>
          </w:p>
        </w:tc>
        <w:tc>
          <w:tcPr>
            <w:tcW w:w="1080" w:type="dxa"/>
            <w:vAlign w:val="bottom"/>
            <w:gridSpan w:val="4"/>
          </w:tcPr>
          <w:p>
            <w:pPr>
              <w:jc w:val="right"/>
              <w:spacing w:after="0" w:line="119" w:lineRule="exact"/>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60"/>
              <w:spacing w:after="0" w:line="119" w:lineRule="exact"/>
              <w:rPr>
                <w:sz w:val="20"/>
                <w:szCs w:val="20"/>
                <w:color w:val="auto"/>
              </w:rPr>
            </w:pPr>
            <w:r>
              <w:rPr>
                <w:rFonts w:ascii="Arial" w:cs="Arial" w:eastAsia="Arial" w:hAnsi="Arial"/>
                <w:sz w:val="11"/>
                <w:szCs w:val="11"/>
                <w:b w:val="1"/>
                <w:bCs w:val="1"/>
                <w:color w:val="auto"/>
              </w:rPr>
              <w:t>Stockholders’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20"/>
              <w:spacing w:after="0" w:line="119" w:lineRule="exact"/>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vMerge w:val="restart"/>
          </w:tcPr>
          <w:p>
            <w:pPr>
              <w:jc w:val="center"/>
              <w:ind w:right="160"/>
              <w:spacing w:after="0" w:line="99" w:lineRule="exact"/>
              <w:rPr>
                <w:sz w:val="20"/>
                <w:szCs w:val="20"/>
                <w:color w:val="auto"/>
              </w:rPr>
            </w:pPr>
            <w:r>
              <w:rPr>
                <w:rFonts w:ascii="Arial" w:cs="Arial" w:eastAsia="Arial" w:hAnsi="Arial"/>
                <w:sz w:val="11"/>
                <w:szCs w:val="11"/>
                <w:b w:val="1"/>
                <w:bCs w:val="1"/>
                <w:color w:val="auto"/>
              </w:rPr>
              <w:t>Paid-in</w:t>
            </w:r>
          </w:p>
        </w:tc>
        <w:tc>
          <w:tcPr>
            <w:tcW w:w="60" w:type="dxa"/>
            <w:vAlign w:val="bottom"/>
          </w:tcPr>
          <w:p>
            <w:pPr>
              <w:spacing w:after="0"/>
              <w:rPr>
                <w:sz w:val="2"/>
                <w:szCs w:val="2"/>
                <w:color w:val="auto"/>
              </w:rPr>
            </w:pPr>
          </w:p>
        </w:tc>
        <w:tc>
          <w:tcPr>
            <w:tcW w:w="800" w:type="dxa"/>
            <w:vAlign w:val="bottom"/>
            <w:gridSpan w:val="3"/>
            <w:vMerge w:val="restart"/>
          </w:tcPr>
          <w:p>
            <w:pPr>
              <w:jc w:val="right"/>
              <w:ind w:right="120"/>
              <w:spacing w:after="0" w:line="99" w:lineRule="exact"/>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2"/>
                <w:szCs w:val="2"/>
                <w:color w:val="auto"/>
              </w:rPr>
            </w:pPr>
          </w:p>
        </w:tc>
        <w:tc>
          <w:tcPr>
            <w:tcW w:w="680" w:type="dxa"/>
            <w:vAlign w:val="bottom"/>
            <w:gridSpan w:val="2"/>
            <w:vMerge w:val="restart"/>
          </w:tcPr>
          <w:p>
            <w:pPr>
              <w:jc w:val="center"/>
              <w:ind w:right="180"/>
              <w:spacing w:after="0" w:line="99" w:lineRule="exact"/>
              <w:rPr>
                <w:sz w:val="20"/>
                <w:szCs w:val="20"/>
                <w:color w:val="auto"/>
              </w:rPr>
            </w:pPr>
            <w:r>
              <w:rPr>
                <w:rFonts w:ascii="Arial" w:cs="Arial" w:eastAsia="Arial" w:hAnsi="Arial"/>
                <w:sz w:val="11"/>
                <w:szCs w:val="11"/>
                <w:b w:val="1"/>
                <w:bCs w:val="1"/>
                <w:color w:val="auto"/>
              </w:rPr>
              <w:t>Equity</w:t>
            </w:r>
          </w:p>
        </w:tc>
        <w:tc>
          <w:tcPr>
            <w:tcW w:w="60" w:type="dxa"/>
            <w:vAlign w:val="bottom"/>
          </w:tcPr>
          <w:p>
            <w:pPr>
              <w:spacing w:after="0"/>
              <w:rPr>
                <w:sz w:val="2"/>
                <w:szCs w:val="2"/>
                <w:color w:val="auto"/>
              </w:rPr>
            </w:pPr>
          </w:p>
        </w:tc>
        <w:tc>
          <w:tcPr>
            <w:tcW w:w="840" w:type="dxa"/>
            <w:vAlign w:val="bottom"/>
            <w:gridSpan w:val="3"/>
            <w:vMerge w:val="restart"/>
          </w:tcPr>
          <w:p>
            <w:pPr>
              <w:spacing w:after="0" w:line="99" w:lineRule="exact"/>
              <w:rPr>
                <w:sz w:val="20"/>
                <w:szCs w:val="20"/>
                <w:color w:val="auto"/>
              </w:rPr>
            </w:pPr>
            <w:r>
              <w:rPr>
                <w:rFonts w:ascii="Arial" w:cs="Arial" w:eastAsia="Arial" w:hAnsi="Arial"/>
                <w:sz w:val="11"/>
                <w:szCs w:val="11"/>
                <w:b w:val="1"/>
                <w:bCs w:val="1"/>
                <w:color w:val="auto"/>
              </w:rPr>
              <w:t>Noncontrolling</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60"/>
              <w:spacing w:after="0" w:line="9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55"/>
        </w:trPr>
        <w:tc>
          <w:tcPr>
            <w:tcW w:w="2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3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31"/>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Deficit</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1"/>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Interest</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1"/>
                <w:szCs w:val="11"/>
                <w:b w:val="1"/>
                <w:bCs w:val="1"/>
                <w:color w:val="auto"/>
                <w:w w:val="97"/>
              </w:rPr>
              <w:t>(Deficit)</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3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Balance as of December 31, 2019</w:t>
            </w:r>
          </w:p>
        </w:tc>
        <w:tc>
          <w:tcPr>
            <w:tcW w:w="98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47,349,577</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162,546</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14,561,398</w:t>
            </w:r>
          </w:p>
        </w:tc>
        <w:tc>
          <w:tcPr>
            <w:tcW w:w="260" w:type="dxa"/>
            <w:vAlign w:val="bottom"/>
            <w:gridSpan w:val="2"/>
            <w:shd w:val="clear" w:color="auto" w:fill="CCEEFF"/>
          </w:tcPr>
          <w:p>
            <w:pPr>
              <w:jc w:val="right"/>
              <w:ind w:right="65"/>
              <w:spacing w:after="0" w:line="157"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12,489</w:t>
            </w:r>
          </w:p>
        </w:tc>
        <w:tc>
          <w:tcPr>
            <w:tcW w:w="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5"/>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(75,205)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(62,714)</w:t>
            </w:r>
          </w:p>
        </w:tc>
        <w:tc>
          <w:tcPr>
            <w:tcW w:w="20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1,026</w:t>
            </w:r>
          </w:p>
        </w:tc>
        <w:tc>
          <w:tcPr>
            <w:tcW w:w="1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(61,688)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Conversion of convertible preferred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rPr>
                <w:sz w:val="20"/>
                <w:szCs w:val="20"/>
                <w:color w:val="auto"/>
              </w:rPr>
            </w:pPr>
            <w:r>
              <w:rPr>
                <w:rFonts w:ascii="Arial" w:cs="Arial" w:eastAsia="Arial" w:hAnsi="Arial"/>
                <w:sz w:val="14"/>
                <w:szCs w:val="14"/>
                <w:color w:val="auto"/>
              </w:rPr>
              <w:t>stock to common stock upon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140"/>
              <w:spacing w:after="0"/>
              <w:rPr>
                <w:sz w:val="20"/>
                <w:szCs w:val="20"/>
                <w:color w:val="auto"/>
              </w:rPr>
            </w:pPr>
            <w:r>
              <w:rPr>
                <w:rFonts w:ascii="Arial" w:cs="Arial" w:eastAsia="Arial" w:hAnsi="Arial"/>
                <w:sz w:val="14"/>
                <w:szCs w:val="14"/>
                <w:color w:val="auto"/>
              </w:rPr>
              <w:t>initial public offering</w:t>
            </w:r>
          </w:p>
        </w:tc>
        <w:tc>
          <w:tcPr>
            <w:tcW w:w="860" w:type="dxa"/>
            <w:vAlign w:val="bottom"/>
          </w:tcPr>
          <w:p>
            <w:pPr>
              <w:ind w:left="60"/>
              <w:spacing w:after="0"/>
              <w:rPr>
                <w:sz w:val="20"/>
                <w:szCs w:val="20"/>
                <w:color w:val="auto"/>
              </w:rPr>
            </w:pPr>
            <w:r>
              <w:rPr>
                <w:rFonts w:ascii="Arial" w:cs="Arial" w:eastAsia="Arial" w:hAnsi="Arial"/>
                <w:sz w:val="14"/>
                <w:szCs w:val="14"/>
                <w:color w:val="auto"/>
                <w:w w:val="98"/>
              </w:rPr>
              <w:t>(47,349,577)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6"/>
              </w:rPr>
              <w:t>(162,546)</w:t>
            </w: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47,349,577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162,542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162,546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162,546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initial public offering, net of</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underwriting discounts,</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and offering costs</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9,000,000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159,487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159,488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1,284,468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2,362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2,362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2,362</w:t>
            </w: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in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connection with an incentive</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282,750</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1,696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Exercise of convertible preferred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rPr>
                <w:sz w:val="20"/>
                <w:szCs w:val="20"/>
                <w:color w:val="auto"/>
              </w:rPr>
            </w:pPr>
            <w:r>
              <w:rPr>
                <w:rFonts w:ascii="Arial" w:cs="Arial" w:eastAsia="Arial" w:hAnsi="Arial"/>
                <w:sz w:val="14"/>
                <w:szCs w:val="14"/>
                <w:color w:val="auto"/>
              </w:rPr>
              <w:t>stock warrant into preferred stock</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rPr>
                <w:sz w:val="20"/>
                <w:szCs w:val="20"/>
                <w:color w:val="auto"/>
              </w:rPr>
            </w:pPr>
            <w:r>
              <w:rPr>
                <w:rFonts w:ascii="Arial" w:cs="Arial" w:eastAsia="Arial" w:hAnsi="Arial"/>
                <w:sz w:val="14"/>
                <w:szCs w:val="14"/>
                <w:color w:val="auto"/>
              </w:rPr>
              <w:t>and issuance of common stock</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140"/>
              <w:spacing w:after="0"/>
              <w:rPr>
                <w:sz w:val="20"/>
                <w:szCs w:val="20"/>
                <w:color w:val="auto"/>
              </w:rPr>
            </w:pPr>
            <w:r>
              <w:rPr>
                <w:rFonts w:ascii="Arial" w:cs="Arial" w:eastAsia="Arial" w:hAnsi="Arial"/>
                <w:sz w:val="14"/>
                <w:szCs w:val="14"/>
                <w:color w:val="auto"/>
              </w:rPr>
              <w:t>upon initial public offering</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600,208</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12,183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12,183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12,183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Exercise of common stock warrants</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235,625</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2,971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2,971</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2,971</w:t>
            </w:r>
          </w:p>
        </w:tc>
        <w:tc>
          <w:tcPr>
            <w:tcW w:w="0" w:type="dxa"/>
            <w:vAlign w:val="bottom"/>
          </w:tcPr>
          <w:p>
            <w:pPr>
              <w:spacing w:after="0"/>
              <w:rPr>
                <w:sz w:val="1"/>
                <w:szCs w:val="1"/>
                <w:color w:val="auto"/>
              </w:rPr>
            </w:pPr>
          </w:p>
        </w:tc>
      </w:tr>
      <w:tr>
        <w:trPr>
          <w:trHeight w:val="167"/>
        </w:trPr>
        <w:tc>
          <w:tcPr>
            <w:tcW w:w="2300" w:type="dxa"/>
            <w:vAlign w:val="bottom"/>
          </w:tcPr>
          <w:p>
            <w:pPr>
              <w:spacing w:after="0"/>
              <w:rPr>
                <w:sz w:val="20"/>
                <w:szCs w:val="20"/>
                <w:color w:val="auto"/>
              </w:rPr>
            </w:pPr>
            <w:r>
              <w:rPr>
                <w:rFonts w:ascii="Arial" w:cs="Arial" w:eastAsia="Arial" w:hAnsi="Arial"/>
                <w:sz w:val="14"/>
                <w:szCs w:val="14"/>
                <w:color w:val="auto"/>
              </w:rPr>
              <w:t>Reclass of warrant liability upon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ind w:left="140"/>
              <w:spacing w:after="0"/>
              <w:rPr>
                <w:sz w:val="20"/>
                <w:szCs w:val="20"/>
                <w:color w:val="auto"/>
              </w:rPr>
            </w:pPr>
            <w:r>
              <w:rPr>
                <w:rFonts w:ascii="Arial" w:cs="Arial" w:eastAsia="Arial" w:hAnsi="Arial"/>
                <w:sz w:val="14"/>
                <w:szCs w:val="14"/>
                <w:color w:val="auto"/>
              </w:rPr>
              <w:t>termination of repurchase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tcPr>
          <w:p>
            <w:pPr>
              <w:ind w:left="140"/>
              <w:spacing w:after="0"/>
              <w:rPr>
                <w:sz w:val="20"/>
                <w:szCs w:val="20"/>
                <w:color w:val="auto"/>
              </w:rPr>
            </w:pPr>
            <w:r>
              <w:rPr>
                <w:rFonts w:ascii="Arial" w:cs="Arial" w:eastAsia="Arial" w:hAnsi="Arial"/>
                <w:sz w:val="14"/>
                <w:szCs w:val="14"/>
                <w:color w:val="auto"/>
              </w:rPr>
              <w:t>obligation</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2,945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2,945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2,945</w:t>
            </w: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Incentive share expense</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787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787</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Return of capital on interest in</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consolidated VIEs</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Net income (loss)</w:t>
            </w: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5,983</w:t>
            </w:r>
          </w:p>
        </w:tc>
        <w:tc>
          <w:tcPr>
            <w:tcW w:w="1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5,983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(404)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24"/>
        </w:trPr>
        <w:tc>
          <w:tcPr>
            <w:tcW w:w="2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8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73,314,026</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369,467</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(69,222)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300,252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0440"/>
          </w:cols>
          <w:pgMar w:left="320" w:top="420" w:right="113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(In thousands)</w:t>
      </w:r>
    </w:p>
    <w:p>
      <w:pPr>
        <w:spacing w:after="0" w:line="251"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w w:val="97"/>
              </w:rPr>
              <w:t>Year Ended December 31,</w:t>
            </w: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69"/>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69"/>
              <w:spacing w:after="0" w:line="134" w:lineRule="exact"/>
              <w:rPr>
                <w:sz w:val="20"/>
                <w:szCs w:val="20"/>
                <w:color w:val="auto"/>
              </w:rPr>
            </w:pPr>
            <w:r>
              <w:rPr>
                <w:rFonts w:ascii="Arial" w:cs="Arial" w:eastAsia="Arial" w:hAnsi="Arial"/>
                <w:sz w:val="13"/>
                <w:szCs w:val="13"/>
                <w:b w:val="1"/>
                <w:bCs w:val="1"/>
                <w:color w:val="auto"/>
              </w:rPr>
              <w:t>2019</w:t>
            </w:r>
          </w:p>
        </w:tc>
        <w:tc>
          <w:tcPr>
            <w:tcW w:w="440" w:type="dxa"/>
            <w:vAlign w:val="bottom"/>
          </w:tcPr>
          <w:p>
            <w:pPr>
              <w:spacing w:after="0"/>
              <w:rPr>
                <w:sz w:val="11"/>
                <w:szCs w:val="11"/>
                <w:color w:val="auto"/>
              </w:rPr>
            </w:pPr>
          </w:p>
        </w:tc>
        <w:tc>
          <w:tcPr>
            <w:tcW w:w="840" w:type="dxa"/>
            <w:vAlign w:val="bottom"/>
            <w:gridSpan w:val="2"/>
          </w:tcPr>
          <w:p>
            <w:pPr>
              <w:jc w:val="right"/>
              <w:ind w:right="169"/>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Arial" w:cs="Arial" w:eastAsia="Arial" w:hAnsi="Arial"/>
                <w:sz w:val="14"/>
                <w:szCs w:val="14"/>
                <w:color w:val="auto"/>
              </w:rPr>
              <w:t>Net income (loss) before attribution to noncontrolling interests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5,579</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(5,020)</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   (11,218)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Change in fair value of financial instruments (includes $(4,238), $($7,400) and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680"/>
              <w:spacing w:after="0"/>
              <w:rPr>
                <w:sz w:val="20"/>
                <w:szCs w:val="20"/>
                <w:color w:val="auto"/>
              </w:rPr>
            </w:pPr>
            <w:r>
              <w:rPr>
                <w:rFonts w:ascii="Arial" w:cs="Arial" w:eastAsia="Arial" w:hAnsi="Arial"/>
                <w:sz w:val="14"/>
                <w:szCs w:val="14"/>
                <w:color w:val="auto"/>
              </w:rPr>
              <w:t>$4,031 to related parties for the years ended December 31, 2020, 2019 and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20" w:type="dxa"/>
            <w:vAlign w:val="bottom"/>
          </w:tcPr>
          <w:p>
            <w:pPr>
              <w:ind w:left="680"/>
              <w:spacing w:after="0"/>
              <w:rPr>
                <w:sz w:val="20"/>
                <w:szCs w:val="20"/>
                <w:color w:val="auto"/>
              </w:rPr>
            </w:pPr>
            <w:r>
              <w:rPr>
                <w:rFonts w:ascii="Arial" w:cs="Arial" w:eastAsia="Arial" w:hAnsi="Arial"/>
                <w:sz w:val="14"/>
                <w:szCs w:val="14"/>
                <w:color w:val="auto"/>
              </w:rPr>
              <w:t>2018, respectively)</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29,049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34,716</w:t>
            </w:r>
          </w:p>
        </w:tc>
        <w:tc>
          <w:tcPr>
            <w:tcW w:w="4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42,282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3,806</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Loss (gain) on loan servicing arrangements and sale of noncontrolling interests, net</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(1,530)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856</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2,169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2,278</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774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Incentive share expense</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Noncash interest expense</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Gain on repurchased and retired convertible preferred stock warrants</w:t>
            </w:r>
          </w:p>
        </w:tc>
        <w:tc>
          <w:tcPr>
            <w:tcW w:w="8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(3,657)</w:t>
            </w:r>
          </w:p>
        </w:tc>
        <w:tc>
          <w:tcPr>
            <w:tcW w:w="6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shd w:val="clear" w:color="auto" w:fill="CCEEFF"/>
          </w:tcPr>
          <w:p>
            <w:pPr>
              <w:ind w:left="540"/>
              <w:spacing w:after="0"/>
              <w:rPr>
                <w:sz w:val="20"/>
                <w:szCs w:val="20"/>
                <w:color w:val="auto"/>
              </w:rPr>
            </w:pPr>
            <w:r>
              <w:rPr>
                <w:rFonts w:ascii="Arial" w:cs="Arial" w:eastAsia="Arial" w:hAnsi="Arial"/>
                <w:sz w:val="14"/>
                <w:szCs w:val="14"/>
                <w:color w:val="auto"/>
              </w:rPr>
              <w:t>Accrued interest on convertible notes (includes $397 to related parties for the year</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ended December 31, 2018)</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Net changes in operating assets and liabilities: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(2,540,948)</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7"/>
              </w:rPr>
              <w:t>(1,779,180)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(1,115,049)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840"/>
              <w:spacing w:after="0"/>
              <w:rPr>
                <w:sz w:val="20"/>
                <w:szCs w:val="20"/>
                <w:color w:val="auto"/>
              </w:rPr>
            </w:pPr>
            <w:r>
              <w:rPr>
                <w:rFonts w:ascii="Arial" w:cs="Arial" w:eastAsia="Arial" w:hAnsi="Arial"/>
                <w:sz w:val="14"/>
                <w:szCs w:val="14"/>
                <w:color w:val="auto"/>
              </w:rPr>
              <w:t>Proceeds from immediate resale of loans to investors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2,540,948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1,779,180</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1,115,049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Purchase of loans held-for-sale</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(116,127)</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840"/>
              <w:spacing w:after="0"/>
              <w:rPr>
                <w:sz w:val="20"/>
                <w:szCs w:val="20"/>
                <w:color w:val="auto"/>
              </w:rPr>
            </w:pPr>
            <w:r>
              <w:rPr>
                <w:rFonts w:ascii="Arial" w:cs="Arial" w:eastAsia="Arial" w:hAnsi="Arial"/>
                <w:sz w:val="14"/>
                <w:szCs w:val="14"/>
                <w:color w:val="auto"/>
              </w:rPr>
              <w:t>Principal payments received for loans held-for-sale</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18,218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Net proceeds from sale of loans held-for-sale</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84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(13,186)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(11,957)</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(3,001)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Operating lease liability and right-of-use asset</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871</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840"/>
              <w:spacing w:after="0"/>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7,033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3,613</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Payable to investors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(14,875)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ind w:left="840"/>
              <w:spacing w:after="0"/>
              <w:rPr>
                <w:sz w:val="20"/>
                <w:szCs w:val="20"/>
                <w:color w:val="auto"/>
              </w:rPr>
            </w:pPr>
            <w:r>
              <w:rPr>
                <w:rFonts w:ascii="Arial" w:cs="Arial" w:eastAsia="Arial" w:hAnsi="Arial"/>
                <w:sz w:val="14"/>
                <w:szCs w:val="14"/>
                <w:color w:val="auto"/>
              </w:rPr>
              <w:t>Accrued expenses and other liabilities</w:t>
            </w: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4,709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22,381</w:t>
            </w:r>
          </w:p>
        </w:tc>
        <w:tc>
          <w:tcPr>
            <w:tcW w:w="44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31,582</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50,338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received for loans held by consolidated securitizations</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158,921</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199,325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Arial" w:cs="Arial" w:eastAsia="Arial" w:hAnsi="Arial"/>
                <w:sz w:val="14"/>
                <w:szCs w:val="14"/>
                <w:color w:val="auto"/>
              </w:rPr>
              <w:t>Net proceeds from sale of loans held-for-investment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97,340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100,678</w:t>
            </w:r>
          </w:p>
        </w:tc>
        <w:tc>
          <w:tcPr>
            <w:tcW w:w="4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45,698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Principal payments received for loans held-for-investment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48,124</w:t>
            </w: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38,678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Arial" w:cs="Arial" w:eastAsia="Arial" w:hAnsi="Arial"/>
                <w:sz w:val="14"/>
                <w:szCs w:val="14"/>
                <w:color w:val="auto"/>
              </w:rPr>
              <w:t>Principal payments received for notes receivable and repayments of residual certificates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14,665</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8,760</w:t>
            </w:r>
          </w:p>
        </w:tc>
        <w:tc>
          <w:tcPr>
            <w:tcW w:w="920" w:type="dxa"/>
            <w:vAlign w:val="bottom"/>
            <w:gridSpan w:val="3"/>
          </w:tcPr>
          <w:p>
            <w:pPr>
              <w:jc w:val="right"/>
              <w:ind w:right="80"/>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loans held-for-investment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(9,655)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(265,286)</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(169,442)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Arial" w:cs="Arial" w:eastAsia="Arial" w:hAnsi="Arial"/>
                <w:sz w:val="14"/>
                <w:szCs w:val="14"/>
                <w:color w:val="auto"/>
              </w:rPr>
              <w:t>Purchase of notes receivable and residual certificates</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(485)</w:t>
            </w: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property and equipment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(1,355)</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(4,004)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ind w:left="260"/>
              <w:spacing w:after="0"/>
              <w:rPr>
                <w:sz w:val="20"/>
                <w:szCs w:val="20"/>
                <w:color w:val="auto"/>
              </w:rPr>
            </w:pPr>
            <w:r>
              <w:rPr>
                <w:rFonts w:ascii="Arial" w:cs="Arial" w:eastAsia="Arial" w:hAnsi="Arial"/>
                <w:sz w:val="14"/>
                <w:szCs w:val="14"/>
                <w:color w:val="auto"/>
              </w:rPr>
              <w:t>Capitalized software costs</w:t>
            </w: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(4,250)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(1,275)</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Purchase of loans held by consolidated securitizations</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(251,681)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ind w:left="540"/>
              <w:spacing w:after="0"/>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136,517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45,433</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(137,237)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440"/>
          </w:cols>
          <w:pgMar w:left="320" w:top="419" w:right="113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Consolidated Statements of Cash Flows—(Continued)</w:t>
      </w:r>
    </w:p>
    <w:p>
      <w:pPr>
        <w:spacing w:after="0" w:line="1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(In thousands)</w:t>
      </w:r>
    </w:p>
    <w:p>
      <w:pPr>
        <w:spacing w:after="0" w:line="18"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20" w:type="dxa"/>
            <w:vAlign w:val="bottom"/>
            <w:gridSpan w:val="9"/>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0"/>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9"/>
              <w:spacing w:after="0" w:line="134"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29"/>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 of underwriting discounts and offering costs</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159,488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Payments made on securitization notes and certificates (includes $1,034, $3,262 and $7,607 paid to</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related parties for the years ended December 31, 2020, 2019 and 2018, respectively)</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(26,126)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(176,742)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(226,775)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Repayments of borrowings</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(148,113)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(109,939)</w:t>
            </w: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(92,954)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Repayments of notes payable</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(22,637)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(21,468)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Distributions made to noncontrolling interests</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(4,960)</w:t>
            </w:r>
          </w:p>
        </w:tc>
        <w:tc>
          <w:tcPr>
            <w:tcW w:w="8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(11,238)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 and retirement of convertible preferred stock warrants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(1,426)</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Repurchase and retirement of convertible preferred stock</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(661)</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borrowings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92,057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153,491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Proceeds from issuance of notes payable</w:t>
            </w:r>
          </w:p>
        </w:tc>
        <w:tc>
          <w:tcPr>
            <w:tcW w:w="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39,863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42,537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issuance of convertible preferred stock, net of issuance costs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1,912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Proceeds from exercise of convertible preferred stock warrants</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1,631</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20" w:type="dxa"/>
            <w:vAlign w:val="bottom"/>
          </w:tcPr>
          <w:p>
            <w:pPr>
              <w:ind w:left="260"/>
              <w:spacing w:after="0"/>
              <w:rPr>
                <w:sz w:val="20"/>
                <w:szCs w:val="20"/>
                <w:color w:val="auto"/>
              </w:rPr>
            </w:pPr>
            <w:r>
              <w:rPr>
                <w:rFonts w:ascii="Arial" w:cs="Arial" w:eastAsia="Arial" w:hAnsi="Arial"/>
                <w:sz w:val="14"/>
                <w:szCs w:val="14"/>
                <w:color w:val="auto"/>
              </w:rPr>
              <w:t>Proceeds from the issuance of securitization notes and certificates (includes $54,839 from related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20" w:type="dxa"/>
            <w:vAlign w:val="bottom"/>
          </w:tcPr>
          <w:p>
            <w:pPr>
              <w:ind w:left="400"/>
              <w:spacing w:after="0"/>
              <w:rPr>
                <w:sz w:val="20"/>
                <w:szCs w:val="20"/>
                <w:color w:val="auto"/>
              </w:rPr>
            </w:pPr>
            <w:r>
              <w:rPr>
                <w:rFonts w:ascii="Arial" w:cs="Arial" w:eastAsia="Arial" w:hAnsi="Arial"/>
                <w:sz w:val="14"/>
                <w:szCs w:val="14"/>
                <w:color w:val="auto"/>
              </w:rPr>
              <w:t>parties for the year ended December 31, 2018)</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242,454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Proceeds from sale of noncontrolling interests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20" w:type="dxa"/>
            <w:vAlign w:val="bottom"/>
          </w:tcPr>
          <w:p>
            <w:pPr>
              <w:ind w:left="840"/>
              <w:spacing w:after="0"/>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79,052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(119,190)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135,766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Net increase (decrease) in cash and restricted cash</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231,266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(42,175)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Cash and restricted cash</w:t>
            </w:r>
          </w:p>
        </w:tc>
        <w:tc>
          <w:tcPr>
            <w:tcW w:w="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Beginning of year</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80,067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122,242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gridSpan w:val="2"/>
          </w:tcPr>
          <w:p>
            <w:pPr>
              <w:spacing w:after="0"/>
              <w:rPr>
                <w:sz w:val="20"/>
                <w:szCs w:val="20"/>
                <w:color w:val="auto"/>
              </w:rPr>
            </w:pPr>
            <w:r>
              <w:rPr>
                <w:rFonts w:ascii="Arial" w:cs="Arial" w:eastAsia="Arial" w:hAnsi="Arial"/>
                <w:sz w:val="14"/>
                <w:szCs w:val="14"/>
                <w:color w:val="auto"/>
              </w:rPr>
              <w:t>End of year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311,333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80,067</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122,242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70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8,028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26,871</w:t>
            </w:r>
          </w:p>
        </w:tc>
        <w:tc>
          <w:tcPr>
            <w:tcW w:w="2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26,676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1,905</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disclosures of non-cash operating activities</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Total right-of-use assets capitalized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704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of common stock warrant liability related to cashless exercise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2,971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Reclassification of preferred stock warrant liability related to cash exercise</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12,177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Reclassification of common stock warrant liability to equity upon termination of repurchase option</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Derecognition of loans held-for-investment in consolidated VIE</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57,222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154,864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Derecognition of payable to securitization note holders and residual certificate holders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58,017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80,825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Derecognition of notes payable held in consolidated VIE</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69,419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Securities retained under unconsolidated securitization transactions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9,501</w:t>
            </w: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Transfer of notes receivable and residual certificate on deconsolidation of VIE</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3,699</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Accrued convertible preferred stock issuance costs included in accrued expenses and other liabilities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166"/>
        </w:trPr>
        <w:tc>
          <w:tcPr>
            <w:tcW w:w="7040" w:type="dxa"/>
            <w:vAlign w:val="bottom"/>
            <w:gridSpan w:val="2"/>
          </w:tcPr>
          <w:p>
            <w:pPr>
              <w:spacing w:after="0"/>
              <w:rPr>
                <w:sz w:val="20"/>
                <w:szCs w:val="20"/>
                <w:color w:val="auto"/>
              </w:rPr>
            </w:pPr>
            <w:r>
              <w:rPr>
                <w:rFonts w:ascii="Arial" w:cs="Arial" w:eastAsia="Arial" w:hAnsi="Arial"/>
                <w:sz w:val="14"/>
                <w:szCs w:val="14"/>
                <w:color w:val="auto"/>
              </w:rPr>
              <w:t>Conversion of notes as part of issuance of convertible preferred stock</w:t>
            </w: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Capitalized stock-based compensation expense</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440"/>
          </w:cols>
          <w:pgMar w:left="320" w:top="420" w:right="113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5" w:lineRule="exact"/>
        <w:rPr>
          <w:sz w:val="20"/>
          <w:szCs w:val="20"/>
          <w:color w:val="auto"/>
        </w:rPr>
      </w:pPr>
    </w:p>
    <w:p>
      <w:pPr>
        <w:ind w:left="1280" w:right="4940" w:hanging="481"/>
        <w:spacing w:after="0" w:line="366" w:lineRule="auto"/>
        <w:tabs>
          <w:tab w:leader="none" w:pos="973" w:val="left"/>
        </w:tabs>
        <w:numPr>
          <w:ilvl w:val="0"/>
          <w:numId w:val="1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Description of Business and Significant Accounting Policies Description of Business</w:t>
      </w:r>
    </w:p>
    <w:p>
      <w:pPr>
        <w:spacing w:after="0" w:line="1"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178"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The Company’s fiscal year ends on December 31.</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106"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On December 16, 2020, the Company completed an initial public offering (“IPO”), in which 9,000,000 shares of common stock were issued and sold at $20.00 per share, resulting in net proceeds of $167.4 million after deducting underwriting discounts and commissions of $12.6 million.</w:t>
      </w:r>
    </w:p>
    <w:p>
      <w:pPr>
        <w:spacing w:after="0" w:line="179" w:lineRule="exact"/>
        <w:rPr>
          <w:sz w:val="20"/>
          <w:szCs w:val="20"/>
          <w:color w:val="auto"/>
        </w:rPr>
      </w:pPr>
    </w:p>
    <w:p>
      <w:pPr>
        <w:jc w:val="both"/>
        <w:ind w:left="800" w:right="140" w:firstLine="482"/>
        <w:spacing w:after="0" w:line="258" w:lineRule="auto"/>
        <w:rPr>
          <w:sz w:val="20"/>
          <w:szCs w:val="20"/>
          <w:color w:val="auto"/>
        </w:rPr>
      </w:pPr>
      <w:r>
        <w:rPr>
          <w:rFonts w:ascii="Arial" w:cs="Arial" w:eastAsia="Arial" w:hAnsi="Arial"/>
          <w:sz w:val="15"/>
          <w:szCs w:val="15"/>
          <w:color w:val="auto"/>
        </w:rPr>
        <w:t>In November 2020, the outstanding Series B preferred stock warrant was exercised to purchase 600,208 of preferred stock. Upon consummation of the IPO in December 2020, the related 600,208 shares of preferred stock automatically converted into common stock. Additionally, all shares of convertible preferred stock outstanding automatically converted into 47,349,577 shares of common stock.</w:t>
      </w:r>
    </w:p>
    <w:p>
      <w:pPr>
        <w:spacing w:after="0" w:line="165"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The Company incurred deferred offering costs consisting primarily of incremental accounting, legal, and other fees related to the IPO. Prior to the IPO, all deferred offering costs were capitalized within other assets on the consolidated balance sheets. Upon completion of the IPO, $7.9 million of deferred offering costs were reclassified into stockholders’ equity (deficit) as a reduction of the net proceeds received from the IPO.</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06" w:lineRule="exact"/>
        <w:rPr>
          <w:sz w:val="20"/>
          <w:szCs w:val="20"/>
          <w:color w:val="auto"/>
        </w:rPr>
      </w:pPr>
    </w:p>
    <w:p>
      <w:pPr>
        <w:ind w:left="800" w:right="540" w:firstLine="482"/>
        <w:spacing w:after="0" w:line="235"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6" w:lineRule="exact"/>
        <w:rPr>
          <w:sz w:val="20"/>
          <w:szCs w:val="20"/>
          <w:color w:val="auto"/>
        </w:rPr>
      </w:pPr>
    </w:p>
    <w:p>
      <w:pPr>
        <w:ind w:left="800" w:right="180" w:firstLine="482"/>
        <w:spacing w:after="0" w:line="236" w:lineRule="auto"/>
        <w:rPr>
          <w:sz w:val="20"/>
          <w:szCs w:val="20"/>
          <w:color w:val="auto"/>
        </w:rPr>
      </w:pPr>
      <w:r>
        <w:rPr>
          <w:rFonts w:ascii="Arial" w:cs="Arial" w:eastAsia="Arial" w:hAnsi="Arial"/>
          <w:sz w:val="16"/>
          <w:szCs w:val="16"/>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179" w:lineRule="exact"/>
        <w:rPr>
          <w:sz w:val="20"/>
          <w:szCs w:val="20"/>
          <w:color w:val="auto"/>
        </w:rPr>
      </w:pPr>
    </w:p>
    <w:p>
      <w:pPr>
        <w:jc w:val="both"/>
        <w:ind w:left="800" w:right="100" w:firstLine="482"/>
        <w:spacing w:after="0" w:line="236" w:lineRule="auto"/>
        <w:rPr>
          <w:sz w:val="20"/>
          <w:szCs w:val="20"/>
          <w:color w:val="auto"/>
        </w:rPr>
      </w:pPr>
      <w:r>
        <w:rPr>
          <w:rFonts w:ascii="Arial" w:cs="Arial" w:eastAsia="Arial" w:hAnsi="Arial"/>
          <w:sz w:val="16"/>
          <w:szCs w:val="16"/>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440"/>
          </w:cols>
          <w:pgMar w:left="320" w:top="419" w:right="113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80" w:hanging="1"/>
        <w:spacing w:after="0" w:line="236" w:lineRule="auto"/>
        <w:tabs>
          <w:tab w:leader="none" w:pos="105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Variable Interest Entities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106" w:lineRule="exact"/>
        <w:rPr>
          <w:sz w:val="20"/>
          <w:szCs w:val="20"/>
          <w:color w:val="auto"/>
        </w:rPr>
      </w:pPr>
    </w:p>
    <w:p>
      <w:pPr>
        <w:ind w:left="800" w:right="100" w:firstLine="482"/>
        <w:spacing w:after="0" w:line="250" w:lineRule="auto"/>
        <w:rPr>
          <w:sz w:val="20"/>
          <w:szCs w:val="20"/>
          <w:color w:val="auto"/>
        </w:rPr>
      </w:pPr>
      <w:r>
        <w:rPr>
          <w:rFonts w:ascii="Arial" w:cs="Arial" w:eastAsia="Arial" w:hAnsi="Arial"/>
          <w:sz w:val="15"/>
          <w:szCs w:val="15"/>
          <w:color w:val="auto"/>
        </w:rPr>
        <w:t>Noncontrolling interests represent a portion of the equity of consolidated VIEs that are not held by the Company. These interests are recognized as a result of the admission of non-voting members into consolidated majority-owned affiliates (“MOAs”), which were formed in conjunction with the 2017-1, 2017-2, and 2018-1 securitizations for the purpose of holding subordinated certificates in sponsored securitizations for risk retention purposes. See “</w:t>
      </w:r>
      <w:r>
        <w:rPr>
          <w:rFonts w:ascii="Arial" w:cs="Arial" w:eastAsia="Arial" w:hAnsi="Arial"/>
          <w:sz w:val="15"/>
          <w:szCs w:val="15"/>
          <w:i w:val="1"/>
          <w:iCs w:val="1"/>
          <w:color w:val="auto"/>
        </w:rPr>
        <w:t>Note 3. Securitizations and Variable Interest Entities</w:t>
      </w:r>
      <w:r>
        <w:rPr>
          <w:rFonts w:ascii="Arial" w:cs="Arial" w:eastAsia="Arial" w:hAnsi="Arial"/>
          <w:sz w:val="15"/>
          <w:szCs w:val="15"/>
          <w:color w:val="auto"/>
        </w:rPr>
        <w:t>” for details. Earnings and losses associated with these VIEs, are allocated to noncontrolling interests proportionally to their ownership interests in these entities in the period they are incurred. Cash distributions to holders of noncontrolling interests are made in the period following the allocation of earnings and losses. Noncontrolling interests and associated income or losses for each year presented are disclosed as separate line items on the consolidated balance sheets and consolidated statements of operations and comprehensive income (loss), respectively.</w:t>
      </w: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Cash consists of bank deposits held in business checking and interest-bearing deposit accounts. As of December 31, 2020,</w:t>
      </w:r>
    </w:p>
    <w:p>
      <w:pPr>
        <w:ind w:left="800" w:right="80"/>
        <w:spacing w:after="0" w:line="238" w:lineRule="auto"/>
        <w:rPr>
          <w:sz w:val="20"/>
          <w:szCs w:val="20"/>
          <w:color w:val="auto"/>
        </w:rPr>
      </w:pPr>
      <w:r>
        <w:rPr>
          <w:rFonts w:ascii="Arial" w:cs="Arial" w:eastAsia="Arial" w:hAnsi="Arial"/>
          <w:sz w:val="16"/>
          <w:szCs w:val="16"/>
          <w:color w:val="auto"/>
        </w:rPr>
        <w:t>and 2019 , the Company did not have any cash equivalent balances, defined as highly liquid financial instruments purchased with original maturities of three months or less.</w:t>
      </w:r>
    </w:p>
    <w:p>
      <w:pPr>
        <w:spacing w:after="0" w:line="179"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Restricted cash primarily consists of bank deposits that are: (i) received from borrowers for interest and applied to loans as part of loan servicing, but not yet distributed to investors; (ii) received from investors as collateral for financing of loan purchases on the Upstart platform but not yet invested in issued loans; and (iii) collateral for a letter of credit the Company is required to maintain under its operating lease agreement.</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Financial Instruments not Measured at Fair Value</w:t>
      </w:r>
    </w:p>
    <w:p>
      <w:pPr>
        <w:spacing w:after="0" w:line="106" w:lineRule="exact"/>
        <w:rPr>
          <w:sz w:val="20"/>
          <w:szCs w:val="20"/>
          <w:color w:val="auto"/>
        </w:rPr>
      </w:pPr>
    </w:p>
    <w:p>
      <w:pPr>
        <w:ind w:left="800" w:right="320" w:firstLine="482"/>
        <w:spacing w:after="0" w:line="258" w:lineRule="auto"/>
        <w:rPr>
          <w:sz w:val="20"/>
          <w:szCs w:val="20"/>
          <w:color w:val="auto"/>
        </w:rPr>
      </w:pPr>
      <w:r>
        <w:rPr>
          <w:rFonts w:ascii="Arial" w:cs="Arial" w:eastAsia="Arial" w:hAnsi="Arial"/>
          <w:sz w:val="15"/>
          <w:szCs w:val="15"/>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such as loan servicing assets and liabilities, trailing fee liabilities, common stock warrant</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440"/>
          </w:cols>
          <w:pgMar w:left="320" w:top="420" w:right="113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520"/>
        <w:spacing w:after="0" w:line="238" w:lineRule="auto"/>
        <w:rPr>
          <w:sz w:val="20"/>
          <w:szCs w:val="20"/>
          <w:color w:val="auto"/>
        </w:rPr>
      </w:pPr>
      <w:r>
        <w:rPr>
          <w:rFonts w:ascii="Arial" w:cs="Arial" w:eastAsia="Arial" w:hAnsi="Arial"/>
          <w:sz w:val="16"/>
          <w:szCs w:val="16"/>
          <w:color w:val="auto"/>
        </w:rPr>
        <w:t>liabilities and convertible preferred stock warrant liabilities, which are measured at fair value). The carrying values of these financial instruments are considered to be representative of their respective fair values due to their short-term nature.</w:t>
      </w:r>
    </w:p>
    <w:p>
      <w:pPr>
        <w:spacing w:after="0" w:line="17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Similarly, distributions payable to investors in securitization transactions, included in payable to securitization note holders and residual certificates holders in the Company’s consolidated balance sheets, are settled monthly as part of the waterfall payments and are not carried at fair value. Payable to investors includes amounts of loan repayments not yet distributed to investors, as well as amounts received from investors but not yet invested directly in whole loans or notes payable. Borrowings are presented at par, net of debt issuance costs and amortized over the contractual term, with accrued interest included as part of accounts payable on the consolidated balance sheets. The carrying value of borrowings approximates the fair value due to their relatively short maturities.</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Fair Value Measurement</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179" w:lineRule="exact"/>
        <w:rPr>
          <w:sz w:val="20"/>
          <w:szCs w:val="20"/>
          <w:color w:val="auto"/>
        </w:rPr>
      </w:pPr>
    </w:p>
    <w:p>
      <w:pPr>
        <w:ind w:left="800" w:right="460" w:firstLine="482"/>
        <w:spacing w:after="0" w:line="238" w:lineRule="auto"/>
        <w:rPr>
          <w:sz w:val="20"/>
          <w:szCs w:val="20"/>
          <w:color w:val="auto"/>
        </w:rPr>
      </w:pPr>
      <w:r>
        <w:rPr>
          <w:rFonts w:ascii="Arial" w:cs="Arial" w:eastAsia="Arial" w:hAnsi="Arial"/>
          <w:sz w:val="16"/>
          <w:szCs w:val="16"/>
          <w:color w:val="auto"/>
        </w:rPr>
        <w:t>The authoritative guidance on fair value measurements establishes a three-tier fair value hierarchy for disclosure of fair value measurements as follows:</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Level 1—Unadjusted quoted market prices in active markets for identical assets or liabilities;</w:t>
      </w:r>
    </w:p>
    <w:p>
      <w:pPr>
        <w:spacing w:after="0" w:line="88" w:lineRule="exact"/>
        <w:rPr>
          <w:sz w:val="20"/>
          <w:szCs w:val="20"/>
          <w:color w:val="auto"/>
        </w:rPr>
      </w:pPr>
    </w:p>
    <w:p>
      <w:pPr>
        <w:ind w:left="1080" w:right="180" w:firstLine="281"/>
        <w:spacing w:after="0" w:line="236" w:lineRule="auto"/>
        <w:rPr>
          <w:sz w:val="20"/>
          <w:szCs w:val="20"/>
          <w:color w:val="auto"/>
        </w:rPr>
      </w:pPr>
      <w:r>
        <w:rPr>
          <w:rFonts w:ascii="Arial" w:cs="Arial" w:eastAsia="Arial" w:hAnsi="Arial"/>
          <w:sz w:val="16"/>
          <w:szCs w:val="16"/>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84" w:lineRule="exact"/>
        <w:rPr>
          <w:sz w:val="20"/>
          <w:szCs w:val="20"/>
          <w:color w:val="auto"/>
        </w:rPr>
      </w:pPr>
    </w:p>
    <w:p>
      <w:pPr>
        <w:ind w:left="1080" w:right="420" w:firstLine="281"/>
        <w:spacing w:after="0" w:line="238" w:lineRule="auto"/>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179"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Assets and liabilities measured at fair value on a recurring basis include loans, notes receivable and residual certificates, payable to securitization note holders and residual certificate holders, other assets, common stock warrant liabilities, convertible preferred stock warrant liabilities, loan servicing assets and liabilities, and trailing fee liabilities. When developing fair value measurements, the Company maximizes the use of observable inputs and minimizes the use of unobservable inputs.</w:t>
      </w:r>
    </w:p>
    <w:p>
      <w:pPr>
        <w:spacing w:after="0" w:line="178" w:lineRule="exact"/>
        <w:rPr>
          <w:sz w:val="20"/>
          <w:szCs w:val="20"/>
          <w:color w:val="auto"/>
        </w:rPr>
      </w:pPr>
    </w:p>
    <w:p>
      <w:pPr>
        <w:ind w:left="800" w:right="620" w:firstLine="482"/>
        <w:spacing w:after="0" w:line="238" w:lineRule="auto"/>
        <w:rPr>
          <w:sz w:val="20"/>
          <w:szCs w:val="20"/>
          <w:color w:val="auto"/>
        </w:rPr>
      </w:pPr>
      <w:r>
        <w:rPr>
          <w:rFonts w:ascii="Arial" w:cs="Arial" w:eastAsia="Arial" w:hAnsi="Arial"/>
          <w:sz w:val="16"/>
          <w:szCs w:val="16"/>
          <w:color w:val="auto"/>
        </w:rPr>
        <w:t>However, for certain instruments, the Company must utilize unobservable inputs in determining fair value due to the lack of observable inputs in the market, which requires greater judgment in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440"/>
          </w:cols>
          <w:pgMar w:left="320" w:top="419" w:right="113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jc w:val="both"/>
        <w:ind w:left="800" w:right="160"/>
        <w:spacing w:after="0" w:line="236" w:lineRule="auto"/>
        <w:rPr>
          <w:sz w:val="20"/>
          <w:szCs w:val="20"/>
          <w:color w:val="auto"/>
        </w:rPr>
      </w:pPr>
      <w:r>
        <w:rPr>
          <w:rFonts w:ascii="Arial" w:cs="Arial" w:eastAsia="Arial" w:hAnsi="Arial"/>
          <w:sz w:val="16"/>
          <w:szCs w:val="16"/>
          <w:color w:val="auto"/>
        </w:rPr>
        <w:t>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Transfer of Financial Assets</w:t>
      </w:r>
    </w:p>
    <w:p>
      <w:pPr>
        <w:spacing w:after="0" w:line="106" w:lineRule="exact"/>
        <w:rPr>
          <w:sz w:val="20"/>
          <w:szCs w:val="20"/>
          <w:color w:val="auto"/>
        </w:rPr>
      </w:pPr>
    </w:p>
    <w:p>
      <w:pPr>
        <w:ind w:left="800" w:firstLine="482"/>
        <w:spacing w:after="0" w:line="249" w:lineRule="auto"/>
        <w:rPr>
          <w:sz w:val="20"/>
          <w:szCs w:val="20"/>
          <w:color w:val="auto"/>
        </w:rPr>
      </w:pPr>
      <w:r>
        <w:rPr>
          <w:rFonts w:ascii="Arial" w:cs="Arial" w:eastAsia="Arial" w:hAnsi="Arial"/>
          <w:sz w:val="15"/>
          <w:szCs w:val="15"/>
          <w:color w:val="auto"/>
        </w:rPr>
        <w:t xml:space="preserve">Upstart-powered loans originated by bank partners are either retained by the bank partners, purchased by the Company and immediately sold to institutional investors under loan sale agreements, or purchased and held by the Company for a period of time before being sold to third-party investors, or held by the Company.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The Company records an asset or a liability at fair value for its estimated post- sale servicing obligations. The Company also records liabilities at fair value for contingent obligations to repurchase loans that do not conform to the representations and warranties made to the loan purchaser at the time of sale. The net liability is included in other liabilities on the Company’s consolidated balance sheets.</w:t>
      </w:r>
    </w:p>
    <w:p>
      <w:pPr>
        <w:spacing w:after="0" w:line="172" w:lineRule="exact"/>
        <w:rPr>
          <w:sz w:val="20"/>
          <w:szCs w:val="20"/>
          <w:color w:val="auto"/>
        </w:rPr>
      </w:pPr>
    </w:p>
    <w:p>
      <w:pPr>
        <w:ind w:left="800" w:right="480" w:firstLine="482"/>
        <w:spacing w:after="0" w:line="238" w:lineRule="auto"/>
        <w:rPr>
          <w:sz w:val="20"/>
          <w:szCs w:val="20"/>
          <w:color w:val="auto"/>
        </w:rPr>
      </w:pPr>
      <w:r>
        <w:rPr>
          <w:rFonts w:ascii="Arial" w:cs="Arial" w:eastAsia="Arial" w:hAnsi="Arial"/>
          <w:sz w:val="16"/>
          <w:szCs w:val="16"/>
          <w:color w:val="auto"/>
        </w:rPr>
        <w:t>The Company retains certain loans purchased from originating bank partners upon completion of the required holding period primarily for product development purposes.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further details.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Loan Servicing Assets and Liabilities</w:t>
      </w:r>
    </w:p>
    <w:p>
      <w:pPr>
        <w:spacing w:after="0" w:line="106"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178" w:lineRule="exact"/>
        <w:rPr>
          <w:sz w:val="20"/>
          <w:szCs w:val="20"/>
          <w:color w:val="auto"/>
        </w:rPr>
      </w:pPr>
    </w:p>
    <w:p>
      <w:pPr>
        <w:ind w:left="800" w:right="420" w:firstLine="482"/>
        <w:spacing w:after="0" w:line="258" w:lineRule="auto"/>
        <w:rPr>
          <w:sz w:val="20"/>
          <w:szCs w:val="20"/>
          <w:color w:val="auto"/>
        </w:rPr>
      </w:pPr>
      <w:r>
        <w:rPr>
          <w:rFonts w:ascii="Arial" w:cs="Arial" w:eastAsia="Arial" w:hAnsi="Arial"/>
          <w:sz w:val="15"/>
          <w:szCs w:val="15"/>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in the periods presented.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42"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Property, Equipment, and Software, Net</w:t>
      </w:r>
    </w:p>
    <w:p>
      <w:pPr>
        <w:spacing w:after="0" w:line="106"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equipment, and furniture and fixtures. Leasehold improvements are depreciated over the shorter of the remaining lease term or the estimated useful life.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420"/>
          </w:cols>
          <w:pgMar w:left="320" w:top="419" w:right="115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79" w:lineRule="exact"/>
        <w:rPr>
          <w:sz w:val="20"/>
          <w:szCs w:val="20"/>
          <w:color w:val="auto"/>
        </w:rPr>
      </w:pPr>
    </w:p>
    <w:p>
      <w:pPr>
        <w:ind w:left="800" w:right="80" w:firstLine="482"/>
        <w:spacing w:after="0" w:line="252" w:lineRule="auto"/>
        <w:rPr>
          <w:sz w:val="20"/>
          <w:szCs w:val="20"/>
          <w:color w:val="auto"/>
        </w:rPr>
      </w:pPr>
      <w:r>
        <w:rPr>
          <w:rFonts w:ascii="Arial" w:cs="Arial" w:eastAsia="Arial" w:hAnsi="Arial"/>
          <w:sz w:val="15"/>
          <w:szCs w:val="15"/>
          <w:color w:val="auto"/>
        </w:rPr>
        <w:t>The Company evaluates its long-lived assets for potential impairment when events or changes in circumstances indicate that the carrying amount of the assets may not be recoverable. When such an event occurs, the Company determines whether there has been an impairment by comparing the anticipated undiscounted future net cash flows to the related asset group’s carrying value. If an asset group is considered impaired, it is written down to its fair value, which is determined based on discounted cash flows or appraised values, depending on the nature of the assets. There were no impairments of long-lived assets as of December 31, 2020 and 2019.</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Leases</w:t>
      </w:r>
    </w:p>
    <w:p>
      <w:pPr>
        <w:spacing w:after="0" w:line="106"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2020 and 2019, the Company did not have any material finance leases.</w:t>
      </w:r>
    </w:p>
    <w:p>
      <w:pPr>
        <w:spacing w:after="0" w:line="182"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The Company has elected not to separate lease and non-lease components for any leases within its existing classes of assets and, as a result, accounts for any lease and non-lease components as a single lease component. The Company does not have any material leases with a term of 12 months or less.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Common Stock Warrant Liabilities</w:t>
      </w:r>
    </w:p>
    <w:p>
      <w:pPr>
        <w:spacing w:after="0" w:line="106" w:lineRule="exact"/>
        <w:rPr>
          <w:sz w:val="20"/>
          <w:szCs w:val="20"/>
          <w:color w:val="auto"/>
        </w:rPr>
      </w:pPr>
    </w:p>
    <w:p>
      <w:pPr>
        <w:ind w:left="800" w:right="160" w:firstLine="482"/>
        <w:spacing w:after="0" w:line="236" w:lineRule="auto"/>
        <w:rPr>
          <w:sz w:val="20"/>
          <w:szCs w:val="20"/>
          <w:color w:val="auto"/>
        </w:rPr>
      </w:pPr>
      <w:r>
        <w:rPr>
          <w:rFonts w:ascii="Arial" w:cs="Arial" w:eastAsia="Arial" w:hAnsi="Arial"/>
          <w:sz w:val="16"/>
          <w:szCs w:val="16"/>
          <w:color w:val="auto"/>
        </w:rPr>
        <w:t>The Company issued two common stock warrants in connection with loan agreements executed during the year ended December 31, 2018. These common stock warrants are exercisable at any time and have a repurchase option in the event of a qualified sale of the Company or an IPO. The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0440"/>
          </w:cols>
          <w:pgMar w:left="320" w:top="419" w:right="113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repurchase option terminates after the occurrence of either of these two events for warrants that are still outstanding.</w:t>
      </w:r>
    </w:p>
    <w:p>
      <w:pPr>
        <w:spacing w:after="0" w:line="183"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common stock warrants are contingently subject to repurchase at the option of the holders until the expiration of the repurchase clause. Therefore, the common stock warrants meet the requirements for liability classification under ASC 480 “</w:t>
      </w:r>
      <w:r>
        <w:rPr>
          <w:rFonts w:ascii="Arial" w:cs="Arial" w:eastAsia="Arial" w:hAnsi="Arial"/>
          <w:sz w:val="16"/>
          <w:szCs w:val="16"/>
          <w:i w:val="1"/>
          <w:iCs w:val="1"/>
          <w:color w:val="auto"/>
        </w:rPr>
        <w:t>Distinguishing</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 from Equity</w:t>
      </w:r>
      <w:r>
        <w:rPr>
          <w:rFonts w:ascii="Arial" w:cs="Arial" w:eastAsia="Arial" w:hAnsi="Arial"/>
          <w:sz w:val="16"/>
          <w:szCs w:val="16"/>
          <w:color w:val="auto"/>
        </w:rPr>
        <w:t>” and reported in accrued expenses and other liabilities on the consolidated balance sheets at their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Liability classified warrants are recorded at fair value and are subject to re-measurement at each balance sheet date. The change in fair value, if any, is recognized as expense on warrants and other non-operating expenses, net in the consolidated statement of operations and comprehensive income (loss).</w:t>
      </w:r>
    </w:p>
    <w:p>
      <w:pPr>
        <w:spacing w:after="0" w:line="182"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Company assesses classification of its common stock warrants at each reporting date to determine whether a change in classification between liability and equity is required. Upon expiration of the repurchase option, the common stock warrants no longer meet the criteria for liability classification and are classified to equity under ASC 815-40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At reclassification, the common stock warrant is remeasured to fair value with any change in fair value recognized as expense on warrants and other non-operating expenses, net in the consolidated statement of operations and comprehensive income (loss).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Convertible Preferred Stock Warrant Liabilities</w:t>
      </w:r>
    </w:p>
    <w:p>
      <w:pPr>
        <w:spacing w:after="0" w:line="106" w:lineRule="exact"/>
        <w:rPr>
          <w:sz w:val="20"/>
          <w:szCs w:val="20"/>
          <w:color w:val="auto"/>
        </w:rPr>
      </w:pPr>
    </w:p>
    <w:p>
      <w:pPr>
        <w:ind w:left="800" w:right="20" w:firstLine="482"/>
        <w:spacing w:after="0" w:line="250" w:lineRule="auto"/>
        <w:rPr>
          <w:sz w:val="20"/>
          <w:szCs w:val="20"/>
          <w:color w:val="auto"/>
        </w:rPr>
      </w:pPr>
      <w:r>
        <w:rPr>
          <w:rFonts w:ascii="Arial" w:cs="Arial" w:eastAsia="Arial" w:hAnsi="Arial"/>
          <w:sz w:val="15"/>
          <w:szCs w:val="15"/>
          <w:color w:val="auto"/>
        </w:rPr>
        <w:t>The Company issued convertible preferred stock warrants to institutional investors that are exercisable at any time. Such warrants are recorded within accrued expenses and other liabilities on the consolidated balance sheets at their estimated fair value because the shares underlying the warrants may obligate the Company to transfer assets to the holders at a future date under certain circumstances such as a deemed liquidation event. The fair value of the convertible preferred stock warrant liabilities is estimated using the Black-Scholes option-pricing model and the change in fair value, if any, is included in expense on warrants and convertible notes, net in the consolidated statements of operations and comprehensive income (loss). The Company remeasured the liabilities until the warrant holder exercised the warrants in November 2020. At that time the convertible preferred stock warrant liability was reclassified to additional paid-in capital and preferred stock. Upon consummation of the IPO, the preferred stock was converted to common stock on a one-for-one basis.</w:t>
      </w:r>
    </w:p>
    <w:p>
      <w:pPr>
        <w:spacing w:after="0" w:line="24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 xml:space="preserve">The Company’s revenue consists of two components: revenue from fees, net and interest income and fair value adjustments, net. The revenue from fees, net line item on the consolidated statements of operations comprehensive income (loss) is primarily comprised of platform and referral fees, net, which are recognized based on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Company adopted Topic 606 as of January 1, 2019, using the modified retrospective method for all contracts that were not complete as of the date of adoption. The adoption of Topic 606 did not have a material impact on the Company’s consolidated balance sheets, consolidated statements of operations and comprehensive income (loss), and consolidated statements of cash flows as of the adoption date.</w:t>
      </w:r>
    </w:p>
    <w:p>
      <w:pPr>
        <w:spacing w:after="0" w:line="181"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Topic 606 outlines a single comprehensive model in accounting for revenue arising from contracts with customers. The core principle, involving a five-step process, of the revenue model is that an entity recognizes revenue to depict the transfer of promised goods or services to customers in an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440"/>
          </w:cols>
          <w:pgMar w:left="320" w:top="419" w:right="113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amount that reflects the consideration to which the entity expects to be entitled in exchange for those goods or services. Refer to “</w:t>
      </w:r>
      <w:r>
        <w:rPr>
          <w:rFonts w:ascii="Arial" w:cs="Arial" w:eastAsia="Arial" w:hAnsi="Arial"/>
          <w:sz w:val="15"/>
          <w:szCs w:val="15"/>
          <w:i w:val="1"/>
          <w:iCs w:val="1"/>
          <w:color w:val="auto"/>
        </w:rPr>
        <w:t>Note 2.</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for further details.</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Sales and marketing</w:t>
      </w:r>
    </w:p>
    <w:p>
      <w:pPr>
        <w:spacing w:after="0" w:line="104" w:lineRule="exact"/>
        <w:rPr>
          <w:sz w:val="20"/>
          <w:szCs w:val="20"/>
          <w:color w:val="auto"/>
        </w:rPr>
      </w:pPr>
    </w:p>
    <w:p>
      <w:pPr>
        <w:ind w:left="800" w:right="220" w:firstLine="482"/>
        <w:spacing w:after="0" w:line="234" w:lineRule="auto"/>
        <w:rPr>
          <w:sz w:val="20"/>
          <w:szCs w:val="20"/>
          <w:color w:val="auto"/>
        </w:rPr>
      </w:pPr>
      <w:r>
        <w:rPr>
          <w:rFonts w:ascii="Arial" w:cs="Arial" w:eastAsia="Arial" w:hAnsi="Arial"/>
          <w:sz w:val="16"/>
          <w:szCs w:val="16"/>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Customer operations</w:t>
      </w:r>
    </w:p>
    <w:p>
      <w:pPr>
        <w:spacing w:after="0" w:line="104"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Engineering and product development</w:t>
      </w:r>
    </w:p>
    <w:p>
      <w:pPr>
        <w:spacing w:after="0" w:line="104"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Engineering and product development expenses primarily consist of payroll and other employee-related expenses, including stock-based compensation expenses, for the engineering and product development teams as well the costs of systems and tools used by these teams. These costs are recognized in the period incurred.</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General, administrative, and other</w:t>
      </w:r>
    </w:p>
    <w:p>
      <w:pPr>
        <w:spacing w:after="0" w:line="104"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06" w:lineRule="exact"/>
        <w:rPr>
          <w:sz w:val="20"/>
          <w:szCs w:val="20"/>
          <w:color w:val="auto"/>
        </w:rPr>
      </w:pPr>
    </w:p>
    <w:p>
      <w:pPr>
        <w:ind w:left="800" w:right="200" w:firstLine="482"/>
        <w:spacing w:after="0" w:line="233" w:lineRule="auto"/>
        <w:rPr>
          <w:sz w:val="20"/>
          <w:szCs w:val="20"/>
          <w:color w:val="auto"/>
        </w:rPr>
      </w:pPr>
      <w:r>
        <w:rPr>
          <w:rFonts w:ascii="Arial" w:cs="Arial" w:eastAsia="Arial" w:hAnsi="Arial"/>
          <w:sz w:val="16"/>
          <w:szCs w:val="16"/>
          <w:color w:val="auto"/>
        </w:rPr>
        <w:t>The Company issues stock options to employees and nonemployees, including directors and third-party service providers, and employee stock purchase rights granted under the Company’s employee stock purchase plan (“ESPP”). Stock options are initially measured at fair value at the date of grant using the Black-Scholes option- pricing model. Stock-based compensation expenses are recognized based on their respective grant-date fair values. Forfeitures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p>
    <w:p>
      <w:pPr>
        <w:spacing w:after="0" w:line="12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380"/>
          </w:cols>
          <w:pgMar w:left="320" w:top="419" w:right="119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Other Income</w:t>
      </w:r>
    </w:p>
    <w:p>
      <w:pPr>
        <w:spacing w:after="0" w:line="106"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In the years ended December 31, 2020, 2019, and 2018, other income primarily consists of dividend income earned by the Company on its unrestricted cash balance. It is recognized in the period earned. In 2018, other income also included amounts recognized by the Company in relation to a sublease agreement for an office space, which expired in 2018.</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has determined that forgiveness of the loan under the CARES Act is reasonably assured and has recorded the full amount of proceeds as other income in the consolidated statement of operations comprehensive income (loss).</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Income Taxes</w:t>
      </w:r>
    </w:p>
    <w:p>
      <w:pPr>
        <w:spacing w:after="0" w:line="106"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9"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178"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Net Income (Loss) Per Share Attributable to Common Stockholders of Upstart Holdings, Inc. Stockholders</w:t>
      </w:r>
    </w:p>
    <w:p>
      <w:pPr>
        <w:spacing w:after="0" w:line="106"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440"/>
          </w:cols>
          <w:pgMar w:left="320" w:top="419" w:right="113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60"/>
        <w:spacing w:after="0" w:line="235" w:lineRule="auto"/>
        <w:rPr>
          <w:sz w:val="20"/>
          <w:szCs w:val="20"/>
          <w:color w:val="auto"/>
        </w:rPr>
      </w:pPr>
      <w:r>
        <w:rPr>
          <w:rFonts w:ascii="Arial" w:cs="Arial" w:eastAsia="Arial" w:hAnsi="Arial"/>
          <w:sz w:val="16"/>
          <w:szCs w:val="16"/>
          <w:color w:val="auto"/>
        </w:rPr>
        <w:t>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178"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Diluted net income (loss) per share is the amount of net income (loss) available to each share of common stock outstanding during the reporting period, adjusted to include the effect of potentially 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 Potentially dilutive common shares include incremental shares issued for convertible preferred stock, stock options, warrants to purchase convertible preferred stock and warrants to purchase common stock.</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Comprehensive Income (Loss)</w:t>
      </w:r>
    </w:p>
    <w:p>
      <w:pPr>
        <w:spacing w:after="0" w:line="106"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Comprehensive income (loss) represents all changes in equity of the Company during the periods presented, resulting from transactions with non-owner sources. The Company’s comprehensive income (loss) was equal to its net income (loss) for the years ended December 31, 2020, 2019 and 2018.</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06" w:lineRule="exact"/>
        <w:rPr>
          <w:sz w:val="20"/>
          <w:szCs w:val="20"/>
          <w:color w:val="auto"/>
        </w:rPr>
      </w:pPr>
    </w:p>
    <w:p>
      <w:pPr>
        <w:ind w:left="800" w:right="100" w:firstLine="482"/>
        <w:spacing w:after="0" w:line="233"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restricted cash, and loans. The Company’s cash and restricted cash are held in financial institutions in the United States. From time to time, amounts on deposit may exceed federally insured limits. The Company is exposed to credit risk in the event of default by these financial institutions to the extent the amount recorded on the Company’s consolidated balance sheets exceeds the insured amounts by the Federal Deposit Insurance Corporation (“FDIC”). The Company reduces credit risk by placing its cash in high-credit-quality financial instruments that are managed by reputable institutions. The Company is further exposed to credit risks on loans held on our consolidated balance sheets from changes in economic conditions that may cause individual borrower default due to inability or unwillingness to meet their financial obligations. The Company manages credit risk on loans by leveraging its AI models to effectively evaluate a borrower’s credit worthiness and likelihood of default.</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Customer revenues equal to or greater than 10% of total revenues was as follows: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4"/>
        </w:trPr>
        <w:tc>
          <w:tcPr>
            <w:tcW w:w="26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202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2020</w:t>
            </w:r>
          </w:p>
        </w:tc>
        <w:tc>
          <w:tcPr>
            <w:tcW w:w="7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2019</w:t>
            </w:r>
          </w:p>
        </w:tc>
        <w:tc>
          <w:tcPr>
            <w:tcW w:w="7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CCEEFF"/>
            </w:tcBorders>
          </w:tcPr>
          <w:p>
            <w:pPr>
              <w:spacing w:after="0"/>
              <w:rPr>
                <w:sz w:val="11"/>
                <w:szCs w:val="11"/>
                <w:color w:val="auto"/>
              </w:rPr>
            </w:pPr>
          </w:p>
        </w:tc>
      </w:tr>
      <w:tr>
        <w:trPr>
          <w:trHeight w:val="169"/>
        </w:trPr>
        <w:tc>
          <w:tcPr>
            <w:tcW w:w="308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Customer A</w:t>
            </w:r>
          </w:p>
        </w:tc>
        <w:tc>
          <w:tcPr>
            <w:tcW w:w="39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17"/>
              <w:spacing w:after="0" w:line="169" w:lineRule="exact"/>
              <w:rPr>
                <w:sz w:val="20"/>
                <w:szCs w:val="20"/>
                <w:color w:val="auto"/>
              </w:rPr>
            </w:pPr>
            <w:r>
              <w:rPr>
                <w:rFonts w:ascii="Arial" w:cs="Arial" w:eastAsia="Arial" w:hAnsi="Arial"/>
                <w:sz w:val="16"/>
                <w:szCs w:val="16"/>
                <w:color w:val="auto"/>
              </w:rPr>
              <w:t>63%</w:t>
            </w:r>
          </w:p>
        </w:tc>
        <w:tc>
          <w:tcPr>
            <w:tcW w:w="1040" w:type="dxa"/>
            <w:vAlign w:val="bottom"/>
            <w:gridSpan w:val="2"/>
            <w:shd w:val="clear" w:color="auto" w:fill="CCEEFF"/>
          </w:tcPr>
          <w:p>
            <w:pPr>
              <w:jc w:val="right"/>
              <w:ind w:right="580"/>
              <w:spacing w:after="0" w:line="169" w:lineRule="exact"/>
              <w:rPr>
                <w:sz w:val="20"/>
                <w:szCs w:val="20"/>
                <w:color w:val="auto"/>
              </w:rPr>
            </w:pPr>
            <w:r>
              <w:rPr>
                <w:rFonts w:ascii="Arial" w:cs="Arial" w:eastAsia="Arial" w:hAnsi="Arial"/>
                <w:sz w:val="16"/>
                <w:szCs w:val="16"/>
                <w:color w:val="auto"/>
              </w:rPr>
              <w:t>80%</w:t>
            </w:r>
          </w:p>
        </w:tc>
        <w:tc>
          <w:tcPr>
            <w:tcW w:w="54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81%</w:t>
            </w:r>
          </w:p>
        </w:tc>
      </w:tr>
      <w:tr>
        <w:trPr>
          <w:trHeight w:val="189"/>
        </w:trPr>
        <w:tc>
          <w:tcPr>
            <w:tcW w:w="3080" w:type="dxa"/>
            <w:vAlign w:val="bottom"/>
            <w:gridSpan w:val="3"/>
          </w:tcPr>
          <w:p>
            <w:pPr>
              <w:spacing w:after="0"/>
              <w:rPr>
                <w:sz w:val="20"/>
                <w:szCs w:val="20"/>
                <w:color w:val="auto"/>
              </w:rPr>
            </w:pPr>
            <w:r>
              <w:rPr>
                <w:rFonts w:ascii="Arial" w:cs="Arial" w:eastAsia="Arial" w:hAnsi="Arial"/>
                <w:sz w:val="16"/>
                <w:szCs w:val="16"/>
                <w:color w:val="auto"/>
              </w:rPr>
              <w:t>Customer B</w:t>
            </w:r>
          </w:p>
        </w:tc>
        <w:tc>
          <w:tcPr>
            <w:tcW w:w="4980" w:type="dxa"/>
            <w:vAlign w:val="bottom"/>
            <w:gridSpan w:val="3"/>
          </w:tcPr>
          <w:p>
            <w:pPr>
              <w:jc w:val="right"/>
              <w:ind w:right="517"/>
              <w:spacing w:after="0"/>
              <w:rPr>
                <w:sz w:val="20"/>
                <w:szCs w:val="20"/>
                <w:color w:val="auto"/>
              </w:rPr>
            </w:pPr>
            <w:r>
              <w:rPr>
                <w:rFonts w:ascii="Arial" w:cs="Arial" w:eastAsia="Arial" w:hAnsi="Arial"/>
                <w:sz w:val="16"/>
                <w:szCs w:val="16"/>
                <w:color w:val="auto"/>
              </w:rPr>
              <w:t>18%</w:t>
            </w:r>
          </w:p>
        </w:tc>
        <w:tc>
          <w:tcPr>
            <w:tcW w:w="104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107"/>
        </w:trPr>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21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2820" w:type="dxa"/>
            <w:vAlign w:val="bottom"/>
            <w:gridSpan w:val="2"/>
          </w:tcPr>
          <w:p>
            <w:pPr>
              <w:ind w:left="220"/>
              <w:spacing w:after="0"/>
              <w:rPr>
                <w:sz w:val="20"/>
                <w:szCs w:val="20"/>
                <w:color w:val="auto"/>
              </w:rPr>
            </w:pPr>
            <w:r>
              <w:rPr>
                <w:rFonts w:ascii="Arial" w:cs="Arial" w:eastAsia="Arial" w:hAnsi="Arial"/>
                <w:sz w:val="16"/>
                <w:szCs w:val="16"/>
                <w:color w:val="auto"/>
              </w:rPr>
              <w:t>Less than 10%</w:t>
            </w:r>
          </w:p>
        </w:tc>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07"/>
        </w:trPr>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980" w:type="dxa"/>
            <w:vAlign w:val="bottom"/>
            <w:gridSpan w:val="3"/>
          </w:tcPr>
          <w:p>
            <w:pPr>
              <w:jc w:val="right"/>
              <w:ind w:right="3017"/>
              <w:spacing w:after="0"/>
              <w:rPr>
                <w:sz w:val="20"/>
                <w:szCs w:val="20"/>
                <w:color w:val="auto"/>
              </w:rPr>
            </w:pPr>
            <w:r>
              <w:rPr>
                <w:rFonts w:ascii="Arial" w:cs="Arial" w:eastAsia="Arial" w:hAnsi="Arial"/>
                <w:sz w:val="16"/>
                <w:szCs w:val="16"/>
                <w:color w:val="auto"/>
              </w:rPr>
              <w:t>F-18</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440"/>
          </w:cols>
          <w:pgMar w:left="320" w:top="419" w:right="113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left="2800"/>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3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Customers accounting for greater than 10% of accounts receivable was as follows:</w:t>
      </w:r>
    </w:p>
    <w:p>
      <w:pPr>
        <w:spacing w:after="0" w:line="200" w:lineRule="exact"/>
        <w:rPr>
          <w:sz w:val="20"/>
          <w:szCs w:val="20"/>
          <w:color w:val="auto"/>
        </w:rPr>
      </w:pPr>
    </w:p>
    <w:p>
      <w:pPr>
        <w:spacing w:after="0" w:line="30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Customer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-115570</wp:posOffset>
            </wp:positionV>
            <wp:extent cx="6127750" cy="1200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127750" cy="12001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Customer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78740</wp:posOffset>
            </wp:positionV>
            <wp:extent cx="67564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51" w:lineRule="exact"/>
        <w:rPr>
          <w:sz w:val="20"/>
          <w:szCs w:val="20"/>
          <w:color w:val="auto"/>
        </w:rPr>
      </w:pPr>
    </w:p>
    <w:p>
      <w:pPr>
        <w:ind w:left="1280" w:hanging="481"/>
        <w:spacing w:after="0"/>
        <w:tabs>
          <w:tab w:leader="none" w:pos="12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8105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81050" cy="7620"/>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3"/>
          <w:szCs w:val="13"/>
          <w:b w:val="1"/>
          <w:bCs w:val="1"/>
          <w:u w:val="single" w:color="auto"/>
          <w:color w:val="auto"/>
        </w:rPr>
        <w:t>2020</w:t>
      </w:r>
      <w:r>
        <w:rPr>
          <w:sz w:val="20"/>
          <w:szCs w:val="20"/>
          <w:color w:val="auto"/>
        </w:rPr>
        <w:tab/>
      </w:r>
      <w:r>
        <w:rPr>
          <w:rFonts w:ascii="Arial" w:cs="Arial" w:eastAsia="Arial" w:hAnsi="Arial"/>
          <w:sz w:val="13"/>
          <w:szCs w:val="13"/>
          <w:b w:val="1"/>
          <w:bCs w:val="1"/>
          <w:u w:val="single" w:color="auto"/>
          <w:color w:val="auto"/>
        </w:rPr>
        <w:t>2019</w:t>
      </w:r>
    </w:p>
    <w:p>
      <w:pPr>
        <w:spacing w:after="0" w:line="1"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5"/>
          <w:szCs w:val="15"/>
          <w:color w:val="auto"/>
        </w:rPr>
        <w:t>*</w:t>
      </w:r>
    </w:p>
    <w:p>
      <w:pPr>
        <w:spacing w:after="0" w:line="17" w:lineRule="exact"/>
        <w:rPr>
          <w:sz w:val="20"/>
          <w:szCs w:val="20"/>
          <w:color w:val="auto"/>
        </w:rPr>
      </w:pPr>
    </w:p>
    <w:p>
      <w:pPr>
        <w:ind w:left="100"/>
        <w:spacing w:after="0"/>
        <w:tabs>
          <w:tab w:leader="none" w:pos="1140"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5"/>
          <w:szCs w:val="15"/>
          <w:color w:val="auto"/>
        </w:rPr>
        <w:t>*</w:t>
      </w:r>
    </w:p>
    <w:p>
      <w:pPr>
        <w:spacing w:after="0" w:line="537" w:lineRule="exact"/>
        <w:rPr>
          <w:sz w:val="20"/>
          <w:szCs w:val="20"/>
          <w:color w:val="auto"/>
        </w:rPr>
      </w:pPr>
    </w:p>
    <w:p>
      <w:pPr>
        <w:sectPr>
          <w:pgSz w:w="11900" w:h="16838" w:orient="portrait"/>
          <w:cols w:equalWidth="0" w:num="2">
            <w:col w:w="8460" w:space="720"/>
            <w:col w:w="1260"/>
          </w:cols>
          <w:pgMar w:left="320" w:top="419" w:right="1139" w:bottom="1440" w:gutter="0" w:footer="0" w:header="0"/>
        </w:sectPr>
      </w:pPr>
    </w:p>
    <w:p>
      <w:pPr>
        <w:ind w:left="800" w:right="240" w:firstLine="482"/>
        <w:spacing w:after="0" w:line="269" w:lineRule="auto"/>
        <w:rPr>
          <w:sz w:val="20"/>
          <w:szCs w:val="20"/>
          <w:color w:val="auto"/>
        </w:rPr>
      </w:pPr>
      <w:r>
        <w:rPr>
          <w:rFonts w:ascii="Arial" w:cs="Arial" w:eastAsia="Arial" w:hAnsi="Arial"/>
          <w:sz w:val="15"/>
          <w:szCs w:val="15"/>
          <w:color w:val="auto"/>
        </w:rPr>
        <w:t>The Company has one reportable segment. The Company’s chief operating decision maker, the Chief Executive Officer, reviews financial information presented on a consolidated basis for purposes of allocating resources and evaluating financial performance.</w:t>
      </w:r>
    </w:p>
    <w:p>
      <w:pPr>
        <w:spacing w:after="0" w:line="23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81" w:lineRule="exact"/>
        <w:rPr>
          <w:sz w:val="20"/>
          <w:szCs w:val="20"/>
          <w:color w:val="auto"/>
        </w:rPr>
      </w:pPr>
    </w:p>
    <w:p>
      <w:pPr>
        <w:ind w:left="800" w:right="280" w:firstLine="482"/>
        <w:spacing w:after="0" w:line="235" w:lineRule="auto"/>
        <w:rPr>
          <w:sz w:val="20"/>
          <w:szCs w:val="20"/>
          <w:color w:val="auto"/>
        </w:rPr>
      </w:pPr>
      <w:r>
        <w:rPr>
          <w:rFonts w:ascii="Arial" w:cs="Arial" w:eastAsia="Arial" w:hAnsi="Arial"/>
          <w:sz w:val="16"/>
          <w:szCs w:val="16"/>
          <w:color w:val="auto"/>
        </w:rPr>
        <w:t>The JOBS Act does not preclude an emerging growth company from early adopting new or revised accounting standards. The Company early adopted ASU 2016-02, Leases (Topic 842), effective January 1, 2019. The Company expects to use the extended transition period for any other new or revised accounting standards during the period which the Company remains an emerging growth company.</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Company adopted the following accounting standards during the year ended December 31, 2020:</w:t>
      </w:r>
    </w:p>
    <w:p>
      <w:pPr>
        <w:spacing w:after="0" w:line="167" w:lineRule="exact"/>
        <w:rPr>
          <w:sz w:val="20"/>
          <w:szCs w:val="20"/>
          <w:color w:val="auto"/>
        </w:rPr>
      </w:pPr>
    </w:p>
    <w:p>
      <w:pPr>
        <w:ind w:left="800" w:right="60" w:firstLine="482"/>
        <w:spacing w:after="0" w:line="237" w:lineRule="auto"/>
        <w:rPr>
          <w:sz w:val="20"/>
          <w:szCs w:val="20"/>
          <w:color w:val="auto"/>
        </w:rPr>
      </w:pPr>
      <w:r>
        <w:rPr>
          <w:rFonts w:ascii="Arial" w:cs="Arial" w:eastAsia="Arial" w:hAnsi="Arial"/>
          <w:sz w:val="16"/>
          <w:szCs w:val="16"/>
          <w:color w:val="auto"/>
        </w:rPr>
        <w:t xml:space="preserve">In August 2018, the Financial Accounting Standards Board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Framework – Changes to the Disclosure Requirements for Fair Value Measurement</w:t>
      </w:r>
      <w:r>
        <w:rPr>
          <w:rFonts w:ascii="Arial" w:cs="Arial" w:eastAsia="Arial" w:hAnsi="Arial"/>
          <w:sz w:val="16"/>
          <w:szCs w:val="16"/>
          <w:color w:val="auto"/>
        </w:rPr>
        <w:t>, which modifies the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fair value measurements by removing, modifying, or adding certain disclosures. The ASU eliminates disclosures such as the amount of and reasons for transfers between Level 1 and Level 2 of the fair value hierarchy and valuation processes for Level 3 fair value measurements. The ASU also adds new disclosure requirements for Level 3 measurements. The new guidance became effective on January 1, 2020 and did not have a material impact on the Company’s related disclosures.</w:t>
      </w:r>
    </w:p>
    <w:p>
      <w:pPr>
        <w:spacing w:after="0" w:line="179"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In December 2019, the FASB issued ASU No. 2019-12 (“ASU 2019-12”) “Income Taxes (Topic 740) Simplifying the Accounting for Income Taxes”, which removes certain exceptions to the general principles in Topic 740 and improves consistent application of and simplifies GAAP for other areas of Topic 740 by clarifying and amending existing guidance. For public business entities, this ASU is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440"/>
          </w:cols>
          <w:pgMar w:left="320" w:top="419" w:right="1139" w:bottom="1440" w:gutter="0" w:footer="0" w:header="0"/>
          <w:type w:val="continuous"/>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80"/>
        <w:spacing w:after="0" w:line="236" w:lineRule="auto"/>
        <w:rPr>
          <w:sz w:val="20"/>
          <w:szCs w:val="20"/>
          <w:color w:val="auto"/>
        </w:rPr>
      </w:pPr>
      <w:r>
        <w:rPr>
          <w:rFonts w:ascii="Arial" w:cs="Arial" w:eastAsia="Arial" w:hAnsi="Arial"/>
          <w:sz w:val="16"/>
          <w:szCs w:val="16"/>
          <w:color w:val="auto"/>
        </w:rPr>
        <w:t>effective for fiscal years, and interim periods within those fiscal years, beginning after December 15, 2020. The Company early adopted ASU 2019-12 in the fourth quarter of 2020 with no material impact on the Company’s consolidated financial statements and related disclosures.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90"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 xml:space="preserve">In June 2016, the FASB amended guidance related to impairment of financial instruments as part of ASU 2016-13,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 Credit Losses (Topic 326): Measurement of Credit Losses on Financial Instruments</w:t>
      </w:r>
      <w:r>
        <w:rPr>
          <w:rFonts w:ascii="Arial" w:cs="Arial" w:eastAsia="Arial" w:hAnsi="Arial"/>
          <w:sz w:val="16"/>
          <w:szCs w:val="16"/>
          <w:color w:val="auto"/>
        </w:rPr>
        <w:t>, which will be effective January 1, 2023</w:t>
      </w:r>
      <w:r>
        <w:rPr>
          <w:rFonts w:ascii="Arial" w:cs="Arial" w:eastAsia="Arial" w:hAnsi="Arial"/>
          <w:sz w:val="16"/>
          <w:szCs w:val="16"/>
          <w:i w:val="1"/>
          <w:iCs w:val="1"/>
          <w:color w:val="auto"/>
        </w:rPr>
        <w:t xml:space="preserve"> </w:t>
      </w:r>
      <w:r>
        <w:rPr>
          <w:rFonts w:ascii="Arial" w:cs="Arial" w:eastAsia="Arial" w:hAnsi="Arial"/>
          <w:sz w:val="16"/>
          <w:szCs w:val="16"/>
          <w:color w:val="auto"/>
        </w:rPr>
        <w:t>for emerging growth companies that 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consolidated balance sheets, consolidated statements of operations and comprehensive income (loss), consolidated statements of cash flows and related disclosures. The Company plans to adopt Topic 326 effective as of January 1, 2023.</w:t>
      </w:r>
    </w:p>
    <w:p>
      <w:pPr>
        <w:spacing w:after="0" w:line="169"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Accounting for Implementation Costs Incurred in a Cloud Computing Arrangement That Is a Service Contract</w:t>
      </w:r>
      <w:r>
        <w:rPr>
          <w:rFonts w:ascii="Arial" w:cs="Arial" w:eastAsia="Arial" w:hAnsi="Arial"/>
          <w:sz w:val="16"/>
          <w:szCs w:val="16"/>
          <w:color w:val="auto"/>
        </w:rPr>
        <w:t>,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 customer in a hosting arrangement that is a service contract to 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Company does not expect the adoption of this guidance will have a material impact on the Company’s consolidated financial statements related disclosures. The Company plans to adopt the ASU 2018-15 effective as of January 1, 2021.</w:t>
      </w:r>
    </w:p>
    <w:p>
      <w:pPr>
        <w:spacing w:after="0" w:line="167"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Hedging-Contracts in Entity’s Own Equity (Subtopic 815-40): Accounting for Convertible Instruments and Contracts in an Entity’s Own Equity</w:t>
      </w:r>
      <w:r>
        <w:rPr>
          <w:rFonts w:ascii="Arial" w:cs="Arial" w:eastAsia="Arial" w:hAnsi="Arial"/>
          <w:sz w:val="16"/>
          <w:szCs w:val="16"/>
          <w:color w:val="auto"/>
        </w:rPr>
        <w:t>, which simplifies accounting for convertible instruments by removing major separation models required under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The standard removes certain settlement conditions that are required for equity contracts to qualify for the derivative scope exception and also simplifies the diluted earnings per share calculation in certain areas The amendments in this update are effective for public business entities for fiscal years beginning after December 15, 2021, and interim periods within those fiscal years. The amendment is to be adopted through either a fully retrospective or modified retrospective method of transition. Early adoption is permitted. The Company does not expect the adoption of this guidance will have a material impact on the Company’s consolidated financial statements related disclosures. The Company plans to early adopt ASU 2020-06 effective as of January 1, 2021.</w:t>
      </w:r>
    </w:p>
    <w:p>
      <w:pPr>
        <w:spacing w:after="0" w:line="12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400"/>
          </w:cols>
          <w:pgMar w:left="320" w:top="419" w:right="117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2. Revenue</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Revenue from fees, net</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Company disaggregates revenue from fees by type of service for the periods presented as follows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320" w:type="dxa"/>
            <w:vAlign w:val="bottom"/>
          </w:tcPr>
          <w:p>
            <w:pPr>
              <w:spacing w:after="0"/>
              <w:rPr>
                <w:sz w:val="13"/>
                <w:szCs w:val="13"/>
                <w:color w:val="auto"/>
              </w:rPr>
            </w:pPr>
          </w:p>
        </w:tc>
        <w:tc>
          <w:tcPr>
            <w:tcW w:w="2320" w:type="dxa"/>
            <w:vAlign w:val="bottom"/>
            <w:gridSpan w:val="6"/>
          </w:tcPr>
          <w:p>
            <w:pPr>
              <w:ind w:left="360"/>
              <w:spacing w:after="0"/>
              <w:rPr>
                <w:sz w:val="20"/>
                <w:szCs w:val="20"/>
                <w:color w:val="auto"/>
              </w:rPr>
            </w:pPr>
            <w:r>
              <w:rPr>
                <w:rFonts w:ascii="Arial" w:cs="Arial" w:eastAsia="Arial" w:hAnsi="Arial"/>
                <w:sz w:val="13"/>
                <w:szCs w:val="13"/>
                <w:b w:val="1"/>
                <w:bCs w:val="1"/>
                <w:color w:val="auto"/>
              </w:rPr>
              <w:t>Year Ended December 31,</w:t>
            </w:r>
          </w:p>
        </w:tc>
      </w:tr>
      <w:tr>
        <w:trPr>
          <w:trHeight w:val="169"/>
        </w:trPr>
        <w:tc>
          <w:tcPr>
            <w:tcW w:w="7320" w:type="dxa"/>
            <w:vAlign w:val="bottom"/>
          </w:tcPr>
          <w:p>
            <w:pPr>
              <w:spacing w:after="0"/>
              <w:rPr>
                <w:sz w:val="14"/>
                <w:szCs w:val="14"/>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2019</w:t>
            </w:r>
          </w:p>
        </w:tc>
        <w:tc>
          <w:tcPr>
            <w:tcW w:w="800" w:type="dxa"/>
            <w:vAlign w:val="bottom"/>
            <w:tcBorders>
              <w:top w:val="single" w:sz="8" w:color="auto"/>
            </w:tcBorders>
            <w:gridSpan w:val="2"/>
          </w:tcPr>
          <w:p>
            <w:pPr>
              <w:jc w:val="right"/>
              <w:ind w:right="69"/>
              <w:spacing w:after="0"/>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4"/>
                <w:szCs w:val="14"/>
                <w:color w:val="auto"/>
              </w:rPr>
            </w:pPr>
          </w:p>
        </w:tc>
      </w:tr>
      <w:tr>
        <w:trPr>
          <w:trHeight w:val="146"/>
        </w:trPr>
        <w:tc>
          <w:tcPr>
            <w:tcW w:w="732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Revenue from fees, net:</w:t>
            </w: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7320" w:type="dxa"/>
            <w:vAlign w:val="bottom"/>
          </w:tcPr>
          <w:p>
            <w:pPr>
              <w:ind w:left="280"/>
              <w:spacing w:after="0"/>
              <w:rPr>
                <w:sz w:val="20"/>
                <w:szCs w:val="20"/>
                <w:color w:val="auto"/>
              </w:rPr>
            </w:pPr>
            <w:r>
              <w:rPr>
                <w:rFonts w:ascii="Arial" w:cs="Arial" w:eastAsia="Arial" w:hAnsi="Arial"/>
                <w:sz w:val="14"/>
                <w:szCs w:val="14"/>
                <w:color w:val="auto"/>
              </w:rPr>
              <w:t>Platform and referral fees, net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$ 200,257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$ 144,055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$ 83,381</w:t>
            </w:r>
          </w:p>
        </w:tc>
        <w:tc>
          <w:tcPr>
            <w:tcW w:w="40" w:type="dxa"/>
            <w:vAlign w:val="bottom"/>
          </w:tcPr>
          <w:p>
            <w:pPr>
              <w:spacing w:after="0"/>
              <w:rPr>
                <w:sz w:val="14"/>
                <w:szCs w:val="14"/>
                <w:color w:val="auto"/>
              </w:rPr>
            </w:pPr>
          </w:p>
        </w:tc>
      </w:tr>
      <w:tr>
        <w:trPr>
          <w:trHeight w:val="166"/>
        </w:trPr>
        <w:tc>
          <w:tcPr>
            <w:tcW w:w="7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Servicing fees, net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28,343</w:t>
            </w:r>
          </w:p>
        </w:tc>
        <w:tc>
          <w:tcPr>
            <w:tcW w:w="24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15,792</w:t>
            </w:r>
          </w:p>
        </w:tc>
        <w:tc>
          <w:tcPr>
            <w:tcW w:w="24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40" w:type="dxa"/>
            <w:vAlign w:val="bottom"/>
            <w:shd w:val="clear" w:color="auto" w:fill="CCEEFF"/>
          </w:tcPr>
          <w:p>
            <w:pPr>
              <w:spacing w:after="0"/>
              <w:rPr>
                <w:sz w:val="14"/>
                <w:szCs w:val="14"/>
                <w:color w:val="auto"/>
              </w:rPr>
            </w:pPr>
          </w:p>
        </w:tc>
      </w:tr>
      <w:tr>
        <w:trPr>
          <w:trHeight w:val="169"/>
        </w:trPr>
        <w:tc>
          <w:tcPr>
            <w:tcW w:w="7320" w:type="dxa"/>
            <w:vAlign w:val="bottom"/>
          </w:tcPr>
          <w:p>
            <w:pPr>
              <w:spacing w:after="0"/>
              <w:rPr>
                <w:sz w:val="20"/>
                <w:szCs w:val="20"/>
                <w:color w:val="auto"/>
              </w:rPr>
            </w:pPr>
            <w:r>
              <w:rPr>
                <w:rFonts w:ascii="Arial" w:cs="Arial" w:eastAsia="Arial" w:hAnsi="Arial"/>
                <w:sz w:val="14"/>
                <w:szCs w:val="14"/>
                <w:color w:val="auto"/>
              </w:rPr>
              <w:t>Total revenue from fees, net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$ 228,600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$ 159,847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$ 88,482</w:t>
            </w:r>
          </w:p>
        </w:tc>
        <w:tc>
          <w:tcPr>
            <w:tcW w:w="40" w:type="dxa"/>
            <w:vAlign w:val="bottom"/>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Platform and referral fees, net</w:t>
      </w:r>
    </w:p>
    <w:p>
      <w:pPr>
        <w:spacing w:after="0" w:line="104"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The Company enters into contracts with bank partners to provide access to a cloud-based artificial intelligence lending platform developed by the Company (the “Upstart platform”) to enable banks to originate personal unsecured and auto refinance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After origination, Upstart-powered loans are either retained by bank partners, purchased by the Company for immediate resale to institutional investors under loan sale agreements, or purchased and held by the Company. Upstart pays bank partners a one-time loan premium fee upon completion of the minimum holding periods. Upstart also pays bank partners monthly loan trailing fees based on the amount and timing of principal and interest payments made by borrowers of the underlying loans.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for the periods presented. The Company recognized $8.3 million, $5.5 million and $3.3 million of loan premium fees and loan trailing fees as contra-revenue within platform and referral fees, net for the year ended December 31, 2020, 2019 and 2018, respectively.</w:t>
      </w:r>
    </w:p>
    <w:p>
      <w:pPr>
        <w:spacing w:after="0" w:line="178"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The Company started paying loan trailing fees on January 1, 2019. As of December 31, 2020, the Company recorded $1.3 million of loan trailing fee liability, which is recorded at fair value and included within accrued expenses other liabilities on the Company’s consolidated balance sheets. As of December 31, 2019, the Company recorded an immaterial loan trailing fee liability.</w:t>
      </w:r>
    </w:p>
    <w:p>
      <w:pPr>
        <w:spacing w:after="0" w:line="179" w:lineRule="exact"/>
        <w:rPr>
          <w:sz w:val="20"/>
          <w:szCs w:val="20"/>
          <w:color w:val="auto"/>
        </w:rPr>
      </w:pPr>
    </w:p>
    <w:p>
      <w:pPr>
        <w:ind w:left="800" w:right="300" w:firstLine="482"/>
        <w:spacing w:after="0" w:line="238" w:lineRule="auto"/>
        <w:rPr>
          <w:sz w:val="20"/>
          <w:szCs w:val="20"/>
          <w:color w:val="auto"/>
        </w:rPr>
      </w:pPr>
      <w:r>
        <w:rPr>
          <w:rFonts w:ascii="Arial" w:cs="Arial" w:eastAsia="Arial" w:hAnsi="Arial"/>
          <w:sz w:val="16"/>
          <w:szCs w:val="16"/>
          <w:color w:val="auto"/>
        </w:rPr>
        <w:t>The Company’s arrangements for platform and referral services typically consist of an obligation to provide one or both of these services to customers, which are our bank partners, on a when and if</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0440"/>
          </w:cols>
          <w:pgMar w:left="320" w:top="419" w:right="113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00"/>
        <w:spacing w:after="0" w:line="236" w:lineRule="auto"/>
        <w:rPr>
          <w:sz w:val="20"/>
          <w:szCs w:val="20"/>
          <w:color w:val="auto"/>
        </w:rPr>
      </w:pPr>
      <w:r>
        <w:rPr>
          <w:rFonts w:ascii="Arial" w:cs="Arial" w:eastAsia="Arial" w:hAnsi="Arial"/>
          <w:sz w:val="16"/>
          <w:szCs w:val="16"/>
          <w:color w:val="auto"/>
        </w:rPr>
        <w:t>needed basis (a stand- 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179" w:lineRule="exact"/>
        <w:rPr>
          <w:sz w:val="20"/>
          <w:szCs w:val="20"/>
          <w:color w:val="auto"/>
        </w:rPr>
      </w:pPr>
    </w:p>
    <w:p>
      <w:pPr>
        <w:ind w:left="800" w:right="120" w:firstLine="482"/>
        <w:spacing w:after="0" w:line="233" w:lineRule="auto"/>
        <w:rPr>
          <w:sz w:val="20"/>
          <w:szCs w:val="20"/>
          <w:color w:val="auto"/>
        </w:rPr>
      </w:pPr>
      <w:r>
        <w:rPr>
          <w:rFonts w:ascii="Arial" w:cs="Arial" w:eastAsia="Arial" w:hAnsi="Arial"/>
          <w:sz w:val="16"/>
          <w:szCs w:val="16"/>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178"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The Company did not recognize revenue from performance obligations related to prior periods for the years ended December 31, 2020, 2019 and 2018. The Company had no material contract assets, contract liabilities, or deferred contract costs recorded as of December 31, 2020 and 2019. The Company had $8.1 million and $ 5.4 million of accounts receivable that are included in other assets on the consolidated balance sheets related to contracts with customers as of December 31, 2020 and 2019, respectively. The Company’s allowance for bad debt was immaterial as of December 31, 2020 and 2019, and the Company’s bad debt expense was immaterial for the periods presented.</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Servicing fees, net</w:t>
      </w:r>
    </w:p>
    <w:p>
      <w:pPr>
        <w:spacing w:after="0" w:line="104" w:lineRule="exact"/>
        <w:rPr>
          <w:sz w:val="20"/>
          <w:szCs w:val="20"/>
          <w:color w:val="auto"/>
        </w:rPr>
      </w:pPr>
    </w:p>
    <w:p>
      <w:pPr>
        <w:ind w:left="800" w:right="100" w:firstLine="482"/>
        <w:spacing w:after="0" w:line="250" w:lineRule="auto"/>
        <w:rPr>
          <w:sz w:val="20"/>
          <w:szCs w:val="20"/>
          <w:color w:val="auto"/>
        </w:rPr>
      </w:pPr>
      <w:r>
        <w:rPr>
          <w:rFonts w:ascii="Arial" w:cs="Arial" w:eastAsia="Arial" w:hAnsi="Arial"/>
          <w:sz w:val="15"/>
          <w:szCs w:val="15"/>
          <w:color w:val="auto"/>
        </w:rPr>
        <w:t xml:space="preserve">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Topic 606 and are accounted for under Topic 860, </w:t>
      </w:r>
      <w:r>
        <w:rPr>
          <w:rFonts w:ascii="Arial" w:cs="Arial" w:eastAsia="Arial" w:hAnsi="Arial"/>
          <w:sz w:val="15"/>
          <w:szCs w:val="15"/>
          <w:i w:val="1"/>
          <w:iCs w:val="1"/>
          <w:color w:val="auto"/>
        </w:rPr>
        <w:t>Transfers and servicing of financial assets</w:t>
      </w:r>
      <w:r>
        <w:rPr>
          <w:rFonts w:ascii="Arial" w:cs="Arial" w:eastAsia="Arial" w:hAnsi="Arial"/>
          <w:sz w:val="15"/>
          <w:szCs w:val="15"/>
          <w:color w:val="auto"/>
        </w:rPr>
        <w:t>.</w:t>
      </w:r>
    </w:p>
    <w:p>
      <w:pPr>
        <w:spacing w:after="0" w:line="173"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Servicing fees also include changes in fair value of loan servicing assets and liabilities in the periods presented.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additional information on changes in fair value associated with servicing assets and liabilities.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440"/>
          </w:cols>
          <w:pgMar w:left="320" w:top="419" w:right="113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Company recognized gains and losses related to loan servicing rights upon loan sales for the periods presented as follows (in thousands):</w:t>
      </w:r>
    </w:p>
    <w:p>
      <w:pPr>
        <w:spacing w:after="0" w:line="192" w:lineRule="exact"/>
        <w:rPr>
          <w:sz w:val="20"/>
          <w:szCs w:val="20"/>
          <w:color w:val="auto"/>
        </w:rPr>
      </w:pPr>
    </w:p>
    <w:p>
      <w:pPr>
        <w:ind w:left="86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2540</wp:posOffset>
            </wp:positionV>
            <wp:extent cx="117157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71575" cy="7620"/>
                    </a:xfrm>
                    <a:prstGeom prst="rect">
                      <a:avLst/>
                    </a:prstGeom>
                    <a:noFill/>
                  </pic:spPr>
                </pic:pic>
              </a:graphicData>
            </a:graphic>
          </wp:anchor>
        </w:drawing>
      </w:r>
    </w:p>
    <w:p>
      <w:pPr>
        <w:ind w:left="8600"/>
        <w:spacing w:after="0"/>
        <w:tabs>
          <w:tab w:leader="none" w:pos="9220" w:val="left"/>
          <w:tab w:leader="none" w:pos="994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16" w:lineRule="exact"/>
        <w:rPr>
          <w:sz w:val="20"/>
          <w:szCs w:val="20"/>
          <w:color w:val="auto"/>
        </w:rPr>
      </w:pPr>
    </w:p>
    <w:tbl>
      <w:tblPr>
        <w:tblLayout w:type="fixed"/>
        <w:tblInd w:w="800" w:type="dxa"/>
        <w:tblCellMar>
          <w:top w:w="0" w:type="dxa"/>
          <w:left w:w="0" w:type="dxa"/>
          <w:bottom w:w="0" w:type="dxa"/>
          <w:right w:w="0" w:type="dxa"/>
        </w:tblCellMar>
      </w:tblPr>
      <w:tr>
        <w:trPr>
          <w:trHeight w:val="24"/>
        </w:trPr>
        <w:tc>
          <w:tcPr>
            <w:tcW w:w="52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gain (loss) related to loan servicing rights</w:t>
            </w:r>
          </w:p>
        </w:tc>
        <w:tc>
          <w:tcPr>
            <w:tcW w:w="24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5280" w:type="dxa"/>
            <w:vAlign w:val="bottom"/>
            <w:vMerge w:val="continue"/>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rPr>
              <w:t>$1,530</w:t>
            </w: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4"/>
                <w:szCs w:val="14"/>
                <w:color w:val="auto"/>
                <w:w w:val="98"/>
              </w:rPr>
              <w:t>$(857)</w:t>
            </w:r>
          </w:p>
        </w:tc>
        <w:tc>
          <w:tcPr>
            <w:tcW w:w="700" w:type="dxa"/>
            <w:vAlign w:val="bottom"/>
            <w:gridSpan w:val="3"/>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The Company generally outsources borrower payment collections for loans that are more than 30 days past due or charged off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fees, net as part of revenue from fees, net in the Company’s consolidated statements of operations and comprehensive income (loss). The total fees charged by collection agencies are also recognized in the period incurred and reported as part of customer operations expenses.</w:t>
      </w:r>
    </w:p>
    <w:p>
      <w:pPr>
        <w:spacing w:after="0" w:line="179" w:lineRule="exact"/>
        <w:rPr>
          <w:sz w:val="20"/>
          <w:szCs w:val="20"/>
          <w:color w:val="auto"/>
        </w:rPr>
      </w:pPr>
    </w:p>
    <w:p>
      <w:pPr>
        <w:ind w:left="800" w:right="520" w:firstLine="482"/>
        <w:spacing w:after="0" w:line="238" w:lineRule="auto"/>
        <w:rPr>
          <w:sz w:val="20"/>
          <w:szCs w:val="20"/>
          <w:color w:val="auto"/>
        </w:rPr>
      </w:pPr>
      <w:r>
        <w:rPr>
          <w:rFonts w:ascii="Arial" w:cs="Arial" w:eastAsia="Arial" w:hAnsi="Arial"/>
          <w:sz w:val="16"/>
          <w:szCs w:val="16"/>
          <w:color w:val="auto"/>
        </w:rPr>
        <w:t>The Company recognized collection agency fees and borrower fees, which are included in servicing fees, net for the periods presented as follows (in thousands):</w:t>
      </w:r>
    </w:p>
    <w:p>
      <w:pPr>
        <w:spacing w:after="0" w:line="192" w:lineRule="exact"/>
        <w:rPr>
          <w:sz w:val="20"/>
          <w:szCs w:val="20"/>
          <w:color w:val="auto"/>
        </w:rPr>
      </w:pPr>
    </w:p>
    <w:p>
      <w:pPr>
        <w:ind w:left="87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5486400</wp:posOffset>
            </wp:positionH>
            <wp:positionV relativeFrom="paragraph">
              <wp:posOffset>2540</wp:posOffset>
            </wp:positionV>
            <wp:extent cx="111887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ind w:left="8740"/>
        <w:spacing w:after="0"/>
        <w:tabs>
          <w:tab w:leader="none" w:pos="9400" w:val="left"/>
          <w:tab w:leader="none" w:pos="100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16" w:lineRule="exact"/>
        <w:rPr>
          <w:sz w:val="20"/>
          <w:szCs w:val="20"/>
          <w:color w:val="auto"/>
        </w:rPr>
      </w:pPr>
    </w:p>
    <w:tbl>
      <w:tblPr>
        <w:tblLayout w:type="fixed"/>
        <w:tblInd w:w="800" w:type="dxa"/>
        <w:tblCellMar>
          <w:top w:w="0" w:type="dxa"/>
          <w:left w:w="0" w:type="dxa"/>
          <w:bottom w:w="0" w:type="dxa"/>
          <w:right w:w="0" w:type="dxa"/>
        </w:tblCellMar>
      </w:tblPr>
      <w:tr>
        <w:trPr>
          <w:trHeight w:val="24"/>
        </w:trPr>
        <w:tc>
          <w:tcPr>
            <w:tcW w:w="78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Collection agency fees</w:t>
            </w:r>
          </w:p>
        </w:tc>
        <w:tc>
          <w:tcPr>
            <w:tcW w:w="4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7840" w:type="dxa"/>
            <w:vAlign w:val="bottom"/>
            <w:vMerge w:val="continue"/>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7" w:lineRule="exact"/>
              <w:rPr>
                <w:sz w:val="20"/>
                <w:szCs w:val="20"/>
                <w:color w:val="auto"/>
              </w:rPr>
            </w:pPr>
            <w:r>
              <w:rPr>
                <w:rFonts w:ascii="Arial" w:cs="Arial" w:eastAsia="Arial" w:hAnsi="Arial"/>
                <w:sz w:val="14"/>
                <w:szCs w:val="14"/>
                <w:color w:val="auto"/>
                <w:w w:val="94"/>
              </w:rPr>
              <w:t>$ 2,777</w:t>
            </w:r>
          </w:p>
        </w:tc>
        <w:tc>
          <w:tcPr>
            <w:tcW w:w="580" w:type="dxa"/>
            <w:vAlign w:val="bottom"/>
            <w:gridSpan w:val="2"/>
            <w:shd w:val="clear" w:color="auto" w:fill="CCEEFF"/>
          </w:tcPr>
          <w:p>
            <w:pPr>
              <w:jc w:val="right"/>
              <w:ind w:right="120"/>
              <w:spacing w:after="0" w:line="137" w:lineRule="exact"/>
              <w:rPr>
                <w:sz w:val="20"/>
                <w:szCs w:val="20"/>
                <w:color w:val="auto"/>
              </w:rPr>
            </w:pPr>
            <w:r>
              <w:rPr>
                <w:rFonts w:ascii="Arial" w:cs="Arial" w:eastAsia="Arial" w:hAnsi="Arial"/>
                <w:sz w:val="14"/>
                <w:szCs w:val="14"/>
                <w:color w:val="auto"/>
                <w:w w:val="94"/>
              </w:rPr>
              <w:t>$ 2,111</w:t>
            </w:r>
          </w:p>
        </w:tc>
        <w:tc>
          <w:tcPr>
            <w:tcW w:w="520" w:type="dxa"/>
            <w:vAlign w:val="bottom"/>
            <w:tcBorders>
              <w:right w:val="single" w:sz="8" w:color="CCEEFF"/>
            </w:tcBorders>
            <w:gridSpan w:val="2"/>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rPr>
              <w:t>$ 905</w:t>
            </w:r>
          </w:p>
        </w:tc>
        <w:tc>
          <w:tcPr>
            <w:tcW w:w="0" w:type="dxa"/>
            <w:vAlign w:val="bottom"/>
          </w:tcPr>
          <w:p>
            <w:pPr>
              <w:spacing w:after="0"/>
              <w:rPr>
                <w:sz w:val="1"/>
                <w:szCs w:val="1"/>
                <w:color w:val="auto"/>
              </w:rPr>
            </w:pPr>
          </w:p>
        </w:tc>
      </w:tr>
      <w:tr>
        <w:trPr>
          <w:trHeight w:val="172"/>
        </w:trPr>
        <w:tc>
          <w:tcPr>
            <w:tcW w:w="7840" w:type="dxa"/>
            <w:vAlign w:val="bottom"/>
          </w:tcPr>
          <w:p>
            <w:pPr>
              <w:spacing w:after="0"/>
              <w:rPr>
                <w:sz w:val="20"/>
                <w:szCs w:val="20"/>
                <w:color w:val="auto"/>
              </w:rPr>
            </w:pPr>
            <w:r>
              <w:rPr>
                <w:rFonts w:ascii="Arial" w:cs="Arial" w:eastAsia="Arial" w:hAnsi="Arial"/>
                <w:sz w:val="14"/>
                <w:szCs w:val="14"/>
                <w:color w:val="auto"/>
              </w:rPr>
              <w:t>Borrower fees</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2,093</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1,539</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Interest Income and Fair Value Adjustments, Net</w:t>
      </w:r>
    </w:p>
    <w:p>
      <w:pPr>
        <w:spacing w:after="0" w:line="106"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w:t>
      </w:r>
    </w:p>
    <w:p>
      <w:pPr>
        <w:spacing w:after="0" w:line="179" w:lineRule="exact"/>
        <w:rPr>
          <w:sz w:val="20"/>
          <w:szCs w:val="20"/>
          <w:color w:val="auto"/>
        </w:rPr>
      </w:pPr>
    </w:p>
    <w:p>
      <w:pPr>
        <w:ind w:left="800" w:right="760" w:firstLine="482"/>
        <w:spacing w:after="0" w:line="238" w:lineRule="auto"/>
        <w:rPr>
          <w:sz w:val="20"/>
          <w:szCs w:val="20"/>
          <w:color w:val="auto"/>
        </w:rPr>
      </w:pPr>
      <w:r>
        <w:rPr>
          <w:rFonts w:ascii="Arial" w:cs="Arial" w:eastAsia="Arial" w:hAnsi="Arial"/>
          <w:sz w:val="16"/>
          <w:szCs w:val="16"/>
          <w:color w:val="auto"/>
        </w:rPr>
        <w:t>The table below presents components of the interest income and fair value adjustments, net presented in the Company’s condensed consolidated statements of operations and comprehensive income (loss)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518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2"/>
              <w:spacing w:after="0" w:line="134"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60"/>
              <w:spacing w:after="0" w:line="134"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1"/>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1"/>
                <w:szCs w:val="11"/>
                <w:color w:val="auto"/>
              </w:rPr>
            </w:pPr>
          </w:p>
        </w:tc>
      </w:tr>
      <w:tr>
        <w:trPr>
          <w:trHeight w:val="146"/>
        </w:trPr>
        <w:tc>
          <w:tcPr>
            <w:tcW w:w="51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Interest income and fair value adjustments, net:</w:t>
            </w: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6"/>
        </w:trPr>
        <w:tc>
          <w:tcPr>
            <w:tcW w:w="5180" w:type="dxa"/>
            <w:vAlign w:val="bottom"/>
          </w:tcPr>
          <w:p>
            <w:pPr>
              <w:ind w:left="280"/>
              <w:spacing w:after="0" w:line="165" w:lineRule="exact"/>
              <w:rPr>
                <w:sz w:val="20"/>
                <w:szCs w:val="20"/>
                <w:color w:val="auto"/>
              </w:rPr>
            </w:pPr>
            <w:r>
              <w:rPr>
                <w:rFonts w:ascii="Arial" w:cs="Arial" w:eastAsia="Arial" w:hAnsi="Arial"/>
                <w:sz w:val="12"/>
                <w:szCs w:val="12"/>
                <w:color w:val="auto"/>
              </w:rPr>
              <w:t>Interest income</w:t>
            </w:r>
            <w:r>
              <w:rPr>
                <w:rFonts w:ascii="Arial" w:cs="Arial" w:eastAsia="Arial" w:hAnsi="Arial"/>
                <w:sz w:val="19"/>
                <w:szCs w:val="19"/>
                <w:color w:val="auto"/>
                <w:vertAlign w:val="superscript"/>
              </w:rPr>
              <w:t>(1)</w:t>
            </w:r>
          </w:p>
        </w:tc>
        <w:tc>
          <w:tcPr>
            <w:tcW w:w="20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26,408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ind w:left="60"/>
              <w:spacing w:after="0"/>
              <w:rPr>
                <w:sz w:val="20"/>
                <w:szCs w:val="20"/>
                <w:color w:val="auto"/>
              </w:rPr>
            </w:pPr>
            <w:r>
              <w:rPr>
                <w:rFonts w:ascii="Arial" w:cs="Arial" w:eastAsia="Arial" w:hAnsi="Arial"/>
                <w:sz w:val="14"/>
                <w:szCs w:val="14"/>
                <w:color w:val="auto"/>
                <w:w w:val="93"/>
              </w:rPr>
              <w:t>63,313</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$ 76,683</w:t>
            </w:r>
          </w:p>
        </w:tc>
        <w:tc>
          <w:tcPr>
            <w:tcW w:w="80" w:type="dxa"/>
            <w:vAlign w:val="bottom"/>
          </w:tcPr>
          <w:p>
            <w:pPr>
              <w:spacing w:after="0"/>
              <w:rPr>
                <w:sz w:val="14"/>
                <w:szCs w:val="14"/>
                <w:color w:val="auto"/>
              </w:rPr>
            </w:pPr>
          </w:p>
        </w:tc>
      </w:tr>
      <w:tr>
        <w:trPr>
          <w:trHeight w:val="166"/>
        </w:trPr>
        <w:tc>
          <w:tcPr>
            <w:tcW w:w="5180" w:type="dxa"/>
            <w:vAlign w:val="bottom"/>
            <w:shd w:val="clear" w:color="auto" w:fill="CCEEFF"/>
          </w:tcPr>
          <w:p>
            <w:pPr>
              <w:ind w:left="280"/>
              <w:spacing w:after="0" w:line="165" w:lineRule="exact"/>
              <w:rPr>
                <w:sz w:val="20"/>
                <w:szCs w:val="20"/>
                <w:color w:val="auto"/>
              </w:rPr>
            </w:pPr>
            <w:r>
              <w:rPr>
                <w:rFonts w:ascii="Arial" w:cs="Arial" w:eastAsia="Arial" w:hAnsi="Arial"/>
                <w:sz w:val="12"/>
                <w:szCs w:val="12"/>
                <w:color w:val="auto"/>
              </w:rPr>
              <w:t>Interest expense</w:t>
            </w:r>
            <w:r>
              <w:rPr>
                <w:rFonts w:ascii="Arial" w:cs="Arial" w:eastAsia="Arial" w:hAnsi="Arial"/>
                <w:sz w:val="19"/>
                <w:szCs w:val="19"/>
                <w:color w:val="auto"/>
                <w:vertAlign w:val="superscript"/>
              </w:rPr>
              <w:t>(1)</w:t>
            </w:r>
          </w:p>
        </w:tc>
        <w:tc>
          <w:tcPr>
            <w:tcW w:w="1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(8,026)</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9"/>
              </w:rPr>
              <w:t>(26,485)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(26,483)</w:t>
            </w:r>
          </w:p>
        </w:tc>
      </w:tr>
      <w:tr>
        <w:trPr>
          <w:trHeight w:val="166"/>
        </w:trPr>
        <w:tc>
          <w:tcPr>
            <w:tcW w:w="5180" w:type="dxa"/>
            <w:vAlign w:val="bottom"/>
          </w:tcPr>
          <w:p>
            <w:pPr>
              <w:ind w:left="280"/>
              <w:spacing w:after="0" w:line="165" w:lineRule="exact"/>
              <w:rPr>
                <w:sz w:val="20"/>
                <w:szCs w:val="20"/>
                <w:color w:val="auto"/>
              </w:rPr>
            </w:pPr>
            <w:r>
              <w:rPr>
                <w:rFonts w:ascii="Arial" w:cs="Arial" w:eastAsia="Arial" w:hAnsi="Arial"/>
                <w:sz w:val="12"/>
                <w:szCs w:val="12"/>
                <w:color w:val="auto"/>
              </w:rPr>
              <w:t>Fair value and other adjustments, net</w:t>
            </w:r>
            <w:r>
              <w:rPr>
                <w:rFonts w:ascii="Arial" w:cs="Arial" w:eastAsia="Arial" w:hAnsi="Arial"/>
                <w:sz w:val="19"/>
                <w:szCs w:val="19"/>
                <w:color w:val="auto"/>
                <w:vertAlign w:val="superscript"/>
              </w:rPr>
              <w:t>(1)</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(13,566)</w:t>
            </w: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(32,486)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(39,369)</w:t>
            </w:r>
          </w:p>
        </w:tc>
      </w:tr>
      <w:tr>
        <w:trPr>
          <w:trHeight w:val="24"/>
        </w:trPr>
        <w:tc>
          <w:tcPr>
            <w:tcW w:w="5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 and fair value adjustments, net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4,816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4,342</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$ 10,831</w:t>
            </w:r>
          </w:p>
        </w:tc>
        <w:tc>
          <w:tcPr>
            <w:tcW w:w="80" w:type="dxa"/>
            <w:vAlign w:val="bottom"/>
            <w:shd w:val="clear" w:color="auto" w:fill="CCEEFF"/>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440"/>
          </w:cols>
          <w:pgMar w:left="320" w:top="419" w:right="113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1280" w:hanging="481"/>
        <w:spacing w:after="0"/>
        <w:tabs>
          <w:tab w:leader="none" w:pos="12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Includes interest income, interest expense and fair value adjustments, net related to consolidated securitization trusts as follows: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64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32"/>
              <w:spacing w:after="0" w:line="134" w:lineRule="exact"/>
              <w:rPr>
                <w:sz w:val="20"/>
                <w:szCs w:val="20"/>
                <w:color w:val="auto"/>
              </w:rPr>
            </w:pPr>
            <w:r>
              <w:rPr>
                <w:rFonts w:ascii="Arial" w:cs="Arial" w:eastAsia="Arial" w:hAnsi="Arial"/>
                <w:sz w:val="13"/>
                <w:szCs w:val="13"/>
                <w:b w:val="1"/>
                <w:bCs w:val="1"/>
                <w:color w:val="auto"/>
                <w:w w:val="96"/>
              </w:rPr>
              <w:t>2020</w:t>
            </w:r>
          </w:p>
        </w:tc>
        <w:tc>
          <w:tcPr>
            <w:tcW w:w="3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ind w:left="60"/>
              <w:spacing w:after="0" w:line="134"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1"/>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1"/>
                <w:szCs w:val="11"/>
                <w:color w:val="auto"/>
              </w:rPr>
            </w:pPr>
          </w:p>
        </w:tc>
      </w:tr>
      <w:tr>
        <w:trPr>
          <w:trHeight w:val="157"/>
        </w:trPr>
        <w:tc>
          <w:tcPr>
            <w:tcW w:w="64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Interest income and fair value adjustments, net related to consolidated securitization trusts:</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64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5,173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ind w:left="60"/>
              <w:spacing w:after="0"/>
              <w:rPr>
                <w:sz w:val="20"/>
                <w:szCs w:val="20"/>
                <w:color w:val="auto"/>
              </w:rPr>
            </w:pPr>
            <w:r>
              <w:rPr>
                <w:rFonts w:ascii="Arial" w:cs="Arial" w:eastAsia="Arial" w:hAnsi="Arial"/>
                <w:sz w:val="14"/>
                <w:szCs w:val="14"/>
                <w:color w:val="auto"/>
                <w:w w:val="93"/>
              </w:rPr>
              <w:t>38,218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60,425</w:t>
            </w:r>
          </w:p>
        </w:tc>
        <w:tc>
          <w:tcPr>
            <w:tcW w:w="80" w:type="dxa"/>
            <w:vAlign w:val="bottom"/>
          </w:tcPr>
          <w:p>
            <w:pPr>
              <w:spacing w:after="0"/>
              <w:rPr>
                <w:sz w:val="14"/>
                <w:szCs w:val="14"/>
                <w:color w:val="auto"/>
              </w:rPr>
            </w:pPr>
          </w:p>
        </w:tc>
      </w:tr>
      <w:tr>
        <w:trPr>
          <w:trHeight w:val="166"/>
        </w:trPr>
        <w:tc>
          <w:tcPr>
            <w:tcW w:w="6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4"/>
              </w:rPr>
              <w:t>(1,074)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(6,331)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(17,200)</w:t>
            </w:r>
          </w:p>
        </w:tc>
      </w:tr>
      <w:tr>
        <w:trPr>
          <w:trHeight w:val="166"/>
        </w:trPr>
        <w:tc>
          <w:tcPr>
            <w:tcW w:w="6440" w:type="dxa"/>
            <w:vAlign w:val="bottom"/>
          </w:tcPr>
          <w:p>
            <w:pPr>
              <w:ind w:left="280"/>
              <w:spacing w:after="0"/>
              <w:rPr>
                <w:sz w:val="20"/>
                <w:szCs w:val="20"/>
                <w:color w:val="auto"/>
              </w:rPr>
            </w:pPr>
            <w:r>
              <w:rPr>
                <w:rFonts w:ascii="Arial" w:cs="Arial" w:eastAsia="Arial" w:hAnsi="Arial"/>
                <w:sz w:val="14"/>
                <w:szCs w:val="14"/>
                <w:color w:val="auto"/>
              </w:rPr>
              <w:t>Fair value and other adjustments, net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(3,555)</w:t>
            </w: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(30,676)</w:t>
            </w: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(37,607)</w:t>
            </w:r>
          </w:p>
        </w:tc>
      </w:tr>
      <w:tr>
        <w:trPr>
          <w:trHeight w:val="24"/>
        </w:trPr>
        <w:tc>
          <w:tcPr>
            <w:tcW w:w="6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6440" w:type="dxa"/>
            <w:vAlign w:val="bottom"/>
            <w:shd w:val="clear" w:color="auto" w:fill="CCEEFF"/>
          </w:tcPr>
          <w:p>
            <w:pPr>
              <w:spacing w:after="0"/>
              <w:rPr>
                <w:sz w:val="20"/>
                <w:szCs w:val="20"/>
                <w:color w:val="auto"/>
              </w:rPr>
            </w:pPr>
            <w:r>
              <w:rPr>
                <w:rFonts w:ascii="Arial" w:cs="Arial" w:eastAsia="Arial" w:hAnsi="Arial"/>
                <w:sz w:val="14"/>
                <w:szCs w:val="14"/>
                <w:color w:val="auto"/>
              </w:rPr>
              <w:t>Total interest income and fair value adjustments, net</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544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5,618</w:t>
            </w:r>
          </w:p>
        </w:tc>
      </w:tr>
      <w:tr>
        <w:trPr>
          <w:trHeight w:val="20"/>
        </w:trPr>
        <w:tc>
          <w:tcPr>
            <w:tcW w:w="6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Interest income</w:t>
      </w:r>
    </w:p>
    <w:p>
      <w:pPr>
        <w:spacing w:after="0" w:line="104" w:lineRule="exact"/>
        <w:rPr>
          <w:sz w:val="20"/>
          <w:szCs w:val="20"/>
          <w:color w:val="auto"/>
        </w:rPr>
      </w:pPr>
    </w:p>
    <w:p>
      <w:pPr>
        <w:ind w:left="800" w:right="260" w:firstLine="482"/>
        <w:spacing w:after="0" w:line="238" w:lineRule="auto"/>
        <w:rPr>
          <w:sz w:val="20"/>
          <w:szCs w:val="20"/>
          <w:color w:val="auto"/>
        </w:rPr>
      </w:pPr>
      <w:r>
        <w:rPr>
          <w:rFonts w:ascii="Arial" w:cs="Arial" w:eastAsia="Arial" w:hAnsi="Arial"/>
          <w:sz w:val="16"/>
          <w:szCs w:val="16"/>
          <w:color w:val="auto"/>
        </w:rPr>
        <w:t>Interest income is recognized based on the terms of the underlying agreements with borrowers for loans held on the Company’s consolidated balance sheets and is earned over the life of a loan.</w:t>
      </w:r>
    </w:p>
    <w:p>
      <w:pPr>
        <w:spacing w:after="0" w:line="179"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2020, and 2019, the Company has recorded $0.9 million and $1.2 million of accrued interest income in loans on the consolidated balance sheets, respectively.</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Interest expense</w:t>
      </w:r>
    </w:p>
    <w:p>
      <w:pPr>
        <w:spacing w:after="0" w:line="104"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Interest expense is primarily related to interest recorded on the Company’s borrowings and the notes issued as part of the consolidated securitizations. Interest expense includes accrued interest incurred but not paid. Accrued interest expenses were immaterial as of December 31, 2020 and 2019.</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Fair value and other adjustments, net</w:t>
      </w:r>
    </w:p>
    <w:p>
      <w:pPr>
        <w:spacing w:after="0" w:line="104" w:lineRule="exact"/>
        <w:rPr>
          <w:sz w:val="20"/>
          <w:szCs w:val="20"/>
          <w:color w:val="auto"/>
        </w:rPr>
      </w:pPr>
    </w:p>
    <w:p>
      <w:pPr>
        <w:ind w:left="800" w:right="120" w:firstLine="482"/>
        <w:spacing w:after="0" w:line="235"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earnings and include both realized and unrealized changes to the value of related assets and liabilities. Refer to “</w:t>
      </w:r>
      <w:r>
        <w:rPr>
          <w:rFonts w:ascii="Arial" w:cs="Arial" w:eastAsia="Arial" w:hAnsi="Arial"/>
          <w:sz w:val="16"/>
          <w:szCs w:val="16"/>
          <w:i w:val="1"/>
          <w:iCs w:val="1"/>
          <w:color w:val="auto"/>
        </w:rPr>
        <w:t>Note 4.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w:t>
      </w:r>
      <w:r>
        <w:rPr>
          <w:rFonts w:ascii="Arial" w:cs="Arial" w:eastAsia="Arial" w:hAnsi="Arial"/>
          <w:sz w:val="16"/>
          <w:szCs w:val="16"/>
          <w:color w:val="auto"/>
        </w:rPr>
        <w:t>” for additional information.</w:t>
      </w:r>
    </w:p>
    <w:p>
      <w:pPr>
        <w:spacing w:after="0" w:line="178" w:lineRule="exact"/>
        <w:rPr>
          <w:sz w:val="20"/>
          <w:szCs w:val="20"/>
          <w:color w:val="auto"/>
        </w:rPr>
      </w:pPr>
    </w:p>
    <w:p>
      <w:pPr>
        <w:jc w:val="both"/>
        <w:ind w:left="800" w:right="60" w:firstLine="482"/>
        <w:spacing w:after="0" w:line="236" w:lineRule="auto"/>
        <w:rPr>
          <w:sz w:val="20"/>
          <w:szCs w:val="20"/>
          <w:color w:val="auto"/>
        </w:rPr>
      </w:pPr>
      <w:r>
        <w:rPr>
          <w:rFonts w:ascii="Arial" w:cs="Arial" w:eastAsia="Arial" w:hAnsi="Arial"/>
          <w:sz w:val="16"/>
          <w:szCs w:val="16"/>
          <w:color w:val="auto"/>
        </w:rPr>
        <w:t>Fair value and other adjustments, net also include income attributable to third-party residual certificate holders for the consolidated securitization and amounts received from borrowers for previously charged-off loans held on the Company’s consolidated balance sheets. These amounts are recognized in the period received.</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3. Securitizations and Variable Interest Entities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Consolidated VIEs</w:t>
      </w:r>
    </w:p>
    <w:p>
      <w:pPr>
        <w:spacing w:after="0" w:line="106"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440"/>
          </w:cols>
          <w:pgMar w:left="320" w:top="419" w:right="113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Note 1. Description of Business and Significant Accounting Policies</w:t>
      </w:r>
      <w:r>
        <w:rPr>
          <w:rFonts w:ascii="Arial" w:cs="Arial" w:eastAsia="Arial" w:hAnsi="Arial"/>
          <w:sz w:val="16"/>
          <w:szCs w:val="16"/>
          <w:color w:val="auto"/>
        </w:rPr>
        <w:t>” for additional information.</w:t>
      </w:r>
    </w:p>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Warehouse Entities</w:t>
      </w:r>
    </w:p>
    <w:p>
      <w:pPr>
        <w:spacing w:after="0" w:line="104" w:lineRule="exact"/>
        <w:rPr>
          <w:sz w:val="20"/>
          <w:szCs w:val="20"/>
          <w:color w:val="auto"/>
        </w:rPr>
      </w:pPr>
    </w:p>
    <w:p>
      <w:pPr>
        <w:jc w:val="both"/>
        <w:ind w:left="800" w:firstLine="482"/>
        <w:spacing w:after="0" w:line="236" w:lineRule="auto"/>
        <w:rPr>
          <w:sz w:val="20"/>
          <w:szCs w:val="20"/>
          <w:color w:val="auto"/>
        </w:rPr>
      </w:pPr>
      <w:r>
        <w:rPr>
          <w:rFonts w:ascii="Arial" w:cs="Arial" w:eastAsia="Arial" w:hAnsi="Arial"/>
          <w:sz w:val="16"/>
          <w:szCs w:val="16"/>
          <w:color w:val="auto"/>
        </w:rPr>
        <w:t xml:space="preserve">The Company established Upstart Loan Trust and Upstart Warehouse Trust to enter into warehouse credit facilities for the purpose of purchasing Upstart-powered loans. See </w:t>
      </w:r>
      <w:r>
        <w:rPr>
          <w:rFonts w:ascii="Arial" w:cs="Arial" w:eastAsia="Arial" w:hAnsi="Arial"/>
          <w:sz w:val="16"/>
          <w:szCs w:val="16"/>
          <w:i w:val="1"/>
          <w:iCs w:val="1"/>
          <w:color w:val="auto"/>
        </w:rPr>
        <w:t>“Note 7. Borrowings”</w:t>
      </w:r>
      <w:r>
        <w:rPr>
          <w:rFonts w:ascii="Arial" w:cs="Arial" w:eastAsia="Arial" w:hAnsi="Arial"/>
          <w:sz w:val="16"/>
          <w:szCs w:val="16"/>
          <w:color w:val="auto"/>
        </w:rPr>
        <w:t xml:space="preserve"> for additional information. These entities are Delaware statutory trusts that are structured to be bankruptcy-remote, with third-party banks operating as trustees.</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Consolidated Securitizations and MOAs</w:t>
      </w:r>
    </w:p>
    <w:p>
      <w:pPr>
        <w:spacing w:after="0" w:line="104" w:lineRule="exact"/>
        <w:rPr>
          <w:sz w:val="20"/>
          <w:szCs w:val="20"/>
          <w:color w:val="auto"/>
        </w:rPr>
      </w:pPr>
    </w:p>
    <w:p>
      <w:pPr>
        <w:ind w:left="800" w:right="80" w:firstLine="482"/>
        <w:spacing w:after="0" w:line="236" w:lineRule="auto"/>
        <w:rPr>
          <w:sz w:val="20"/>
          <w:szCs w:val="20"/>
          <w:color w:val="auto"/>
        </w:rPr>
      </w:pPr>
      <w:r>
        <w:rPr>
          <w:rFonts w:ascii="Arial" w:cs="Arial" w:eastAsia="Arial" w:hAnsi="Arial"/>
          <w:sz w:val="16"/>
          <w:szCs w:val="16"/>
          <w:color w:val="auto"/>
        </w:rPr>
        <w:t>The Company entered into three private offering securitization transactions in June 2017 (“2017-1”), November 2017 (“2017-2”), and April 2018 (“2018-1”), respectively. As the sponsor of these securitization transactions, the Company created several legal entities for the roles of depositors, issuers, grantor trusts, and MOAs for each securitization transaction.</w:t>
      </w:r>
    </w:p>
    <w:p>
      <w:pPr>
        <w:spacing w:after="0" w:line="163" w:lineRule="exact"/>
        <w:rPr>
          <w:sz w:val="20"/>
          <w:szCs w:val="20"/>
          <w:color w:val="auto"/>
        </w:rPr>
      </w:pPr>
    </w:p>
    <w:p>
      <w:pPr>
        <w:ind w:left="800" w:right="40" w:firstLine="482"/>
        <w:spacing w:after="0"/>
        <w:rPr>
          <w:sz w:val="20"/>
          <w:szCs w:val="20"/>
          <w:color w:val="auto"/>
        </w:rPr>
      </w:pPr>
      <w:r>
        <w:rPr>
          <w:rFonts w:ascii="Arial" w:cs="Arial" w:eastAsia="Arial" w:hAnsi="Arial"/>
          <w:sz w:val="16"/>
          <w:szCs w:val="16"/>
          <w:color w:val="auto"/>
        </w:rPr>
        <w:t xml:space="preserve">Under the risk retention requirements in Title 17 U.S. </w:t>
      </w:r>
      <w:r>
        <w:rPr>
          <w:rFonts w:ascii="Arial" w:cs="Arial" w:eastAsia="Arial" w:hAnsi="Arial"/>
          <w:sz w:val="16"/>
          <w:szCs w:val="16"/>
          <w:i w:val="1"/>
          <w:iCs w:val="1"/>
          <w:color w:val="auto"/>
        </w:rPr>
        <w:t>Code of Federal Regulations</w:t>
      </w:r>
      <w:r>
        <w:rPr>
          <w:rFonts w:ascii="Arial" w:cs="Arial" w:eastAsia="Arial" w:hAnsi="Arial"/>
          <w:sz w:val="16"/>
          <w:szCs w:val="16"/>
          <w:color w:val="auto"/>
        </w:rPr>
        <w:t xml:space="preserve"> Part 246, </w:t>
      </w:r>
      <w:r>
        <w:rPr>
          <w:rFonts w:ascii="Arial" w:cs="Arial" w:eastAsia="Arial" w:hAnsi="Arial"/>
          <w:sz w:val="16"/>
          <w:szCs w:val="16"/>
          <w:i w:val="1"/>
          <w:iCs w:val="1"/>
          <w:color w:val="auto"/>
        </w:rPr>
        <w:t>Credit Risk Retention</w:t>
      </w:r>
      <w:r>
        <w:rPr>
          <w:rFonts w:ascii="Arial" w:cs="Arial" w:eastAsia="Arial" w:hAnsi="Arial"/>
          <w:sz w:val="16"/>
          <w:szCs w:val="16"/>
          <w:color w:val="auto"/>
        </w:rPr>
        <w:t>, promulgated by Securities and Exchange Commission (“RR”), the Company is required to retain at least 5% of the economic risk in the securitization transactions in which the Company is the retaining sponsor. The Company elected to satisfy the RR requirements by holding Eligible Horizontal Retained Interests (“EHRIs”) in the form of subordinated certificates within the established MOAs.</w:t>
      </w:r>
    </w:p>
    <w:p>
      <w:pPr>
        <w:spacing w:after="0" w:line="179" w:lineRule="exact"/>
        <w:rPr>
          <w:sz w:val="20"/>
          <w:szCs w:val="20"/>
          <w:color w:val="auto"/>
        </w:rPr>
      </w:pPr>
    </w:p>
    <w:p>
      <w:pPr>
        <w:ind w:left="800" w:firstLine="482"/>
        <w:spacing w:after="0" w:line="250" w:lineRule="auto"/>
        <w:rPr>
          <w:sz w:val="20"/>
          <w:szCs w:val="20"/>
          <w:color w:val="auto"/>
        </w:rPr>
      </w:pPr>
      <w:r>
        <w:rPr>
          <w:rFonts w:ascii="Arial" w:cs="Arial" w:eastAsia="Arial" w:hAnsi="Arial"/>
          <w:sz w:val="15"/>
          <w:szCs w:val="15"/>
          <w:color w:val="auto"/>
        </w:rPr>
        <w:t>Concurrently with the closing of the 2017-1, 2017-2, and 2018-1 securitization transactions, while maintaining its status as the primary beneficiary of the related MOAs, the Company sold 80% of its interests in these MOAs to an institutional investor in exchange for cash of approximately $8.0 million, $7.8 million, and $ 8.0 million, respectively, based on the fair value of the residual certificates held in the MOAs as determined on the pricing dates. As a result of the sales, the Company maintained a 20% interest in the MOAs and its status as the managing member, while the investor became a non-voting limited member of these MOAs. As of December 31, 2019, the institutional investor’s ownership interests in the 2018-1 MOA represent the noncontrolling interests on the consolidated balance sheets. As of December 31, 2020, no noncontrolling interests were recognized due to deconsolidation of the 2018-1 securitization during 2020.</w:t>
      </w:r>
    </w:p>
    <w:p>
      <w:pPr>
        <w:spacing w:after="0" w:line="173"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Upon closing of these securitization transactions, the Company determined that the servicing fees represented a variable interest in these securitization entities due to the EHRIs held by the Company’s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440"/>
          </w:cols>
          <w:pgMar w:left="320" w:top="419" w:right="113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0"/>
        <w:spacing w:after="0" w:line="235" w:lineRule="auto"/>
        <w:rPr>
          <w:sz w:val="20"/>
          <w:szCs w:val="20"/>
          <w:color w:val="auto"/>
        </w:rPr>
      </w:pPr>
      <w:r>
        <w:rPr>
          <w:rFonts w:ascii="Arial" w:cs="Arial" w:eastAsia="Arial" w:hAnsi="Arial"/>
          <w:sz w:val="16"/>
          <w:szCs w:val="16"/>
          <w:color w:val="auto"/>
        </w:rPr>
        <w:t>MOAs to satisfy the RR requirements. The EHRIs held by these MOAs were deemed to potentially absorb more than an insignificant amount of the VIEs’ expected losses or expected returns at the inception of the securitization transactions. The Company also determined that it was the primary beneficiary of these entities and consolidated the MOAs and trusts associated with the 2017-1, 2017-2, and 2018-1 securitization transactions.</w:t>
      </w:r>
    </w:p>
    <w:p>
      <w:pPr>
        <w:spacing w:after="0" w:line="178" w:lineRule="exact"/>
        <w:rPr>
          <w:sz w:val="20"/>
          <w:szCs w:val="20"/>
          <w:color w:val="auto"/>
        </w:rPr>
      </w:pPr>
    </w:p>
    <w:p>
      <w:pPr>
        <w:ind w:left="800" w:right="100" w:firstLine="482"/>
        <w:spacing w:after="0" w:line="249" w:lineRule="auto"/>
        <w:rPr>
          <w:sz w:val="20"/>
          <w:szCs w:val="20"/>
          <w:color w:val="auto"/>
        </w:rPr>
      </w:pPr>
      <w:r>
        <w:rPr>
          <w:rFonts w:ascii="Arial" w:cs="Arial" w:eastAsia="Arial" w:hAnsi="Arial"/>
          <w:sz w:val="15"/>
          <w:szCs w:val="15"/>
          <w:color w:val="auto"/>
        </w:rPr>
        <w:t>Subsequent to the expiration of the RR requirements for 2017-1 and 2017-2 in December 2019 and 2018 -1 in June 2020, the residual certificates held by each of the respective MOAs were distributed based on the proportional equity held by Upstart and the investor. This distribution required the Company to reassess whether its servicing fee is a variable interest. Although the Company maintains a reduced level of variable interests in the 2017-1 and 2017-2 securitization transactions through the EHRIs, the Company’s other interests subsequent to these distributions are no longer expected to absorb more than an insignificant amount of each of the VIE’s expected losses or expected returns. Therefore, the Company concluded that the fees for servicing the securitization transactions are no longer considered variable interests, and as such the powers the Company possesses through the servicing arrangements are no longer considered in the primary beneficiary determination. As a result, the Company concluded it was no longer the primary beneficiary of the 2017-1, 2017-2, and 2018-1 securitization transactions. The Company deconsolidated the legal entities associated with the 2017-1 and 2017-2 securitization transactions as of December 31, 2019 and 2018-1 as of June 30, 2020. The Company recorded an immaterial net gain on the deconsolidation of these entities. The Company maintained its role as servicer of these securitization transactions.</w:t>
      </w:r>
    </w:p>
    <w:p>
      <w:pPr>
        <w:spacing w:after="0" w:line="172"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 xml:space="preserve">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2020 and 2019.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w:t>
      </w:r>
      <w:r>
        <w:rPr>
          <w:rFonts w:ascii="Arial" w:cs="Arial" w:eastAsia="Arial" w:hAnsi="Arial"/>
          <w:sz w:val="16"/>
          <w:szCs w:val="16"/>
          <w:i w:val="1"/>
          <w:iCs w:val="1"/>
          <w:color w:val="auto"/>
        </w:rPr>
        <w:t>Transferring and Servicing</w:t>
      </w:r>
      <w:r>
        <w:rPr>
          <w:rFonts w:ascii="Arial" w:cs="Arial" w:eastAsia="Arial" w:hAnsi="Arial"/>
          <w:sz w:val="16"/>
          <w:szCs w:val="16"/>
          <w:color w:val="auto"/>
        </w:rPr>
        <w:t xml:space="preserve">. As such, the Company derecognized these loans from the consolidated balance sheets upon the closing of these securitization transactions. Refer to the </w:t>
      </w:r>
      <w:r>
        <w:rPr>
          <w:rFonts w:ascii="Arial" w:cs="Arial" w:eastAsia="Arial" w:hAnsi="Arial"/>
          <w:sz w:val="16"/>
          <w:szCs w:val="16"/>
          <w:i w:val="1"/>
          <w:iCs w:val="1"/>
          <w:color w:val="auto"/>
        </w:rPr>
        <w:t>Unconsolidated Securitizations</w:t>
      </w:r>
      <w:r>
        <w:rPr>
          <w:rFonts w:ascii="Arial" w:cs="Arial" w:eastAsia="Arial" w:hAnsi="Arial"/>
          <w:sz w:val="16"/>
          <w:szCs w:val="16"/>
          <w:color w:val="auto"/>
        </w:rPr>
        <w:t xml:space="preserve"> section below for more information.</w:t>
      </w:r>
    </w:p>
    <w:p>
      <w:pPr>
        <w:spacing w:after="0" w:line="26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Other Consolidated VIEs</w:t>
      </w:r>
    </w:p>
    <w:p>
      <w:pPr>
        <w:spacing w:after="0" w:line="104"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420"/>
          </w:cols>
          <w:pgMar w:left="320" w:top="419" w:right="115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60" w:firstLine="482"/>
        <w:spacing w:after="0" w:line="238" w:lineRule="auto"/>
        <w:rPr>
          <w:sz w:val="20"/>
          <w:szCs w:val="20"/>
          <w:color w:val="auto"/>
        </w:rPr>
      </w:pPr>
      <w:r>
        <w:rPr>
          <w:rFonts w:ascii="Arial" w:cs="Arial" w:eastAsia="Arial" w:hAnsi="Arial"/>
          <w:sz w:val="16"/>
          <w:szCs w:val="16"/>
          <w:color w:val="auto"/>
        </w:rPr>
        <w:t>The following tables present a summary of financial assets and liabilities from the Company’s involvement with consolidated VIEs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30"/>
              <w:spacing w:after="0"/>
              <w:rPr>
                <w:sz w:val="20"/>
                <w:szCs w:val="20"/>
                <w:color w:val="auto"/>
              </w:rPr>
            </w:pPr>
            <w:r>
              <w:rPr>
                <w:rFonts w:ascii="Arial" w:cs="Arial" w:eastAsia="Arial" w:hAnsi="Arial"/>
                <w:sz w:val="13"/>
                <w:szCs w:val="13"/>
                <w:b w:val="1"/>
                <w:bCs w:val="1"/>
                <w:color w:val="auto"/>
                <w:w w:val="93"/>
              </w:rPr>
              <w:t>Assets</w:t>
            </w:r>
          </w:p>
        </w:tc>
        <w:tc>
          <w:tcPr>
            <w:tcW w:w="3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b w:val="1"/>
                <w:bCs w:val="1"/>
                <w:color w:val="auto"/>
              </w:rPr>
              <w:t>Net Assets</w:t>
            </w:r>
          </w:p>
        </w:tc>
      </w:tr>
      <w:tr>
        <w:trPr>
          <w:trHeight w:val="146"/>
        </w:trPr>
        <w:tc>
          <w:tcPr>
            <w:tcW w:w="694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December 31, 2020</w:t>
            </w: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6940" w:type="dxa"/>
            <w:vAlign w:val="bottom"/>
          </w:tcPr>
          <w:p>
            <w:pPr>
              <w:spacing w:after="0"/>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71,530</w:t>
            </w:r>
          </w:p>
        </w:tc>
        <w:tc>
          <w:tcPr>
            <w:tcW w:w="4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35,109</w:t>
            </w:r>
          </w:p>
        </w:tc>
        <w:tc>
          <w:tcPr>
            <w:tcW w:w="16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36,421</w:t>
            </w:r>
          </w:p>
        </w:tc>
        <w:tc>
          <w:tcPr>
            <w:tcW w:w="40" w:type="dxa"/>
            <w:vAlign w:val="bottom"/>
          </w:tcPr>
          <w:p>
            <w:pPr>
              <w:spacing w:after="0"/>
              <w:rPr>
                <w:sz w:val="14"/>
                <w:szCs w:val="14"/>
                <w:color w:val="auto"/>
              </w:rPr>
            </w:pPr>
          </w:p>
        </w:tc>
      </w:tr>
      <w:tr>
        <w:trPr>
          <w:trHeight w:val="166"/>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17,219</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7,187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w:t>
            </w:r>
          </w:p>
        </w:tc>
        <w:tc>
          <w:tcPr>
            <w:tcW w:w="40" w:type="dxa"/>
            <w:vAlign w:val="bottom"/>
            <w:shd w:val="clear" w:color="auto" w:fill="CCEEFF"/>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Arial" w:cs="Arial" w:eastAsia="Arial" w:hAnsi="Arial"/>
                <w:sz w:val="14"/>
                <w:szCs w:val="14"/>
                <w:color w:val="auto"/>
              </w:rPr>
              <w:t>Other Consolidated VIEs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16,243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16,243</w:t>
            </w:r>
          </w:p>
        </w:tc>
        <w:tc>
          <w:tcPr>
            <w:tcW w:w="40" w:type="dxa"/>
            <w:vAlign w:val="bottom"/>
          </w:tcPr>
          <w:p>
            <w:pPr>
              <w:spacing w:after="0"/>
              <w:rPr>
                <w:sz w:val="14"/>
                <w:szCs w:val="14"/>
                <w:color w:val="auto"/>
              </w:rPr>
            </w:pPr>
          </w:p>
        </w:tc>
      </w:tr>
      <w:tr>
        <w:trPr>
          <w:trHeight w:val="166"/>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104,992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42,296</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62,696</w:t>
            </w:r>
          </w:p>
        </w:tc>
        <w:tc>
          <w:tcPr>
            <w:tcW w:w="40" w:type="dxa"/>
            <w:vAlign w:val="bottom"/>
            <w:shd w:val="clear" w:color="auto" w:fill="CCEEFF"/>
          </w:tcPr>
          <w:p>
            <w:pPr>
              <w:spacing w:after="0"/>
              <w:rPr>
                <w:sz w:val="14"/>
                <w:szCs w:val="14"/>
                <w:color w:val="auto"/>
              </w:rPr>
            </w:pPr>
          </w:p>
        </w:tc>
      </w:tr>
      <w:tr>
        <w:trPr>
          <w:trHeight w:val="355"/>
        </w:trPr>
        <w:tc>
          <w:tcPr>
            <w:tcW w:w="69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Assets</w:t>
            </w:r>
          </w:p>
        </w:tc>
        <w:tc>
          <w:tcPr>
            <w:tcW w:w="3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Assets</w:t>
            </w:r>
          </w:p>
        </w:tc>
      </w:tr>
      <w:tr>
        <w:trPr>
          <w:trHeight w:val="146"/>
        </w:trPr>
        <w:tc>
          <w:tcPr>
            <w:tcW w:w="694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6940" w:type="dxa"/>
            <w:vAlign w:val="bottom"/>
          </w:tcPr>
          <w:p>
            <w:pPr>
              <w:spacing w:after="0"/>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131,903</w:t>
            </w:r>
          </w:p>
        </w:tc>
        <w:tc>
          <w:tcPr>
            <w:tcW w:w="48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80,206</w:t>
            </w:r>
          </w:p>
        </w:tc>
        <w:tc>
          <w:tcPr>
            <w:tcW w:w="160" w:type="dxa"/>
            <w:vAlign w:val="bottom"/>
          </w:tcPr>
          <w:p>
            <w:pPr>
              <w:spacing w:after="0"/>
              <w:rPr>
                <w:sz w:val="14"/>
                <w:szCs w:val="14"/>
                <w:color w:val="auto"/>
              </w:rPr>
            </w:pPr>
          </w:p>
        </w:tc>
        <w:tc>
          <w:tcPr>
            <w:tcW w:w="3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51,697</w:t>
            </w:r>
          </w:p>
        </w:tc>
        <w:tc>
          <w:tcPr>
            <w:tcW w:w="40" w:type="dxa"/>
            <w:vAlign w:val="bottom"/>
          </w:tcPr>
          <w:p>
            <w:pPr>
              <w:spacing w:after="0"/>
              <w:rPr>
                <w:sz w:val="14"/>
                <w:szCs w:val="14"/>
                <w:color w:val="auto"/>
              </w:rPr>
            </w:pPr>
          </w:p>
        </w:tc>
      </w:tr>
      <w:tr>
        <w:trPr>
          <w:trHeight w:val="166"/>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98,572</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95,995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2,577</w:t>
            </w:r>
          </w:p>
        </w:tc>
      </w:tr>
      <w:tr>
        <w:trPr>
          <w:trHeight w:val="166"/>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30,266</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13,208</w:t>
            </w:r>
          </w:p>
        </w:tc>
        <w:tc>
          <w:tcPr>
            <w:tcW w:w="40" w:type="dxa"/>
            <w:vAlign w:val="bottom"/>
            <w:shd w:val="clear" w:color="auto" w:fill="CCEEFF"/>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Arial" w:cs="Arial" w:eastAsia="Arial" w:hAnsi="Arial"/>
                <w:sz w:val="14"/>
                <w:szCs w:val="14"/>
                <w:color w:val="auto"/>
              </w:rPr>
              <w:t>Other Consolidated VIEs</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14,926</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14,878</w:t>
            </w:r>
          </w:p>
        </w:tc>
        <w:tc>
          <w:tcPr>
            <w:tcW w:w="40" w:type="dxa"/>
            <w:vAlign w:val="bottom"/>
          </w:tcPr>
          <w:p>
            <w:pPr>
              <w:spacing w:after="0"/>
              <w:rPr>
                <w:sz w:val="14"/>
                <w:szCs w:val="14"/>
                <w:color w:val="auto"/>
              </w:rPr>
            </w:pPr>
          </w:p>
        </w:tc>
      </w:tr>
      <w:tr>
        <w:trPr>
          <w:trHeight w:val="166"/>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275,667</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$ 193,307</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82,360</w:t>
            </w:r>
          </w:p>
        </w:tc>
        <w:tc>
          <w:tcPr>
            <w:tcW w:w="40" w:type="dxa"/>
            <w:vAlign w:val="bottom"/>
            <w:shd w:val="clear" w:color="auto" w:fill="CCEEFF"/>
          </w:tcPr>
          <w:p>
            <w:pPr>
              <w:spacing w:after="0"/>
              <w:rPr>
                <w:sz w:val="14"/>
                <w:szCs w:val="14"/>
                <w:color w:val="auto"/>
              </w:rPr>
            </w:pPr>
          </w:p>
        </w:tc>
      </w:tr>
    </w:tbl>
    <w:p>
      <w:pPr>
        <w:spacing w:after="0" w:line="188" w:lineRule="exact"/>
        <w:rPr>
          <w:sz w:val="20"/>
          <w:szCs w:val="20"/>
          <w:color w:val="auto"/>
        </w:rPr>
      </w:pPr>
    </w:p>
    <w:p>
      <w:pPr>
        <w:ind w:left="800" w:right="40"/>
        <w:spacing w:after="0" w:line="236" w:lineRule="auto"/>
        <w:rPr>
          <w:sz w:val="20"/>
          <w:szCs w:val="20"/>
          <w:color w:val="auto"/>
        </w:rPr>
      </w:pPr>
      <w:r>
        <w:rPr>
          <w:rFonts w:ascii="Arial" w:cs="Arial" w:eastAsia="Arial" w:hAnsi="Arial"/>
          <w:sz w:val="16"/>
          <w:szCs w:val="16"/>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Unconsolidated VIEs</w:t>
      </w:r>
    </w:p>
    <w:p>
      <w:pPr>
        <w:spacing w:after="0" w:line="201" w:lineRule="exact"/>
        <w:rPr>
          <w:sz w:val="20"/>
          <w:szCs w:val="20"/>
          <w:color w:val="auto"/>
        </w:rPr>
      </w:pPr>
    </w:p>
    <w:p>
      <w:pPr>
        <w:ind w:left="800" w:right="40" w:firstLine="482"/>
        <w:spacing w:after="0" w:line="234" w:lineRule="auto"/>
        <w:rPr>
          <w:sz w:val="20"/>
          <w:szCs w:val="20"/>
          <w:color w:val="auto"/>
        </w:rPr>
      </w:pPr>
      <w:r>
        <w:rPr>
          <w:rFonts w:ascii="Arial" w:cs="Arial" w:eastAsia="Arial" w:hAnsi="Arial"/>
          <w:sz w:val="16"/>
          <w:szCs w:val="16"/>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 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Unconsolidated Securitizations</w:t>
      </w:r>
    </w:p>
    <w:p>
      <w:pPr>
        <w:spacing w:after="0" w:line="199"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As of December 31, 2020, the Company’s unconsolidated VIEs include entities established as the issuers and grantor trusts for the 2017-1, 2017-2, 2018-1, 2018-2, 2019-1, and 2019-2 securitization transactions (the “Unconsolidated Securitizations”). The Company’s continued involvement in the unconsolidated VIEs is in the form of its role as the sponsor and the servicer of these transactions. For each of the unconsolidated securitizations, the Company determined that it is not the primary beneficiary.</w:t>
      </w:r>
    </w:p>
    <w:p>
      <w:pPr>
        <w:spacing w:after="0" w:line="178"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440"/>
          </w:cols>
          <w:pgMar w:left="320" w:top="419" w:right="1139" w:bottom="1440" w:gutter="0" w:footer="0" w:header="0"/>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Upstart Network Trust</w:t>
      </w:r>
    </w:p>
    <w:p>
      <w:pPr>
        <w:spacing w:after="0" w:line="104"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Upstart Network Trust (“UNT”), also a Delaware statutory trust, was established in 2014 to facilitate Upstart’s fractional loan program. The Company is the servicer of UNT’s loan assets and previously concluded that the servicing fee represents a variable interest and that the Company is the primary beneficiary of UNT. The program was formally discontinued in 2019 and as a result of a reduction in the Company’s investment in UNT, the Company concluded that it was no longer the primary beneficiary and therefore deconsolidated UNT during 2019. An immaterial loss related to servicing rights was recognized on deconsolidation. The fair value of the Company’s investment in UNT is included in notes receivable and residual certificates in the consolidated balance sheets as of December 31, 2020, and 2019. The Company’s continued involvement in UNT includes loan servicing rights and obligations for which it receives servicing fees over the life of the underlying loans</w:t>
      </w:r>
    </w:p>
    <w:p>
      <w:pPr>
        <w:spacing w:after="0" w:line="179"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The Company’s unconsolidated VIEs include UNT, which was deconsolidated during the year ended December 31, 2019 upon discontinuation of the fractional loan program.</w:t>
      </w:r>
    </w:p>
    <w:p>
      <w:pPr>
        <w:spacing w:after="0" w:line="179"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The following tables summarize the aggregate carrying value of assets and liabilities of unconsolidated VIEs in which the Company holds a variable interest but is not the primary beneficiary (in thousands):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Maximum</w:t>
            </w:r>
          </w:p>
        </w:tc>
      </w:tr>
      <w:tr>
        <w:trPr>
          <w:trHeight w:val="142"/>
        </w:trPr>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w w:val="98"/>
              </w:rPr>
              <w:t>Exposure to</w:t>
            </w:r>
          </w:p>
        </w:tc>
      </w:tr>
      <w:tr>
        <w:trPr>
          <w:trHeight w:val="154"/>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Assets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6"/>
              </w:rPr>
              <w:t>Liabilities</w:t>
            </w:r>
          </w:p>
        </w:tc>
        <w:tc>
          <w:tcPr>
            <w:tcW w:w="80" w:type="dxa"/>
            <w:vAlign w:val="bottom"/>
          </w:tcPr>
          <w:p>
            <w:pPr>
              <w:spacing w:after="0"/>
              <w:rPr>
                <w:sz w:val="13"/>
                <w:szCs w:val="13"/>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Assets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Losses</w:t>
            </w:r>
          </w:p>
        </w:tc>
      </w:tr>
      <w:tr>
        <w:trPr>
          <w:trHeight w:val="146"/>
        </w:trPr>
        <w:tc>
          <w:tcPr>
            <w:tcW w:w="606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December 31, 2020</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6060" w:type="dxa"/>
            <w:vAlign w:val="bottom"/>
          </w:tcPr>
          <w:p>
            <w:pPr>
              <w:spacing w:after="0"/>
              <w:rPr>
                <w:sz w:val="20"/>
                <w:szCs w:val="20"/>
                <w:color w:val="auto"/>
              </w:rPr>
            </w:pPr>
            <w:r>
              <w:rPr>
                <w:rFonts w:ascii="Arial" w:cs="Arial" w:eastAsia="Arial" w:hAnsi="Arial"/>
                <w:sz w:val="14"/>
                <w:szCs w:val="14"/>
                <w:color w:val="auto"/>
              </w:rPr>
              <w:t>Securitizations</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$484,604</w:t>
            </w:r>
          </w:p>
        </w:tc>
        <w:tc>
          <w:tcPr>
            <w:tcW w:w="1180" w:type="dxa"/>
            <w:vAlign w:val="bottom"/>
            <w:gridSpan w:val="5"/>
          </w:tcPr>
          <w:p>
            <w:pPr>
              <w:jc w:val="right"/>
              <w:ind w:right="260"/>
              <w:spacing w:after="0"/>
              <w:rPr>
                <w:sz w:val="20"/>
                <w:szCs w:val="20"/>
                <w:color w:val="auto"/>
              </w:rPr>
            </w:pPr>
            <w:r>
              <w:rPr>
                <w:rFonts w:ascii="Arial" w:cs="Arial" w:eastAsia="Arial" w:hAnsi="Arial"/>
                <w:sz w:val="14"/>
                <w:szCs w:val="14"/>
                <w:color w:val="auto"/>
              </w:rPr>
              <w:t>$390,252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$94,352</w:t>
            </w:r>
          </w:p>
        </w:tc>
        <w:tc>
          <w:tcPr>
            <w:tcW w:w="16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24,434</w:t>
            </w:r>
          </w:p>
        </w:tc>
        <w:tc>
          <w:tcPr>
            <w:tcW w:w="40" w:type="dxa"/>
            <w:vAlign w:val="bottom"/>
          </w:tcPr>
          <w:p>
            <w:pPr>
              <w:spacing w:after="0"/>
              <w:rPr>
                <w:sz w:val="14"/>
                <w:szCs w:val="14"/>
                <w:color w:val="auto"/>
              </w:rPr>
            </w:pPr>
          </w:p>
        </w:tc>
      </w:tr>
      <w:tr>
        <w:trPr>
          <w:trHeight w:val="16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Upstart Network Trust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39,754</w:t>
            </w:r>
          </w:p>
        </w:tc>
        <w:tc>
          <w:tcPr>
            <w:tcW w:w="320" w:type="dxa"/>
            <w:vAlign w:val="bottom"/>
            <w:gridSpan w:val="2"/>
            <w:shd w:val="clear" w:color="auto" w:fill="CCEEFF"/>
          </w:tcPr>
          <w:p>
            <w:pPr>
              <w:spacing w:after="0"/>
              <w:rPr>
                <w:sz w:val="14"/>
                <w:szCs w:val="14"/>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39,754</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1,707</w:t>
            </w:r>
          </w:p>
        </w:tc>
      </w:tr>
      <w:tr>
        <w:trPr>
          <w:trHeight w:val="20"/>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06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524,358</w:t>
            </w:r>
          </w:p>
        </w:tc>
        <w:tc>
          <w:tcPr>
            <w:tcW w:w="320" w:type="dxa"/>
            <w:vAlign w:val="bottom"/>
            <w:gridSpan w:val="2"/>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430,006</w:t>
            </w:r>
          </w:p>
        </w:tc>
        <w:tc>
          <w:tcPr>
            <w:tcW w:w="6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94,352</w:t>
            </w:r>
          </w:p>
        </w:tc>
        <w:tc>
          <w:tcPr>
            <w:tcW w:w="16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26,141</w:t>
            </w:r>
          </w:p>
        </w:tc>
        <w:tc>
          <w:tcPr>
            <w:tcW w:w="40" w:type="dxa"/>
            <w:vAlign w:val="bottom"/>
          </w:tcPr>
          <w:p>
            <w:pPr>
              <w:spacing w:after="0"/>
              <w:rPr>
                <w:sz w:val="14"/>
                <w:szCs w:val="14"/>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6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Maximum</w:t>
            </w:r>
          </w:p>
        </w:tc>
      </w:tr>
      <w:tr>
        <w:trPr>
          <w:trHeight w:val="142"/>
        </w:trPr>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w w:val="98"/>
              </w:rPr>
              <w:t>Exposure to</w:t>
            </w:r>
          </w:p>
        </w:tc>
      </w:tr>
      <w:tr>
        <w:trPr>
          <w:trHeight w:val="154"/>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Assets</w:t>
            </w:r>
          </w:p>
        </w:tc>
        <w:tc>
          <w:tcPr>
            <w:tcW w:w="240" w:type="dxa"/>
            <w:vAlign w:val="bottom"/>
          </w:tcPr>
          <w:p>
            <w:pPr>
              <w:spacing w:after="0"/>
              <w:rPr>
                <w:sz w:val="13"/>
                <w:szCs w:val="13"/>
                <w:color w:val="auto"/>
              </w:rPr>
            </w:pPr>
          </w:p>
        </w:tc>
        <w:tc>
          <w:tcPr>
            <w:tcW w:w="94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w w:val="96"/>
              </w:rPr>
              <w:t>Liabilities</w:t>
            </w:r>
          </w:p>
        </w:tc>
        <w:tc>
          <w:tcPr>
            <w:tcW w:w="8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Assets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Losses</w:t>
            </w:r>
          </w:p>
        </w:tc>
      </w:tr>
      <w:tr>
        <w:trPr>
          <w:trHeight w:val="157"/>
        </w:trPr>
        <w:tc>
          <w:tcPr>
            <w:tcW w:w="606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6"/>
        </w:trPr>
        <w:tc>
          <w:tcPr>
            <w:tcW w:w="6060" w:type="dxa"/>
            <w:vAlign w:val="bottom"/>
          </w:tcPr>
          <w:p>
            <w:pPr>
              <w:spacing w:after="0"/>
              <w:rPr>
                <w:sz w:val="20"/>
                <w:szCs w:val="20"/>
                <w:color w:val="auto"/>
              </w:rPr>
            </w:pPr>
            <w:r>
              <w:rPr>
                <w:rFonts w:ascii="Arial" w:cs="Arial" w:eastAsia="Arial" w:hAnsi="Arial"/>
                <w:sz w:val="14"/>
                <w:szCs w:val="14"/>
                <w:color w:val="auto"/>
              </w:rPr>
              <w:t>Securitizations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9"/>
              </w:rPr>
              <w:t>$778,628</w:t>
            </w: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$640,592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9"/>
              </w:rPr>
              <w:t>$138,036</w:t>
            </w:r>
          </w:p>
        </w:tc>
        <w:tc>
          <w:tcPr>
            <w:tcW w:w="160" w:type="dxa"/>
            <w:vAlign w:val="bottom"/>
          </w:tcPr>
          <w:p>
            <w:pPr>
              <w:spacing w:after="0"/>
              <w:rPr>
                <w:sz w:val="14"/>
                <w:szCs w:val="14"/>
                <w:color w:val="auto"/>
              </w:rPr>
            </w:pPr>
          </w:p>
        </w:tc>
        <w:tc>
          <w:tcPr>
            <w:tcW w:w="2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34,828</w:t>
            </w:r>
          </w:p>
        </w:tc>
        <w:tc>
          <w:tcPr>
            <w:tcW w:w="40" w:type="dxa"/>
            <w:vAlign w:val="bottom"/>
          </w:tcPr>
          <w:p>
            <w:pPr>
              <w:spacing w:after="0"/>
              <w:rPr>
                <w:sz w:val="14"/>
                <w:szCs w:val="14"/>
                <w:color w:val="auto"/>
              </w:rPr>
            </w:pPr>
          </w:p>
        </w:tc>
      </w:tr>
      <w:tr>
        <w:trPr>
          <w:trHeight w:val="16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Upstart Network Trust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77,207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77,207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3,303</w:t>
            </w:r>
          </w:p>
        </w:tc>
      </w:tr>
      <w:tr>
        <w:trPr>
          <w:trHeight w:val="169"/>
        </w:trPr>
        <w:tc>
          <w:tcPr>
            <w:tcW w:w="606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855,835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717,799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138,036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38,131</w:t>
            </w:r>
          </w:p>
        </w:tc>
        <w:tc>
          <w:tcPr>
            <w:tcW w:w="40" w:type="dxa"/>
            <w:vAlign w:val="bottom"/>
          </w:tcPr>
          <w:p>
            <w:pPr>
              <w:spacing w:after="0"/>
              <w:rPr>
                <w:sz w:val="14"/>
                <w:szCs w:val="14"/>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The carrying value of assets that relate to variable interests in unconsolidated VIEs consists of $18.9 million and $30.3 million which are included in notes receivable and residual certificates on the consolidated balance sheets as of December 31, 2020, and 2019, respectively. The Company also had $7.2 million and $4.6 million of cash deposits made to reserve accounts for related securitizations, included in other assets on the consolidated balance sheets as of December 31, 2020, and 2019, respectively.</w:t>
      </w:r>
    </w:p>
    <w:p>
      <w:pPr>
        <w:spacing w:after="0" w:line="178" w:lineRule="exact"/>
        <w:rPr>
          <w:sz w:val="20"/>
          <w:szCs w:val="20"/>
          <w:color w:val="auto"/>
        </w:rPr>
      </w:pPr>
    </w:p>
    <w:p>
      <w:pPr>
        <w:ind w:left="800" w:right="20" w:firstLine="482"/>
        <w:spacing w:after="0" w:line="236" w:lineRule="auto"/>
        <w:rPr>
          <w:sz w:val="20"/>
          <w:szCs w:val="20"/>
          <w:color w:val="auto"/>
        </w:rPr>
      </w:pPr>
      <w:r>
        <w:rPr>
          <w:rFonts w:ascii="Arial" w:cs="Arial" w:eastAsia="Arial" w:hAnsi="Arial"/>
          <w:sz w:val="16"/>
          <w:szCs w:val="16"/>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440"/>
          </w:cols>
          <w:pgMar w:left="320" w:top="419" w:right="113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40" w:firstLine="482"/>
        <w:spacing w:after="0" w:line="238" w:lineRule="auto"/>
        <w:rPr>
          <w:sz w:val="20"/>
          <w:szCs w:val="20"/>
          <w:color w:val="auto"/>
        </w:rPr>
      </w:pPr>
      <w:r>
        <w:rPr>
          <w:rFonts w:ascii="Arial" w:cs="Arial" w:eastAsia="Arial" w:hAnsi="Arial"/>
          <w:sz w:val="16"/>
          <w:szCs w:val="16"/>
          <w:color w:val="auto"/>
        </w:rPr>
        <w:t>The following table summarizes activity related to the unconsolidated securitization transactions on the Company’s consolidated financial statements (in thousands):</w:t>
      </w:r>
    </w:p>
    <w:p>
      <w:pPr>
        <w:spacing w:after="0" w:line="192" w:lineRule="exact"/>
        <w:rPr>
          <w:sz w:val="20"/>
          <w:szCs w:val="20"/>
          <w:color w:val="auto"/>
        </w:rPr>
      </w:pPr>
    </w:p>
    <w:tbl>
      <w:tblPr>
        <w:tblLayout w:type="fixed"/>
        <w:tblInd w:w="1180" w:type="dxa"/>
        <w:tblCellMar>
          <w:top w:w="0" w:type="dxa"/>
          <w:left w:w="0" w:type="dxa"/>
          <w:bottom w:w="0" w:type="dxa"/>
          <w:right w:w="0" w:type="dxa"/>
        </w:tblCellMar>
      </w:tblPr>
      <w:tr>
        <w:trPr>
          <w:trHeight w:val="154"/>
        </w:trPr>
        <w:tc>
          <w:tcPr>
            <w:tcW w:w="7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5"/>
          </w:tcPr>
          <w:p>
            <w:pPr>
              <w:ind w:left="28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73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1"/>
              <w:spacing w:after="0" w:line="134"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57"/>
        </w:trPr>
        <w:tc>
          <w:tcPr>
            <w:tcW w:w="73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Principal derecognized from loans securitized</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$95,342</w:t>
            </w:r>
          </w:p>
        </w:tc>
        <w:tc>
          <w:tcPr>
            <w:tcW w:w="40" w:type="dxa"/>
            <w:vAlign w:val="bottom"/>
            <w:shd w:val="clear" w:color="auto" w:fill="CCEEFF"/>
          </w:tcPr>
          <w:p>
            <w:pPr>
              <w:spacing w:after="0"/>
              <w:rPr>
                <w:sz w:val="13"/>
                <w:szCs w:val="13"/>
                <w:color w:val="auto"/>
              </w:rPr>
            </w:pPr>
          </w:p>
        </w:tc>
      </w:tr>
      <w:tr>
        <w:trPr>
          <w:trHeight w:val="166"/>
        </w:trPr>
        <w:tc>
          <w:tcPr>
            <w:tcW w:w="7300" w:type="dxa"/>
            <w:vAlign w:val="bottom"/>
          </w:tcPr>
          <w:p>
            <w:pPr>
              <w:spacing w:after="0"/>
              <w:rPr>
                <w:sz w:val="20"/>
                <w:szCs w:val="20"/>
                <w:color w:val="auto"/>
              </w:rPr>
            </w:pPr>
            <w:r>
              <w:rPr>
                <w:rFonts w:ascii="Arial" w:cs="Arial" w:eastAsia="Arial" w:hAnsi="Arial"/>
                <w:sz w:val="14"/>
                <w:szCs w:val="14"/>
                <w:color w:val="auto"/>
              </w:rPr>
              <w:t>Net gains recognized from loans securitized included in earnings</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1,395</w:t>
            </w:r>
          </w:p>
        </w:tc>
      </w:tr>
      <w:tr>
        <w:trPr>
          <w:trHeight w:val="166"/>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Fair value of securitization notes and residual certificates retained in the transaction</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25,649</w:t>
            </w:r>
          </w:p>
        </w:tc>
        <w:tc>
          <w:tcPr>
            <w:tcW w:w="40" w:type="dxa"/>
            <w:vAlign w:val="bottom"/>
            <w:shd w:val="clear" w:color="auto" w:fill="CCEEFF"/>
          </w:tcPr>
          <w:p>
            <w:pPr>
              <w:spacing w:after="0"/>
              <w:rPr>
                <w:sz w:val="14"/>
                <w:szCs w:val="14"/>
                <w:color w:val="auto"/>
              </w:rPr>
            </w:pPr>
          </w:p>
        </w:tc>
      </w:tr>
      <w:tr>
        <w:trPr>
          <w:trHeight w:val="166"/>
        </w:trPr>
        <w:tc>
          <w:tcPr>
            <w:tcW w:w="7300" w:type="dxa"/>
            <w:vAlign w:val="bottom"/>
          </w:tcPr>
          <w:p>
            <w:pPr>
              <w:spacing w:after="0"/>
              <w:rPr>
                <w:sz w:val="20"/>
                <w:szCs w:val="20"/>
                <w:color w:val="auto"/>
              </w:rPr>
            </w:pPr>
            <w:r>
              <w:rPr>
                <w:rFonts w:ascii="Arial" w:cs="Arial" w:eastAsia="Arial" w:hAnsi="Arial"/>
                <w:sz w:val="14"/>
                <w:szCs w:val="14"/>
                <w:color w:val="auto"/>
              </w:rPr>
              <w:t>Cash proceeds from loans securitized</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70,845</w:t>
            </w:r>
          </w:p>
        </w:tc>
        <w:tc>
          <w:tcPr>
            <w:tcW w:w="40" w:type="dxa"/>
            <w:vAlign w:val="bottom"/>
          </w:tcPr>
          <w:p>
            <w:pPr>
              <w:spacing w:after="0"/>
              <w:rPr>
                <w:sz w:val="14"/>
                <w:szCs w:val="14"/>
                <w:color w:val="auto"/>
              </w:rPr>
            </w:pPr>
          </w:p>
        </w:tc>
      </w:tr>
      <w:tr>
        <w:trPr>
          <w:trHeight w:val="166"/>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Cash proceeds from servicing and other administrative fees on loans securitized</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6"/>
              </w:rPr>
              <w:t>3,881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2,777</w:t>
            </w:r>
          </w:p>
        </w:tc>
      </w:tr>
      <w:tr>
        <w:trPr>
          <w:trHeight w:val="172"/>
        </w:trPr>
        <w:tc>
          <w:tcPr>
            <w:tcW w:w="7300" w:type="dxa"/>
            <w:vAlign w:val="bottom"/>
          </w:tcPr>
          <w:p>
            <w:pPr>
              <w:spacing w:after="0"/>
              <w:rPr>
                <w:sz w:val="20"/>
                <w:szCs w:val="20"/>
                <w:color w:val="auto"/>
              </w:rPr>
            </w:pPr>
            <w:r>
              <w:rPr>
                <w:rFonts w:ascii="Arial" w:cs="Arial" w:eastAsia="Arial" w:hAnsi="Arial"/>
                <w:sz w:val="14"/>
                <w:szCs w:val="14"/>
                <w:color w:val="auto"/>
              </w:rPr>
              <w:t>Cash proceeds from interest received on securitization notes and residual certificates</w:t>
            </w: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w w:val="96"/>
              </w:rPr>
              <w:t>1,663</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3,112</w:t>
            </w:r>
          </w:p>
        </w:tc>
      </w:tr>
    </w:tbl>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Retained Interest in Unconsolidated VIEs</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Off-Balance Sheet Loans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182"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 xml:space="preserve">In December 2019, February 2020, and October 2020, the Company co-sponsored securitization transactions (“2019-3”, “2020-1”, and “2020-3”, respectively)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w:t>
      </w:r>
      <w:r>
        <w:rPr>
          <w:rFonts w:ascii="Arial" w:cs="Arial" w:eastAsia="Arial" w:hAnsi="Arial"/>
          <w:sz w:val="16"/>
          <w:szCs w:val="16"/>
          <w:i w:val="1"/>
          <w:iCs w:val="1"/>
          <w:color w:val="auto"/>
        </w:rPr>
        <w:t>Transferring and Servicing</w:t>
      </w:r>
      <w:r>
        <w:rPr>
          <w:rFonts w:ascii="Arial" w:cs="Arial" w:eastAsia="Arial" w:hAnsi="Arial"/>
          <w:sz w:val="16"/>
          <w:szCs w:val="16"/>
          <w:color w:val="auto"/>
        </w:rPr>
        <w:t>. The Company is also the servicer of these securitization transactions.</w:t>
      </w:r>
    </w:p>
    <w:p>
      <w:pPr>
        <w:spacing w:after="0" w:line="179"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In September 2020, the Company co-sponsored an additional securitization transaction (“2020-2”) with an investment bank. The Company did not retain economic risk in this transaction and did not contribute any loans as collateral. The Company is the servicer of this securitization.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420"/>
          </w:cols>
          <w:pgMar w:left="320" w:top="419" w:right="115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4. Fair Value Measurement</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presents assets and liabilities measured at fair value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w w:val="99"/>
              </w:rPr>
              <w:t>December 31, 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6560" w:type="dxa"/>
            <w:vAlign w:val="bottom"/>
          </w:tcPr>
          <w:p>
            <w:pPr>
              <w:spacing w:after="0"/>
              <w:rPr>
                <w:sz w:val="11"/>
                <w:szCs w:val="11"/>
                <w:color w:val="auto"/>
              </w:rPr>
            </w:pPr>
          </w:p>
        </w:tc>
        <w:tc>
          <w:tcPr>
            <w:tcW w:w="66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1"/>
                <w:szCs w:val="11"/>
                <w:color w:val="auto"/>
              </w:rPr>
            </w:pP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w w:val="95"/>
              </w:rPr>
              <w:t>Level 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r>
      <w:tr>
        <w:trPr>
          <w:trHeight w:val="146"/>
        </w:trPr>
        <w:tc>
          <w:tcPr>
            <w:tcW w:w="656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Loans</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78,460</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78,460</w:t>
            </w: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Notes receivable and residual certificates</w:t>
            </w: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19,074</w:t>
            </w:r>
          </w:p>
        </w:tc>
        <w:tc>
          <w:tcPr>
            <w:tcW w:w="40" w:type="dxa"/>
            <w:vAlign w:val="bottom"/>
            <w:shd w:val="clear" w:color="auto" w:fill="CCEEFF"/>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Loan servicing assets</w:t>
            </w:r>
          </w:p>
        </w:tc>
        <w:tc>
          <w:tcPr>
            <w:tcW w:w="24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6,831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6,831</w:t>
            </w:r>
          </w:p>
        </w:tc>
      </w:tr>
      <w:tr>
        <w:trPr>
          <w:trHeight w:val="24"/>
        </w:trPr>
        <w:tc>
          <w:tcPr>
            <w:tcW w:w="6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104,365</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104,365</w:t>
            </w:r>
          </w:p>
        </w:tc>
        <w:tc>
          <w:tcPr>
            <w:tcW w:w="40" w:type="dxa"/>
            <w:vAlign w:val="bottom"/>
            <w:shd w:val="clear" w:color="auto" w:fill="CCEEFF"/>
          </w:tcPr>
          <w:p>
            <w:pPr>
              <w:spacing w:after="0"/>
              <w:rPr>
                <w:sz w:val="14"/>
                <w:szCs w:val="14"/>
                <w:color w:val="auto"/>
              </w:rPr>
            </w:pPr>
          </w:p>
        </w:tc>
      </w:tr>
      <w:tr>
        <w:trPr>
          <w:trHeight w:val="169"/>
        </w:trPr>
        <w:tc>
          <w:tcPr>
            <w:tcW w:w="65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Loan servicing liabilities</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8,254</w:t>
            </w: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Trailing fee liabilities</w:t>
            </w:r>
          </w:p>
        </w:tc>
        <w:tc>
          <w:tcPr>
            <w:tcW w:w="24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1,276</w:t>
            </w:r>
          </w:p>
        </w:tc>
      </w:tr>
      <w:tr>
        <w:trPr>
          <w:trHeight w:val="24"/>
        </w:trPr>
        <w:tc>
          <w:tcPr>
            <w:tcW w:w="6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9,530</w:t>
            </w:r>
          </w:p>
        </w:tc>
      </w:tr>
      <w:tr>
        <w:trPr>
          <w:trHeight w:val="20"/>
        </w:trPr>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6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3"/>
                <w:szCs w:val="13"/>
                <w:b w:val="1"/>
                <w:bCs w:val="1"/>
                <w:color w:val="auto"/>
                <w:w w:val="99"/>
              </w:rPr>
              <w:t>December 31, 2019</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6560" w:type="dxa"/>
            <w:vAlign w:val="bottom"/>
          </w:tcPr>
          <w:p>
            <w:pPr>
              <w:spacing w:after="0"/>
              <w:rPr>
                <w:sz w:val="11"/>
                <w:szCs w:val="11"/>
                <w:color w:val="auto"/>
              </w:rPr>
            </w:pPr>
          </w:p>
        </w:tc>
        <w:tc>
          <w:tcPr>
            <w:tcW w:w="66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1"/>
                <w:szCs w:val="11"/>
                <w:color w:val="auto"/>
              </w:rPr>
            </w:pPr>
          </w:p>
        </w:tc>
        <w:tc>
          <w:tcPr>
            <w:tcW w:w="78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1"/>
                <w:szCs w:val="11"/>
                <w:color w:val="auto"/>
              </w:rPr>
            </w:pP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w w:val="95"/>
              </w:rPr>
              <w:t>Level 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0"/>
              <w:spacing w:after="0" w:line="134"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1"/>
                <w:szCs w:val="11"/>
                <w:color w:val="auto"/>
              </w:rPr>
            </w:pPr>
          </w:p>
        </w:tc>
      </w:tr>
      <w:tr>
        <w:trPr>
          <w:trHeight w:val="146"/>
        </w:trPr>
        <w:tc>
          <w:tcPr>
            <w:tcW w:w="656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Loans</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232,305</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232,305</w:t>
            </w: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Notes receivable and residual certificates</w:t>
            </w: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34,116</w:t>
            </w:r>
          </w:p>
        </w:tc>
        <w:tc>
          <w:tcPr>
            <w:tcW w:w="40" w:type="dxa"/>
            <w:vAlign w:val="bottom"/>
            <w:shd w:val="clear" w:color="auto" w:fill="CCEEFF"/>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Loan servicing assets</w:t>
            </w:r>
          </w:p>
        </w:tc>
        <w:tc>
          <w:tcPr>
            <w:tcW w:w="240" w:type="dxa"/>
            <w:vAlign w:val="bottom"/>
          </w:tcPr>
          <w:p>
            <w:pPr>
              <w:spacing w:after="0"/>
              <w:rPr>
                <w:sz w:val="14"/>
                <w:szCs w:val="14"/>
                <w:color w:val="auto"/>
              </w:rPr>
            </w:pP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4,725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4,725</w:t>
            </w:r>
          </w:p>
        </w:tc>
      </w:tr>
      <w:tr>
        <w:trPr>
          <w:trHeight w:val="24"/>
        </w:trPr>
        <w:tc>
          <w:tcPr>
            <w:tcW w:w="6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271,146</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271,146</w:t>
            </w:r>
          </w:p>
        </w:tc>
        <w:tc>
          <w:tcPr>
            <w:tcW w:w="40" w:type="dxa"/>
            <w:vAlign w:val="bottom"/>
            <w:shd w:val="clear" w:color="auto" w:fill="CCEEFF"/>
          </w:tcPr>
          <w:p>
            <w:pPr>
              <w:spacing w:after="0"/>
              <w:rPr>
                <w:sz w:val="14"/>
                <w:szCs w:val="14"/>
                <w:color w:val="auto"/>
              </w:rPr>
            </w:pPr>
          </w:p>
        </w:tc>
      </w:tr>
      <w:tr>
        <w:trPr>
          <w:trHeight w:val="169"/>
        </w:trPr>
        <w:tc>
          <w:tcPr>
            <w:tcW w:w="656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Trailing fee liabilities</w:t>
            </w:r>
          </w:p>
        </w:tc>
        <w:tc>
          <w:tcPr>
            <w:tcW w:w="240" w:type="dxa"/>
            <w:vAlign w:val="bottom"/>
            <w:shd w:val="clear" w:color="auto" w:fill="CCEEFF"/>
          </w:tcPr>
          <w:p>
            <w:pPr>
              <w:jc w:val="right"/>
              <w:ind w:right="127"/>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40" w:type="dxa"/>
            <w:vAlign w:val="bottom"/>
            <w:shd w:val="clear" w:color="auto" w:fill="CCEEFF"/>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Loan servicing liabilities</w:t>
            </w:r>
          </w:p>
        </w:tc>
        <w:tc>
          <w:tcPr>
            <w:tcW w:w="24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5,140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5,140</w:t>
            </w: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Payable to securitization notes and residual certificate holders</w:t>
            </w: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89,672</w:t>
            </w:r>
          </w:p>
        </w:tc>
        <w:tc>
          <w:tcPr>
            <w:tcW w:w="40" w:type="dxa"/>
            <w:vAlign w:val="bottom"/>
            <w:shd w:val="clear" w:color="auto" w:fill="CCEEFF"/>
          </w:tcPr>
          <w:p>
            <w:pPr>
              <w:spacing w:after="0"/>
              <w:rPr>
                <w:sz w:val="14"/>
                <w:szCs w:val="14"/>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Convertible preferred stock warrant liabilities</w:t>
            </w:r>
          </w:p>
        </w:tc>
        <w:tc>
          <w:tcPr>
            <w:tcW w:w="24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5,666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5,666</w:t>
            </w: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Common stock warrant liabilities</w:t>
            </w: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1,136</w:t>
            </w: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6560" w:type="dxa"/>
            <w:vAlign w:val="bottom"/>
          </w:tcPr>
          <w:p>
            <w:pPr>
              <w:spacing w:after="0"/>
              <w:rPr>
                <w:sz w:val="20"/>
                <w:szCs w:val="20"/>
                <w:color w:val="auto"/>
              </w:rPr>
            </w:pPr>
            <w:r>
              <w:rPr>
                <w:rFonts w:ascii="Arial" w:cs="Arial" w:eastAsia="Arial" w:hAnsi="Arial"/>
                <w:sz w:val="14"/>
                <w:szCs w:val="14"/>
                <w:color w:val="auto"/>
              </w:rPr>
              <w:t>Total liabilities</w:t>
            </w:r>
          </w:p>
        </w:tc>
        <w:tc>
          <w:tcPr>
            <w:tcW w:w="240" w:type="dxa"/>
            <w:vAlign w:val="bottom"/>
          </w:tcPr>
          <w:p>
            <w:pPr>
              <w:jc w:val="right"/>
              <w:ind w:right="127"/>
              <w:spacing w:after="0"/>
              <w:rPr>
                <w:sz w:val="20"/>
                <w:szCs w:val="20"/>
                <w:color w:val="auto"/>
              </w:rPr>
            </w:pPr>
            <w:r>
              <w:rPr>
                <w:rFonts w:ascii="Arial" w:cs="Arial" w:eastAsia="Arial" w:hAnsi="Arial"/>
                <w:sz w:val="10"/>
                <w:szCs w:val="10"/>
                <w:color w:val="auto"/>
                <w:w w:val="71"/>
              </w:rPr>
              <w:t>$</w:t>
            </w:r>
          </w:p>
        </w:tc>
        <w:tc>
          <w:tcPr>
            <w:tcW w:w="300" w:type="dxa"/>
            <w:vAlign w:val="bottom"/>
          </w:tcPr>
          <w:p>
            <w:pPr>
              <w:ind w:left="1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102,118</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102,118</w:t>
            </w:r>
          </w:p>
        </w:tc>
        <w:tc>
          <w:tcPr>
            <w:tcW w:w="40" w:type="dxa"/>
            <w:vAlign w:val="bottom"/>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Financial instruments are categorized in the fair value hierarchy based on the significance of unobservable factors in the overall fair value measurement. Since the Company’s loans, notes receivable and residual certificates, other assets, loan servicing assets and liabilities, payable to securitization note holders and residual certificate holders, trailing fee liabilities, convertible preferred stock warrants, and common stock warrants, do not trade in an active market with readily observable prices, the Company uses significant unobservable inputs to measure the fair value of these assets and liabilities.</w:t>
      </w:r>
    </w:p>
    <w:p>
      <w:pPr>
        <w:spacing w:after="0" w:line="179" w:lineRule="exact"/>
        <w:rPr>
          <w:sz w:val="20"/>
          <w:szCs w:val="20"/>
          <w:color w:val="auto"/>
        </w:rPr>
      </w:pPr>
    </w:p>
    <w:p>
      <w:pPr>
        <w:ind w:left="800" w:right="80" w:firstLine="482"/>
        <w:spacing w:after="0" w:line="234" w:lineRule="auto"/>
        <w:rPr>
          <w:sz w:val="20"/>
          <w:szCs w:val="20"/>
          <w:color w:val="auto"/>
        </w:rPr>
      </w:pPr>
      <w:r>
        <w:rPr>
          <w:rFonts w:ascii="Arial" w:cs="Arial" w:eastAsia="Arial" w:hAnsi="Arial"/>
          <w:sz w:val="16"/>
          <w:szCs w:val="16"/>
          <w:color w:val="auto"/>
        </w:rPr>
        <w:t>The Company has elected the fair value option for loans, notes receivable and residual certificates, and payable to securitization note holders and residual certificate holders. The election allows for assets and related liabilities to be measured similarly. Changes in the fair value of the loans are partially offset by corresponding changes in the fair value of payable to securitization note holders and residual certificate holders. The net fair value adjustments are presented as interest income and fair value adjustments, net in the consolidated statements of operations and comprehensive income (loss).</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440"/>
          </w:cols>
          <w:pgMar w:left="320" w:top="419" w:right="113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There were no transfers between Level 1, Level 2 or Level 3 of the fair value hierarchy during the periods presented.</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Loans</w:t>
      </w:r>
    </w:p>
    <w:p>
      <w:pPr>
        <w:spacing w:after="0" w:line="106"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As of December 31, 2020, loans included in the Company’s consolidated balance sheets are classified as either held-for-sale or held-for-investment. The Company reclassified such loans held by the warehouse entities from held-for-investment to held-for-sale as of January 1, 2020, due to the Company’s intent to sell the loans prior to maturity and increasing evidence of their marketability. Other loans held on the Company’s consolidated balance sheets retained their classification as held-for-investment. These loans include loans which do not satisfy the warehouse requirements and loans held in the consolidated securitizations.</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presents the fair value of classes of loans held by the Company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200" w:type="dxa"/>
            <w:vAlign w:val="bottom"/>
          </w:tcPr>
          <w:p>
            <w:pPr>
              <w:spacing w:after="0"/>
              <w:rPr>
                <w:sz w:val="13"/>
                <w:szCs w:val="13"/>
                <w:color w:val="auto"/>
              </w:rPr>
            </w:pPr>
          </w:p>
        </w:tc>
        <w:tc>
          <w:tcPr>
            <w:tcW w:w="1440" w:type="dxa"/>
            <w:vAlign w:val="bottom"/>
            <w:gridSpan w:val="6"/>
          </w:tcPr>
          <w:p>
            <w:pPr>
              <w:ind w:left="28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820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2"/>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1"/>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57"/>
        </w:trPr>
        <w:tc>
          <w:tcPr>
            <w:tcW w:w="82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Loans held-for-sale</w:t>
            </w:r>
          </w:p>
        </w:tc>
        <w:tc>
          <w:tcPr>
            <w:tcW w:w="5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1"/>
              </w:rPr>
              <w:t>$ 60,232</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w:t>
            </w:r>
          </w:p>
        </w:tc>
      </w:tr>
      <w:tr>
        <w:trPr>
          <w:trHeight w:val="166"/>
        </w:trPr>
        <w:tc>
          <w:tcPr>
            <w:tcW w:w="8200" w:type="dxa"/>
            <w:vAlign w:val="bottom"/>
          </w:tcPr>
          <w:p>
            <w:pPr>
              <w:spacing w:after="0"/>
              <w:rPr>
                <w:sz w:val="20"/>
                <w:szCs w:val="20"/>
                <w:color w:val="auto"/>
              </w:rPr>
            </w:pPr>
            <w:r>
              <w:rPr>
                <w:rFonts w:ascii="Arial" w:cs="Arial" w:eastAsia="Arial" w:hAnsi="Arial"/>
                <w:sz w:val="14"/>
                <w:szCs w:val="14"/>
                <w:color w:val="auto"/>
              </w:rPr>
              <w:t>Loans held-for-investment</w:t>
            </w:r>
          </w:p>
        </w:tc>
        <w:tc>
          <w:tcPr>
            <w:tcW w:w="520" w:type="dxa"/>
            <w:vAlign w:val="bottom"/>
          </w:tcPr>
          <w:p>
            <w:pPr>
              <w:jc w:val="right"/>
              <w:spacing w:after="0"/>
              <w:rPr>
                <w:sz w:val="20"/>
                <w:szCs w:val="20"/>
                <w:color w:val="auto"/>
              </w:rPr>
            </w:pPr>
            <w:r>
              <w:rPr>
                <w:rFonts w:ascii="Arial" w:cs="Arial" w:eastAsia="Arial" w:hAnsi="Arial"/>
                <w:sz w:val="14"/>
                <w:szCs w:val="14"/>
                <w:color w:val="auto"/>
              </w:rPr>
              <w:t>18,228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141,555</w:t>
            </w:r>
          </w:p>
        </w:tc>
        <w:tc>
          <w:tcPr>
            <w:tcW w:w="40" w:type="dxa"/>
            <w:vAlign w:val="bottom"/>
          </w:tcPr>
          <w:p>
            <w:pPr>
              <w:spacing w:after="0"/>
              <w:rPr>
                <w:sz w:val="14"/>
                <w:szCs w:val="14"/>
                <w:color w:val="auto"/>
              </w:rPr>
            </w:pPr>
          </w:p>
        </w:tc>
      </w:tr>
      <w:tr>
        <w:trPr>
          <w:trHeight w:val="166"/>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Loans held-for-investment in consolidated securitizations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90,750</w:t>
            </w:r>
          </w:p>
        </w:tc>
        <w:tc>
          <w:tcPr>
            <w:tcW w:w="40" w:type="dxa"/>
            <w:vAlign w:val="bottom"/>
            <w:shd w:val="clear" w:color="auto" w:fill="CCEEFF"/>
          </w:tcPr>
          <w:p>
            <w:pPr>
              <w:spacing w:after="0"/>
              <w:rPr>
                <w:sz w:val="14"/>
                <w:szCs w:val="14"/>
                <w:color w:val="auto"/>
              </w:rPr>
            </w:pPr>
          </w:p>
        </w:tc>
      </w:tr>
      <w:tr>
        <w:trPr>
          <w:trHeight w:val="169"/>
        </w:trPr>
        <w:tc>
          <w:tcPr>
            <w:tcW w:w="8200" w:type="dxa"/>
            <w:vAlign w:val="bottom"/>
          </w:tcPr>
          <w:p>
            <w:pPr>
              <w:ind w:left="280"/>
              <w:spacing w:after="0"/>
              <w:rPr>
                <w:sz w:val="20"/>
                <w:szCs w:val="20"/>
                <w:color w:val="auto"/>
              </w:rPr>
            </w:pPr>
            <w:r>
              <w:rPr>
                <w:rFonts w:ascii="Arial" w:cs="Arial" w:eastAsia="Arial" w:hAnsi="Arial"/>
                <w:sz w:val="14"/>
                <w:szCs w:val="14"/>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xml:space="preserve"> 78,460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232,305</w:t>
            </w:r>
          </w:p>
        </w:tc>
        <w:tc>
          <w:tcPr>
            <w:tcW w:w="40" w:type="dxa"/>
            <w:vAlign w:val="bottom"/>
          </w:tcPr>
          <w:p>
            <w:pPr>
              <w:spacing w:after="0"/>
              <w:rPr>
                <w:sz w:val="14"/>
                <w:szCs w:val="14"/>
                <w:color w:val="auto"/>
              </w:rPr>
            </w:pPr>
          </w:p>
        </w:tc>
      </w:tr>
      <w:tr>
        <w:trPr>
          <w:trHeight w:val="20"/>
        </w:trPr>
        <w:tc>
          <w:tcPr>
            <w:tcW w:w="8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Valuation Methodology</w:t>
      </w:r>
    </w:p>
    <w:p>
      <w:pPr>
        <w:spacing w:after="0" w:line="104" w:lineRule="exact"/>
        <w:rPr>
          <w:sz w:val="20"/>
          <w:szCs w:val="20"/>
          <w:color w:val="auto"/>
        </w:rPr>
      </w:pPr>
    </w:p>
    <w:p>
      <w:pPr>
        <w:jc w:val="both"/>
        <w:ind w:left="800" w:right="60" w:firstLine="482"/>
        <w:spacing w:after="0" w:line="235" w:lineRule="auto"/>
        <w:rPr>
          <w:sz w:val="20"/>
          <w:szCs w:val="20"/>
          <w:color w:val="auto"/>
        </w:rPr>
      </w:pPr>
      <w:r>
        <w:rPr>
          <w:rFonts w:ascii="Arial" w:cs="Arial" w:eastAsia="Arial" w:hAnsi="Arial"/>
          <w:sz w:val="16"/>
          <w:szCs w:val="16"/>
          <w:color w:val="auto"/>
        </w:rPr>
        <w:t>Loans held-for-sale and held-for-investment, excluding those in consolidated securitizations,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2020, and 2019.</w:t>
      </w:r>
    </w:p>
    <w:p>
      <w:pPr>
        <w:spacing w:after="0" w:line="178" w:lineRule="exact"/>
        <w:rPr>
          <w:sz w:val="20"/>
          <w:szCs w:val="20"/>
          <w:color w:val="auto"/>
        </w:rPr>
      </w:pPr>
    </w:p>
    <w:p>
      <w:pPr>
        <w:ind w:left="800" w:right="20" w:firstLine="482"/>
        <w:spacing w:after="0" w:line="232" w:lineRule="auto"/>
        <w:rPr>
          <w:sz w:val="20"/>
          <w:szCs w:val="20"/>
          <w:color w:val="auto"/>
        </w:rPr>
      </w:pPr>
      <w:r>
        <w:rPr>
          <w:rFonts w:ascii="Arial" w:cs="Arial" w:eastAsia="Arial" w:hAnsi="Arial"/>
          <w:sz w:val="16"/>
          <w:szCs w:val="16"/>
          <w:color w:val="auto"/>
        </w:rPr>
        <w:t xml:space="preserve">For the years ended December 31, 2020 and 2019, the Company elected the measurement alternative under Topic 810, </w:t>
      </w:r>
      <w:r>
        <w:rPr>
          <w:rFonts w:ascii="Arial" w:cs="Arial" w:eastAsia="Arial" w:hAnsi="Arial"/>
          <w:sz w:val="16"/>
          <w:szCs w:val="16"/>
          <w:i w:val="1"/>
          <w:iCs w:val="1"/>
          <w:color w:val="auto"/>
        </w:rPr>
        <w:t xml:space="preserve">Consolidation, </w:t>
      </w:r>
      <w:r>
        <w:rPr>
          <w:rFonts w:ascii="Arial" w:cs="Arial" w:eastAsia="Arial" w:hAnsi="Arial"/>
          <w:sz w:val="16"/>
          <w:szCs w:val="16"/>
          <w:color w:val="auto"/>
        </w:rPr>
        <w:t>and maximizes the use of observable inputs to estimate the fair value of the financial assets and liabilities of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entities. Under the measurement alternative, the Company measures the financial assets, which consist of held-for-investment and held-for-sale loans in the consolidated balance sheets, and financial liabilities, which consist of securitization notes and residual certificates issued to institutional investors, included in payable to securitization note holders and residual certificate holders in the consolidated balance sheets, using the more observable of the fair value of the financial assets and liabilities. The Company determined the fair value of the amounts payable to securitization note holders and residual certificate holders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consolidated statements of operations and comprehensive income (loss).</w:t>
      </w:r>
    </w:p>
    <w:p>
      <w:pPr>
        <w:spacing w:after="0" w:line="12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440"/>
          </w:cols>
          <w:pgMar w:left="320" w:top="419" w:right="113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Inputs and Assumptions</w:t>
      </w:r>
    </w:p>
    <w:p>
      <w:pPr>
        <w:spacing w:after="0" w:line="104" w:lineRule="exact"/>
        <w:rPr>
          <w:sz w:val="20"/>
          <w:szCs w:val="20"/>
          <w:color w:val="auto"/>
        </w:rPr>
      </w:pPr>
    </w:p>
    <w:p>
      <w:pPr>
        <w:jc w:val="both"/>
        <w:ind w:left="800" w:right="100" w:firstLine="482"/>
        <w:spacing w:after="0" w:line="269"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loans held-for-investment and held-for-sale, excluding loans held- for-investment in consolidated securitizations:</w:t>
      </w:r>
    </w:p>
    <w:p>
      <w:pPr>
        <w:spacing w:after="0" w:line="1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5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9"/>
              </w:rPr>
              <w:t>December 31, 2020</w:t>
            </w:r>
          </w:p>
        </w:tc>
        <w:tc>
          <w:tcPr>
            <w:tcW w:w="6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Weighted-</w:t>
            </w: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w w:val="94"/>
              </w:rPr>
              <w:t>Minimum</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w w:val="93"/>
              </w:rPr>
              <w:t>Maximum</w:t>
            </w:r>
          </w:p>
        </w:tc>
        <w:tc>
          <w:tcPr>
            <w:tcW w:w="44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(2)</w:t>
            </w:r>
          </w:p>
        </w:tc>
        <w:tc>
          <w:tcPr>
            <w:tcW w:w="4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w w:val="94"/>
              </w:rPr>
              <w:t>Minimum</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Maximum</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6.80%</w:t>
            </w:r>
          </w:p>
        </w:tc>
        <w:tc>
          <w:tcPr>
            <w:tcW w:w="1300" w:type="dxa"/>
            <w:vAlign w:val="bottom"/>
            <w:gridSpan w:val="3"/>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16.99%</w:t>
            </w:r>
          </w:p>
        </w:tc>
        <w:tc>
          <w:tcPr>
            <w:tcW w:w="112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7.44%</w:t>
            </w: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4.72%</w:t>
            </w:r>
          </w:p>
        </w:tc>
        <w:tc>
          <w:tcPr>
            <w:tcW w:w="1320" w:type="dxa"/>
            <w:vAlign w:val="bottom"/>
            <w:gridSpan w:val="3"/>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14.57%</w:t>
            </w:r>
          </w:p>
        </w:tc>
        <w:tc>
          <w:tcPr>
            <w:tcW w:w="8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66"/>
        </w:trPr>
        <w:tc>
          <w:tcPr>
            <w:tcW w:w="3580" w:type="dxa"/>
            <w:vAlign w:val="bottom"/>
          </w:tcPr>
          <w:p>
            <w:pPr>
              <w:spacing w:after="0" w:line="165" w:lineRule="exact"/>
              <w:rPr>
                <w:sz w:val="20"/>
                <w:szCs w:val="20"/>
                <w:color w:val="auto"/>
              </w:rPr>
            </w:pPr>
            <w:r>
              <w:rPr>
                <w:rFonts w:ascii="Arial" w:cs="Arial" w:eastAsia="Arial" w:hAnsi="Arial"/>
                <w:sz w:val="12"/>
                <w:szCs w:val="12"/>
                <w:color w:val="auto"/>
              </w:rPr>
              <w:t>Credit risk rate</w:t>
            </w:r>
            <w:r>
              <w:rPr>
                <w:rFonts w:ascii="Arial" w:cs="Arial" w:eastAsia="Arial" w:hAnsi="Arial"/>
                <w:sz w:val="19"/>
                <w:szCs w:val="19"/>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0.36%</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color w:val="auto"/>
              </w:rPr>
              <w:t>52.31%</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19.82%</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0.31%</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52.29%</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66"/>
        </w:trPr>
        <w:tc>
          <w:tcPr>
            <w:tcW w:w="358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Prepayment rate</w:t>
            </w:r>
            <w:r>
              <w:rPr>
                <w:rFonts w:ascii="Arial" w:cs="Arial" w:eastAsia="Arial" w:hAnsi="Arial"/>
                <w:sz w:val="19"/>
                <w:szCs w:val="19"/>
                <w:color w:val="auto"/>
                <w:vertAlign w:val="superscript"/>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11.64%</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78.36%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31.03%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11.34%</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64.00%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74930</wp:posOffset>
            </wp:positionV>
            <wp:extent cx="67564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45" w:lineRule="exact"/>
        <w:rPr>
          <w:sz w:val="20"/>
          <w:szCs w:val="20"/>
          <w:color w:val="auto"/>
        </w:rPr>
      </w:pPr>
    </w:p>
    <w:p>
      <w:pPr>
        <w:ind w:left="1280" w:hanging="481"/>
        <w:spacing w:after="0"/>
        <w:tabs>
          <w:tab w:leader="none" w:pos="1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Expressed as a percentage of the original principal balance of the loans</w:t>
      </w:r>
    </w:p>
    <w:p>
      <w:pPr>
        <w:spacing w:after="0" w:line="99" w:lineRule="exact"/>
        <w:rPr>
          <w:rFonts w:ascii="Arial" w:cs="Arial" w:eastAsia="Arial" w:hAnsi="Arial"/>
          <w:sz w:val="16"/>
          <w:szCs w:val="16"/>
          <w:color w:val="auto"/>
        </w:rPr>
      </w:pPr>
    </w:p>
    <w:p>
      <w:pPr>
        <w:ind w:left="1280" w:hanging="481"/>
        <w:spacing w:after="0"/>
        <w:tabs>
          <w:tab w:leader="none" w:pos="12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Unobservable inputs were weighted by relative fair value</w:t>
      </w:r>
    </w:p>
    <w:p>
      <w:pPr>
        <w:spacing w:after="0" w:line="167" w:lineRule="exact"/>
        <w:rPr>
          <w:sz w:val="20"/>
          <w:szCs w:val="20"/>
          <w:color w:val="auto"/>
        </w:rPr>
      </w:pPr>
    </w:p>
    <w:p>
      <w:pPr>
        <w:ind w:left="800" w:right="180" w:firstLine="482"/>
        <w:spacing w:after="0" w:line="238"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rates of return used to discount future expected cash flows to arrive at a present value,</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64" w:lineRule="exact"/>
        <w:rPr>
          <w:sz w:val="20"/>
          <w:szCs w:val="20"/>
          <w:color w:val="auto"/>
        </w:rPr>
      </w:pPr>
    </w:p>
    <w:p>
      <w:pPr>
        <w:ind w:left="800" w:right="100" w:firstLine="482"/>
        <w:spacing w:after="0"/>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63" w:lineRule="exact"/>
        <w:rPr>
          <w:sz w:val="20"/>
          <w:szCs w:val="20"/>
          <w:color w:val="auto"/>
        </w:rPr>
      </w:pPr>
    </w:p>
    <w:p>
      <w:pPr>
        <w:ind w:left="800" w:right="100" w:firstLine="482"/>
        <w:spacing w:after="0" w:line="244" w:lineRule="auto"/>
        <w:rPr>
          <w:sz w:val="20"/>
          <w:szCs w:val="20"/>
          <w:color w:val="auto"/>
        </w:rPr>
      </w:pPr>
      <w:r>
        <w:rPr>
          <w:rFonts w:ascii="Arial" w:cs="Arial" w:eastAsia="Arial" w:hAnsi="Arial"/>
          <w:sz w:val="16"/>
          <w:szCs w:val="16"/>
          <w:i w:val="1"/>
          <w:iCs w:val="1"/>
          <w:color w:val="auto"/>
        </w:rPr>
        <w:t>Prepayment rates</w:t>
      </w:r>
      <w:r>
        <w:rPr>
          <w:rFonts w:ascii="Arial" w:cs="Arial" w:eastAsia="Arial" w:hAnsi="Arial"/>
          <w:sz w:val="16"/>
          <w:szCs w:val="16"/>
          <w:color w:val="auto"/>
        </w:rPr>
        <w:t>—Prepayment rates are an estimate of the cumulative principal prepayments that will occur over the entire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 loan as a percentage of the original principal amount of the loan. The assumption regarding cumulative prepayments impact the projected balances and expected terms of the loans.</w:t>
      </w:r>
    </w:p>
    <w:p>
      <w:pPr>
        <w:spacing w:after="0" w:line="160" w:lineRule="exact"/>
        <w:rPr>
          <w:sz w:val="20"/>
          <w:szCs w:val="20"/>
          <w:color w:val="auto"/>
        </w:rPr>
      </w:pPr>
    </w:p>
    <w:p>
      <w:pPr>
        <w:ind w:left="800" w:right="460" w:firstLine="482"/>
        <w:spacing w:after="0" w:line="258" w:lineRule="auto"/>
        <w:rPr>
          <w:sz w:val="20"/>
          <w:szCs w:val="20"/>
          <w:color w:val="auto"/>
        </w:rPr>
      </w:pPr>
      <w:r>
        <w:rPr>
          <w:rFonts w:ascii="Arial" w:cs="Arial" w:eastAsia="Arial" w:hAnsi="Arial"/>
          <w:sz w:val="16"/>
          <w:szCs w:val="16"/>
          <w:color w:val="auto"/>
        </w:rPr>
        <w:t xml:space="preserve">The above inputs are similarly used in estimating fair value of related financial instruments. Refer to the </w:t>
      </w:r>
      <w:r>
        <w:rPr>
          <w:rFonts w:ascii="Arial" w:cs="Arial" w:eastAsia="Arial" w:hAnsi="Arial"/>
          <w:sz w:val="16"/>
          <w:szCs w:val="16"/>
          <w:i w:val="1"/>
          <w:iCs w:val="1"/>
          <w:color w:val="auto"/>
        </w:rPr>
        <w:t>Assets and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to Securitization Transactions </w:t>
      </w:r>
      <w:r>
        <w:rPr>
          <w:rFonts w:ascii="Arial" w:cs="Arial" w:eastAsia="Arial" w:hAnsi="Arial"/>
          <w:sz w:val="16"/>
          <w:szCs w:val="16"/>
          <w:color w:val="auto"/>
        </w:rPr>
        <w:t>section below for more information.</w:t>
      </w:r>
    </w:p>
    <w:p>
      <w:pPr>
        <w:spacing w:after="0" w:line="243"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Recurring Level 3 Fair Value Input Sensitivity</w:t>
      </w:r>
    </w:p>
    <w:p>
      <w:pPr>
        <w:spacing w:after="0" w:line="104"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The below table presents the sensitivity of the loans held-for-sale and held-for-investment, excluding those in consolidated securitizations, to adverse changes in key assumptions used in the valuation model as of December 31, 2020, and 2019, respectively. The estimated fair value of these loans is not sensitive to adverse changes in expected prepayment rates as such changes would not result in a significant impact on the fair value in either periods.</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520" w:type="dxa"/>
            <w:vAlign w:val="bottom"/>
            <w:vMerge w:val="restart"/>
          </w:tcPr>
          <w:p>
            <w:pPr>
              <w:spacing w:after="0"/>
              <w:rPr>
                <w:sz w:val="20"/>
                <w:szCs w:val="20"/>
                <w:color w:val="auto"/>
              </w:rPr>
            </w:pPr>
            <w:r>
              <w:rPr>
                <w:rFonts w:ascii="Arial" w:cs="Arial" w:eastAsia="Arial" w:hAnsi="Arial"/>
                <w:sz w:val="13"/>
                <w:szCs w:val="13"/>
                <w:i w:val="1"/>
                <w:iCs w:val="1"/>
                <w:color w:val="auto"/>
              </w:rPr>
              <w:t>(amounts in thousands)</w:t>
            </w:r>
          </w:p>
        </w:tc>
        <w:tc>
          <w:tcPr>
            <w:tcW w:w="2620" w:type="dxa"/>
            <w:vAlign w:val="bottom"/>
          </w:tcPr>
          <w:p>
            <w:pPr>
              <w:spacing w:after="0"/>
              <w:rPr>
                <w:sz w:val="13"/>
                <w:szCs w:val="13"/>
                <w:color w:val="auto"/>
              </w:rPr>
            </w:pPr>
          </w:p>
        </w:tc>
        <w:tc>
          <w:tcPr>
            <w:tcW w:w="1500" w:type="dxa"/>
            <w:vAlign w:val="bottom"/>
            <w:gridSpan w:val="5"/>
          </w:tcPr>
          <w:p>
            <w:pPr>
              <w:jc w:val="right"/>
              <w:ind w:right="3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5520" w:type="dxa"/>
            <w:vAlign w:val="bottom"/>
            <w:tcBorders>
              <w:bottom w:val="single" w:sz="8" w:color="CCEEFF"/>
            </w:tcBorders>
            <w:vMerge w:val="continue"/>
          </w:tcPr>
          <w:p>
            <w:pPr>
              <w:spacing w:after="0"/>
              <w:rPr>
                <w:sz w:val="11"/>
                <w:szCs w:val="11"/>
                <w:color w:val="auto"/>
              </w:rPr>
            </w:pPr>
          </w:p>
        </w:tc>
        <w:tc>
          <w:tcPr>
            <w:tcW w:w="262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7"/>
              <w:spacing w:after="0" w:line="134" w:lineRule="exact"/>
              <w:rPr>
                <w:sz w:val="20"/>
                <w:szCs w:val="20"/>
                <w:color w:val="auto"/>
              </w:rPr>
            </w:pPr>
            <w:r>
              <w:rPr>
                <w:rFonts w:ascii="Arial" w:cs="Arial" w:eastAsia="Arial" w:hAnsi="Arial"/>
                <w:sz w:val="13"/>
                <w:szCs w:val="13"/>
                <w:b w:val="1"/>
                <w:bCs w:val="1"/>
                <w:color w:val="auto"/>
              </w:rPr>
              <w:t>2020</w:t>
            </w:r>
          </w:p>
        </w:tc>
        <w:tc>
          <w:tcPr>
            <w:tcW w:w="1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5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of loans</w:t>
            </w:r>
          </w:p>
        </w:tc>
        <w:tc>
          <w:tcPr>
            <w:tcW w:w="3320" w:type="dxa"/>
            <w:vAlign w:val="bottom"/>
            <w:gridSpan w:val="3"/>
            <w:shd w:val="clear" w:color="auto" w:fill="CCEEFF"/>
          </w:tcPr>
          <w:p>
            <w:pPr>
              <w:jc w:val="right"/>
              <w:ind w:right="180"/>
              <w:spacing w:after="0" w:line="15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78,460</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141,555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20"/>
                <w:szCs w:val="20"/>
                <w:color w:val="auto"/>
              </w:rPr>
            </w:pPr>
            <w:r>
              <w:rPr>
                <w:rFonts w:ascii="Arial" w:cs="Arial" w:eastAsia="Arial" w:hAnsi="Arial"/>
                <w:sz w:val="14"/>
                <w:szCs w:val="14"/>
                <w:color w:val="auto"/>
              </w:rPr>
              <w:t>Discount rates</w:t>
            </w:r>
          </w:p>
        </w:tc>
        <w:tc>
          <w:tcPr>
            <w:tcW w:w="26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80"/>
              <w:spacing w:after="0"/>
              <w:rPr>
                <w:sz w:val="20"/>
                <w:szCs w:val="20"/>
                <w:color w:val="auto"/>
              </w:rPr>
            </w:pPr>
            <w:r>
              <w:rPr>
                <w:rFonts w:ascii="Arial" w:cs="Arial" w:eastAsia="Arial" w:hAnsi="Arial"/>
                <w:sz w:val="14"/>
                <w:szCs w:val="14"/>
                <w:color w:val="auto"/>
              </w:rPr>
              <w:t>100 basis point increase</w:t>
            </w:r>
          </w:p>
        </w:tc>
        <w:tc>
          <w:tcPr>
            <w:tcW w:w="3320" w:type="dxa"/>
            <w:vAlign w:val="bottom"/>
            <w:gridSpan w:val="3"/>
          </w:tcPr>
          <w:p>
            <w:pPr>
              <w:jc w:val="right"/>
              <w:ind w:right="120"/>
              <w:spacing w:after="0"/>
              <w:rPr>
                <w:sz w:val="20"/>
                <w:szCs w:val="20"/>
                <w:color w:val="auto"/>
              </w:rPr>
            </w:pPr>
            <w:r>
              <w:rPr>
                <w:rFonts w:ascii="Arial" w:cs="Arial" w:eastAsia="Arial" w:hAnsi="Arial"/>
                <w:sz w:val="14"/>
                <w:szCs w:val="14"/>
                <w:color w:val="auto"/>
              </w:rPr>
              <w:t>(979)</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(1,898)</w:t>
            </w: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200 basis point increase</w:t>
            </w:r>
          </w:p>
        </w:tc>
        <w:tc>
          <w:tcPr>
            <w:tcW w:w="3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(1,939)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67"/>
        </w:trPr>
        <w:tc>
          <w:tcPr>
            <w:tcW w:w="5520" w:type="dxa"/>
            <w:vAlign w:val="bottom"/>
          </w:tcPr>
          <w:p>
            <w:pPr>
              <w:spacing w:after="0"/>
              <w:rPr>
                <w:sz w:val="20"/>
                <w:szCs w:val="20"/>
                <w:color w:val="auto"/>
              </w:rPr>
            </w:pPr>
            <w:r>
              <w:rPr>
                <w:rFonts w:ascii="Arial" w:cs="Arial" w:eastAsia="Arial" w:hAnsi="Arial"/>
                <w:sz w:val="14"/>
                <w:szCs w:val="14"/>
                <w:color w:val="auto"/>
              </w:rPr>
              <w:t>Expected credit loss rates on underlying loans</w:t>
            </w: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80"/>
              <w:spacing w:after="0"/>
              <w:rPr>
                <w:sz w:val="20"/>
                <w:szCs w:val="20"/>
                <w:color w:val="auto"/>
              </w:rPr>
            </w:pPr>
            <w:r>
              <w:rPr>
                <w:rFonts w:ascii="Arial" w:cs="Arial" w:eastAsia="Arial" w:hAnsi="Arial"/>
                <w:sz w:val="14"/>
                <w:szCs w:val="14"/>
                <w:color w:val="auto"/>
              </w:rPr>
              <w:t>10% adverse change</w:t>
            </w:r>
          </w:p>
        </w:tc>
        <w:tc>
          <w:tcPr>
            <w:tcW w:w="3320" w:type="dxa"/>
            <w:vAlign w:val="bottom"/>
            <w:gridSpan w:val="3"/>
          </w:tcPr>
          <w:p>
            <w:pPr>
              <w:jc w:val="right"/>
              <w:ind w:right="120"/>
              <w:spacing w:after="0"/>
              <w:rPr>
                <w:sz w:val="20"/>
                <w:szCs w:val="20"/>
                <w:color w:val="auto"/>
              </w:rPr>
            </w:pPr>
            <w:r>
              <w:rPr>
                <w:rFonts w:ascii="Arial" w:cs="Arial" w:eastAsia="Arial" w:hAnsi="Arial"/>
                <w:sz w:val="14"/>
                <w:szCs w:val="14"/>
                <w:color w:val="auto"/>
              </w:rPr>
              <w:t>(1,303)</w:t>
            </w: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rPr>
              <w:t>(2,325)</w:t>
            </w:r>
          </w:p>
        </w:tc>
        <w:tc>
          <w:tcPr>
            <w:tcW w:w="0" w:type="dxa"/>
            <w:vAlign w:val="bottom"/>
          </w:tcPr>
          <w:p>
            <w:pPr>
              <w:spacing w:after="0"/>
              <w:rPr>
                <w:sz w:val="1"/>
                <w:szCs w:val="1"/>
                <w:color w:val="auto"/>
              </w:rPr>
            </w:pPr>
          </w:p>
        </w:tc>
      </w:tr>
      <w:tr>
        <w:trPr>
          <w:trHeight w:val="16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 adverse change</w:t>
            </w:r>
          </w:p>
        </w:tc>
        <w:tc>
          <w:tcPr>
            <w:tcW w:w="3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(2,611)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(4,656)</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440"/>
          </w:cols>
          <w:pgMar w:left="320" w:top="419" w:right="1139" w:bottom="1440" w:gutter="0" w:footer="0" w:header="0"/>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tables include a rollforward of the loans classified within Level 3 of the fair value hierarchy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9"/>
              </w:rPr>
              <w:t>Loans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Loans Held-for-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520"/>
              <w:spacing w:after="0" w:line="142" w:lineRule="exact"/>
              <w:rPr>
                <w:sz w:val="20"/>
                <w:szCs w:val="20"/>
                <w:color w:val="auto"/>
              </w:rPr>
            </w:pPr>
            <w:r>
              <w:rPr>
                <w:rFonts w:ascii="Arial" w:cs="Arial" w:eastAsia="Arial" w:hAnsi="Arial"/>
                <w:sz w:val="13"/>
                <w:szCs w:val="13"/>
                <w:b w:val="1"/>
                <w:bCs w:val="1"/>
                <w:color w:val="auto"/>
                <w:w w:val="95"/>
              </w:rPr>
              <w:t>Held-for-</w:t>
            </w:r>
          </w:p>
        </w:tc>
        <w:tc>
          <w:tcPr>
            <w:tcW w:w="120" w:type="dxa"/>
            <w:vAlign w:val="bottom"/>
          </w:tcPr>
          <w:p>
            <w:pPr>
              <w:spacing w:after="0"/>
              <w:rPr>
                <w:sz w:val="12"/>
                <w:szCs w:val="12"/>
                <w:color w:val="auto"/>
              </w:rPr>
            </w:pPr>
          </w:p>
        </w:tc>
        <w:tc>
          <w:tcPr>
            <w:tcW w:w="1440" w:type="dxa"/>
            <w:vAlign w:val="bottom"/>
            <w:gridSpan w:val="4"/>
          </w:tcPr>
          <w:p>
            <w:pPr>
              <w:spacing w:after="0" w:line="142" w:lineRule="exact"/>
              <w:rPr>
                <w:sz w:val="20"/>
                <w:szCs w:val="20"/>
                <w:color w:val="auto"/>
              </w:rPr>
            </w:pPr>
            <w:r>
              <w:rPr>
                <w:rFonts w:ascii="Arial" w:cs="Arial" w:eastAsia="Arial" w:hAnsi="Arial"/>
                <w:sz w:val="13"/>
                <w:szCs w:val="13"/>
                <w:b w:val="1"/>
                <w:bCs w:val="1"/>
                <w:color w:val="auto"/>
              </w:rPr>
              <w:t>Loans Held-for-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Investment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Sale</w:t>
            </w: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6"/>
              </w:rPr>
              <w:t>Investment</w:t>
            </w:r>
          </w:p>
        </w:tc>
        <w:tc>
          <w:tcPr>
            <w:tcW w:w="5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94"/>
              </w:rPr>
              <w:t>(Securitized)</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141,555</w:t>
            </w:r>
          </w:p>
        </w:tc>
        <w:tc>
          <w:tcPr>
            <w:tcW w:w="5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90,750</w:t>
            </w:r>
          </w:p>
        </w:tc>
        <w:tc>
          <w:tcPr>
            <w:tcW w:w="3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232,305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00" w:type="dxa"/>
            <w:vAlign w:val="bottom"/>
            <w:gridSpan w:val="2"/>
          </w:tcPr>
          <w:p>
            <w:pPr>
              <w:spacing w:after="0"/>
              <w:rPr>
                <w:sz w:val="20"/>
                <w:szCs w:val="20"/>
                <w:color w:val="auto"/>
              </w:rPr>
            </w:pPr>
            <w:r>
              <w:rPr>
                <w:rFonts w:ascii="Arial" w:cs="Arial" w:eastAsia="Arial" w:hAnsi="Arial"/>
                <w:sz w:val="14"/>
                <w:szCs w:val="14"/>
                <w:color w:val="auto"/>
              </w:rPr>
              <w:t>Reclassification of loans from HFI to HFS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125,779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(125,779)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Purchases of loans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116,127</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9,655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125,782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Sale of loans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color w:val="auto"/>
              </w:rPr>
              <w:t>(144,944)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(144,944)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Purchase of loans for immediate resale to investors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4"/>
                <w:szCs w:val="14"/>
                <w:color w:val="auto"/>
              </w:rPr>
              <w:t>2,540,948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2,540,948</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Immediate resale to investors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color w:val="auto"/>
              </w:rPr>
              <w:t>(2,540,948)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(2,540,948)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Repayments received</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(28,306)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(5,669)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(24,018)</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(57,993)</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Changes in fair value recorded in earnings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color w:val="auto"/>
              </w:rPr>
              <w:t>(8,033)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(1,589)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(9,508)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(19,130)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Other changes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380"/>
              <w:spacing w:after="0"/>
              <w:rPr>
                <w:sz w:val="20"/>
                <w:szCs w:val="20"/>
                <w:color w:val="auto"/>
              </w:rPr>
            </w:pPr>
            <w:r>
              <w:rPr>
                <w:rFonts w:ascii="Arial" w:cs="Arial" w:eastAsia="Arial" w:hAnsi="Arial"/>
                <w:sz w:val="14"/>
                <w:szCs w:val="14"/>
                <w:color w:val="auto"/>
              </w:rPr>
              <w:t>(391)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Changes due to deconsolidation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(57,222)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(57,222)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60,232</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18,228</w:t>
            </w:r>
          </w:p>
        </w:tc>
        <w:tc>
          <w:tcPr>
            <w:tcW w:w="5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3"/>
                <w:szCs w:val="13"/>
                <w:b w:val="1"/>
                <w:bCs w:val="1"/>
                <w:color w:val="auto"/>
              </w:rPr>
              <w:t>Loans Held-for-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80" w:type="dxa"/>
            <w:vAlign w:val="bottom"/>
            <w:gridSpan w:val="6"/>
          </w:tcPr>
          <w:p>
            <w:pPr>
              <w:jc w:val="right"/>
              <w:ind w:right="640"/>
              <w:spacing w:after="0" w:line="142" w:lineRule="exact"/>
              <w:rPr>
                <w:sz w:val="20"/>
                <w:szCs w:val="20"/>
                <w:color w:val="auto"/>
              </w:rPr>
            </w:pPr>
            <w:r>
              <w:rPr>
                <w:rFonts w:ascii="Arial" w:cs="Arial" w:eastAsia="Arial" w:hAnsi="Arial"/>
                <w:sz w:val="13"/>
                <w:szCs w:val="13"/>
                <w:b w:val="1"/>
                <w:bCs w:val="1"/>
                <w:color w:val="auto"/>
                <w:w w:val="96"/>
              </w:rPr>
              <w:t>Loans Held-</w:t>
            </w:r>
          </w:p>
        </w:tc>
        <w:tc>
          <w:tcPr>
            <w:tcW w:w="1560" w:type="dxa"/>
            <w:vAlign w:val="bottom"/>
            <w:gridSpan w:val="5"/>
          </w:tcPr>
          <w:p>
            <w:pPr>
              <w:spacing w:after="0" w:line="142" w:lineRule="exact"/>
              <w:rPr>
                <w:sz w:val="20"/>
                <w:szCs w:val="20"/>
                <w:color w:val="auto"/>
              </w:rPr>
            </w:pPr>
            <w:r>
              <w:rPr>
                <w:rFonts w:ascii="Arial" w:cs="Arial" w:eastAsia="Arial" w:hAnsi="Arial"/>
                <w:sz w:val="13"/>
                <w:szCs w:val="13"/>
                <w:b w:val="1"/>
                <w:bCs w:val="1"/>
                <w:color w:val="auto"/>
              </w:rPr>
              <w:t>Loans Held-for-</w:t>
            </w:r>
          </w:p>
        </w:tc>
        <w:tc>
          <w:tcPr>
            <w:tcW w:w="60" w:type="dxa"/>
            <w:vAlign w:val="bottom"/>
          </w:tcPr>
          <w:p>
            <w:pPr>
              <w:spacing w:after="0"/>
              <w:rPr>
                <w:sz w:val="12"/>
                <w:szCs w:val="12"/>
                <w:color w:val="auto"/>
              </w:rPr>
            </w:pPr>
          </w:p>
        </w:tc>
        <w:tc>
          <w:tcPr>
            <w:tcW w:w="1240" w:type="dxa"/>
            <w:vAlign w:val="bottom"/>
            <w:gridSpan w:val="3"/>
          </w:tcPr>
          <w:p>
            <w:pPr>
              <w:jc w:val="right"/>
              <w:ind w:right="500"/>
              <w:spacing w:after="0" w:line="142" w:lineRule="exact"/>
              <w:rPr>
                <w:sz w:val="20"/>
                <w:szCs w:val="20"/>
                <w:color w:val="auto"/>
              </w:rPr>
            </w:pPr>
            <w:r>
              <w:rPr>
                <w:rFonts w:ascii="Arial" w:cs="Arial" w:eastAsia="Arial" w:hAnsi="Arial"/>
                <w:sz w:val="13"/>
                <w:szCs w:val="13"/>
                <w:b w:val="1"/>
                <w:bCs w:val="1"/>
                <w:color w:val="auto"/>
              </w:rPr>
              <w:t>Investment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3"/>
                <w:szCs w:val="13"/>
                <w:b w:val="1"/>
                <w:bCs w:val="1"/>
                <w:color w:val="auto"/>
              </w:rPr>
              <w:t>for- Sale</w:t>
            </w:r>
          </w:p>
        </w:tc>
        <w:tc>
          <w:tcPr>
            <w:tcW w:w="600" w:type="dxa"/>
            <w:vAlign w:val="bottom"/>
            <w:tcBorders>
              <w:bottom w:val="single" w:sz="8" w:color="CCEEFF"/>
            </w:tcBorders>
            <w:gridSpan w:val="3"/>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Investment</w:t>
            </w:r>
          </w:p>
        </w:tc>
        <w:tc>
          <w:tcPr>
            <w:tcW w:w="62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w w:val="97"/>
              </w:rPr>
              <w:t>(Securitized)</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180" w:type="dxa"/>
            <w:vAlign w:val="bottom"/>
            <w:tcBorders>
              <w:bottom w:val="single" w:sz="8" w:color="auto"/>
            </w:tcBorders>
            <w:shd w:val="clear" w:color="auto" w:fill="CCEEFF"/>
          </w:tcPr>
          <w:p>
            <w:pPr>
              <w:jc w:val="right"/>
              <w:ind w:right="32"/>
              <w:spacing w:after="0" w:line="157"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134,650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tcBorders>
              <w:bottom w:val="single" w:sz="8" w:color="auto"/>
            </w:tcBorders>
            <w:gridSpan w:val="2"/>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368,016</w:t>
            </w: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502,666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Arial" w:cs="Arial" w:eastAsia="Arial" w:hAnsi="Arial"/>
                <w:sz w:val="14"/>
                <w:szCs w:val="14"/>
                <w:color w:val="auto"/>
              </w:rPr>
              <w:t>Purchases of loans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265,286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265,286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Sale of loans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(131,838)</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(131,838)</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Purchase of loans for immediate resale to investors</w:t>
            </w:r>
          </w:p>
        </w:tc>
        <w:tc>
          <w:tcPr>
            <w:tcW w:w="800" w:type="dxa"/>
            <w:vAlign w:val="bottom"/>
            <w:gridSpan w:val="4"/>
          </w:tcPr>
          <w:p>
            <w:pPr>
              <w:jc w:val="right"/>
              <w:ind w:right="20"/>
              <w:spacing w:after="0"/>
              <w:rPr>
                <w:sz w:val="20"/>
                <w:szCs w:val="20"/>
                <w:color w:val="auto"/>
              </w:rPr>
            </w:pPr>
            <w:r>
              <w:rPr>
                <w:rFonts w:ascii="Arial" w:cs="Arial" w:eastAsia="Arial" w:hAnsi="Arial"/>
                <w:sz w:val="14"/>
                <w:szCs w:val="14"/>
                <w:color w:val="auto"/>
              </w:rPr>
              <w:t>1,779,180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1,779,180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Immediate resale to investors</w:t>
            </w:r>
          </w:p>
        </w:tc>
        <w:tc>
          <w:tcPr>
            <w:tcW w:w="940" w:type="dxa"/>
            <w:vAlign w:val="bottom"/>
            <w:gridSpan w:val="5"/>
            <w:shd w:val="clear" w:color="auto" w:fill="CCEEFF"/>
          </w:tcPr>
          <w:p>
            <w:pPr>
              <w:jc w:val="right"/>
              <w:ind w:right="49"/>
              <w:spacing w:after="0"/>
              <w:rPr>
                <w:sz w:val="20"/>
                <w:szCs w:val="20"/>
                <w:color w:val="auto"/>
              </w:rPr>
            </w:pPr>
            <w:r>
              <w:rPr>
                <w:rFonts w:ascii="Arial" w:cs="Arial" w:eastAsia="Arial" w:hAnsi="Arial"/>
                <w:sz w:val="14"/>
                <w:szCs w:val="14"/>
                <w:color w:val="auto"/>
              </w:rPr>
              <w:t>(1,779,180)</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(1,779,180)</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Repayments received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(47,950)</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(158,921)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(206,871)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Changes in fair value recorded in earnings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(5,821)</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(36,238)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(42,059)</w:t>
            </w:r>
          </w:p>
        </w:tc>
        <w:tc>
          <w:tcPr>
            <w:tcW w:w="0" w:type="dxa"/>
            <w:vAlign w:val="bottom"/>
          </w:tcPr>
          <w:p>
            <w:pPr>
              <w:spacing w:after="0"/>
              <w:rPr>
                <w:sz w:val="1"/>
                <w:szCs w:val="1"/>
                <w:color w:val="auto"/>
              </w:rPr>
            </w:pPr>
          </w:p>
        </w:tc>
      </w:tr>
      <w:tr>
        <w:trPr>
          <w:trHeight w:val="166"/>
        </w:trPr>
        <w:tc>
          <w:tcPr>
            <w:tcW w:w="4300" w:type="dxa"/>
            <w:vAlign w:val="bottom"/>
            <w:gridSpan w:val="2"/>
          </w:tcPr>
          <w:p>
            <w:pPr>
              <w:spacing w:after="0"/>
              <w:rPr>
                <w:sz w:val="20"/>
                <w:szCs w:val="20"/>
                <w:color w:val="auto"/>
              </w:rPr>
            </w:pPr>
            <w:r>
              <w:rPr>
                <w:rFonts w:ascii="Arial" w:cs="Arial" w:eastAsia="Arial" w:hAnsi="Arial"/>
                <w:sz w:val="14"/>
                <w:szCs w:val="14"/>
                <w:color w:val="auto"/>
              </w:rPr>
              <w:t>Changes due to deconsolidation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right"/>
              <w:ind w:righ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(72,757)</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(82,107)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(154,864)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4"/>
                <w:szCs w:val="14"/>
                <w:color w:val="auto"/>
              </w:rPr>
              <w:t>Other changes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9"/>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Fair value at December 31, 2019</w:t>
            </w:r>
          </w:p>
        </w:tc>
        <w:tc>
          <w:tcPr>
            <w:tcW w:w="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spacing w:after="0"/>
              <w:rPr>
                <w:sz w:val="14"/>
                <w:szCs w:val="14"/>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141,555</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90,750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232,305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Assets and Liabilities related to Securitization Transactions</w:t>
      </w:r>
    </w:p>
    <w:p>
      <w:pPr>
        <w:spacing w:after="0" w:line="9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As of December 31, 2020 and 2019, the Company held notes receivable and residual certificates with an aggregate fair value of</w:t>
      </w:r>
    </w:p>
    <w:p>
      <w:pPr>
        <w:ind w:left="800"/>
        <w:spacing w:after="0"/>
        <w:rPr>
          <w:sz w:val="20"/>
          <w:szCs w:val="20"/>
          <w:color w:val="auto"/>
        </w:rPr>
      </w:pPr>
      <w:r>
        <w:rPr>
          <w:rFonts w:ascii="Arial" w:cs="Arial" w:eastAsia="Arial" w:hAnsi="Arial"/>
          <w:sz w:val="15"/>
          <w:szCs w:val="15"/>
          <w:color w:val="auto"/>
        </w:rPr>
        <w:t>$19.1 million and $34.1 million, respectively. The balances consist of securitization notes and residual certificates corresponding to the 5%</w:t>
      </w:r>
    </w:p>
    <w:p>
      <w:pPr>
        <w:ind w:left="800"/>
        <w:spacing w:after="0" w:line="237" w:lineRule="auto"/>
        <w:rPr>
          <w:sz w:val="20"/>
          <w:szCs w:val="20"/>
          <w:color w:val="auto"/>
        </w:rPr>
      </w:pPr>
      <w:r>
        <w:rPr>
          <w:rFonts w:ascii="Arial" w:cs="Arial" w:eastAsia="Arial" w:hAnsi="Arial"/>
          <w:sz w:val="16"/>
          <w:szCs w:val="16"/>
          <w:color w:val="auto"/>
        </w:rPr>
        <w:t>economic risk retention the Company is required to maintain as the retaining sponsor of the unconsolidated securitizations. As of</w:t>
      </w:r>
    </w:p>
    <w:p>
      <w:pPr>
        <w:ind w:left="800"/>
        <w:spacing w:after="0" w:line="232" w:lineRule="auto"/>
        <w:rPr>
          <w:sz w:val="20"/>
          <w:szCs w:val="20"/>
          <w:color w:val="auto"/>
        </w:rPr>
      </w:pPr>
      <w:r>
        <w:rPr>
          <w:rFonts w:ascii="Arial" w:cs="Arial" w:eastAsia="Arial" w:hAnsi="Arial"/>
          <w:sz w:val="16"/>
          <w:szCs w:val="16"/>
          <w:color w:val="auto"/>
        </w:rPr>
        <w:t>December 31, 2020 and 2019, the Company also had payables to securitization note holders and residual certificate holders with an</w:t>
      </w:r>
    </w:p>
    <w:p>
      <w:pPr>
        <w:ind w:left="800"/>
        <w:spacing w:after="0" w:line="231" w:lineRule="auto"/>
        <w:rPr>
          <w:sz w:val="20"/>
          <w:szCs w:val="20"/>
          <w:color w:val="auto"/>
        </w:rPr>
      </w:pPr>
      <w:r>
        <w:rPr>
          <w:rFonts w:ascii="Arial" w:cs="Arial" w:eastAsia="Arial" w:hAnsi="Arial"/>
          <w:sz w:val="16"/>
          <w:szCs w:val="16"/>
          <w:color w:val="auto"/>
        </w:rPr>
        <w:t>aggregate fair value of $0 million and $89.7 million, respectively. The balances represent securitization notes and residual certificates</w:t>
      </w:r>
    </w:p>
    <w:p>
      <w:pPr>
        <w:ind w:left="800"/>
        <w:spacing w:after="0" w:line="232" w:lineRule="auto"/>
        <w:rPr>
          <w:sz w:val="20"/>
          <w:szCs w:val="20"/>
          <w:color w:val="auto"/>
        </w:rPr>
      </w:pPr>
      <w:r>
        <w:rPr>
          <w:rFonts w:ascii="Arial" w:cs="Arial" w:eastAsia="Arial" w:hAnsi="Arial"/>
          <w:sz w:val="16"/>
          <w:szCs w:val="16"/>
          <w:color w:val="auto"/>
        </w:rPr>
        <w:t>issued and sold to institutional investors in securitization transactions, where the issuing trusts are consolidated in the Company’s</w:t>
      </w:r>
    </w:p>
    <w:p>
      <w:pPr>
        <w:ind w:left="800"/>
        <w:spacing w:after="0"/>
        <w:rPr>
          <w:sz w:val="20"/>
          <w:szCs w:val="20"/>
          <w:color w:val="auto"/>
        </w:rPr>
      </w:pPr>
      <w:r>
        <w:rPr>
          <w:rFonts w:ascii="Arial" w:cs="Arial" w:eastAsia="Arial" w:hAnsi="Arial"/>
          <w:sz w:val="15"/>
          <w:szCs w:val="15"/>
          <w:color w:val="auto"/>
        </w:rPr>
        <w:t>consolidated financial statements. Accrued interest on these financial instruments is immaterial as of December 31, 2020 and 2019. As of</w:t>
      </w:r>
    </w:p>
    <w:p>
      <w:pPr>
        <w:ind w:left="800"/>
        <w:spacing w:after="0" w:line="237" w:lineRule="auto"/>
        <w:rPr>
          <w:sz w:val="20"/>
          <w:szCs w:val="20"/>
          <w:color w:val="auto"/>
        </w:rPr>
      </w:pPr>
      <w:r>
        <w:rPr>
          <w:rFonts w:ascii="Arial" w:cs="Arial" w:eastAsia="Arial" w:hAnsi="Arial"/>
          <w:sz w:val="16"/>
          <w:szCs w:val="16"/>
          <w:color w:val="auto"/>
        </w:rPr>
        <w:t>December 31, 2020, the balance for payables to securitization note holders and residual certificate holders and related accrued interest</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was $0 million due to deconsolidation of previously consolidated securitizations.</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440"/>
          </w:cols>
          <w:pgMar w:left="320" w:top="419" w:right="1139" w:bottom="1440" w:gutter="0" w:footer="0" w:header="0"/>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Valuation Methodology</w:t>
      </w:r>
    </w:p>
    <w:p>
      <w:pPr>
        <w:spacing w:after="0" w:line="104"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The discounted cash flow methodology is used to estimate the fair value of notes receivable and residual certificates and payables to securitization note holders and residual certificate holders (the “securities”), using the same projected net cash flows as their related loans. This model uses inputs that are inherently judgmental and reflect the Company’s best estimates of the assumptions a market participant would use to calculate fair value.</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Inputs and Assumptions</w:t>
      </w:r>
    </w:p>
    <w:p>
      <w:pPr>
        <w:spacing w:after="0" w:line="104"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following table presents quantitative information about the significant unobservable inputs used for the Company’s Level 3 fair value measurements of assets and liabilities related to securitization transactions: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6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99"/>
              </w:rPr>
              <w:t>December 31, 2020</w:t>
            </w:r>
          </w:p>
        </w:tc>
        <w:tc>
          <w:tcPr>
            <w:tcW w:w="6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December 31, 2019</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19"/>
        </w:trPr>
        <w:tc>
          <w:tcPr>
            <w:tcW w:w="3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Pr>
          <w:p>
            <w:pPr>
              <w:spacing w:after="0"/>
              <w:rPr>
                <w:sz w:val="10"/>
                <w:szCs w:val="10"/>
                <w:color w:val="auto"/>
              </w:rPr>
            </w:pPr>
          </w:p>
        </w:tc>
      </w:tr>
      <w:tr>
        <w:trPr>
          <w:trHeight w:val="156"/>
        </w:trPr>
        <w:tc>
          <w:tcPr>
            <w:tcW w:w="36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4"/>
              </w:rPr>
              <w:t>Minimum</w:t>
            </w:r>
          </w:p>
        </w:tc>
        <w:tc>
          <w:tcPr>
            <w:tcW w:w="28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Maximum</w:t>
            </w:r>
          </w:p>
        </w:tc>
        <w:tc>
          <w:tcPr>
            <w:tcW w:w="1100" w:type="dxa"/>
            <w:vAlign w:val="bottom"/>
            <w:gridSpan w:val="2"/>
          </w:tcPr>
          <w:p>
            <w:pPr>
              <w:jc w:val="right"/>
              <w:ind w:right="460"/>
              <w:spacing w:after="0" w:line="157"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8"/>
                <w:szCs w:val="18"/>
                <w:b w:val="1"/>
                <w:bCs w:val="1"/>
                <w:color w:val="auto"/>
                <w:vertAlign w:val="superscript"/>
              </w:rPr>
              <w:t>(2)</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1"/>
              </w:rPr>
              <w:t>Minimum</w:t>
            </w:r>
          </w:p>
        </w:tc>
        <w:tc>
          <w:tcPr>
            <w:tcW w:w="30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Maximum</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8"/>
                <w:szCs w:val="18"/>
                <w:b w:val="1"/>
                <w:bCs w:val="1"/>
                <w:color w:val="auto"/>
                <w:vertAlign w:val="superscript"/>
              </w:rPr>
              <w:t>(2)</w:t>
            </w:r>
          </w:p>
        </w:tc>
      </w:tr>
      <w:tr>
        <w:trPr>
          <w:trHeight w:val="146"/>
        </w:trPr>
        <w:tc>
          <w:tcPr>
            <w:tcW w:w="362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Notes receivable and residual certificates</w:t>
            </w: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66"/>
        </w:trPr>
        <w:tc>
          <w:tcPr>
            <w:tcW w:w="3620" w:type="dxa"/>
            <w:vAlign w:val="bottom"/>
          </w:tcPr>
          <w:p>
            <w:pPr>
              <w:spacing w:after="0"/>
              <w:rPr>
                <w:sz w:val="20"/>
                <w:szCs w:val="20"/>
                <w:color w:val="auto"/>
              </w:rPr>
            </w:pPr>
            <w:r>
              <w:rPr>
                <w:rFonts w:ascii="Arial" w:cs="Arial" w:eastAsia="Arial" w:hAnsi="Arial"/>
                <w:sz w:val="14"/>
                <w:szCs w:val="14"/>
                <w:color w:val="auto"/>
              </w:rPr>
              <w:t>Discount rate</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3.01%</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14.00%</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5.84%</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2.91%</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rPr>
              <w:t>14.00%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5.29%</w:t>
            </w:r>
          </w:p>
        </w:tc>
      </w:tr>
      <w:tr>
        <w:trPr>
          <w:trHeight w:val="166"/>
        </w:trPr>
        <w:tc>
          <w:tcPr>
            <w:tcW w:w="36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Credit risk rate</w:t>
            </w:r>
            <w:r>
              <w:rPr>
                <w:rFonts w:ascii="Arial" w:cs="Arial" w:eastAsia="Arial" w:hAnsi="Arial"/>
                <w:sz w:val="19"/>
                <w:szCs w:val="19"/>
                <w:color w:val="auto"/>
                <w:vertAlign w:val="superscript"/>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0.04%</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50.69%</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17.12%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0.18%</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50.67%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17.08%</w:t>
            </w:r>
          </w:p>
        </w:tc>
      </w:tr>
      <w:tr>
        <w:trPr>
          <w:trHeight w:val="166"/>
        </w:trPr>
        <w:tc>
          <w:tcPr>
            <w:tcW w:w="3620" w:type="dxa"/>
            <w:vAlign w:val="bottom"/>
          </w:tcPr>
          <w:p>
            <w:pPr>
              <w:spacing w:after="0" w:line="165" w:lineRule="exact"/>
              <w:rPr>
                <w:sz w:val="20"/>
                <w:szCs w:val="20"/>
                <w:color w:val="auto"/>
              </w:rPr>
            </w:pPr>
            <w:r>
              <w:rPr>
                <w:rFonts w:ascii="Arial" w:cs="Arial" w:eastAsia="Arial" w:hAnsi="Arial"/>
                <w:sz w:val="12"/>
                <w:szCs w:val="12"/>
                <w:color w:val="auto"/>
              </w:rPr>
              <w:t>Prepayment rate</w:t>
            </w:r>
            <w:r>
              <w:rPr>
                <w:rFonts w:ascii="Arial" w:cs="Arial" w:eastAsia="Arial" w:hAnsi="Arial"/>
                <w:sz w:val="19"/>
                <w:szCs w:val="19"/>
                <w:color w:val="auto"/>
                <w:vertAlign w:val="superscript"/>
              </w:rPr>
              <w:t>(1)</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15.60%</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36.88%</w:t>
            </w: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27.63%</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15.19%</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rPr>
              <w:t>59.83%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27.44%</w:t>
            </w: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Payable to securitization note holders and</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82"/>
        </w:trPr>
        <w:tc>
          <w:tcPr>
            <w:tcW w:w="3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residual certificate holders</w:t>
            </w: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66"/>
        </w:trPr>
        <w:tc>
          <w:tcPr>
            <w:tcW w:w="3620" w:type="dxa"/>
            <w:vAlign w:val="bottom"/>
          </w:tcPr>
          <w:p>
            <w:pPr>
              <w:spacing w:after="0"/>
              <w:rPr>
                <w:sz w:val="20"/>
                <w:szCs w:val="20"/>
                <w:color w:val="auto"/>
              </w:rPr>
            </w:pPr>
            <w:r>
              <w:rPr>
                <w:rFonts w:ascii="Arial" w:cs="Arial" w:eastAsia="Arial" w:hAnsi="Arial"/>
                <w:sz w:val="14"/>
                <w:szCs w:val="14"/>
                <w:color w:val="auto"/>
              </w:rPr>
              <w:t>Discount rate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5.03%</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rPr>
              <w:t>14.00%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5.88%</w:t>
            </w:r>
          </w:p>
        </w:tc>
      </w:tr>
      <w:tr>
        <w:trPr>
          <w:trHeight w:val="166"/>
        </w:trPr>
        <w:tc>
          <w:tcPr>
            <w:tcW w:w="36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Credit risk rate</w:t>
            </w:r>
            <w:r>
              <w:rPr>
                <w:rFonts w:ascii="Arial" w:cs="Arial" w:eastAsia="Arial" w:hAnsi="Arial"/>
                <w:sz w:val="19"/>
                <w:szCs w:val="19"/>
                <w:color w:val="auto"/>
                <w:vertAlign w:val="superscript"/>
              </w:rPr>
              <w:t>(1)</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0.20%</w:t>
            </w: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40.97%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15.17%</w:t>
            </w:r>
          </w:p>
        </w:tc>
      </w:tr>
      <w:tr>
        <w:trPr>
          <w:trHeight w:val="309"/>
        </w:trPr>
        <w:tc>
          <w:tcPr>
            <w:tcW w:w="362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4"/>
                <w:szCs w:val="24"/>
                <w:color w:val="auto"/>
                <w:vertAlign w:val="superscript"/>
              </w:rPr>
              <w:t>(1)</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16.14%</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rPr>
              <w:t>32.47%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-15240</wp:posOffset>
            </wp:positionV>
            <wp:extent cx="67564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ind w:left="1280" w:hanging="481"/>
        <w:spacing w:after="0"/>
        <w:tabs>
          <w:tab w:leader="none" w:pos="12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Expressed as a percentage of the original principal balance of the loans underlying the financial instruments</w:t>
      </w:r>
    </w:p>
    <w:p>
      <w:pPr>
        <w:ind w:left="1280" w:hanging="481"/>
        <w:spacing w:after="0"/>
        <w:tabs>
          <w:tab w:leader="none" w:pos="12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Unobservable inputs were weighted by relative fair value</w:t>
      </w:r>
    </w:p>
    <w:p>
      <w:pPr>
        <w:spacing w:after="0" w:line="100" w:lineRule="exact"/>
        <w:rPr>
          <w:sz w:val="20"/>
          <w:szCs w:val="20"/>
          <w:color w:val="auto"/>
        </w:rPr>
      </w:pPr>
    </w:p>
    <w:p>
      <w:pPr>
        <w:ind w:left="1280" w:right="660" w:hanging="481"/>
        <w:spacing w:after="0" w:line="478" w:lineRule="auto"/>
        <w:tabs>
          <w:tab w:leader="none" w:pos="127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Not applicable as of the respective periods presented due to the deconsolidation of previously consolidated securitizations </w:t>
      </w:r>
      <w:r>
        <w:rPr>
          <w:rFonts w:ascii="Arial" w:cs="Arial" w:eastAsia="Arial" w:hAnsi="Arial"/>
          <w:sz w:val="16"/>
          <w:szCs w:val="16"/>
          <w:i w:val="1"/>
          <w:iCs w:val="1"/>
          <w:color w:val="auto"/>
        </w:rPr>
        <w:t>Significant Recurring Level 3 Fair Value Input Sensitivity</w:t>
      </w:r>
    </w:p>
    <w:p>
      <w:pPr>
        <w:ind w:left="800" w:right="20" w:firstLine="482"/>
        <w:spacing w:after="0" w:line="233" w:lineRule="auto"/>
        <w:rPr>
          <w:sz w:val="20"/>
          <w:szCs w:val="20"/>
          <w:color w:val="auto"/>
        </w:rPr>
      </w:pPr>
      <w:r>
        <w:rPr>
          <w:rFonts w:ascii="Arial" w:cs="Arial" w:eastAsia="Arial" w:hAnsi="Arial"/>
          <w:sz w:val="16"/>
          <w:szCs w:val="16"/>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20%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122"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0440"/>
          </w:cols>
          <w:pgMar w:left="320" w:top="419" w:right="113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60" w:firstLine="482"/>
        <w:spacing w:after="0" w:line="233"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1.23% and 1.40% as of December 31, 2020 and 2019, respectively. On average, a hypothetical 200 basis point increase in discount rates results in a decrease in fair value of the securities (including securitization notes and residual certificates) of 2.36% and 2.77% as of December 31, 2020 and 2019, respectively.</w:t>
      </w:r>
    </w:p>
    <w:p>
      <w:pPr>
        <w:spacing w:after="0" w:line="182"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The fair value of securitization notes and residual certificates are not sensitive to adverse changes in expected prepayment rates as such changes would not result in a significant impact on the fair value as of December 31, 2020 and 2019.</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97"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tables include a rollforward of the assets and liabilities related to securitization transactions classified by the</w:t>
      </w:r>
    </w:p>
    <w:p>
      <w:pPr>
        <w:ind w:left="800"/>
        <w:spacing w:after="0"/>
        <w:rPr>
          <w:sz w:val="20"/>
          <w:szCs w:val="20"/>
          <w:color w:val="auto"/>
        </w:rPr>
      </w:pPr>
      <w:r>
        <w:rPr>
          <w:rFonts w:ascii="Arial" w:cs="Arial" w:eastAsia="Arial" w:hAnsi="Arial"/>
          <w:sz w:val="16"/>
          <w:szCs w:val="16"/>
          <w:color w:val="auto"/>
        </w:rPr>
        <w:t>Company within Level 3 of the fair value hierarchy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6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Payable to</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Securitization Note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960" w:type="dxa"/>
            <w:vAlign w:val="bottom"/>
            <w:gridSpan w:val="5"/>
          </w:tcPr>
          <w:p>
            <w:pPr>
              <w:jc w:val="center"/>
              <w:ind w:right="920"/>
              <w:spacing w:after="0" w:line="142" w:lineRule="exact"/>
              <w:rPr>
                <w:sz w:val="20"/>
                <w:szCs w:val="20"/>
                <w:color w:val="auto"/>
              </w:rPr>
            </w:pPr>
            <w:r>
              <w:rPr>
                <w:rFonts w:ascii="Arial" w:cs="Arial" w:eastAsia="Arial" w:hAnsi="Arial"/>
                <w:sz w:val="13"/>
                <w:szCs w:val="13"/>
                <w:b w:val="1"/>
                <w:bCs w:val="1"/>
                <w:color w:val="auto"/>
                <w:w w:val="96"/>
              </w:rPr>
              <w:t>Notes Receivable</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Holders and</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960" w:type="dxa"/>
            <w:vAlign w:val="bottom"/>
            <w:gridSpan w:val="5"/>
          </w:tcPr>
          <w:p>
            <w:pPr>
              <w:jc w:val="center"/>
              <w:ind w:right="900"/>
              <w:spacing w:after="0" w:line="142" w:lineRule="exact"/>
              <w:rPr>
                <w:sz w:val="20"/>
                <w:szCs w:val="20"/>
                <w:color w:val="auto"/>
              </w:rPr>
            </w:pPr>
            <w:r>
              <w:rPr>
                <w:rFonts w:ascii="Arial" w:cs="Arial" w:eastAsia="Arial" w:hAnsi="Arial"/>
                <w:sz w:val="13"/>
                <w:szCs w:val="13"/>
                <w:b w:val="1"/>
                <w:bCs w:val="1"/>
                <w:color w:val="auto"/>
                <w:w w:val="96"/>
              </w:rPr>
              <w:t>and Residual</w:t>
            </w:r>
          </w:p>
        </w:tc>
        <w:tc>
          <w:tcPr>
            <w:tcW w:w="126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Residual Certificate</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1960" w:type="dxa"/>
            <w:vAlign w:val="bottom"/>
            <w:gridSpan w:val="5"/>
          </w:tcPr>
          <w:p>
            <w:pPr>
              <w:jc w:val="center"/>
              <w:ind w:right="900"/>
              <w:spacing w:after="0"/>
              <w:rPr>
                <w:sz w:val="20"/>
                <w:szCs w:val="20"/>
                <w:color w:val="auto"/>
              </w:rPr>
            </w:pPr>
            <w:r>
              <w:rPr>
                <w:rFonts w:ascii="Arial" w:cs="Arial" w:eastAsia="Arial" w:hAnsi="Arial"/>
                <w:sz w:val="13"/>
                <w:szCs w:val="13"/>
                <w:b w:val="1"/>
                <w:bCs w:val="1"/>
                <w:color w:val="auto"/>
                <w:w w:val="98"/>
              </w:rPr>
              <w:t>Certificates</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Holders</w:t>
            </w:r>
          </w:p>
        </w:tc>
        <w:tc>
          <w:tcPr>
            <w:tcW w:w="0" w:type="dxa"/>
            <w:vAlign w:val="bottom"/>
          </w:tcPr>
          <w:p>
            <w:pPr>
              <w:spacing w:after="0"/>
              <w:rPr>
                <w:sz w:val="1"/>
                <w:szCs w:val="1"/>
                <w:color w:val="auto"/>
              </w:rPr>
            </w:pPr>
          </w:p>
        </w:tc>
      </w:tr>
      <w:tr>
        <w:trPr>
          <w:trHeight w:val="157"/>
        </w:trPr>
        <w:tc>
          <w:tcPr>
            <w:tcW w:w="6420" w:type="dxa"/>
            <w:vAlign w:val="bottom"/>
            <w:tcBorders>
              <w:top w:val="single" w:sz="8" w:color="CCEEFF"/>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2019</w:t>
            </w:r>
          </w:p>
        </w:tc>
        <w:tc>
          <w:tcPr>
            <w:tcW w:w="480" w:type="dxa"/>
            <w:vAlign w:val="bottom"/>
            <w:tcBorders>
              <w:top w:val="single" w:sz="8" w:color="auto"/>
              <w:bottom w:val="single" w:sz="8" w:color="auto"/>
            </w:tcBorders>
            <w:shd w:val="clear" w:color="auto" w:fill="CCEEFF"/>
          </w:tcPr>
          <w:p>
            <w:pPr>
              <w:jc w:val="right"/>
              <w:ind w:right="332"/>
              <w:spacing w:after="0" w:line="157"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right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34,116</w:t>
            </w:r>
          </w:p>
        </w:tc>
        <w:tc>
          <w:tcPr>
            <w:tcW w:w="4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89,672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Repayments and settlements</w:t>
            </w:r>
          </w:p>
        </w:tc>
        <w:tc>
          <w:tcPr>
            <w:tcW w:w="4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9"/>
              </w:rPr>
              <w:t>(14,665)</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(26,126)</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20"/>
                <w:szCs w:val="20"/>
                <w:color w:val="auto"/>
              </w:rPr>
            </w:pPr>
            <w:r>
              <w:rPr>
                <w:rFonts w:ascii="Arial" w:cs="Arial" w:eastAsia="Arial" w:hAnsi="Arial"/>
                <w:sz w:val="14"/>
                <w:szCs w:val="14"/>
                <w:color w:val="auto"/>
              </w:rPr>
              <w:t>Changes in fair value recorded in earnings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(381)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Changes due to deconsolidation</w:t>
            </w:r>
          </w:p>
        </w:tc>
        <w:tc>
          <w:tcPr>
            <w:tcW w:w="4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(58,017)</w:t>
            </w:r>
          </w:p>
        </w:tc>
        <w:tc>
          <w:tcPr>
            <w:tcW w:w="0" w:type="dxa"/>
            <w:vAlign w:val="bottom"/>
          </w:tcPr>
          <w:p>
            <w:pPr>
              <w:spacing w:after="0"/>
              <w:rPr>
                <w:sz w:val="1"/>
                <w:szCs w:val="1"/>
                <w:color w:val="auto"/>
              </w:rPr>
            </w:pPr>
          </w:p>
        </w:tc>
      </w:tr>
      <w:tr>
        <w:trPr>
          <w:trHeight w:val="169"/>
        </w:trPr>
        <w:tc>
          <w:tcPr>
            <w:tcW w:w="6420" w:type="dxa"/>
            <w:vAlign w:val="bottom"/>
          </w:tcPr>
          <w:p>
            <w:pPr>
              <w:spacing w:after="0"/>
              <w:rPr>
                <w:sz w:val="20"/>
                <w:szCs w:val="20"/>
                <w:color w:val="auto"/>
              </w:rPr>
            </w:pPr>
            <w:r>
              <w:rPr>
                <w:rFonts w:ascii="Arial" w:cs="Arial" w:eastAsia="Arial" w:hAnsi="Arial"/>
                <w:sz w:val="14"/>
                <w:szCs w:val="14"/>
                <w:b w:val="1"/>
                <w:bCs w:val="1"/>
                <w:color w:val="auto"/>
              </w:rPr>
              <w:t>Fair value at December 31, 2020</w:t>
            </w:r>
          </w:p>
        </w:tc>
        <w:tc>
          <w:tcPr>
            <w:tcW w:w="4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19,074</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Payable to</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60"/>
              <w:spacing w:after="0" w:line="142" w:lineRule="exact"/>
              <w:rPr>
                <w:sz w:val="20"/>
                <w:szCs w:val="20"/>
                <w:color w:val="auto"/>
              </w:rPr>
            </w:pPr>
            <w:r>
              <w:rPr>
                <w:rFonts w:ascii="Arial" w:cs="Arial" w:eastAsia="Arial" w:hAnsi="Arial"/>
                <w:sz w:val="13"/>
                <w:szCs w:val="13"/>
                <w:b w:val="1"/>
                <w:bCs w:val="1"/>
                <w:color w:val="auto"/>
                <w:w w:val="99"/>
              </w:rPr>
              <w:t>Notes</w:t>
            </w:r>
          </w:p>
        </w:tc>
        <w:tc>
          <w:tcPr>
            <w:tcW w:w="12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Securitization Note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20"/>
              <w:spacing w:after="0" w:line="142" w:lineRule="exact"/>
              <w:rPr>
                <w:sz w:val="20"/>
                <w:szCs w:val="20"/>
                <w:color w:val="auto"/>
              </w:rPr>
            </w:pPr>
            <w:r>
              <w:rPr>
                <w:rFonts w:ascii="Arial" w:cs="Arial" w:eastAsia="Arial" w:hAnsi="Arial"/>
                <w:sz w:val="13"/>
                <w:szCs w:val="13"/>
                <w:b w:val="1"/>
                <w:bCs w:val="1"/>
                <w:color w:val="auto"/>
                <w:w w:val="92"/>
              </w:rPr>
              <w:t>Receivable and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5"/>
              </w:rPr>
              <w:t>Holders and</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560"/>
              <w:spacing w:after="0" w:line="142" w:lineRule="exact"/>
              <w:rPr>
                <w:sz w:val="20"/>
                <w:szCs w:val="20"/>
                <w:color w:val="auto"/>
              </w:rPr>
            </w:pPr>
            <w:r>
              <w:rPr>
                <w:rFonts w:ascii="Arial" w:cs="Arial" w:eastAsia="Arial" w:hAnsi="Arial"/>
                <w:sz w:val="13"/>
                <w:szCs w:val="13"/>
                <w:b w:val="1"/>
                <w:bCs w:val="1"/>
                <w:color w:val="auto"/>
                <w:w w:val="95"/>
              </w:rPr>
              <w:t>Residual</w:t>
            </w:r>
          </w:p>
        </w:tc>
        <w:tc>
          <w:tcPr>
            <w:tcW w:w="126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Residual Certificate</w:t>
            </w:r>
          </w:p>
        </w:tc>
        <w:tc>
          <w:tcPr>
            <w:tcW w:w="0" w:type="dxa"/>
            <w:vAlign w:val="bottom"/>
          </w:tcPr>
          <w:p>
            <w:pPr>
              <w:spacing w:after="0"/>
              <w:rPr>
                <w:sz w:val="1"/>
                <w:szCs w:val="1"/>
                <w:color w:val="auto"/>
              </w:rPr>
            </w:pPr>
          </w:p>
        </w:tc>
      </w:tr>
      <w:tr>
        <w:trPr>
          <w:trHeight w:val="154"/>
        </w:trPr>
        <w:tc>
          <w:tcPr>
            <w:tcW w:w="64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5"/>
              </w:rPr>
              <w:t>Certificates</w:t>
            </w:r>
          </w:p>
        </w:tc>
        <w:tc>
          <w:tcPr>
            <w:tcW w:w="4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9"/>
              </w:rPr>
              <w:t>Holders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560" w:type="dxa"/>
            <w:vAlign w:val="bottom"/>
            <w:tcBorders>
              <w:right w:val="single" w:sz="8" w:color="CCEEFF"/>
            </w:tcBorders>
            <w:gridSpan w:val="2"/>
            <w:shd w:val="clear" w:color="auto" w:fill="CCEEFF"/>
          </w:tcPr>
          <w:p>
            <w:pPr>
              <w:jc w:val="center"/>
              <w:ind w:left="412"/>
              <w:spacing w:after="0" w:line="157"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8,314</w:t>
            </w: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353,292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31,645</w:t>
            </w:r>
          </w:p>
        </w:tc>
        <w:tc>
          <w:tcPr>
            <w:tcW w:w="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Repayments and settlements</w:t>
            </w:r>
          </w:p>
        </w:tc>
        <w:tc>
          <w:tcPr>
            <w:tcW w:w="4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(8,760)</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(176,742)</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20"/>
                <w:szCs w:val="20"/>
                <w:color w:val="auto"/>
              </w:rPr>
            </w:pPr>
            <w:r>
              <w:rPr>
                <w:rFonts w:ascii="Arial" w:cs="Arial" w:eastAsia="Arial" w:hAnsi="Arial"/>
                <w:sz w:val="14"/>
                <w:szCs w:val="14"/>
                <w:color w:val="auto"/>
              </w:rPr>
              <w:t>Changes in fair value recorded in earnings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4"/>
                <w:szCs w:val="14"/>
                <w:color w:val="auto"/>
              </w:rPr>
              <w:t>(782)</w:t>
            </w:r>
          </w:p>
        </w:tc>
        <w:tc>
          <w:tcPr>
            <w:tcW w:w="14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(6,053)</w:t>
            </w:r>
          </w:p>
        </w:tc>
        <w:tc>
          <w:tcPr>
            <w:tcW w:w="0" w:type="dxa"/>
            <w:vAlign w:val="bottom"/>
          </w:tcPr>
          <w:p>
            <w:pPr>
              <w:spacing w:after="0"/>
              <w:rPr>
                <w:sz w:val="1"/>
                <w:szCs w:val="1"/>
                <w:color w:val="auto"/>
              </w:rPr>
            </w:pPr>
          </w:p>
        </w:tc>
      </w:tr>
      <w:tr>
        <w:trPr>
          <w:trHeight w:val="166"/>
        </w:trPr>
        <w:tc>
          <w:tcPr>
            <w:tcW w:w="6420" w:type="dxa"/>
            <w:vAlign w:val="bottom"/>
            <w:shd w:val="clear" w:color="auto" w:fill="CCEEFF"/>
          </w:tcPr>
          <w:p>
            <w:pPr>
              <w:spacing w:after="0"/>
              <w:rPr>
                <w:sz w:val="20"/>
                <w:szCs w:val="20"/>
                <w:color w:val="auto"/>
              </w:rPr>
            </w:pPr>
            <w:r>
              <w:rPr>
                <w:rFonts w:ascii="Arial" w:cs="Arial" w:eastAsia="Arial" w:hAnsi="Arial"/>
                <w:sz w:val="14"/>
                <w:szCs w:val="14"/>
                <w:color w:val="auto"/>
              </w:rPr>
              <w:t>Changes due to deconsolidation</w:t>
            </w:r>
          </w:p>
        </w:tc>
        <w:tc>
          <w:tcPr>
            <w:tcW w:w="48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(80,825)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2019</w:t>
            </w: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20" w:type="dxa"/>
            <w:vAlign w:val="bottom"/>
            <w:vMerge w:val="continue"/>
          </w:tcPr>
          <w:p>
            <w:pPr>
              <w:spacing w:after="0"/>
              <w:rPr>
                <w:sz w:val="14"/>
                <w:szCs w:val="14"/>
                <w:color w:val="auto"/>
              </w:rPr>
            </w:pPr>
          </w:p>
        </w:tc>
        <w:tc>
          <w:tcPr>
            <w:tcW w:w="560" w:type="dxa"/>
            <w:vAlign w:val="bottom"/>
            <w:gridSpan w:val="2"/>
          </w:tcPr>
          <w:p>
            <w:pPr>
              <w:jc w:val="center"/>
              <w:ind w:left="412"/>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34,116</w:t>
            </w:r>
          </w:p>
        </w:tc>
        <w:tc>
          <w:tcPr>
            <w:tcW w:w="4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89,672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Loan Servicing Assets and Liabilities</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Valuation Methodology</w:t>
      </w:r>
    </w:p>
    <w:p>
      <w:pPr>
        <w:spacing w:after="0" w:line="104" w:lineRule="exact"/>
        <w:rPr>
          <w:sz w:val="20"/>
          <w:szCs w:val="20"/>
          <w:color w:val="auto"/>
        </w:rPr>
      </w:pPr>
    </w:p>
    <w:p>
      <w:pPr>
        <w:jc w:val="both"/>
        <w:ind w:left="800" w:firstLine="482"/>
        <w:spacing w:after="0" w:line="238" w:lineRule="auto"/>
        <w:rPr>
          <w:sz w:val="20"/>
          <w:szCs w:val="20"/>
          <w:color w:val="auto"/>
        </w:rPr>
      </w:pPr>
      <w:r>
        <w:rPr>
          <w:rFonts w:ascii="Arial" w:cs="Arial" w:eastAsia="Arial" w:hAnsi="Arial"/>
          <w:sz w:val="16"/>
          <w:szCs w:val="16"/>
          <w:color w:val="auto"/>
        </w:rPr>
        <w:t>Loan servicing assets and liabilities are measured at estimated fair value using a discounted cash flow model. The cash flows in the valuation model represent the difference between the contractual</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0440"/>
          </w:cols>
          <w:pgMar w:left="320" w:top="419" w:right="113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00"/>
        <w:spacing w:after="0" w:line="236" w:lineRule="auto"/>
        <w:rPr>
          <w:sz w:val="20"/>
          <w:szCs w:val="20"/>
          <w:color w:val="auto"/>
        </w:rPr>
      </w:pPr>
      <w:r>
        <w:rPr>
          <w:rFonts w:ascii="Arial" w:cs="Arial" w:eastAsia="Arial" w:hAnsi="Arial"/>
          <w:sz w:val="16"/>
          <w:szCs w:val="16"/>
          <w:color w:val="auto"/>
        </w:rPr>
        <w:t>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Inputs and Assumptions</w:t>
      </w:r>
    </w:p>
    <w:p>
      <w:pPr>
        <w:spacing w:after="0" w:line="104"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following table presents quantitative information about the significant unobservable inputs used for the Company’s Level 3 fair value measurements for loan servicing assets and liabilities: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5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9"/>
              </w:rPr>
              <w:t>December 31, 2020</w:t>
            </w:r>
          </w:p>
        </w:tc>
        <w:tc>
          <w:tcPr>
            <w:tcW w:w="6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December 31, 2019</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Weighted-</w:t>
            </w: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w w:val="94"/>
              </w:rPr>
              <w:t>Minimum</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b w:val="1"/>
                <w:bCs w:val="1"/>
                <w:color w:val="auto"/>
                <w:w w:val="93"/>
              </w:rPr>
              <w:t>Maximum</w:t>
            </w:r>
          </w:p>
        </w:tc>
        <w:tc>
          <w:tcPr>
            <w:tcW w:w="440" w:type="dxa"/>
            <w:vAlign w:val="bottom"/>
          </w:tcPr>
          <w:p>
            <w:pPr>
              <w:spacing w:after="0"/>
              <w:rPr>
                <w:sz w:val="13"/>
                <w:szCs w:val="13"/>
                <w:color w:val="auto"/>
              </w:rPr>
            </w:pPr>
          </w:p>
        </w:tc>
        <w:tc>
          <w:tcPr>
            <w:tcW w:w="680" w:type="dxa"/>
            <w:vAlign w:val="bottom"/>
          </w:tcPr>
          <w:p>
            <w:pPr>
              <w:jc w:val="center"/>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(2)</w:t>
            </w:r>
          </w:p>
        </w:tc>
        <w:tc>
          <w:tcPr>
            <w:tcW w:w="44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w w:val="94"/>
              </w:rPr>
              <w:t>Minimum</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3"/>
              </w:rPr>
              <w:t>Maximum</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80" w:type="dxa"/>
            <w:vAlign w:val="bottom"/>
            <w:vMerge w:val="continue"/>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15.00%</w:t>
            </w:r>
          </w:p>
        </w:tc>
        <w:tc>
          <w:tcPr>
            <w:tcW w:w="1300" w:type="dxa"/>
            <w:vAlign w:val="bottom"/>
            <w:gridSpan w:val="3"/>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35.00%</w:t>
            </w:r>
          </w:p>
        </w:tc>
        <w:tc>
          <w:tcPr>
            <w:tcW w:w="1120" w:type="dxa"/>
            <w:vAlign w:val="bottom"/>
            <w:gridSpan w:val="2"/>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22.69%</w:t>
            </w:r>
          </w:p>
        </w:tc>
        <w:tc>
          <w:tcPr>
            <w:tcW w:w="7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15.00%</w:t>
            </w:r>
          </w:p>
        </w:tc>
        <w:tc>
          <w:tcPr>
            <w:tcW w:w="1320" w:type="dxa"/>
            <w:vAlign w:val="bottom"/>
            <w:gridSpan w:val="3"/>
            <w:shd w:val="clear" w:color="auto" w:fill="CCEEFF"/>
          </w:tcPr>
          <w:p>
            <w:pPr>
              <w:jc w:val="right"/>
              <w:ind w:right="320"/>
              <w:spacing w:after="0" w:line="157" w:lineRule="exact"/>
              <w:rPr>
                <w:sz w:val="20"/>
                <w:szCs w:val="20"/>
                <w:color w:val="auto"/>
              </w:rPr>
            </w:pPr>
            <w:r>
              <w:rPr>
                <w:rFonts w:ascii="Arial" w:cs="Arial" w:eastAsia="Arial" w:hAnsi="Arial"/>
                <w:sz w:val="14"/>
                <w:szCs w:val="14"/>
                <w:color w:val="auto"/>
              </w:rPr>
              <w:t>35.00%</w:t>
            </w:r>
          </w:p>
        </w:tc>
        <w:tc>
          <w:tcPr>
            <w:tcW w:w="8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166"/>
        </w:trPr>
        <w:tc>
          <w:tcPr>
            <w:tcW w:w="3580" w:type="dxa"/>
            <w:vAlign w:val="bottom"/>
          </w:tcPr>
          <w:p>
            <w:pPr>
              <w:spacing w:after="0" w:line="165" w:lineRule="exact"/>
              <w:rPr>
                <w:sz w:val="20"/>
                <w:szCs w:val="20"/>
                <w:color w:val="auto"/>
              </w:rPr>
            </w:pPr>
            <w:r>
              <w:rPr>
                <w:rFonts w:ascii="Arial" w:cs="Arial" w:eastAsia="Arial" w:hAnsi="Arial"/>
                <w:sz w:val="12"/>
                <w:szCs w:val="12"/>
                <w:color w:val="auto"/>
              </w:rPr>
              <w:t>Credit risk rate</w:t>
            </w:r>
            <w:r>
              <w:rPr>
                <w:rFonts w:ascii="Arial" w:cs="Arial" w:eastAsia="Arial" w:hAnsi="Arial"/>
                <w:sz w:val="19"/>
                <w:szCs w:val="19"/>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0.03%</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color w:val="auto"/>
              </w:rPr>
              <w:t>52.78%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17.19%</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52.76%</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16.72%</w:t>
            </w:r>
          </w:p>
        </w:tc>
        <w:tc>
          <w:tcPr>
            <w:tcW w:w="0" w:type="dxa"/>
            <w:vAlign w:val="bottom"/>
          </w:tcPr>
          <w:p>
            <w:pPr>
              <w:spacing w:after="0"/>
              <w:rPr>
                <w:sz w:val="1"/>
                <w:szCs w:val="1"/>
                <w:color w:val="auto"/>
              </w:rPr>
            </w:pPr>
          </w:p>
        </w:tc>
      </w:tr>
      <w:tr>
        <w:trPr>
          <w:trHeight w:val="166"/>
        </w:trPr>
        <w:tc>
          <w:tcPr>
            <w:tcW w:w="358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Market-servicing rate</w:t>
            </w:r>
            <w:r>
              <w:rPr>
                <w:rFonts w:ascii="Arial" w:cs="Arial" w:eastAsia="Arial" w:hAnsi="Arial"/>
                <w:sz w:val="19"/>
                <w:szCs w:val="19"/>
                <w:color w:val="auto"/>
                <w:vertAlign w:val="superscript"/>
              </w:rPr>
              <w:t>(3)(4)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0.75%</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0.75%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0.75%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0.78%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0.78%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309"/>
        </w:trPr>
        <w:tc>
          <w:tcPr>
            <w:tcW w:w="358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4"/>
                <w:szCs w:val="24"/>
                <w:color w:val="auto"/>
                <w:vertAlign w:val="superscript"/>
              </w:rPr>
              <w:t>(1)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9.07%</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color w:val="auto"/>
              </w:rPr>
              <w:t>89.01%</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31.62%</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11.60%</w:t>
            </w:r>
          </w:p>
        </w:tc>
        <w:tc>
          <w:tcPr>
            <w:tcW w:w="1320" w:type="dxa"/>
            <w:vAlign w:val="bottom"/>
            <w:gridSpan w:val="3"/>
          </w:tcPr>
          <w:p>
            <w:pPr>
              <w:jc w:val="right"/>
              <w:ind w:right="320"/>
              <w:spacing w:after="0"/>
              <w:rPr>
                <w:sz w:val="20"/>
                <w:szCs w:val="20"/>
                <w:color w:val="auto"/>
              </w:rPr>
            </w:pPr>
            <w:r>
              <w:rPr>
                <w:rFonts w:ascii="Arial" w:cs="Arial" w:eastAsia="Arial" w:hAnsi="Arial"/>
                <w:sz w:val="14"/>
                <w:szCs w:val="14"/>
                <w:color w:val="auto"/>
              </w:rPr>
              <w:t>76.45%</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-15240</wp:posOffset>
            </wp:positionV>
            <wp:extent cx="67564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ind w:left="1280" w:hanging="481"/>
        <w:spacing w:after="0" w:line="184" w:lineRule="auto"/>
        <w:tabs>
          <w:tab w:leader="none" w:pos="1280" w:val="left"/>
        </w:tabs>
        <w:numPr>
          <w:ilvl w:val="0"/>
          <w:numId w:val="128"/>
        </w:numPr>
        <w:rPr>
          <w:rFonts w:ascii="Arial" w:cs="Arial" w:eastAsia="Arial" w:hAnsi="Arial"/>
          <w:sz w:val="19"/>
          <w:szCs w:val="19"/>
          <w:color w:val="auto"/>
          <w:vertAlign w:val="superscript"/>
        </w:rPr>
      </w:pPr>
      <w:r>
        <w:rPr>
          <w:rFonts w:ascii="Arial" w:cs="Arial" w:eastAsia="Arial" w:hAnsi="Arial"/>
          <w:sz w:val="12"/>
          <w:szCs w:val="12"/>
          <w:color w:val="auto"/>
        </w:rPr>
        <w:t>Expressed as a percentage of the original principal balance of the loans underlying the servicing arrangement</w:t>
      </w:r>
    </w:p>
    <w:p>
      <w:pPr>
        <w:ind w:left="1280" w:hanging="481"/>
        <w:spacing w:after="0" w:line="185" w:lineRule="auto"/>
        <w:tabs>
          <w:tab w:leader="none" w:pos="1280" w:val="left"/>
        </w:tabs>
        <w:numPr>
          <w:ilvl w:val="0"/>
          <w:numId w:val="128"/>
        </w:numPr>
        <w:rPr>
          <w:rFonts w:ascii="Arial" w:cs="Arial" w:eastAsia="Arial" w:hAnsi="Arial"/>
          <w:sz w:val="16"/>
          <w:szCs w:val="16"/>
          <w:color w:val="auto"/>
          <w:vertAlign w:val="superscript"/>
        </w:rPr>
      </w:pPr>
      <w:r>
        <w:rPr>
          <w:rFonts w:ascii="Arial" w:cs="Arial" w:eastAsia="Arial" w:hAnsi="Arial"/>
          <w:sz w:val="10"/>
          <w:szCs w:val="10"/>
          <w:color w:val="auto"/>
        </w:rPr>
        <w:t>Unobservable inputs were weighted by relative fair value</w:t>
      </w:r>
    </w:p>
    <w:p>
      <w:pPr>
        <w:ind w:left="1280" w:hanging="481"/>
        <w:spacing w:after="0" w:line="185" w:lineRule="auto"/>
        <w:tabs>
          <w:tab w:leader="none" w:pos="1280" w:val="left"/>
        </w:tabs>
        <w:numPr>
          <w:ilvl w:val="0"/>
          <w:numId w:val="128"/>
        </w:numPr>
        <w:rPr>
          <w:rFonts w:ascii="Arial" w:cs="Arial" w:eastAsia="Arial" w:hAnsi="Arial"/>
          <w:sz w:val="16"/>
          <w:szCs w:val="16"/>
          <w:color w:val="auto"/>
          <w:vertAlign w:val="superscript"/>
        </w:rPr>
      </w:pPr>
      <w:r>
        <w:rPr>
          <w:rFonts w:ascii="Arial" w:cs="Arial" w:eastAsia="Arial" w:hAnsi="Arial"/>
          <w:sz w:val="10"/>
          <w:szCs w:val="10"/>
          <w:color w:val="auto"/>
        </w:rPr>
        <w:t>Excludes ancillary fees that would be passed on to a third-party servicer</w:t>
      </w:r>
    </w:p>
    <w:p>
      <w:pPr>
        <w:ind w:left="1280" w:hanging="481"/>
        <w:spacing w:after="0" w:line="186" w:lineRule="auto"/>
        <w:tabs>
          <w:tab w:leader="none" w:pos="1280" w:val="left"/>
        </w:tabs>
        <w:numPr>
          <w:ilvl w:val="0"/>
          <w:numId w:val="128"/>
        </w:numPr>
        <w:rPr>
          <w:rFonts w:ascii="Arial" w:cs="Arial" w:eastAsia="Arial" w:hAnsi="Arial"/>
          <w:sz w:val="17"/>
          <w:szCs w:val="17"/>
          <w:color w:val="auto"/>
          <w:vertAlign w:val="superscript"/>
        </w:rPr>
      </w:pPr>
      <w:r>
        <w:rPr>
          <w:rFonts w:ascii="Arial" w:cs="Arial" w:eastAsia="Arial" w:hAnsi="Arial"/>
          <w:sz w:val="10"/>
          <w:szCs w:val="10"/>
          <w:color w:val="auto"/>
        </w:rPr>
        <w:t>Expressed as a percentage of the outstanding principal balance of the loan</w:t>
      </w:r>
    </w:p>
    <w:p>
      <w:pPr>
        <w:spacing w:after="0" w:line="159" w:lineRule="exact"/>
        <w:rPr>
          <w:sz w:val="20"/>
          <w:szCs w:val="20"/>
          <w:color w:val="auto"/>
        </w:rPr>
      </w:pPr>
    </w:p>
    <w:p>
      <w:pPr>
        <w:ind w:left="800" w:right="40" w:firstLine="482"/>
        <w:spacing w:after="0"/>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in servicing rights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63" w:lineRule="exact"/>
        <w:rPr>
          <w:sz w:val="20"/>
          <w:szCs w:val="20"/>
          <w:color w:val="auto"/>
        </w:rPr>
      </w:pPr>
    </w:p>
    <w:p>
      <w:pPr>
        <w:ind w:left="800" w:right="120" w:firstLine="482"/>
        <w:spacing w:after="0" w:line="269"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the Company’s estimate of the net cumulative principal payments that will not be repaid</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entire life of a loan expressed as a percentage of the original principal amount of the loan. The assumption regarding net cumulative losses impact the projected balances and expected terms of the loans, which are used to project future servicing revenues.</w:t>
      </w:r>
    </w:p>
    <w:p>
      <w:pPr>
        <w:spacing w:after="0" w:line="141" w:lineRule="exact"/>
        <w:rPr>
          <w:sz w:val="20"/>
          <w:szCs w:val="20"/>
          <w:color w:val="auto"/>
        </w:rPr>
      </w:pPr>
    </w:p>
    <w:p>
      <w:pPr>
        <w:ind w:left="800" w:right="40" w:firstLine="482"/>
        <w:spacing w:after="0"/>
        <w:rPr>
          <w:sz w:val="20"/>
          <w:szCs w:val="20"/>
          <w:color w:val="auto"/>
        </w:rPr>
      </w:pPr>
      <w:r>
        <w:rPr>
          <w:rFonts w:ascii="Arial" w:cs="Arial" w:eastAsia="Arial" w:hAnsi="Arial"/>
          <w:sz w:val="16"/>
          <w:szCs w:val="16"/>
          <w:i w:val="1"/>
          <w:iCs w:val="1"/>
          <w:color w:val="auto"/>
        </w:rPr>
        <w:t>Market-servicing rates</w:t>
      </w:r>
      <w:r>
        <w:rPr>
          <w:rFonts w:ascii="Arial" w:cs="Arial" w:eastAsia="Arial" w:hAnsi="Arial"/>
          <w:sz w:val="16"/>
          <w:szCs w:val="16"/>
          <w:color w:val="auto"/>
        </w:rPr>
        <w:t>—Market-servicing rate is an estimated measure of adequate compensation for a market participant, if one</w:t>
      </w:r>
      <w:r>
        <w:rPr>
          <w:rFonts w:ascii="Arial" w:cs="Arial" w:eastAsia="Arial" w:hAnsi="Arial"/>
          <w:sz w:val="16"/>
          <w:szCs w:val="16"/>
          <w:i w:val="1"/>
          <w:iCs w:val="1"/>
          <w:color w:val="auto"/>
        </w:rPr>
        <w:t xml:space="preserve"> </w:t>
      </w:r>
      <w:r>
        <w:rPr>
          <w:rFonts w:ascii="Arial" w:cs="Arial" w:eastAsia="Arial" w:hAnsi="Arial"/>
          <w:sz w:val="16"/>
          <w:szCs w:val="16"/>
          <w:color w:val="auto"/>
        </w:rPr>
        <w:t>was required. The 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68" w:lineRule="exact"/>
        <w:rPr>
          <w:sz w:val="20"/>
          <w:szCs w:val="20"/>
          <w:color w:val="auto"/>
        </w:rPr>
      </w:pPr>
    </w:p>
    <w:p>
      <w:pPr>
        <w:jc w:val="both"/>
        <w:ind w:left="800" w:right="20" w:firstLine="482"/>
        <w:spacing w:after="0" w:line="244" w:lineRule="auto"/>
        <w:rPr>
          <w:sz w:val="20"/>
          <w:szCs w:val="20"/>
          <w:color w:val="auto"/>
        </w:rPr>
      </w:pPr>
      <w:r>
        <w:rPr>
          <w:rFonts w:ascii="Arial" w:cs="Arial" w:eastAsia="Arial" w:hAnsi="Arial"/>
          <w:sz w:val="16"/>
          <w:szCs w:val="16"/>
          <w:i w:val="1"/>
          <w:iCs w:val="1"/>
          <w:color w:val="auto"/>
        </w:rPr>
        <w:t>Prepayment rates</w:t>
      </w:r>
      <w:r>
        <w:rPr>
          <w:rFonts w:ascii="Arial" w:cs="Arial" w:eastAsia="Arial" w:hAnsi="Arial"/>
          <w:sz w:val="16"/>
          <w:szCs w:val="16"/>
          <w:color w:val="auto"/>
        </w:rPr>
        <w:t>—Prepayment rates are the Company’s estimate of the cumulative principal prepayments that will occur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entire life of a loan as a percentage of the original principal amount of the loan. The assumption regarding cumulative prepayments impact the projected balances and expected terms of the loans, which are used to project future servicing revenues.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Recurring Level 3 Fair Value Input Sensitivity</w:t>
      </w:r>
    </w:p>
    <w:p>
      <w:pPr>
        <w:spacing w:after="0" w:line="104" w:lineRule="exact"/>
        <w:rPr>
          <w:sz w:val="20"/>
          <w:szCs w:val="20"/>
          <w:color w:val="auto"/>
        </w:rPr>
      </w:pPr>
    </w:p>
    <w:p>
      <w:pPr>
        <w:ind w:left="800" w:right="240" w:firstLine="482"/>
        <w:spacing w:after="0" w:line="238" w:lineRule="auto"/>
        <w:rPr>
          <w:sz w:val="20"/>
          <w:szCs w:val="20"/>
          <w:color w:val="auto"/>
        </w:rPr>
      </w:pPr>
      <w:r>
        <w:rPr>
          <w:rFonts w:ascii="Arial" w:cs="Arial" w:eastAsia="Arial" w:hAnsi="Arial"/>
          <w:sz w:val="16"/>
          <w:szCs w:val="16"/>
          <w:color w:val="auto"/>
        </w:rPr>
        <w:t>The table below presents the fair value sensitivity of loan servicing assets and liabilities to adverse changes in key assumptions. The fair value of loan servicing assets and liabilities is not</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440"/>
          </w:cols>
          <w:pgMar w:left="320" w:top="419" w:right="113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60"/>
        <w:spacing w:after="0" w:line="238" w:lineRule="auto"/>
        <w:rPr>
          <w:sz w:val="20"/>
          <w:szCs w:val="20"/>
          <w:color w:val="auto"/>
        </w:rPr>
      </w:pPr>
      <w:r>
        <w:rPr>
          <w:rFonts w:ascii="Arial" w:cs="Arial" w:eastAsia="Arial" w:hAnsi="Arial"/>
          <w:sz w:val="16"/>
          <w:szCs w:val="16"/>
          <w:color w:val="auto"/>
        </w:rPr>
        <w:t>sensitive to adverse changes in discount rates as such changes would not result in a significant impact on the fair value as of December 31, 2020 and 2019, respectively.</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020" w:type="dxa"/>
            <w:vAlign w:val="bottom"/>
            <w:vMerge w:val="restart"/>
          </w:tcPr>
          <w:p>
            <w:pPr>
              <w:spacing w:after="0"/>
              <w:rPr>
                <w:sz w:val="20"/>
                <w:szCs w:val="20"/>
                <w:color w:val="auto"/>
              </w:rPr>
            </w:pPr>
            <w:r>
              <w:rPr>
                <w:rFonts w:ascii="Arial" w:cs="Arial" w:eastAsia="Arial" w:hAnsi="Arial"/>
                <w:sz w:val="13"/>
                <w:szCs w:val="13"/>
                <w:i w:val="1"/>
                <w:iCs w:val="1"/>
                <w:color w:val="auto"/>
              </w:rPr>
              <w:t>(amounts in thousands)</w:t>
            </w:r>
          </w:p>
        </w:tc>
        <w:tc>
          <w:tcPr>
            <w:tcW w:w="100" w:type="dxa"/>
            <w:vAlign w:val="bottom"/>
          </w:tcPr>
          <w:p>
            <w:pPr>
              <w:spacing w:after="0"/>
              <w:rPr>
                <w:sz w:val="13"/>
                <w:szCs w:val="13"/>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8020" w:type="dxa"/>
            <w:vAlign w:val="bottom"/>
            <w:tcBorders>
              <w:bottom w:val="single" w:sz="8" w:color="CCEEFF"/>
            </w:tcBorders>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0"/>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9"/>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of loan servicing assets</w:t>
            </w:r>
          </w:p>
        </w:tc>
        <w:tc>
          <w:tcPr>
            <w:tcW w:w="1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6,831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4,725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20" w:type="dxa"/>
            <w:vAlign w:val="bottom"/>
          </w:tcPr>
          <w:p>
            <w:pPr>
              <w:spacing w:after="0"/>
              <w:rPr>
                <w:sz w:val="20"/>
                <w:szCs w:val="20"/>
                <w:color w:val="auto"/>
              </w:rPr>
            </w:pPr>
            <w:r>
              <w:rPr>
                <w:rFonts w:ascii="Arial" w:cs="Arial" w:eastAsia="Arial" w:hAnsi="Arial"/>
                <w:sz w:val="14"/>
                <w:szCs w:val="14"/>
                <w:color w:val="auto"/>
              </w:rPr>
              <w:t>Expected market-servicing rates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 market-servicing rates increase</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(19,013)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(29,631)</w:t>
            </w:r>
          </w:p>
        </w:tc>
        <w:tc>
          <w:tcPr>
            <w:tcW w:w="0" w:type="dxa"/>
            <w:vAlign w:val="bottom"/>
          </w:tcPr>
          <w:p>
            <w:pPr>
              <w:spacing w:after="0"/>
              <w:rPr>
                <w:sz w:val="1"/>
                <w:szCs w:val="1"/>
                <w:color w:val="auto"/>
              </w:rPr>
            </w:pPr>
          </w:p>
        </w:tc>
      </w:tr>
      <w:tr>
        <w:trPr>
          <w:trHeight w:val="166"/>
        </w:trPr>
        <w:tc>
          <w:tcPr>
            <w:tcW w:w="8020" w:type="dxa"/>
            <w:vAlign w:val="bottom"/>
          </w:tcPr>
          <w:p>
            <w:pPr>
              <w:ind w:left="280"/>
              <w:spacing w:after="0"/>
              <w:rPr>
                <w:sz w:val="20"/>
                <w:szCs w:val="20"/>
                <w:color w:val="auto"/>
              </w:rPr>
            </w:pPr>
            <w:r>
              <w:rPr>
                <w:rFonts w:ascii="Arial" w:cs="Arial" w:eastAsia="Arial" w:hAnsi="Arial"/>
                <w:sz w:val="14"/>
                <w:szCs w:val="14"/>
                <w:color w:val="auto"/>
              </w:rPr>
              <w:t>20% market-servicing rates increase</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5"/>
              </w:rPr>
              <w:t>(38,027)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(59,262)</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spacing w:after="0"/>
              <w:rPr>
                <w:sz w:val="20"/>
                <w:szCs w:val="20"/>
                <w:color w:val="auto"/>
              </w:rPr>
            </w:pPr>
            <w:r>
              <w:rPr>
                <w:rFonts w:ascii="Arial" w:cs="Arial" w:eastAsia="Arial" w:hAnsi="Arial"/>
                <w:sz w:val="14"/>
                <w:szCs w:val="14"/>
                <w:color w:val="auto"/>
              </w:rPr>
              <w:t>Expected prepayment rates</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80"/>
              <w:spacing w:after="0"/>
              <w:rPr>
                <w:sz w:val="20"/>
                <w:szCs w:val="20"/>
                <w:color w:val="auto"/>
              </w:rPr>
            </w:pPr>
            <w:r>
              <w:rPr>
                <w:rFonts w:ascii="Arial" w:cs="Arial" w:eastAsia="Arial" w:hAnsi="Arial"/>
                <w:sz w:val="14"/>
                <w:szCs w:val="14"/>
                <w:color w:val="auto"/>
              </w:rPr>
              <w:t>10% adverse change</w:t>
            </w: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(2,061)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 adverse change</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(4,212)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(7,440)</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4"/>
                <w:szCs w:val="14"/>
                <w:b w:val="1"/>
                <w:bCs w:val="1"/>
                <w:color w:val="auto"/>
              </w:rPr>
              <w:t>Fair value of loan servicing liabilities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20" w:type="dxa"/>
            <w:vAlign w:val="bottom"/>
            <w:vMerge w:val="continue"/>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8,254</w:t>
            </w:r>
          </w:p>
        </w:tc>
        <w:tc>
          <w:tcPr>
            <w:tcW w:w="2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spacing w:after="0"/>
              <w:rPr>
                <w:sz w:val="20"/>
                <w:szCs w:val="20"/>
                <w:color w:val="auto"/>
              </w:rPr>
            </w:pPr>
            <w:r>
              <w:rPr>
                <w:rFonts w:ascii="Arial" w:cs="Arial" w:eastAsia="Arial" w:hAnsi="Arial"/>
                <w:sz w:val="14"/>
                <w:szCs w:val="14"/>
                <w:color w:val="auto"/>
              </w:rPr>
              <w:t>Expected market-servicing rates</w:t>
            </w: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280"/>
              <w:spacing w:after="0"/>
              <w:rPr>
                <w:sz w:val="20"/>
                <w:szCs w:val="20"/>
                <w:color w:val="auto"/>
              </w:rPr>
            </w:pPr>
            <w:r>
              <w:rPr>
                <w:rFonts w:ascii="Arial" w:cs="Arial" w:eastAsia="Arial" w:hAnsi="Arial"/>
                <w:sz w:val="14"/>
                <w:szCs w:val="14"/>
                <w:color w:val="auto"/>
              </w:rPr>
              <w:t>10% market-servicing rates increase</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22,974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32,234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 market-servicing rates increase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45,948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spacing w:after="0"/>
              <w:rPr>
                <w:sz w:val="20"/>
                <w:szCs w:val="20"/>
                <w:color w:val="auto"/>
              </w:rPr>
            </w:pPr>
            <w:r>
              <w:rPr>
                <w:rFonts w:ascii="Arial" w:cs="Arial" w:eastAsia="Arial" w:hAnsi="Arial"/>
                <w:sz w:val="14"/>
                <w:szCs w:val="14"/>
                <w:color w:val="auto"/>
              </w:rPr>
              <w:t>Expected prepayment rates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 adverse change</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172"/>
        </w:trPr>
        <w:tc>
          <w:tcPr>
            <w:tcW w:w="8020" w:type="dxa"/>
            <w:vAlign w:val="bottom"/>
          </w:tcPr>
          <w:p>
            <w:pPr>
              <w:ind w:left="280"/>
              <w:spacing w:after="0"/>
              <w:rPr>
                <w:sz w:val="20"/>
                <w:szCs w:val="20"/>
                <w:color w:val="auto"/>
              </w:rPr>
            </w:pPr>
            <w:r>
              <w:rPr>
                <w:rFonts w:ascii="Arial" w:cs="Arial" w:eastAsia="Arial" w:hAnsi="Arial"/>
                <w:sz w:val="14"/>
                <w:szCs w:val="14"/>
                <w:color w:val="auto"/>
              </w:rPr>
              <w:t>20% adverse change</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5,089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8,093</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104"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The following table presents a rollforward of the loan servicing assets and liabilities classified by the Company within Level 3 of the fair value hierarchy (in thousands):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760" w:type="dxa"/>
            <w:vAlign w:val="bottom"/>
            <w:gridSpan w:val="7"/>
          </w:tcPr>
          <w:p>
            <w:pPr>
              <w:spacing w:after="0"/>
              <w:rPr>
                <w:sz w:val="20"/>
                <w:szCs w:val="20"/>
                <w:color w:val="auto"/>
              </w:rPr>
            </w:pPr>
            <w:r>
              <w:rPr>
                <w:rFonts w:ascii="Arial" w:cs="Arial" w:eastAsia="Arial" w:hAnsi="Arial"/>
                <w:sz w:val="13"/>
                <w:szCs w:val="13"/>
                <w:b w:val="1"/>
                <w:bCs w:val="1"/>
                <w:color w:val="auto"/>
              </w:rPr>
              <w:t>Loan Servicing</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Loan Servicing</w:t>
            </w:r>
          </w:p>
        </w:tc>
        <w:tc>
          <w:tcPr>
            <w:tcW w:w="0" w:type="dxa"/>
            <w:vAlign w:val="bottom"/>
          </w:tcPr>
          <w:p>
            <w:pPr>
              <w:spacing w:after="0"/>
              <w:rPr>
                <w:sz w:val="1"/>
                <w:szCs w:val="1"/>
                <w:color w:val="auto"/>
              </w:rPr>
            </w:pPr>
          </w:p>
        </w:tc>
      </w:tr>
      <w:tr>
        <w:trPr>
          <w:trHeight w:val="154"/>
        </w:trPr>
        <w:tc>
          <w:tcPr>
            <w:tcW w:w="478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Assets</w:t>
            </w:r>
          </w:p>
        </w:tc>
        <w:tc>
          <w:tcPr>
            <w:tcW w:w="840" w:type="dxa"/>
            <w:vAlign w:val="bottom"/>
            <w:tcBorders>
              <w:bottom w:val="single" w:sz="8" w:color="CCEEFF"/>
            </w:tcBorders>
            <w:gridSpan w:val="3"/>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9"/>
              </w:rPr>
              <w:t>Liabilities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2019</w:t>
            </w:r>
          </w:p>
        </w:tc>
        <w:tc>
          <w:tcPr>
            <w:tcW w:w="2100" w:type="dxa"/>
            <w:vAlign w:val="bottom"/>
            <w:shd w:val="clear" w:color="auto" w:fill="CCEEFF"/>
          </w:tcPr>
          <w:p>
            <w:pPr>
              <w:spacing w:after="0"/>
              <w:rPr>
                <w:sz w:val="13"/>
                <w:szCs w:val="13"/>
                <w:color w:val="auto"/>
              </w:rPr>
            </w:pPr>
          </w:p>
        </w:tc>
        <w:tc>
          <w:tcPr>
            <w:tcW w:w="180" w:type="dxa"/>
            <w:vAlign w:val="bottom"/>
            <w:tcBorders>
              <w:bottom w:val="single" w:sz="8" w:color="auto"/>
            </w:tcBorders>
            <w:gridSpan w:val="3"/>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4,725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5,140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color w:val="auto"/>
              </w:rPr>
              <w:t>Sale of loans</w:t>
            </w: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7,269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66"/>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Changes in fair value recorded in earnings</w:t>
            </w:r>
          </w:p>
        </w:tc>
        <w:tc>
          <w:tcPr>
            <w:tcW w:w="2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gridSpan w:val="4"/>
            <w:shd w:val="clear" w:color="auto" w:fill="CCEEFF"/>
          </w:tcPr>
          <w:p>
            <w:pPr>
              <w:jc w:val="right"/>
              <w:ind w:right="800"/>
              <w:spacing w:after="0"/>
              <w:rPr>
                <w:sz w:val="20"/>
                <w:szCs w:val="20"/>
                <w:color w:val="auto"/>
              </w:rPr>
            </w:pPr>
            <w:r>
              <w:rPr>
                <w:rFonts w:ascii="Arial" w:cs="Arial" w:eastAsia="Arial" w:hAnsi="Arial"/>
                <w:sz w:val="14"/>
                <w:szCs w:val="14"/>
                <w:color w:val="auto"/>
              </w:rPr>
              <w:t>(5,163)</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b w:val="1"/>
                <w:bCs w:val="1"/>
                <w:color w:val="auto"/>
              </w:rPr>
              <w:t>Fair value at December 31, 2020</w:t>
            </w:r>
          </w:p>
        </w:tc>
        <w:tc>
          <w:tcPr>
            <w:tcW w:w="2100" w:type="dxa"/>
            <w:vAlign w:val="bottom"/>
          </w:tcPr>
          <w:p>
            <w:pPr>
              <w:spacing w:after="0"/>
              <w:rPr>
                <w:sz w:val="14"/>
                <w:szCs w:val="14"/>
                <w:color w:val="auto"/>
              </w:rPr>
            </w:pPr>
          </w:p>
        </w:tc>
        <w:tc>
          <w:tcPr>
            <w:tcW w:w="1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7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3"/>
                <w:szCs w:val="13"/>
                <w:b w:val="1"/>
                <w:bCs w:val="1"/>
                <w:color w:val="auto"/>
              </w:rPr>
              <w:t>Loan Servicing</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Loan Servicing</w:t>
            </w:r>
          </w:p>
        </w:tc>
        <w:tc>
          <w:tcPr>
            <w:tcW w:w="0" w:type="dxa"/>
            <w:vAlign w:val="bottom"/>
          </w:tcPr>
          <w:p>
            <w:pPr>
              <w:spacing w:after="0"/>
              <w:rPr>
                <w:sz w:val="1"/>
                <w:szCs w:val="1"/>
                <w:color w:val="auto"/>
              </w:rPr>
            </w:pPr>
          </w:p>
        </w:tc>
      </w:tr>
      <w:tr>
        <w:trPr>
          <w:trHeight w:val="154"/>
        </w:trPr>
        <w:tc>
          <w:tcPr>
            <w:tcW w:w="478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Assets</w:t>
            </w:r>
          </w:p>
        </w:tc>
        <w:tc>
          <w:tcPr>
            <w:tcW w:w="82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9"/>
              </w:rPr>
              <w:t>Liabilities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2280" w:type="dxa"/>
            <w:vAlign w:val="bottom"/>
            <w:gridSpan w:val="4"/>
            <w:shd w:val="clear" w:color="auto" w:fill="CCEEFF"/>
          </w:tcPr>
          <w:p>
            <w:pPr>
              <w:ind w:left="2140"/>
              <w:spacing w:after="0" w:line="157" w:lineRule="exact"/>
              <w:rPr>
                <w:sz w:val="20"/>
                <w:szCs w:val="20"/>
                <w:color w:val="auto"/>
              </w:rPr>
            </w:pPr>
            <w:r>
              <w:rPr>
                <w:rFonts w:ascii="Arial" w:cs="Arial" w:eastAsia="Arial" w:hAnsi="Arial"/>
                <w:sz w:val="14"/>
                <w:szCs w:val="14"/>
                <w:color w:val="auto"/>
              </w:rPr>
              <w:t>$</w:t>
            </w:r>
          </w:p>
        </w:tc>
        <w:tc>
          <w:tcPr>
            <w:tcW w:w="1580" w:type="dxa"/>
            <w:vAlign w:val="bottom"/>
            <w:gridSpan w:val="4"/>
            <w:shd w:val="clear" w:color="auto" w:fill="CCEEFF"/>
          </w:tcPr>
          <w:p>
            <w:pPr>
              <w:ind w:left="6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20"/>
                <w:szCs w:val="20"/>
                <w:color w:val="auto"/>
              </w:rPr>
            </w:pPr>
            <w:r>
              <w:rPr>
                <w:rFonts w:ascii="Arial" w:cs="Arial" w:eastAsia="Arial" w:hAnsi="Arial"/>
                <w:sz w:val="14"/>
                <w:szCs w:val="14"/>
                <w:color w:val="auto"/>
              </w:rPr>
              <w:t>Sale of loans</w:t>
            </w: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3,874</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Changes in fair value recorded in earnings</w:t>
            </w:r>
          </w:p>
        </w:tc>
        <w:tc>
          <w:tcPr>
            <w:tcW w:w="2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2019</w:t>
            </w: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2280" w:type="dxa"/>
            <w:vAlign w:val="bottom"/>
            <w:gridSpan w:val="4"/>
          </w:tcPr>
          <w:p>
            <w:pPr>
              <w:ind w:left="214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rPr>
              <w:t>4,725</w:t>
            </w:r>
          </w:p>
        </w:tc>
        <w:tc>
          <w:tcPr>
            <w:tcW w:w="8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5,140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Other Assets</w:t>
      </w:r>
    </w:p>
    <w:p>
      <w:pPr>
        <w:spacing w:after="0" w:line="106"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During the year ended December 31, 2019 the Company’s other assets were composed of financial instruments related to the Company’s legacy loan programs, which were wound down prior to December 31, 2019. The fair value of these financial instruments were estimated using the discounted cash flow model based on expected cash flows of the underlying loans. As of December 31, 2020 and 2019 the Company did not hold any of these financial instruments.</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440"/>
          </w:cols>
          <w:pgMar w:left="320" w:top="419" w:right="113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104" w:lineRule="exact"/>
        <w:rPr>
          <w:sz w:val="20"/>
          <w:szCs w:val="20"/>
          <w:color w:val="auto"/>
        </w:rPr>
      </w:pPr>
    </w:p>
    <w:p>
      <w:pPr>
        <w:ind w:left="800" w:right="60" w:firstLine="482"/>
        <w:spacing w:after="0" w:line="238" w:lineRule="auto"/>
        <w:rPr>
          <w:sz w:val="20"/>
          <w:szCs w:val="20"/>
          <w:color w:val="auto"/>
        </w:rPr>
      </w:pPr>
      <w:r>
        <w:rPr>
          <w:rFonts w:ascii="Arial" w:cs="Arial" w:eastAsia="Arial" w:hAnsi="Arial"/>
          <w:sz w:val="16"/>
          <w:szCs w:val="16"/>
          <w:color w:val="auto"/>
        </w:rPr>
        <w:t>The following table includes a rollforward of other assets classified by the Company within Level 3 of the fair value hierarchy during the year ended December 31, 2019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57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Other Assets</w:t>
            </w:r>
          </w:p>
        </w:tc>
        <w:tc>
          <w:tcPr>
            <w:tcW w:w="80" w:type="dxa"/>
            <w:vAlign w:val="bottom"/>
            <w:tcBorders>
              <w:bottom w:val="single" w:sz="8" w:color="CCEEFF"/>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7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3280" w:type="dxa"/>
            <w:vAlign w:val="bottom"/>
            <w:gridSpan w:val="2"/>
            <w:shd w:val="clear" w:color="auto" w:fill="CCEEFF"/>
          </w:tcPr>
          <w:p>
            <w:pPr>
              <w:ind w:left="306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1,410</w:t>
            </w:r>
          </w:p>
        </w:tc>
      </w:tr>
      <w:tr>
        <w:trPr>
          <w:trHeight w:val="169"/>
        </w:trPr>
        <w:tc>
          <w:tcPr>
            <w:tcW w:w="5720" w:type="dxa"/>
            <w:vAlign w:val="bottom"/>
            <w:gridSpan w:val="2"/>
          </w:tcPr>
          <w:p>
            <w:pPr>
              <w:spacing w:after="0"/>
              <w:rPr>
                <w:sz w:val="20"/>
                <w:szCs w:val="20"/>
                <w:color w:val="auto"/>
              </w:rPr>
            </w:pPr>
            <w:r>
              <w:rPr>
                <w:rFonts w:ascii="Arial" w:cs="Arial" w:eastAsia="Arial" w:hAnsi="Arial"/>
                <w:sz w:val="14"/>
                <w:szCs w:val="14"/>
                <w:color w:val="auto"/>
              </w:rPr>
              <w:t>Issuances</w:t>
            </w:r>
          </w:p>
        </w:tc>
        <w:tc>
          <w:tcPr>
            <w:tcW w:w="30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Repayments and settlements</w:t>
            </w:r>
          </w:p>
        </w:tc>
        <w:tc>
          <w:tcPr>
            <w:tcW w:w="3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(174)</w:t>
            </w:r>
          </w:p>
        </w:tc>
      </w:tr>
      <w:tr>
        <w:trPr>
          <w:trHeight w:val="166"/>
        </w:trPr>
        <w:tc>
          <w:tcPr>
            <w:tcW w:w="5720" w:type="dxa"/>
            <w:vAlign w:val="bottom"/>
            <w:gridSpan w:val="2"/>
          </w:tcPr>
          <w:p>
            <w:pPr>
              <w:spacing w:after="0"/>
              <w:rPr>
                <w:sz w:val="20"/>
                <w:szCs w:val="20"/>
                <w:color w:val="auto"/>
              </w:rPr>
            </w:pPr>
            <w:r>
              <w:rPr>
                <w:rFonts w:ascii="Arial" w:cs="Arial" w:eastAsia="Arial" w:hAnsi="Arial"/>
                <w:sz w:val="14"/>
                <w:szCs w:val="14"/>
                <w:color w:val="auto"/>
              </w:rPr>
              <w:t>Changes in fair value recorded in earnings</w:t>
            </w: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r>
      <w:tr>
        <w:trPr>
          <w:trHeight w:val="166"/>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auto"/>
              </w:rPr>
              <w:t>Other changes</w:t>
            </w:r>
          </w:p>
        </w:tc>
        <w:tc>
          <w:tcPr>
            <w:tcW w:w="3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r>
      <w:tr>
        <w:trPr>
          <w:trHeight w:val="169"/>
        </w:trPr>
        <w:tc>
          <w:tcPr>
            <w:tcW w:w="5720" w:type="dxa"/>
            <w:vAlign w:val="bottom"/>
            <w:gridSpan w:val="2"/>
          </w:tcPr>
          <w:p>
            <w:pPr>
              <w:spacing w:after="0"/>
              <w:rPr>
                <w:sz w:val="20"/>
                <w:szCs w:val="20"/>
                <w:color w:val="auto"/>
              </w:rPr>
            </w:pPr>
            <w:r>
              <w:rPr>
                <w:rFonts w:ascii="Arial" w:cs="Arial" w:eastAsia="Arial" w:hAnsi="Arial"/>
                <w:sz w:val="14"/>
                <w:szCs w:val="14"/>
                <w:color w:val="auto"/>
              </w:rPr>
              <w:t>Changes due to deconsolidation</w:t>
            </w: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(1,136)</w:t>
            </w:r>
          </w:p>
        </w:tc>
      </w:tr>
      <w:tr>
        <w:trPr>
          <w:trHeight w:val="166"/>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2019</w:t>
            </w:r>
          </w:p>
        </w:tc>
        <w:tc>
          <w:tcPr>
            <w:tcW w:w="3060" w:type="dxa"/>
            <w:vAlign w:val="bottom"/>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Trailing Fee Liabilities</w:t>
      </w:r>
    </w:p>
    <w:p>
      <w:pPr>
        <w:spacing w:after="0" w:line="106" w:lineRule="exact"/>
        <w:rPr>
          <w:sz w:val="20"/>
          <w:szCs w:val="20"/>
          <w:color w:val="auto"/>
        </w:rPr>
      </w:pPr>
    </w:p>
    <w:p>
      <w:pPr>
        <w:ind w:left="800" w:right="120" w:firstLine="482"/>
        <w:spacing w:after="0" w:line="236" w:lineRule="auto"/>
        <w:rPr>
          <w:sz w:val="20"/>
          <w:szCs w:val="20"/>
          <w:color w:val="auto"/>
        </w:rPr>
      </w:pPr>
      <w:r>
        <w:rPr>
          <w:rFonts w:ascii="Arial" w:cs="Arial" w:eastAsia="Arial" w:hAnsi="Arial"/>
          <w:sz w:val="16"/>
          <w:szCs w:val="16"/>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6.80% to 16.99% and credit risk rates of 0.36% to 52.31%.</w:t>
      </w:r>
    </w:p>
    <w:p>
      <w:pPr>
        <w:spacing w:after="0" w:line="179" w:lineRule="exact"/>
        <w:rPr>
          <w:sz w:val="20"/>
          <w:szCs w:val="20"/>
          <w:color w:val="auto"/>
        </w:rPr>
      </w:pPr>
    </w:p>
    <w:p>
      <w:pPr>
        <w:ind w:left="800" w:right="40" w:firstLine="482"/>
        <w:spacing w:after="0" w:line="238" w:lineRule="auto"/>
        <w:rPr>
          <w:sz w:val="20"/>
          <w:szCs w:val="20"/>
          <w:color w:val="auto"/>
        </w:rPr>
      </w:pPr>
      <w:r>
        <w:rPr>
          <w:rFonts w:ascii="Arial" w:cs="Arial" w:eastAsia="Arial" w:hAnsi="Arial"/>
          <w:sz w:val="16"/>
          <w:szCs w:val="16"/>
          <w:color w:val="auto"/>
        </w:rPr>
        <w:t>The fair value sensitivity of trailing fee liabilities to adverse changes in key assumptions would not result in a material impact on the Company’s financial position.</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104" w:lineRule="exact"/>
        <w:rPr>
          <w:sz w:val="20"/>
          <w:szCs w:val="20"/>
          <w:color w:val="auto"/>
        </w:rPr>
      </w:pPr>
    </w:p>
    <w:p>
      <w:pPr>
        <w:ind w:left="800" w:right="200" w:firstLine="482"/>
        <w:spacing w:after="0" w:line="238" w:lineRule="auto"/>
        <w:rPr>
          <w:sz w:val="20"/>
          <w:szCs w:val="20"/>
          <w:color w:val="auto"/>
        </w:rPr>
      </w:pPr>
      <w:r>
        <w:rPr>
          <w:rFonts w:ascii="Arial" w:cs="Arial" w:eastAsia="Arial" w:hAnsi="Arial"/>
          <w:sz w:val="16"/>
          <w:szCs w:val="16"/>
          <w:color w:val="auto"/>
        </w:rPr>
        <w:t>The following tables include a rollforward of other assets and trailing fee liabilities classified by the Company within Level 3 of the fair value hierarchy (in thousands):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Trailing Fee</w:t>
            </w:r>
          </w:p>
        </w:tc>
      </w:tr>
      <w:tr>
        <w:trPr>
          <w:trHeight w:val="154"/>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Borders>
              <w:bottom w:val="single" w:sz="8" w:color="CCEEFF"/>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8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2019</w:t>
            </w:r>
          </w:p>
        </w:tc>
        <w:tc>
          <w:tcPr>
            <w:tcW w:w="200" w:type="dxa"/>
            <w:vAlign w:val="bottom"/>
            <w:tcBorders>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3"/>
                <w:szCs w:val="13"/>
                <w:color w:val="auto"/>
              </w:rPr>
            </w:pPr>
          </w:p>
        </w:tc>
      </w:tr>
      <w:tr>
        <w:trPr>
          <w:trHeight w:val="169"/>
        </w:trPr>
        <w:tc>
          <w:tcPr>
            <w:tcW w:w="8840" w:type="dxa"/>
            <w:vAlign w:val="bottom"/>
            <w:gridSpan w:val="2"/>
          </w:tcPr>
          <w:p>
            <w:pPr>
              <w:spacing w:after="0"/>
              <w:rPr>
                <w:sz w:val="20"/>
                <w:szCs w:val="20"/>
                <w:color w:val="auto"/>
              </w:rPr>
            </w:pPr>
            <w:r>
              <w:rPr>
                <w:rFonts w:ascii="Arial" w:cs="Arial" w:eastAsia="Arial" w:hAnsi="Arial"/>
                <w:sz w:val="14"/>
                <w:szCs w:val="14"/>
                <w:color w:val="auto"/>
              </w:rPr>
              <w:t>Issuances</w:t>
            </w:r>
          </w:p>
        </w:tc>
        <w:tc>
          <w:tcPr>
            <w:tcW w:w="2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1,130</w:t>
            </w:r>
          </w:p>
        </w:tc>
      </w:tr>
      <w:tr>
        <w:trPr>
          <w:trHeight w:val="166"/>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Repayments and settlements</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(339)</w:t>
            </w:r>
          </w:p>
        </w:tc>
      </w:tr>
      <w:tr>
        <w:trPr>
          <w:trHeight w:val="169"/>
        </w:trPr>
        <w:tc>
          <w:tcPr>
            <w:tcW w:w="8840" w:type="dxa"/>
            <w:vAlign w:val="bottom"/>
            <w:gridSpan w:val="2"/>
          </w:tcPr>
          <w:p>
            <w:pPr>
              <w:spacing w:after="0"/>
              <w:rPr>
                <w:sz w:val="20"/>
                <w:szCs w:val="20"/>
                <w:color w:val="auto"/>
              </w:rPr>
            </w:pPr>
            <w:r>
              <w:rPr>
                <w:rFonts w:ascii="Arial" w:cs="Arial" w:eastAsia="Arial" w:hAnsi="Arial"/>
                <w:sz w:val="14"/>
                <w:szCs w:val="14"/>
                <w:color w:val="auto"/>
              </w:rPr>
              <w:t>Changes in fair value recorded in earnings</w:t>
            </w:r>
          </w:p>
        </w:tc>
        <w:tc>
          <w:tcPr>
            <w:tcW w:w="2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(19)</w:t>
            </w:r>
          </w:p>
        </w:tc>
      </w:tr>
      <w:tr>
        <w:trPr>
          <w:trHeight w:val="166"/>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2020</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80" w:type="dxa"/>
            <w:vAlign w:val="bottom"/>
            <w:shd w:val="clear" w:color="auto" w:fill="CCEEFF"/>
          </w:tcPr>
          <w:p>
            <w:pPr>
              <w:spacing w:after="0"/>
              <w:rPr>
                <w:sz w:val="14"/>
                <w:szCs w:val="14"/>
                <w:color w:val="auto"/>
              </w:rPr>
            </w:pPr>
          </w:p>
        </w:tc>
      </w:tr>
      <w:tr>
        <w:trPr>
          <w:trHeight w:val="347"/>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Trailing Fee</w:t>
            </w:r>
          </w:p>
        </w:tc>
      </w:tr>
      <w:tr>
        <w:trPr>
          <w:trHeight w:val="154"/>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80" w:type="dxa"/>
            <w:vAlign w:val="bottom"/>
            <w:tcBorders>
              <w:bottom w:val="single" w:sz="8" w:color="CCEEFF"/>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8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2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1,375</w:t>
            </w:r>
          </w:p>
        </w:tc>
      </w:tr>
      <w:tr>
        <w:trPr>
          <w:trHeight w:val="166"/>
        </w:trPr>
        <w:tc>
          <w:tcPr>
            <w:tcW w:w="8840" w:type="dxa"/>
            <w:vAlign w:val="bottom"/>
            <w:gridSpan w:val="2"/>
          </w:tcPr>
          <w:p>
            <w:pPr>
              <w:spacing w:after="0"/>
              <w:rPr>
                <w:sz w:val="20"/>
                <w:szCs w:val="20"/>
                <w:color w:val="auto"/>
              </w:rPr>
            </w:pPr>
            <w:r>
              <w:rPr>
                <w:rFonts w:ascii="Arial" w:cs="Arial" w:eastAsia="Arial" w:hAnsi="Arial"/>
                <w:sz w:val="14"/>
                <w:szCs w:val="14"/>
                <w:color w:val="auto"/>
              </w:rPr>
              <w:t>Issuances</w:t>
            </w:r>
          </w:p>
        </w:tc>
        <w:tc>
          <w:tcPr>
            <w:tcW w:w="2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568</w:t>
            </w:r>
          </w:p>
        </w:tc>
      </w:tr>
      <w:tr>
        <w:trPr>
          <w:trHeight w:val="166"/>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Repayments and settlements</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(230)</w:t>
            </w:r>
          </w:p>
        </w:tc>
      </w:tr>
      <w:tr>
        <w:trPr>
          <w:trHeight w:val="166"/>
        </w:trPr>
        <w:tc>
          <w:tcPr>
            <w:tcW w:w="8840" w:type="dxa"/>
            <w:vAlign w:val="bottom"/>
            <w:gridSpan w:val="2"/>
          </w:tcPr>
          <w:p>
            <w:pPr>
              <w:spacing w:after="0"/>
              <w:rPr>
                <w:sz w:val="20"/>
                <w:szCs w:val="20"/>
                <w:color w:val="auto"/>
              </w:rPr>
            </w:pPr>
            <w:r>
              <w:rPr>
                <w:rFonts w:ascii="Arial" w:cs="Arial" w:eastAsia="Arial" w:hAnsi="Arial"/>
                <w:sz w:val="14"/>
                <w:szCs w:val="14"/>
                <w:color w:val="auto"/>
              </w:rPr>
              <w:t>Changes in fair value recorded in earnings</w:t>
            </w:r>
          </w:p>
        </w:tc>
        <w:tc>
          <w:tcPr>
            <w:tcW w:w="2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(3)</w:t>
            </w:r>
          </w:p>
        </w:tc>
      </w:tr>
      <w:tr>
        <w:trPr>
          <w:trHeight w:val="166"/>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color w:val="auto"/>
              </w:rPr>
              <w:t>Other changes</w:t>
            </w:r>
          </w:p>
        </w:tc>
        <w:tc>
          <w:tcPr>
            <w:tcW w:w="2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(70)</w:t>
            </w:r>
          </w:p>
        </w:tc>
      </w:tr>
      <w:tr>
        <w:trPr>
          <w:trHeight w:val="169"/>
        </w:trPr>
        <w:tc>
          <w:tcPr>
            <w:tcW w:w="8840" w:type="dxa"/>
            <w:vAlign w:val="bottom"/>
            <w:gridSpan w:val="2"/>
          </w:tcPr>
          <w:p>
            <w:pPr>
              <w:spacing w:after="0"/>
              <w:rPr>
                <w:sz w:val="20"/>
                <w:szCs w:val="20"/>
                <w:color w:val="auto"/>
              </w:rPr>
            </w:pPr>
            <w:r>
              <w:rPr>
                <w:rFonts w:ascii="Arial" w:cs="Arial" w:eastAsia="Arial" w:hAnsi="Arial"/>
                <w:sz w:val="14"/>
                <w:szCs w:val="14"/>
                <w:color w:val="auto"/>
              </w:rPr>
              <w:t>Changes due to deconsolidation</w:t>
            </w:r>
          </w:p>
        </w:tc>
        <w:tc>
          <w:tcPr>
            <w:tcW w:w="2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(1,136)</w:t>
            </w:r>
          </w:p>
        </w:tc>
      </w:tr>
      <w:tr>
        <w:trPr>
          <w:trHeight w:val="166"/>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2019</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440"/>
          </w:cols>
          <w:pgMar w:left="320" w:top="419" w:right="1139" w:bottom="1440" w:gutter="0" w:footer="0" w:header="0"/>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Common Stock and Convertible Preferred Stock Warrants</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Valuation Methodology</w:t>
      </w:r>
    </w:p>
    <w:p>
      <w:pPr>
        <w:spacing w:after="0" w:line="9" w:lineRule="exact"/>
        <w:rPr>
          <w:sz w:val="20"/>
          <w:szCs w:val="20"/>
          <w:color w:val="auto"/>
        </w:rPr>
      </w:pPr>
    </w:p>
    <w:p>
      <w:pPr>
        <w:jc w:val="both"/>
        <w:ind w:left="800" w:right="100" w:firstLine="482"/>
        <w:spacing w:after="0" w:line="235" w:lineRule="auto"/>
        <w:rPr>
          <w:sz w:val="20"/>
          <w:szCs w:val="20"/>
          <w:color w:val="auto"/>
        </w:rPr>
      </w:pPr>
      <w:r>
        <w:rPr>
          <w:rFonts w:ascii="Arial" w:cs="Arial" w:eastAsia="Arial" w:hAnsi="Arial"/>
          <w:sz w:val="16"/>
          <w:szCs w:val="16"/>
          <w:color w:val="auto"/>
        </w:rPr>
        <w:t>The fair values of common stock warrant liabilities and convertible preferred stock warrant liabilities are estimated using the Black-Scholes option-pricing model. The Black-Scholes option-pricing model considers several variables and assumptions in estimating the fair value of the warrants, including the per share fair value of the underlying securities, exercise price, expected term, risk-free interest rate, expected annual dividend yield and expected stock price volatility over the expected term.</w:t>
      </w:r>
    </w:p>
    <w:p>
      <w:pPr>
        <w:spacing w:after="0" w:line="257"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Inputs and Assumptions</w:t>
      </w:r>
    </w:p>
    <w:p>
      <w:pPr>
        <w:spacing w:after="0" w:line="104" w:lineRule="exact"/>
        <w:rPr>
          <w:sz w:val="20"/>
          <w:szCs w:val="20"/>
          <w:color w:val="auto"/>
        </w:rPr>
      </w:pPr>
    </w:p>
    <w:p>
      <w:pPr>
        <w:jc w:val="both"/>
        <w:ind w:left="800" w:right="100" w:firstLine="482"/>
        <w:spacing w:after="0" w:line="238" w:lineRule="auto"/>
        <w:rPr>
          <w:sz w:val="20"/>
          <w:szCs w:val="20"/>
          <w:color w:val="auto"/>
        </w:rPr>
      </w:pPr>
      <w:r>
        <w:rPr>
          <w:rFonts w:ascii="Arial" w:cs="Arial" w:eastAsia="Arial" w:hAnsi="Arial"/>
          <w:sz w:val="16"/>
          <w:szCs w:val="16"/>
          <w:color w:val="auto"/>
        </w:rPr>
        <w:t>The following table presents quantitative information about the significant unobservable inputs used for the Company’s Level 3 fair value measurements for common stock and convertible preferred stock warrants: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4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December 31, 2019</w:t>
            </w:r>
          </w:p>
        </w:tc>
        <w:tc>
          <w:tcPr>
            <w:tcW w:w="6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19"/>
        </w:trPr>
        <w:tc>
          <w:tcPr>
            <w:tcW w:w="3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Weighted-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Weighted-</w:t>
            </w:r>
          </w:p>
        </w:tc>
        <w:tc>
          <w:tcPr>
            <w:tcW w:w="40" w:type="dxa"/>
            <w:vAlign w:val="bottom"/>
          </w:tcPr>
          <w:p>
            <w:pPr>
              <w:spacing w:after="0"/>
              <w:rPr>
                <w:sz w:val="10"/>
                <w:szCs w:val="10"/>
                <w:color w:val="auto"/>
              </w:rPr>
            </w:pPr>
          </w:p>
        </w:tc>
      </w:tr>
      <w:tr>
        <w:trPr>
          <w:trHeight w:val="156"/>
        </w:trPr>
        <w:tc>
          <w:tcPr>
            <w:tcW w:w="34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4"/>
              </w:rPr>
              <w:t>Minimum</w:t>
            </w:r>
          </w:p>
        </w:tc>
        <w:tc>
          <w:tcPr>
            <w:tcW w:w="320" w:type="dxa"/>
            <w:vAlign w:val="bottom"/>
          </w:tcPr>
          <w:p>
            <w:pPr>
              <w:spacing w:after="0"/>
              <w:rPr>
                <w:sz w:val="13"/>
                <w:szCs w:val="13"/>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6"/>
              </w:rPr>
              <w:t>Maximum</w:t>
            </w:r>
          </w:p>
        </w:tc>
        <w:tc>
          <w:tcPr>
            <w:tcW w:w="940" w:type="dxa"/>
            <w:vAlign w:val="bottom"/>
            <w:gridSpan w:val="2"/>
          </w:tcPr>
          <w:p>
            <w:pPr>
              <w:jc w:val="right"/>
              <w:ind w:right="280"/>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Minimum</w:t>
            </w:r>
          </w:p>
        </w:tc>
        <w:tc>
          <w:tcPr>
            <w:tcW w:w="3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Maximum</w:t>
            </w:r>
          </w:p>
        </w:tc>
        <w:tc>
          <w:tcPr>
            <w:tcW w:w="700" w:type="dxa"/>
            <w:vAlign w:val="bottom"/>
            <w:gridSpan w:val="2"/>
          </w:tcPr>
          <w:p>
            <w:pPr>
              <w:jc w:val="right"/>
              <w:ind w:right="40"/>
              <w:spacing w:after="0" w:line="157" w:lineRule="exact"/>
              <w:rPr>
                <w:sz w:val="20"/>
                <w:szCs w:val="20"/>
                <w:color w:val="auto"/>
              </w:rPr>
            </w:pPr>
            <w:r>
              <w:rPr>
                <w:rFonts w:ascii="Arial" w:cs="Arial" w:eastAsia="Arial" w:hAnsi="Arial"/>
                <w:sz w:val="11"/>
                <w:szCs w:val="11"/>
                <w:b w:val="1"/>
                <w:bCs w:val="1"/>
                <w:color w:val="auto"/>
              </w:rPr>
              <w:t xml:space="preserve">Average </w:t>
            </w:r>
            <w:r>
              <w:rPr>
                <w:rFonts w:ascii="Arial" w:cs="Arial" w:eastAsia="Arial" w:hAnsi="Arial"/>
                <w:sz w:val="18"/>
                <w:szCs w:val="18"/>
                <w:b w:val="1"/>
                <w:bCs w:val="1"/>
                <w:color w:val="auto"/>
                <w:vertAlign w:val="superscript"/>
              </w:rPr>
              <w:t>(1)</w:t>
            </w:r>
          </w:p>
        </w:tc>
      </w:tr>
      <w:tr>
        <w:trPr>
          <w:trHeight w:val="146"/>
        </w:trPr>
        <w:tc>
          <w:tcPr>
            <w:tcW w:w="348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Convertible preferred stock warrant liabilities</w:t>
            </w: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3480" w:type="dxa"/>
            <w:vAlign w:val="bottom"/>
          </w:tcPr>
          <w:p>
            <w:pPr>
              <w:spacing w:after="0"/>
              <w:rPr>
                <w:sz w:val="20"/>
                <w:szCs w:val="20"/>
                <w:color w:val="auto"/>
              </w:rPr>
            </w:pPr>
            <w:r>
              <w:rPr>
                <w:rFonts w:ascii="Arial" w:cs="Arial" w:eastAsia="Arial" w:hAnsi="Arial"/>
                <w:sz w:val="14"/>
                <w:szCs w:val="14"/>
                <w:color w:val="auto"/>
              </w:rPr>
              <w:t>Annual volatility</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53.00%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55.89%</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1.86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tcPr>
          <w:p>
            <w:pPr>
              <w:spacing w:after="0"/>
              <w:rPr>
                <w:sz w:val="20"/>
                <w:szCs w:val="20"/>
                <w:color w:val="auto"/>
              </w:rPr>
            </w:pPr>
            <w:r>
              <w:rPr>
                <w:rFonts w:ascii="Arial" w:cs="Arial" w:eastAsia="Arial" w:hAnsi="Arial"/>
                <w:sz w:val="14"/>
                <w:szCs w:val="14"/>
                <w:color w:val="auto"/>
              </w:rPr>
              <w:t>Dividend rate</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1.60%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tcPr>
          <w:p>
            <w:pPr>
              <w:spacing w:after="0"/>
              <w:rPr>
                <w:sz w:val="20"/>
                <w:szCs w:val="20"/>
                <w:color w:val="auto"/>
              </w:rPr>
            </w:pPr>
            <w:r>
              <w:rPr>
                <w:rFonts w:ascii="Arial" w:cs="Arial" w:eastAsia="Arial" w:hAnsi="Arial"/>
                <w:sz w:val="14"/>
                <w:szCs w:val="14"/>
                <w:color w:val="auto"/>
              </w:rPr>
              <w:t>Fair value of underlying securities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6.68</w:t>
            </w:r>
          </w:p>
        </w:tc>
        <w:tc>
          <w:tcPr>
            <w:tcW w:w="4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12.22</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Common stock warrant liabilities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6"/>
        </w:trPr>
        <w:tc>
          <w:tcPr>
            <w:tcW w:w="3480" w:type="dxa"/>
            <w:vAlign w:val="bottom"/>
          </w:tcPr>
          <w:p>
            <w:pPr>
              <w:spacing w:after="0"/>
              <w:rPr>
                <w:sz w:val="20"/>
                <w:szCs w:val="20"/>
                <w:color w:val="auto"/>
              </w:rPr>
            </w:pPr>
            <w:r>
              <w:rPr>
                <w:rFonts w:ascii="Arial" w:cs="Arial" w:eastAsia="Arial" w:hAnsi="Arial"/>
                <w:sz w:val="14"/>
                <w:szCs w:val="14"/>
                <w:color w:val="auto"/>
              </w:rPr>
              <w:t>Annual volatility</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57.39%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Expected term (years)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8.81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tcPr>
          <w:p>
            <w:pPr>
              <w:spacing w:after="0"/>
              <w:rPr>
                <w:sz w:val="20"/>
                <w:szCs w:val="20"/>
                <w:color w:val="auto"/>
              </w:rPr>
            </w:pPr>
            <w:r>
              <w:rPr>
                <w:rFonts w:ascii="Arial" w:cs="Arial" w:eastAsia="Arial" w:hAnsi="Arial"/>
                <w:sz w:val="14"/>
                <w:szCs w:val="14"/>
                <w:color w:val="auto"/>
              </w:rPr>
              <w:t>Dividend rate</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2"/>
        </w:trPr>
        <w:tc>
          <w:tcPr>
            <w:tcW w:w="3480" w:type="dxa"/>
            <w:vAlign w:val="bottom"/>
          </w:tcPr>
          <w:p>
            <w:pPr>
              <w:spacing w:after="0"/>
              <w:rPr>
                <w:sz w:val="20"/>
                <w:szCs w:val="20"/>
                <w:color w:val="auto"/>
              </w:rPr>
            </w:pPr>
            <w:r>
              <w:rPr>
                <w:rFonts w:ascii="Arial" w:cs="Arial" w:eastAsia="Arial" w:hAnsi="Arial"/>
                <w:sz w:val="14"/>
                <w:szCs w:val="14"/>
                <w:color w:val="auto"/>
              </w:rPr>
              <w:t>Fair value of underlying securities</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8.88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71120</wp:posOffset>
            </wp:positionV>
            <wp:extent cx="67564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32" w:lineRule="exact"/>
        <w:rPr>
          <w:sz w:val="20"/>
          <w:szCs w:val="20"/>
          <w:color w:val="auto"/>
        </w:rPr>
      </w:pPr>
    </w:p>
    <w:p>
      <w:pPr>
        <w:ind w:left="1280" w:hanging="481"/>
        <w:spacing w:after="0"/>
        <w:tabs>
          <w:tab w:leader="none" w:pos="12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Unobservable inputs were weighted based on convertible preferred stock warrants outstanding</w:t>
      </w:r>
    </w:p>
    <w:p>
      <w:pPr>
        <w:ind w:left="1280" w:hanging="481"/>
        <w:spacing w:after="0"/>
        <w:tabs>
          <w:tab w:leader="none" w:pos="128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Not applicable as of the respective periods presented. Only one set of each convertible preferred stock warrants and common stock</w:t>
      </w:r>
    </w:p>
    <w:p>
      <w:pPr>
        <w:ind w:left="1280"/>
        <w:spacing w:after="0" w:line="237" w:lineRule="auto"/>
        <w:rPr>
          <w:sz w:val="20"/>
          <w:szCs w:val="20"/>
          <w:color w:val="auto"/>
        </w:rPr>
      </w:pPr>
      <w:r>
        <w:rPr>
          <w:rFonts w:ascii="Arial" w:cs="Arial" w:eastAsia="Arial" w:hAnsi="Arial"/>
          <w:sz w:val="16"/>
          <w:szCs w:val="16"/>
          <w:color w:val="auto"/>
        </w:rPr>
        <w:t>warrants were outstanding as of December 31, 2019. Accordingly, weighted average inputs are not applicable.</w:t>
      </w:r>
    </w:p>
    <w:p>
      <w:pPr>
        <w:spacing w:after="0" w:line="1" w:lineRule="exact"/>
        <w:rPr>
          <w:sz w:val="20"/>
          <w:szCs w:val="20"/>
          <w:color w:val="auto"/>
        </w:rPr>
      </w:pPr>
    </w:p>
    <w:p>
      <w:pPr>
        <w:ind w:left="1280" w:right="140" w:hanging="481"/>
        <w:spacing w:after="0" w:line="238" w:lineRule="auto"/>
        <w:tabs>
          <w:tab w:leader="none" w:pos="12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 applicable as of the respective periods presented. Preferred stock warrants were exercised and common stock warrants were reclassified to equity as of December 31, 2020.</w:t>
      </w:r>
    </w:p>
    <w:p>
      <w:pPr>
        <w:spacing w:after="0" w:line="163" w:lineRule="exact"/>
        <w:rPr>
          <w:sz w:val="20"/>
          <w:szCs w:val="20"/>
          <w:color w:val="auto"/>
        </w:rPr>
      </w:pPr>
    </w:p>
    <w:p>
      <w:pPr>
        <w:ind w:left="800" w:right="200" w:firstLine="482"/>
        <w:spacing w:after="0" w:line="244"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was privately held and did not have an active trading market for its common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for a sufficient period of time, the expected volatility is estimated based on the average volatility for comparable publicly-traded companies, over a period equal to the expected term of the warrants.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contractual life of the warrants being valued.</w:t>
      </w:r>
    </w:p>
    <w:p>
      <w:pPr>
        <w:spacing w:after="0" w:line="183" w:lineRule="exact"/>
        <w:rPr>
          <w:sz w:val="20"/>
          <w:szCs w:val="20"/>
          <w:color w:val="auto"/>
        </w:rPr>
      </w:pPr>
    </w:p>
    <w:p>
      <w:pPr>
        <w:ind w:left="800" w:right="60" w:firstLine="482"/>
        <w:spacing w:after="0" w:line="258" w:lineRule="auto"/>
        <w:rPr>
          <w:sz w:val="20"/>
          <w:szCs w:val="20"/>
          <w:color w:val="auto"/>
        </w:rPr>
      </w:pPr>
      <w:r>
        <w:rPr>
          <w:rFonts w:ascii="Arial" w:cs="Arial" w:eastAsia="Arial" w:hAnsi="Arial"/>
          <w:sz w:val="16"/>
          <w:szCs w:val="16"/>
          <w:i w:val="1"/>
          <w:iCs w:val="1"/>
          <w:color w:val="auto"/>
        </w:rPr>
        <w:t>Dividend rate</w:t>
      </w:r>
      <w:r>
        <w:rPr>
          <w:rFonts w:ascii="Arial" w:cs="Arial" w:eastAsia="Arial" w:hAnsi="Arial"/>
          <w:sz w:val="16"/>
          <w:szCs w:val="16"/>
          <w:color w:val="auto"/>
        </w:rPr>
        <w:t>—The Company has never paid dividends on its common stock or convertible preferred stock and does not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paying dividends on common stock. Therefore, the Company uses an expected dividend yield of zero.</w:t>
      </w:r>
    </w:p>
    <w:p>
      <w:pPr>
        <w:spacing w:after="0" w:line="105"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0440"/>
          </w:cols>
          <w:pgMar w:left="320" w:top="419" w:right="113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800" w:right="120" w:firstLine="482"/>
        <w:spacing w:after="0" w:line="258"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is determined from the implied yields from U.S. Treasury zero-coupon bonds with</w:t>
      </w:r>
      <w:r>
        <w:rPr>
          <w:rFonts w:ascii="Arial" w:cs="Arial" w:eastAsia="Arial" w:hAnsi="Arial"/>
          <w:sz w:val="16"/>
          <w:szCs w:val="16"/>
          <w:i w:val="1"/>
          <w:iCs w:val="1"/>
          <w:color w:val="auto"/>
        </w:rPr>
        <w:t xml:space="preserve"> </w:t>
      </w:r>
      <w:r>
        <w:rPr>
          <w:rFonts w:ascii="Arial" w:cs="Arial" w:eastAsia="Arial" w:hAnsi="Arial"/>
          <w:sz w:val="16"/>
          <w:szCs w:val="16"/>
          <w:color w:val="auto"/>
        </w:rPr>
        <w:t>a remaining term consistent with the contractual term of the warrants being valued.</w:t>
      </w:r>
    </w:p>
    <w:p>
      <w:pPr>
        <w:spacing w:after="0" w:line="148" w:lineRule="exact"/>
        <w:rPr>
          <w:sz w:val="20"/>
          <w:szCs w:val="20"/>
          <w:color w:val="auto"/>
        </w:rPr>
      </w:pPr>
    </w:p>
    <w:p>
      <w:pPr>
        <w:ind w:left="800" w:right="20" w:firstLine="482"/>
        <w:spacing w:after="0" w:line="258" w:lineRule="auto"/>
        <w:rPr>
          <w:sz w:val="20"/>
          <w:szCs w:val="20"/>
          <w:color w:val="auto"/>
        </w:rPr>
      </w:pPr>
      <w:r>
        <w:rPr>
          <w:rFonts w:ascii="Arial" w:cs="Arial" w:eastAsia="Arial" w:hAnsi="Arial"/>
          <w:sz w:val="16"/>
          <w:szCs w:val="16"/>
          <w:i w:val="1"/>
          <w:iCs w:val="1"/>
          <w:color w:val="auto"/>
        </w:rPr>
        <w:t>Fair value of underlying security</w:t>
      </w:r>
      <w:r>
        <w:rPr>
          <w:rFonts w:ascii="Arial" w:cs="Arial" w:eastAsia="Arial" w:hAnsi="Arial"/>
          <w:sz w:val="16"/>
          <w:szCs w:val="16"/>
          <w:color w:val="auto"/>
        </w:rPr>
        <w:t>–Prior to the completion of the IPO, the estimated fair value of the shares of underlying securities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Company’s Board of Directors as there is no public market for the</w:t>
      </w:r>
    </w:p>
    <w:p>
      <w:pPr>
        <w:spacing w:after="0" w:line="164" w:lineRule="exact"/>
        <w:rPr>
          <w:sz w:val="20"/>
          <w:szCs w:val="20"/>
          <w:color w:val="auto"/>
        </w:rPr>
      </w:pPr>
    </w:p>
    <w:p>
      <w:pPr>
        <w:ind w:left="800" w:right="20" w:firstLine="482"/>
        <w:spacing w:after="0" w:line="252" w:lineRule="auto"/>
        <w:rPr>
          <w:sz w:val="20"/>
          <w:szCs w:val="20"/>
          <w:color w:val="auto"/>
        </w:rPr>
      </w:pPr>
      <w:r>
        <w:rPr>
          <w:rFonts w:ascii="Arial" w:cs="Arial" w:eastAsia="Arial" w:hAnsi="Arial"/>
          <w:sz w:val="15"/>
          <w:szCs w:val="15"/>
          <w:color w:val="auto"/>
        </w:rPr>
        <w:t>Company’s common stock or preferred stock. The Board of Directors determines the fair value of the underlying securities by considering a number of objective and subjective factors, including: third-party valuations of the Company’s common stock and convertible preferred stock, the valuation of comparable companies, the Company’s operating and financial performance, and a general and an industry-specific economic outlook, amongst other factors. After the completion of the IPO, the fair value of the Company’s common stock is determined by the closing price, on the grant date, of its common stock, which is traded on the Nasdaq Global Select Market.</w:t>
      </w:r>
    </w:p>
    <w:p>
      <w:pPr>
        <w:spacing w:after="0" w:line="249"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Significant Recurring Level 3 Fair Value Input Sensitivity</w:t>
      </w:r>
    </w:p>
    <w:p>
      <w:pPr>
        <w:spacing w:after="0" w:line="104" w:lineRule="exact"/>
        <w:rPr>
          <w:sz w:val="20"/>
          <w:szCs w:val="20"/>
          <w:color w:val="auto"/>
        </w:rPr>
      </w:pPr>
    </w:p>
    <w:p>
      <w:pPr>
        <w:ind w:left="800" w:right="580" w:firstLine="482"/>
        <w:spacing w:after="0" w:line="238" w:lineRule="auto"/>
        <w:rPr>
          <w:sz w:val="20"/>
          <w:szCs w:val="20"/>
          <w:color w:val="auto"/>
        </w:rPr>
      </w:pPr>
      <w:r>
        <w:rPr>
          <w:rFonts w:ascii="Arial" w:cs="Arial" w:eastAsia="Arial" w:hAnsi="Arial"/>
          <w:sz w:val="16"/>
          <w:szCs w:val="16"/>
          <w:color w:val="auto"/>
        </w:rPr>
        <w:t>The fair value sensitivity of the common stock warrant liabilities and convertible preferred stock warrant liabilities to adverse changes in key assumptions would not result in a material impact on the Company’s financial position.</w:t>
      </w: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Rollforward of Level 3 Fair Values</w:t>
      </w:r>
    </w:p>
    <w:p>
      <w:pPr>
        <w:spacing w:after="0" w:line="104" w:lineRule="exact"/>
        <w:rPr>
          <w:sz w:val="20"/>
          <w:szCs w:val="20"/>
          <w:color w:val="auto"/>
        </w:rPr>
      </w:pPr>
    </w:p>
    <w:p>
      <w:pPr>
        <w:jc w:val="both"/>
        <w:ind w:left="800" w:right="80" w:firstLine="482"/>
        <w:spacing w:after="0" w:line="236" w:lineRule="auto"/>
        <w:rPr>
          <w:sz w:val="20"/>
          <w:szCs w:val="20"/>
          <w:color w:val="auto"/>
        </w:rPr>
      </w:pPr>
      <w:r>
        <w:rPr>
          <w:rFonts w:ascii="Arial" w:cs="Arial" w:eastAsia="Arial" w:hAnsi="Arial"/>
          <w:sz w:val="16"/>
          <w:szCs w:val="16"/>
          <w:color w:val="auto"/>
        </w:rPr>
        <w:t>The following table presents a rollforward of the common stock warrant liabilities and convertible preferred stock warrant liabilities, included in accrued expenses and other liabilities on the consolidated balance sheets, classified by the Company within Level 3 of the fair value (in thousands):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Convertible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320"/>
              <w:spacing w:after="0" w:line="142" w:lineRule="exact"/>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2"/>
                <w:szCs w:val="12"/>
                <w:color w:val="auto"/>
              </w:rPr>
            </w:pPr>
          </w:p>
        </w:tc>
        <w:tc>
          <w:tcPr>
            <w:tcW w:w="1180" w:type="dxa"/>
            <w:vAlign w:val="bottom"/>
            <w:gridSpan w:val="4"/>
          </w:tcPr>
          <w:p>
            <w:pPr>
              <w:jc w:val="center"/>
              <w:ind w:right="80"/>
              <w:spacing w:after="0" w:line="142" w:lineRule="exact"/>
              <w:rPr>
                <w:sz w:val="20"/>
                <w:szCs w:val="20"/>
                <w:color w:val="auto"/>
              </w:rPr>
            </w:pPr>
            <w:r>
              <w:rPr>
                <w:rFonts w:ascii="Arial" w:cs="Arial" w:eastAsia="Arial" w:hAnsi="Arial"/>
                <w:sz w:val="13"/>
                <w:szCs w:val="13"/>
                <w:b w:val="1"/>
                <w:bCs w:val="1"/>
                <w:color w:val="auto"/>
                <w:w w:val="97"/>
              </w:rPr>
              <w:t>Preferred Stock</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5"/>
              </w:rPr>
              <w:t>Warrant Liabilities</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Warrant Liabilities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2019</w:t>
            </w:r>
          </w:p>
        </w:tc>
        <w:tc>
          <w:tcPr>
            <w:tcW w:w="1960" w:type="dxa"/>
            <w:vAlign w:val="bottom"/>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1,136</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Exercises in the year</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(2,971)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(12,177)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Reclassification to equity</w:t>
            </w:r>
          </w:p>
        </w:tc>
        <w:tc>
          <w:tcPr>
            <w:tcW w:w="1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(2,945)</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Changes in fair value recorded in earnings</w:t>
            </w:r>
          </w:p>
        </w:tc>
        <w:tc>
          <w:tcPr>
            <w:tcW w:w="1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6,511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2020</w:t>
            </w:r>
          </w:p>
        </w:tc>
        <w:tc>
          <w:tcPr>
            <w:tcW w:w="1960" w:type="dxa"/>
            <w:vAlign w:val="bottom"/>
            <w:shd w:val="clear" w:color="auto" w:fill="CCEEFF"/>
          </w:tcPr>
          <w:p>
            <w:pPr>
              <w:spacing w:after="0"/>
              <w:rPr>
                <w:sz w:val="14"/>
                <w:szCs w:val="14"/>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Convertible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6"/>
              </w:rPr>
              <w:t>Common Stock</w:t>
            </w:r>
          </w:p>
        </w:tc>
        <w:tc>
          <w:tcPr>
            <w:tcW w:w="220" w:type="dxa"/>
            <w:vAlign w:val="bottom"/>
          </w:tcPr>
          <w:p>
            <w:pPr>
              <w:spacing w:after="0"/>
              <w:rPr>
                <w:sz w:val="12"/>
                <w:szCs w:val="12"/>
                <w:color w:val="auto"/>
              </w:rPr>
            </w:pPr>
          </w:p>
        </w:tc>
        <w:tc>
          <w:tcPr>
            <w:tcW w:w="1180" w:type="dxa"/>
            <w:vAlign w:val="bottom"/>
            <w:gridSpan w:val="4"/>
          </w:tcPr>
          <w:p>
            <w:pPr>
              <w:jc w:val="center"/>
              <w:ind w:right="120"/>
              <w:spacing w:after="0" w:line="142" w:lineRule="exact"/>
              <w:rPr>
                <w:sz w:val="20"/>
                <w:szCs w:val="20"/>
                <w:color w:val="auto"/>
              </w:rPr>
            </w:pPr>
            <w:r>
              <w:rPr>
                <w:rFonts w:ascii="Arial" w:cs="Arial" w:eastAsia="Arial" w:hAnsi="Arial"/>
                <w:sz w:val="13"/>
                <w:szCs w:val="13"/>
                <w:b w:val="1"/>
                <w:bCs w:val="1"/>
                <w:color w:val="auto"/>
                <w:w w:val="97"/>
              </w:rPr>
              <w:t>Preferred Stock</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Warrant Liabilities</w:t>
            </w:r>
          </w:p>
        </w:tc>
        <w:tc>
          <w:tcPr>
            <w:tcW w:w="2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Warrant Liabilities</w:t>
            </w:r>
          </w:p>
        </w:tc>
        <w:tc>
          <w:tcPr>
            <w:tcW w:w="10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Fair value at December 31, 2018</w:t>
            </w:r>
          </w:p>
        </w:tc>
        <w:tc>
          <w:tcPr>
            <w:tcW w:w="1980" w:type="dxa"/>
            <w:vAlign w:val="bottom"/>
            <w:gridSpan w:val="2"/>
            <w:shd w:val="clear" w:color="auto" w:fill="CCEEFF"/>
          </w:tcPr>
          <w:p>
            <w:pPr>
              <w:spacing w:after="0"/>
              <w:rPr>
                <w:sz w:val="13"/>
                <w:szCs w:val="13"/>
                <w:color w:val="auto"/>
              </w:rPr>
            </w:pP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447</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7,579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Exercises in the year</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Repurchases and retirements in the period</w:t>
            </w:r>
          </w:p>
        </w:tc>
        <w:tc>
          <w:tcPr>
            <w:tcW w:w="1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(5,083)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Arial" w:cs="Arial" w:eastAsia="Arial" w:hAnsi="Arial"/>
                <w:sz w:val="14"/>
                <w:szCs w:val="14"/>
                <w:color w:val="auto"/>
              </w:rPr>
              <w:t>Changes in fair value recorded in earnings</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4,301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at December 31, 2019</w:t>
            </w:r>
          </w:p>
        </w:tc>
        <w:tc>
          <w:tcPr>
            <w:tcW w:w="1980" w:type="dxa"/>
            <w:vAlign w:val="bottom"/>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2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5,666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440"/>
          </w:cols>
          <w:pgMar w:left="320" w:top="419" w:right="113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5. Loans at Fair Value</w:t>
      </w:r>
    </w:p>
    <w:p>
      <w:pPr>
        <w:spacing w:after="0" w:line="106"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The following table presents the aggregate fair value and aggregate principal outstanding of all loans and loans that were 90 days or more past due included in the consolidated balance sheets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Loans</w:t>
            </w: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Loans &gt; 90 Days Past Due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88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3"/>
                <w:szCs w:val="13"/>
                <w:b w:val="1"/>
                <w:bCs w:val="1"/>
                <w:color w:val="auto"/>
              </w:rPr>
              <w:t>December 31,</w:t>
            </w:r>
          </w:p>
        </w:tc>
        <w:tc>
          <w:tcPr>
            <w:tcW w:w="4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96"/>
              </w:rPr>
              <w:t>December 31,</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Borders>
              <w:top w:val="single" w:sz="8" w:color="auto"/>
            </w:tcBorders>
            <w:gridSpan w:val="3"/>
          </w:tcPr>
          <w:p>
            <w:pPr>
              <w:spacing w:after="0" w:line="122"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gridSpan w:val="2"/>
          </w:tcPr>
          <w:p>
            <w:pPr>
              <w:ind w:left="20"/>
              <w:spacing w:after="0" w:line="122" w:lineRule="exact"/>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Outstanding principal balance</w:t>
            </w:r>
          </w:p>
        </w:tc>
        <w:tc>
          <w:tcPr>
            <w:tcW w:w="16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97,497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8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276,974</w:t>
            </w:r>
          </w:p>
        </w:tc>
        <w:tc>
          <w:tcPr>
            <w:tcW w:w="2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60"/>
              <w:spacing w:after="0" w:line="157"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40"/>
              <w:spacing w:after="0" w:line="157" w:lineRule="exact"/>
              <w:rPr>
                <w:sz w:val="20"/>
                <w:szCs w:val="20"/>
                <w:color w:val="auto"/>
              </w:rPr>
            </w:pPr>
            <w:r>
              <w:rPr>
                <w:rFonts w:ascii="Arial" w:cs="Arial" w:eastAsia="Arial" w:hAnsi="Arial"/>
                <w:sz w:val="14"/>
                <w:szCs w:val="14"/>
                <w:color w:val="auto"/>
              </w:rPr>
              <w:t>2,018</w:t>
            </w: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166"/>
        </w:trPr>
        <w:tc>
          <w:tcPr>
            <w:tcW w:w="4620" w:type="dxa"/>
            <w:vAlign w:val="bottom"/>
            <w:gridSpan w:val="2"/>
          </w:tcPr>
          <w:p>
            <w:pPr>
              <w:spacing w:after="0"/>
              <w:rPr>
                <w:sz w:val="20"/>
                <w:szCs w:val="20"/>
                <w:color w:val="auto"/>
              </w:rPr>
            </w:pPr>
            <w:r>
              <w:rPr>
                <w:rFonts w:ascii="Arial" w:cs="Arial" w:eastAsia="Arial" w:hAnsi="Arial"/>
                <w:sz w:val="14"/>
                <w:szCs w:val="14"/>
                <w:color w:val="auto"/>
              </w:rPr>
              <w:t>Net fair value and accrued interest adjustments</w:t>
            </w: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(19,037)</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(44,669)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(2,002)</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(1,859)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vMerge w:val="continue"/>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78,460</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232,305</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56" w:lineRule="exact"/>
        <w:rPr>
          <w:sz w:val="20"/>
          <w:szCs w:val="20"/>
          <w:color w:val="auto"/>
        </w:rPr>
      </w:pPr>
    </w:p>
    <w:p>
      <w:pPr>
        <w:ind w:left="1280" w:right="7380" w:hanging="481"/>
        <w:spacing w:after="0" w:line="391" w:lineRule="auto"/>
        <w:tabs>
          <w:tab w:leader="none" w:pos="973" w:val="left"/>
        </w:tabs>
        <w:numPr>
          <w:ilvl w:val="0"/>
          <w:numId w:val="13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Balance Sheet Components Other Assets</w:t>
      </w:r>
    </w:p>
    <w:p>
      <w:pPr>
        <w:ind w:left="1280"/>
        <w:spacing w:after="0"/>
        <w:rPr>
          <w:rFonts w:ascii="Arial" w:cs="Arial" w:eastAsia="Arial" w:hAnsi="Arial"/>
          <w:sz w:val="15"/>
          <w:szCs w:val="15"/>
          <w:b w:val="1"/>
          <w:bCs w:val="1"/>
          <w:i w:val="1"/>
          <w:iCs w:val="1"/>
          <w:color w:val="auto"/>
        </w:rPr>
      </w:pPr>
      <w:r>
        <w:rPr>
          <w:rFonts w:ascii="Arial" w:cs="Arial" w:eastAsia="Arial" w:hAnsi="Arial"/>
          <w:sz w:val="16"/>
          <w:szCs w:val="16"/>
          <w:color w:val="auto"/>
        </w:rPr>
        <w:t>Other assets consisted of the following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280" w:type="dxa"/>
            <w:vAlign w:val="bottom"/>
          </w:tcPr>
          <w:p>
            <w:pPr>
              <w:spacing w:after="0"/>
              <w:rPr>
                <w:sz w:val="13"/>
                <w:szCs w:val="13"/>
                <w:color w:val="auto"/>
              </w:rPr>
            </w:pPr>
          </w:p>
        </w:tc>
        <w:tc>
          <w:tcPr>
            <w:tcW w:w="1360" w:type="dxa"/>
            <w:vAlign w:val="bottom"/>
            <w:gridSpan w:val="6"/>
          </w:tcPr>
          <w:p>
            <w:pPr>
              <w:ind w:left="24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82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1"/>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0"/>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57"/>
        </w:trPr>
        <w:tc>
          <w:tcPr>
            <w:tcW w:w="82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Servicing fees and other receivables</w:t>
            </w: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5"/>
              </w:rPr>
              <w:t>$ 11,656</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8,321</w:t>
            </w:r>
          </w:p>
        </w:tc>
      </w:tr>
      <w:tr>
        <w:trPr>
          <w:trHeight w:val="166"/>
        </w:trPr>
        <w:tc>
          <w:tcPr>
            <w:tcW w:w="8280" w:type="dxa"/>
            <w:vAlign w:val="bottom"/>
          </w:tcPr>
          <w:p>
            <w:pPr>
              <w:spacing w:after="0"/>
              <w:rPr>
                <w:sz w:val="20"/>
                <w:szCs w:val="20"/>
                <w:color w:val="auto"/>
              </w:rPr>
            </w:pPr>
            <w:r>
              <w:rPr>
                <w:rFonts w:ascii="Arial" w:cs="Arial" w:eastAsia="Arial" w:hAnsi="Arial"/>
                <w:sz w:val="14"/>
                <w:szCs w:val="14"/>
                <w:color w:val="auto"/>
              </w:rPr>
              <w:t>Deposits</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7,947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6,429</w:t>
            </w:r>
          </w:p>
        </w:tc>
      </w:tr>
      <w:tr>
        <w:trPr>
          <w:trHeight w:val="16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5,224</w:t>
            </w:r>
          </w:p>
        </w:tc>
      </w:tr>
      <w:tr>
        <w:trPr>
          <w:trHeight w:val="166"/>
        </w:trPr>
        <w:tc>
          <w:tcPr>
            <w:tcW w:w="8280" w:type="dxa"/>
            <w:vAlign w:val="bottom"/>
          </w:tcPr>
          <w:p>
            <w:pPr>
              <w:spacing w:after="0"/>
              <w:rPr>
                <w:sz w:val="20"/>
                <w:szCs w:val="20"/>
                <w:color w:val="auto"/>
              </w:rPr>
            </w:pPr>
            <w:r>
              <w:rPr>
                <w:rFonts w:ascii="Arial" w:cs="Arial" w:eastAsia="Arial" w:hAnsi="Arial"/>
                <w:sz w:val="14"/>
                <w:szCs w:val="14"/>
                <w:color w:val="auto"/>
              </w:rPr>
              <w:t>Loan servicing assets (at fair value)</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6,831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4,725</w:t>
            </w:r>
          </w:p>
        </w:tc>
      </w:tr>
      <w:tr>
        <w:trPr>
          <w:trHeight w:val="16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4"/>
                <w:szCs w:val="14"/>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280" w:type="dxa"/>
            <w:vAlign w:val="bottom"/>
          </w:tcPr>
          <w:p>
            <w:pPr>
              <w:spacing w:after="0"/>
              <w:rPr>
                <w:sz w:val="20"/>
                <w:szCs w:val="20"/>
                <w:color w:val="auto"/>
              </w:rPr>
            </w:pPr>
            <w:r>
              <w:rPr>
                <w:rFonts w:ascii="Arial" w:cs="Arial" w:eastAsia="Arial" w:hAnsi="Arial"/>
                <w:sz w:val="14"/>
                <w:szCs w:val="14"/>
                <w:color w:val="auto"/>
              </w:rPr>
              <w:t>Total other assets</w:t>
            </w:r>
          </w:p>
        </w:tc>
        <w:tc>
          <w:tcPr>
            <w:tcW w:w="54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40,046</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24,754</w:t>
            </w:r>
          </w:p>
        </w:tc>
        <w:tc>
          <w:tcPr>
            <w:tcW w:w="40" w:type="dxa"/>
            <w:vAlign w:val="bottom"/>
          </w:tcPr>
          <w:p>
            <w:pPr>
              <w:spacing w:after="0"/>
              <w:rPr>
                <w:sz w:val="14"/>
                <w:szCs w:val="14"/>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300" w:firstLine="482"/>
        <w:spacing w:after="0" w:line="238" w:lineRule="auto"/>
        <w:rPr>
          <w:sz w:val="20"/>
          <w:szCs w:val="20"/>
          <w:color w:val="auto"/>
        </w:rPr>
      </w:pPr>
      <w:r>
        <w:rPr>
          <w:rFonts w:ascii="Arial" w:cs="Arial" w:eastAsia="Arial" w:hAnsi="Arial"/>
          <w:sz w:val="16"/>
          <w:szCs w:val="16"/>
          <w:color w:val="auto"/>
        </w:rPr>
        <w:t>Servicing fees and other receivables represent amounts recognized as revenue but not yet collected in relation to servicing and other agreements with institutional investors and bank partners.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Property, Equipment, and Software, Net</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Property, equipment, and software, net consisted of the following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37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3720" w:type="dxa"/>
            <w:vAlign w:val="bottom"/>
            <w:tcBorders>
              <w:bottom w:val="single" w:sz="8" w:color="CCEEFF"/>
            </w:tcBorders>
          </w:tcPr>
          <w:p>
            <w:pPr>
              <w:spacing w:after="0"/>
              <w:rPr>
                <w:sz w:val="11"/>
                <w:szCs w:val="11"/>
                <w:color w:val="auto"/>
              </w:rPr>
            </w:pPr>
          </w:p>
        </w:tc>
        <w:tc>
          <w:tcPr>
            <w:tcW w:w="45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1"/>
              <w:spacing w:after="0" w:line="134"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3"/>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r>
      <w:tr>
        <w:trPr>
          <w:trHeight w:val="157"/>
        </w:trPr>
        <w:tc>
          <w:tcPr>
            <w:tcW w:w="37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Internally developed software</w:t>
            </w:r>
          </w:p>
        </w:tc>
        <w:tc>
          <w:tcPr>
            <w:tcW w:w="46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7,906</w:t>
            </w:r>
          </w:p>
        </w:tc>
        <w:tc>
          <w:tcPr>
            <w:tcW w:w="70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$ 3,164</w:t>
            </w:r>
          </w:p>
        </w:tc>
      </w:tr>
      <w:tr>
        <w:trPr>
          <w:trHeight w:val="166"/>
        </w:trPr>
        <w:tc>
          <w:tcPr>
            <w:tcW w:w="3720" w:type="dxa"/>
            <w:vAlign w:val="bottom"/>
          </w:tcPr>
          <w:p>
            <w:pPr>
              <w:spacing w:after="0"/>
              <w:rPr>
                <w:sz w:val="20"/>
                <w:szCs w:val="20"/>
                <w:color w:val="auto"/>
              </w:rPr>
            </w:pPr>
            <w:r>
              <w:rPr>
                <w:rFonts w:ascii="Arial" w:cs="Arial" w:eastAsia="Arial" w:hAnsi="Arial"/>
                <w:sz w:val="14"/>
                <w:szCs w:val="14"/>
                <w:color w:val="auto"/>
              </w:rPr>
              <w:t>Computer equipment</w:t>
            </w: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1,285</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672</w:t>
            </w: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4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1,770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1,638</w:t>
            </w:r>
          </w:p>
        </w:tc>
      </w:tr>
      <w:tr>
        <w:trPr>
          <w:trHeight w:val="169"/>
        </w:trPr>
        <w:tc>
          <w:tcPr>
            <w:tcW w:w="37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4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w:t>
            </w:r>
          </w:p>
        </w:tc>
        <w:tc>
          <w:tcPr>
            <w:tcW w:w="80" w:type="dxa"/>
            <w:vAlign w:val="bottom"/>
          </w:tcPr>
          <w:p>
            <w:pPr>
              <w:spacing w:after="0"/>
              <w:rPr>
                <w:sz w:val="14"/>
                <w:szCs w:val="14"/>
                <w:color w:val="auto"/>
              </w:rPr>
            </w:pPr>
          </w:p>
        </w:tc>
      </w:tr>
      <w:tr>
        <w:trPr>
          <w:trHeight w:val="166"/>
        </w:trPr>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property, equipment, and software</w:t>
            </w:r>
          </w:p>
        </w:tc>
        <w:tc>
          <w:tcPr>
            <w:tcW w:w="4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13,724</w:t>
            </w:r>
          </w:p>
        </w:tc>
        <w:tc>
          <w:tcPr>
            <w:tcW w:w="1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7,444</w:t>
            </w:r>
          </w:p>
        </w:tc>
      </w:tr>
      <w:tr>
        <w:trPr>
          <w:trHeight w:val="166"/>
        </w:trPr>
        <w:tc>
          <w:tcPr>
            <w:tcW w:w="3720" w:type="dxa"/>
            <w:vAlign w:val="bottom"/>
          </w:tcPr>
          <w:p>
            <w:pPr>
              <w:spacing w:after="0"/>
              <w:rPr>
                <w:sz w:val="20"/>
                <w:szCs w:val="20"/>
                <w:color w:val="auto"/>
              </w:rPr>
            </w:pPr>
            <w:r>
              <w:rPr>
                <w:rFonts w:ascii="Arial" w:cs="Arial" w:eastAsia="Arial" w:hAnsi="Arial"/>
                <w:sz w:val="14"/>
                <w:szCs w:val="14"/>
                <w:color w:val="auto"/>
              </w:rPr>
              <w:t>Accumulated depreciation and amortization</w:t>
            </w:r>
          </w:p>
        </w:tc>
        <w:tc>
          <w:tcPr>
            <w:tcW w:w="4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(3,692)</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(1,414)</w:t>
            </w:r>
          </w:p>
        </w:tc>
      </w:tr>
      <w:tr>
        <w:trPr>
          <w:trHeight w:val="24"/>
        </w:trPr>
        <w:tc>
          <w:tcPr>
            <w:tcW w:w="37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3720" w:type="dxa"/>
            <w:vAlign w:val="bottom"/>
            <w:shd w:val="clear" w:color="auto" w:fill="CCEEFF"/>
          </w:tcPr>
          <w:p>
            <w:pPr>
              <w:spacing w:after="0"/>
              <w:rPr>
                <w:sz w:val="20"/>
                <w:szCs w:val="20"/>
                <w:color w:val="auto"/>
              </w:rPr>
            </w:pPr>
            <w:r>
              <w:rPr>
                <w:rFonts w:ascii="Arial" w:cs="Arial" w:eastAsia="Arial" w:hAnsi="Arial"/>
                <w:sz w:val="14"/>
                <w:szCs w:val="14"/>
                <w:color w:val="auto"/>
              </w:rPr>
              <w:t>Total property, equipment, and software, net</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10,032</w:t>
            </w:r>
          </w:p>
        </w:tc>
        <w:tc>
          <w:tcPr>
            <w:tcW w:w="1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$ 6,030</w:t>
            </w:r>
          </w:p>
        </w:tc>
      </w:tr>
      <w:tr>
        <w:trPr>
          <w:trHeight w:val="20"/>
        </w:trPr>
        <w:tc>
          <w:tcPr>
            <w:tcW w:w="3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5"/>
        </w:trPr>
        <w:tc>
          <w:tcPr>
            <w:tcW w:w="3720" w:type="dxa"/>
            <w:vAlign w:val="bottom"/>
          </w:tcPr>
          <w:p>
            <w:pPr>
              <w:spacing w:after="0"/>
              <w:rPr>
                <w:sz w:val="24"/>
                <w:szCs w:val="24"/>
                <w:color w:val="auto"/>
              </w:rPr>
            </w:pPr>
          </w:p>
        </w:tc>
        <w:tc>
          <w:tcPr>
            <w:tcW w:w="4620" w:type="dxa"/>
            <w:vAlign w:val="bottom"/>
            <w:gridSpan w:val="2"/>
          </w:tcPr>
          <w:p>
            <w:pPr>
              <w:jc w:val="right"/>
              <w:ind w:right="3360"/>
              <w:spacing w:after="0"/>
              <w:rPr>
                <w:sz w:val="20"/>
                <w:szCs w:val="20"/>
                <w:color w:val="auto"/>
              </w:rPr>
            </w:pPr>
            <w:r>
              <w:rPr>
                <w:rFonts w:ascii="Arial" w:cs="Arial" w:eastAsia="Arial" w:hAnsi="Arial"/>
                <w:sz w:val="16"/>
                <w:szCs w:val="16"/>
                <w:color w:val="auto"/>
              </w:rPr>
              <w:t>F-41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440"/>
          </w:cols>
          <w:pgMar w:left="320" w:top="420" w:right="1139" w:bottom="1440" w:gutter="0" w:footer="0" w:header="0"/>
        </w:sectPr>
      </w:pPr>
    </w:p>
    <w:bookmarkStart w:id="250" w:name="page251"/>
    <w:bookmarkEnd w:id="2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0"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For the year ended December 31, 2020, depreciation and amortization expense on property, equipment, and software was</w:t>
      </w:r>
    </w:p>
    <w:p>
      <w:pPr>
        <w:ind w:left="800"/>
        <w:spacing w:after="0" w:line="231" w:lineRule="auto"/>
        <w:rPr>
          <w:sz w:val="20"/>
          <w:szCs w:val="20"/>
          <w:color w:val="auto"/>
        </w:rPr>
      </w:pPr>
      <w:r>
        <w:rPr>
          <w:rFonts w:ascii="Arial" w:cs="Arial" w:eastAsia="Arial" w:hAnsi="Arial"/>
          <w:sz w:val="16"/>
          <w:szCs w:val="16"/>
          <w:color w:val="auto"/>
        </w:rPr>
        <w:t>$2.3 million. Depreciation and amortization expense on property, equipment, and software for the year ended December 31, 2019 and</w:t>
      </w:r>
    </w:p>
    <w:p>
      <w:pPr>
        <w:ind w:left="800"/>
        <w:spacing w:after="0"/>
        <w:rPr>
          <w:sz w:val="20"/>
          <w:szCs w:val="20"/>
          <w:color w:val="auto"/>
        </w:rPr>
      </w:pPr>
      <w:r>
        <w:rPr>
          <w:rFonts w:ascii="Arial" w:cs="Arial" w:eastAsia="Arial" w:hAnsi="Arial"/>
          <w:sz w:val="15"/>
          <w:szCs w:val="15"/>
          <w:color w:val="auto"/>
        </w:rPr>
        <w:t>2018, was immaterial to the consolidated statements of operations and comprehensive income (loss). As of December 31, 2020 and 2019,</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capitalized internally developed software balances, net of accumulated amortization, were $6.0 million and $2.2 million, respectively.</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Accrued Expenses and Other Liabilities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Accrued expenses and other liabilities consisted of the following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280" w:type="dxa"/>
            <w:vAlign w:val="bottom"/>
          </w:tcPr>
          <w:p>
            <w:pPr>
              <w:spacing w:after="0"/>
              <w:rPr>
                <w:sz w:val="13"/>
                <w:szCs w:val="13"/>
                <w:color w:val="auto"/>
              </w:rPr>
            </w:pPr>
          </w:p>
        </w:tc>
        <w:tc>
          <w:tcPr>
            <w:tcW w:w="1360" w:type="dxa"/>
            <w:vAlign w:val="bottom"/>
            <w:gridSpan w:val="5"/>
          </w:tcPr>
          <w:p>
            <w:pPr>
              <w:ind w:left="24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828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1"/>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77"/>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57"/>
        </w:trPr>
        <w:tc>
          <w:tcPr>
            <w:tcW w:w="82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Accrued expenses</w:t>
            </w:r>
          </w:p>
        </w:tc>
        <w:tc>
          <w:tcPr>
            <w:tcW w:w="5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5"/>
              </w:rPr>
              <w:t>$ 10,974</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$ 15,006</w:t>
            </w:r>
          </w:p>
        </w:tc>
        <w:tc>
          <w:tcPr>
            <w:tcW w:w="40" w:type="dxa"/>
            <w:vAlign w:val="bottom"/>
            <w:shd w:val="clear" w:color="auto" w:fill="CCEEFF"/>
          </w:tcPr>
          <w:p>
            <w:pPr>
              <w:spacing w:after="0"/>
              <w:rPr>
                <w:sz w:val="13"/>
                <w:szCs w:val="13"/>
                <w:color w:val="auto"/>
              </w:rPr>
            </w:pPr>
          </w:p>
        </w:tc>
      </w:tr>
      <w:tr>
        <w:trPr>
          <w:trHeight w:val="166"/>
        </w:trPr>
        <w:tc>
          <w:tcPr>
            <w:tcW w:w="8280" w:type="dxa"/>
            <w:vAlign w:val="bottom"/>
          </w:tcPr>
          <w:p>
            <w:pPr>
              <w:spacing w:after="0"/>
              <w:rPr>
                <w:sz w:val="20"/>
                <w:szCs w:val="20"/>
                <w:color w:val="auto"/>
              </w:rPr>
            </w:pPr>
            <w:r>
              <w:rPr>
                <w:rFonts w:ascii="Arial" w:cs="Arial" w:eastAsia="Arial" w:hAnsi="Arial"/>
                <w:sz w:val="14"/>
                <w:szCs w:val="14"/>
                <w:color w:val="auto"/>
              </w:rPr>
              <w:t>Accrued payroll</w:t>
            </w:r>
          </w:p>
        </w:tc>
        <w:tc>
          <w:tcPr>
            <w:tcW w:w="540" w:type="dxa"/>
            <w:vAlign w:val="bottom"/>
          </w:tcPr>
          <w:p>
            <w:pPr>
              <w:jc w:val="right"/>
              <w:spacing w:after="0"/>
              <w:rPr>
                <w:sz w:val="20"/>
                <w:szCs w:val="20"/>
                <w:color w:val="auto"/>
              </w:rPr>
            </w:pPr>
            <w:r>
              <w:rPr>
                <w:rFonts w:ascii="Arial" w:cs="Arial" w:eastAsia="Arial" w:hAnsi="Arial"/>
                <w:sz w:val="14"/>
                <w:szCs w:val="14"/>
                <w:color w:val="auto"/>
              </w:rPr>
              <w:t>13,834</w:t>
            </w:r>
          </w:p>
        </w:tc>
        <w:tc>
          <w:tcPr>
            <w:tcW w:w="12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5,746</w:t>
            </w:r>
          </w:p>
        </w:tc>
      </w:tr>
      <w:tr>
        <w:trPr>
          <w:trHeight w:val="16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stock warrant liabilities (at fair value)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5,666</w:t>
            </w:r>
          </w:p>
        </w:tc>
      </w:tr>
      <w:tr>
        <w:trPr>
          <w:trHeight w:val="166"/>
        </w:trPr>
        <w:tc>
          <w:tcPr>
            <w:tcW w:w="8280" w:type="dxa"/>
            <w:vAlign w:val="bottom"/>
          </w:tcPr>
          <w:p>
            <w:pPr>
              <w:spacing w:after="0"/>
              <w:rPr>
                <w:sz w:val="20"/>
                <w:szCs w:val="20"/>
                <w:color w:val="auto"/>
              </w:rPr>
            </w:pPr>
            <w:r>
              <w:rPr>
                <w:rFonts w:ascii="Arial" w:cs="Arial" w:eastAsia="Arial" w:hAnsi="Arial"/>
                <w:sz w:val="14"/>
                <w:szCs w:val="14"/>
                <w:color w:val="auto"/>
              </w:rPr>
              <w:t>Common stock warrant liabilities (at fair value)</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1,136</w:t>
            </w:r>
          </w:p>
        </w:tc>
      </w:tr>
      <w:tr>
        <w:trPr>
          <w:trHeight w:val="16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Loan servicing liabilities (at fair value)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8,254</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5,140</w:t>
            </w:r>
          </w:p>
        </w:tc>
      </w:tr>
      <w:tr>
        <w:trPr>
          <w:trHeight w:val="166"/>
        </w:trPr>
        <w:tc>
          <w:tcPr>
            <w:tcW w:w="8280" w:type="dxa"/>
            <w:vAlign w:val="bottom"/>
          </w:tcPr>
          <w:p>
            <w:pPr>
              <w:spacing w:after="0"/>
              <w:rPr>
                <w:sz w:val="20"/>
                <w:szCs w:val="20"/>
                <w:color w:val="auto"/>
              </w:rPr>
            </w:pPr>
            <w:r>
              <w:rPr>
                <w:rFonts w:ascii="Arial" w:cs="Arial" w:eastAsia="Arial" w:hAnsi="Arial"/>
                <w:sz w:val="14"/>
                <w:szCs w:val="14"/>
                <w:color w:val="auto"/>
              </w:rPr>
              <w:t>Trailing fee liability (at fair value)</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1,276</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504</w:t>
            </w:r>
          </w:p>
        </w:tc>
        <w:tc>
          <w:tcPr>
            <w:tcW w:w="40" w:type="dxa"/>
            <w:vAlign w:val="bottom"/>
          </w:tcPr>
          <w:p>
            <w:pPr>
              <w:spacing w:after="0"/>
              <w:rPr>
                <w:sz w:val="14"/>
                <w:szCs w:val="14"/>
                <w:color w:val="auto"/>
              </w:rPr>
            </w:pPr>
          </w:p>
        </w:tc>
      </w:tr>
      <w:tr>
        <w:trPr>
          <w:trHeight w:val="166"/>
        </w:trPr>
        <w:tc>
          <w:tcPr>
            <w:tcW w:w="82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1,450</w:t>
            </w:r>
          </w:p>
        </w:tc>
      </w:tr>
      <w:tr>
        <w:trPr>
          <w:trHeight w:val="20"/>
        </w:trPr>
        <w:tc>
          <w:tcPr>
            <w:tcW w:w="8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28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54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35,669</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34,648</w:t>
            </w:r>
          </w:p>
        </w:tc>
        <w:tc>
          <w:tcPr>
            <w:tcW w:w="40" w:type="dxa"/>
            <w:vAlign w:val="bottom"/>
          </w:tcPr>
          <w:p>
            <w:pPr>
              <w:spacing w:after="0"/>
              <w:rPr>
                <w:sz w:val="14"/>
                <w:szCs w:val="14"/>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7. Borrowings</w:t>
      </w:r>
    </w:p>
    <w:p>
      <w:pPr>
        <w:spacing w:after="0" w:line="106" w:lineRule="exact"/>
        <w:rPr>
          <w:sz w:val="20"/>
          <w:szCs w:val="20"/>
          <w:color w:val="auto"/>
        </w:rPr>
      </w:pPr>
    </w:p>
    <w:p>
      <w:pPr>
        <w:ind w:left="800" w:right="660" w:firstLine="482"/>
        <w:spacing w:after="0" w:line="238" w:lineRule="auto"/>
        <w:rPr>
          <w:sz w:val="20"/>
          <w:szCs w:val="20"/>
          <w:color w:val="auto"/>
        </w:rPr>
      </w:pPr>
      <w:r>
        <w:rPr>
          <w:rFonts w:ascii="Arial" w:cs="Arial" w:eastAsia="Arial" w:hAnsi="Arial"/>
          <w:sz w:val="16"/>
          <w:szCs w:val="16"/>
          <w:color w:val="auto"/>
        </w:rPr>
        <w:t>The following table presents the aggregate principal outstanding of all loans mentioned in this note that are included in the consolidated balance sheets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Borrowings</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2"/>
        </w:trPr>
        <w:tc>
          <w:tcPr>
            <w:tcW w:w="45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4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0"/>
                <w:szCs w:val="10"/>
                <w:color w:val="auto"/>
              </w:rPr>
            </w:pPr>
          </w:p>
        </w:tc>
      </w:tr>
      <w:tr>
        <w:trPr>
          <w:trHeight w:val="154"/>
        </w:trPr>
        <w:tc>
          <w:tcPr>
            <w:tcW w:w="452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57"/>
        </w:trPr>
        <w:tc>
          <w:tcPr>
            <w:tcW w:w="45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Term loans</w:t>
            </w:r>
          </w:p>
        </w:tc>
        <w:tc>
          <w:tcPr>
            <w:tcW w:w="2920" w:type="dxa"/>
            <w:vAlign w:val="bottom"/>
            <w:gridSpan w:val="2"/>
            <w:shd w:val="clear" w:color="auto" w:fill="CCEEFF"/>
          </w:tcPr>
          <w:p>
            <w:pPr>
              <w:ind w:left="276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15,000</w:t>
            </w: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17,200</w:t>
            </w:r>
          </w:p>
        </w:tc>
        <w:tc>
          <w:tcPr>
            <w:tcW w:w="80" w:type="dxa"/>
            <w:vAlign w:val="bottom"/>
            <w:shd w:val="clear" w:color="auto" w:fill="CCEEFF"/>
          </w:tcPr>
          <w:p>
            <w:pPr>
              <w:spacing w:after="0"/>
              <w:rPr>
                <w:sz w:val="13"/>
                <w:szCs w:val="13"/>
                <w:color w:val="auto"/>
              </w:rPr>
            </w:pPr>
          </w:p>
        </w:tc>
      </w:tr>
      <w:tr>
        <w:trPr>
          <w:trHeight w:val="166"/>
        </w:trPr>
        <w:tc>
          <w:tcPr>
            <w:tcW w:w="4520" w:type="dxa"/>
            <w:vAlign w:val="bottom"/>
          </w:tcPr>
          <w:p>
            <w:pPr>
              <w:spacing w:after="0"/>
              <w:rPr>
                <w:sz w:val="20"/>
                <w:szCs w:val="20"/>
                <w:color w:val="auto"/>
              </w:rPr>
            </w:pPr>
            <w:r>
              <w:rPr>
                <w:rFonts w:ascii="Arial" w:cs="Arial" w:eastAsia="Arial" w:hAnsi="Arial"/>
                <w:sz w:val="14"/>
                <w:szCs w:val="14"/>
                <w:color w:val="auto"/>
              </w:rPr>
              <w:t>Revolving credit facility</w:t>
            </w: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5,500</w:t>
            </w:r>
          </w:p>
        </w:tc>
        <w:tc>
          <w:tcPr>
            <w:tcW w:w="1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5,500</w:t>
            </w:r>
          </w:p>
        </w:tc>
      </w:tr>
      <w:tr>
        <w:trPr>
          <w:trHeight w:val="166"/>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Warehouse credit facilities</w:t>
            </w:r>
          </w:p>
        </w:tc>
        <w:tc>
          <w:tcPr>
            <w:tcW w:w="2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34,994</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79,096</w:t>
            </w:r>
          </w:p>
        </w:tc>
        <w:tc>
          <w:tcPr>
            <w:tcW w:w="80" w:type="dxa"/>
            <w:vAlign w:val="bottom"/>
            <w:shd w:val="clear" w:color="auto" w:fill="CCEEFF"/>
          </w:tcPr>
          <w:p>
            <w:pPr>
              <w:spacing w:after="0"/>
              <w:rPr>
                <w:sz w:val="14"/>
                <w:szCs w:val="14"/>
                <w:color w:val="auto"/>
              </w:rPr>
            </w:pPr>
          </w:p>
        </w:tc>
      </w:tr>
      <w:tr>
        <w:trPr>
          <w:trHeight w:val="169"/>
        </w:trPr>
        <w:tc>
          <w:tcPr>
            <w:tcW w:w="4520" w:type="dxa"/>
            <w:vAlign w:val="bottom"/>
          </w:tcPr>
          <w:p>
            <w:pPr>
              <w:spacing w:after="0"/>
              <w:rPr>
                <w:sz w:val="20"/>
                <w:szCs w:val="20"/>
                <w:color w:val="auto"/>
              </w:rPr>
            </w:pPr>
            <w:r>
              <w:rPr>
                <w:rFonts w:ascii="Arial" w:cs="Arial" w:eastAsia="Arial" w:hAnsi="Arial"/>
                <w:sz w:val="14"/>
                <w:szCs w:val="14"/>
                <w:color w:val="auto"/>
              </w:rPr>
              <w:t>Risk retention funding loans</w:t>
            </w: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color w:val="auto"/>
              </w:rPr>
              <w:t>7,187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16,941</w:t>
            </w:r>
          </w:p>
        </w:tc>
        <w:tc>
          <w:tcPr>
            <w:tcW w:w="80" w:type="dxa"/>
            <w:vAlign w:val="bottom"/>
          </w:tcPr>
          <w:p>
            <w:pPr>
              <w:spacing w:after="0"/>
              <w:rPr>
                <w:sz w:val="14"/>
                <w:szCs w:val="14"/>
                <w:color w:val="auto"/>
              </w:rPr>
            </w:pPr>
          </w:p>
        </w:tc>
      </w:tr>
      <w:tr>
        <w:trPr>
          <w:trHeight w:val="166"/>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Total payments due</w:t>
            </w:r>
          </w:p>
        </w:tc>
        <w:tc>
          <w:tcPr>
            <w:tcW w:w="27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62,681</w:t>
            </w:r>
          </w:p>
        </w:tc>
        <w:tc>
          <w:tcPr>
            <w:tcW w:w="6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118,737</w:t>
            </w:r>
          </w:p>
        </w:tc>
        <w:tc>
          <w:tcPr>
            <w:tcW w:w="80" w:type="dxa"/>
            <w:vAlign w:val="bottom"/>
            <w:shd w:val="clear" w:color="auto" w:fill="CCEEFF"/>
          </w:tcPr>
          <w:p>
            <w:pPr>
              <w:spacing w:after="0"/>
              <w:rPr>
                <w:sz w:val="14"/>
                <w:szCs w:val="14"/>
                <w:color w:val="auto"/>
              </w:rPr>
            </w:pPr>
          </w:p>
        </w:tc>
      </w:tr>
      <w:tr>
        <w:trPr>
          <w:trHeight w:val="166"/>
        </w:trPr>
        <w:tc>
          <w:tcPr>
            <w:tcW w:w="4520" w:type="dxa"/>
            <w:vAlign w:val="bottom"/>
          </w:tcPr>
          <w:p>
            <w:pPr>
              <w:spacing w:after="0"/>
              <w:rPr>
                <w:sz w:val="20"/>
                <w:szCs w:val="20"/>
                <w:color w:val="auto"/>
              </w:rPr>
            </w:pPr>
            <w:r>
              <w:rPr>
                <w:rFonts w:ascii="Arial" w:cs="Arial" w:eastAsia="Arial" w:hAnsi="Arial"/>
                <w:sz w:val="14"/>
                <w:szCs w:val="14"/>
                <w:color w:val="auto"/>
              </w:rPr>
              <w:t>Unamortized debt discount</w:t>
            </w:r>
          </w:p>
        </w:tc>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(128)</w:t>
            </w:r>
          </w:p>
        </w:tc>
      </w:tr>
      <w:tr>
        <w:trPr>
          <w:trHeight w:val="24"/>
        </w:trPr>
        <w:tc>
          <w:tcPr>
            <w:tcW w:w="45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Total borrowings</w:t>
            </w:r>
          </w:p>
        </w:tc>
        <w:tc>
          <w:tcPr>
            <w:tcW w:w="2920" w:type="dxa"/>
            <w:vAlign w:val="bottom"/>
            <w:gridSpan w:val="2"/>
            <w:shd w:val="clear" w:color="auto" w:fill="CCEEFF"/>
          </w:tcPr>
          <w:p>
            <w:pPr>
              <w:ind w:left="27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62,626</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118,609</w:t>
            </w:r>
          </w:p>
        </w:tc>
        <w:tc>
          <w:tcPr>
            <w:tcW w:w="80" w:type="dxa"/>
            <w:vAlign w:val="bottom"/>
            <w:shd w:val="clear" w:color="auto" w:fill="CCEEFF"/>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Term Loans</w:t>
      </w:r>
    </w:p>
    <w:p>
      <w:pPr>
        <w:spacing w:after="0" w:line="106"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 February 2016, the Company, together with its wholly-owned subsidiary, Upstart Network, Inc. (“UNI”) as the co-borrower, entered into a loan and security agreement (the “LSA”) with a third-party lender to obtain a term loan of $5.5 million. The term loan had an original maturity of March 1, 2019. In September 2018, the parties amended the LSA to extend the maturity date to December 1, 2020. Commencing on the effective date of the amended LSA, the Company is required to repay the term loan in thirty (30) equal monthly installments plus accrued interest. On December 1, 2020, the Company settled the term loan by paying the outstanding principal and accrued interest. The term loan bears a floating interest of prime rate plus 1.75% per annum, payable on the first calendar day of each month.</w:t>
      </w:r>
    </w:p>
    <w:p>
      <w:pPr>
        <w:spacing w:after="0" w:line="122"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440"/>
          </w:cols>
          <w:pgMar w:left="320" w:top="419" w:right="113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60" w:firstLine="482"/>
        <w:spacing w:after="0" w:line="236" w:lineRule="auto"/>
        <w:rPr>
          <w:sz w:val="20"/>
          <w:szCs w:val="20"/>
          <w:color w:val="auto"/>
        </w:rPr>
      </w:pPr>
      <w:r>
        <w:rPr>
          <w:rFonts w:ascii="Arial" w:cs="Arial" w:eastAsia="Arial" w:hAnsi="Arial"/>
          <w:sz w:val="16"/>
          <w:szCs w:val="16"/>
          <w:color w:val="auto"/>
        </w:rPr>
        <w:t>In October 2018, the Company and UNI entered into a mezzanine loan and security agreement with the same lender to obtain a second term loan of up to $15.0 million (the “Mezzanine Loan”). The Mezzanine Loan bears interest at the greater of prime rate plus 5.25% or 10.00% per annum, payable monthly. The principal balance is due upon maturity on October 1, 2021.</w:t>
      </w:r>
    </w:p>
    <w:p>
      <w:pPr>
        <w:spacing w:after="0" w:line="179"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term loans are secured by all assets of the Company, excluding assets of consolidated securitizations and cash and restricted cash relating to other borrowing arrangements.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UNI Credit Facility</w:t>
      </w:r>
    </w:p>
    <w:p>
      <w:pPr>
        <w:spacing w:after="0" w:line="104"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In connection with the LSA with the same lender above, as amended in September 2018, the Company and UNI also obtained a revolving credit facility of up to $5.5 million (the “UNI Credit Facility”). The UNI Credit Facility had an original termination and maturity date of June 1, 2020. During the year ended December 31, 2020, the parties agreed to extend the maturity date of the UNI Credit Facility to June 1, 2021 when the outstanding principal and any accrued and unpaid interest are due and payable in full. The UNI Credit Facility bears floating interest at the greater of prime rate plus 1.00% or 4.25% per annum, payable monthly, subject to a monthly minimum interest requirement prior to maturity.</w:t>
      </w:r>
    </w:p>
    <w:p>
      <w:pPr>
        <w:spacing w:after="0" w:line="182" w:lineRule="exact"/>
        <w:rPr>
          <w:sz w:val="20"/>
          <w:szCs w:val="20"/>
          <w:color w:val="auto"/>
        </w:rPr>
      </w:pPr>
    </w:p>
    <w:p>
      <w:pPr>
        <w:ind w:left="800" w:right="40" w:firstLine="482"/>
        <w:spacing w:after="0" w:line="235" w:lineRule="auto"/>
        <w:rPr>
          <w:sz w:val="20"/>
          <w:szCs w:val="20"/>
          <w:color w:val="auto"/>
        </w:rPr>
      </w:pPr>
      <w:r>
        <w:rPr>
          <w:rFonts w:ascii="Arial" w:cs="Arial" w:eastAsia="Arial" w:hAnsi="Arial"/>
          <w:sz w:val="16"/>
          <w:szCs w:val="16"/>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2020 and 2019, the Company was in compliance with all applicable covenants under the revolving credit and security agreement. As of December 31, 2020 and 2019, outstanding borrowings under the UNI Credit Facility was $5.5 million.</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Warehouse Credit Facilities</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Upstart Loan Trust Credit Facility</w:t>
      </w:r>
    </w:p>
    <w:p>
      <w:pPr>
        <w:spacing w:after="0" w:line="104"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Under the revolving credit and security agreement, as amended from time to time, ULT may borrow up to $100.0 million (subject to a borrowing base capacity) until the earlier of May 15, 2021 or the occurrence of an accelerated amortization event. An accelerated amortization event includes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2022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plus a spread ranging from 3.35% to 4.00% per annum, due and payable monthly in arrears. The Company is subject to additional interest payments under a minimum utilization requirement of $35 million. The maximum advance rate under the ULT Warehouse Credit Facility on outstanding principal of loans held by ULT was 80% as of December 31, 2020 and 85% as of December 31, 2019.</w:t>
      </w:r>
    </w:p>
    <w:p>
      <w:pPr>
        <w:spacing w:after="0" w:line="124"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440"/>
          </w:cols>
          <w:pgMar w:left="320" w:top="420" w:right="1139" w:bottom="1440" w:gutter="0" w:footer="0" w:header="0"/>
        </w:sectPr>
      </w:pPr>
    </w:p>
    <w:bookmarkStart w:id="252" w:name="page253"/>
    <w:bookmarkEnd w:id="2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00" w:firstLine="482"/>
        <w:spacing w:after="0" w:line="234" w:lineRule="auto"/>
        <w:rPr>
          <w:sz w:val="20"/>
          <w:szCs w:val="20"/>
          <w:color w:val="auto"/>
        </w:rPr>
      </w:pPr>
      <w:r>
        <w:rPr>
          <w:rFonts w:ascii="Arial" w:cs="Arial" w:eastAsia="Arial" w:hAnsi="Arial"/>
          <w:sz w:val="16"/>
          <w:szCs w:val="16"/>
          <w:color w:val="auto"/>
        </w:rPr>
        <w:t>The ULT Warehouse Credit Facility contains certain financial covenants. As of December 31, 2020 and 2019,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79" w:lineRule="exact"/>
        <w:rPr>
          <w:sz w:val="20"/>
          <w:szCs w:val="20"/>
          <w:color w:val="auto"/>
        </w:rPr>
      </w:pPr>
    </w:p>
    <w:p>
      <w:pPr>
        <w:ind w:left="800" w:right="340" w:firstLine="482"/>
        <w:spacing w:after="0" w:line="269" w:lineRule="auto"/>
        <w:rPr>
          <w:sz w:val="20"/>
          <w:szCs w:val="20"/>
          <w:color w:val="auto"/>
        </w:rPr>
      </w:pPr>
      <w:r>
        <w:rPr>
          <w:rFonts w:ascii="Arial" w:cs="Arial" w:eastAsia="Arial" w:hAnsi="Arial"/>
          <w:sz w:val="15"/>
          <w:szCs w:val="15"/>
          <w:color w:val="auto"/>
        </w:rPr>
        <w:t>The following table includes the aggregate balances held by ULT that were pledged as collateral for the ULT Warehouse Credit Facility and included in loans at fair value and restricted cash in the consolidated balance sheets, respectively (in thousands):</w:t>
      </w:r>
    </w:p>
    <w:p>
      <w:pPr>
        <w:spacing w:after="0" w:line="1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100"/>
              <w:spacing w:after="0"/>
              <w:rPr>
                <w:sz w:val="20"/>
                <w:szCs w:val="20"/>
                <w:color w:val="auto"/>
              </w:rPr>
            </w:pPr>
            <w:r>
              <w:rPr>
                <w:rFonts w:ascii="Arial" w:cs="Arial" w:eastAsia="Arial" w:hAnsi="Arial"/>
                <w:sz w:val="13"/>
                <w:szCs w:val="13"/>
                <w:b w:val="1"/>
                <w:bCs w:val="1"/>
                <w:color w:val="auto"/>
              </w:rPr>
              <w:t>ULT Warehouse Credit Facility</w:t>
            </w:r>
          </w:p>
        </w:tc>
      </w:tr>
      <w:tr>
        <w:trPr>
          <w:trHeight w:val="134"/>
        </w:trPr>
        <w:tc>
          <w:tcPr>
            <w:tcW w:w="7240" w:type="dxa"/>
            <w:vAlign w:val="bottom"/>
          </w:tcPr>
          <w:p>
            <w:pPr>
              <w:spacing w:after="0"/>
              <w:rPr>
                <w:sz w:val="11"/>
                <w:szCs w:val="11"/>
                <w:color w:val="auto"/>
              </w:rPr>
            </w:pPr>
          </w:p>
        </w:tc>
        <w:tc>
          <w:tcPr>
            <w:tcW w:w="1520" w:type="dxa"/>
            <w:vAlign w:val="bottom"/>
            <w:tcBorders>
              <w:top w:val="single" w:sz="8" w:color="auto"/>
            </w:tcBorders>
            <w:gridSpan w:val="3"/>
          </w:tcPr>
          <w:p>
            <w:pPr>
              <w:jc w:val="right"/>
              <w:ind w:right="680"/>
              <w:spacing w:after="0" w:line="134" w:lineRule="exact"/>
              <w:rPr>
                <w:sz w:val="20"/>
                <w:szCs w:val="20"/>
                <w:color w:val="auto"/>
              </w:rPr>
            </w:pPr>
            <w:r>
              <w:rPr>
                <w:rFonts w:ascii="Arial" w:cs="Arial" w:eastAsia="Arial" w:hAnsi="Arial"/>
                <w:sz w:val="13"/>
                <w:szCs w:val="13"/>
                <w:b w:val="1"/>
                <w:bCs w:val="1"/>
                <w:color w:val="auto"/>
                <w:w w:val="96"/>
              </w:rPr>
              <w:t>December 31,</w:t>
            </w:r>
          </w:p>
        </w:tc>
        <w:tc>
          <w:tcPr>
            <w:tcW w:w="84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1"/>
                <w:szCs w:val="11"/>
                <w:color w:val="auto"/>
              </w:rPr>
            </w:pPr>
          </w:p>
        </w:tc>
      </w:tr>
      <w:tr>
        <w:trPr>
          <w:trHeight w:val="134"/>
        </w:trPr>
        <w:tc>
          <w:tcPr>
            <w:tcW w:w="7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00"/>
              <w:spacing w:after="0" w:line="134"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04"/>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69"/>
        </w:trPr>
        <w:tc>
          <w:tcPr>
            <w:tcW w:w="72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Outstanding borrowings</w:t>
            </w:r>
          </w:p>
        </w:tc>
        <w:tc>
          <w:tcPr>
            <w:tcW w:w="180" w:type="dxa"/>
            <w:vAlign w:val="bottom"/>
            <w:shd w:val="clear" w:color="auto" w:fill="CCEEFF"/>
          </w:tcPr>
          <w:p>
            <w:pPr>
              <w:jc w:val="right"/>
              <w:ind w:right="9"/>
              <w:spacing w:after="0" w:line="169" w:lineRule="exact"/>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34,994</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54,770</w:t>
            </w:r>
          </w:p>
        </w:tc>
        <w:tc>
          <w:tcPr>
            <w:tcW w:w="40" w:type="dxa"/>
            <w:vAlign w:val="bottom"/>
            <w:shd w:val="clear" w:color="auto" w:fill="CCEEFF"/>
          </w:tcPr>
          <w:p>
            <w:pPr>
              <w:spacing w:after="0"/>
              <w:rPr>
                <w:sz w:val="14"/>
                <w:szCs w:val="14"/>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Aggregate outstanding principal of loans pledged as collateral</w:t>
            </w:r>
          </w:p>
        </w:tc>
        <w:tc>
          <w:tcPr>
            <w:tcW w:w="180" w:type="dxa"/>
            <w:vAlign w:val="bottom"/>
          </w:tcPr>
          <w:p>
            <w:pPr>
              <w:spacing w:after="0"/>
              <w:rPr>
                <w:sz w:val="15"/>
                <w:szCs w:val="15"/>
                <w:color w:val="auto"/>
              </w:rPr>
            </w:pPr>
          </w:p>
        </w:tc>
        <w:tc>
          <w:tcPr>
            <w:tcW w:w="1340" w:type="dxa"/>
            <w:vAlign w:val="bottom"/>
            <w:gridSpan w:val="2"/>
          </w:tcPr>
          <w:p>
            <w:pPr>
              <w:jc w:val="right"/>
              <w:ind w:right="680"/>
              <w:spacing w:after="0" w:line="178" w:lineRule="exact"/>
              <w:rPr>
                <w:sz w:val="20"/>
                <w:szCs w:val="20"/>
                <w:color w:val="auto"/>
              </w:rPr>
            </w:pPr>
            <w:r>
              <w:rPr>
                <w:rFonts w:ascii="Arial" w:cs="Arial" w:eastAsia="Arial" w:hAnsi="Arial"/>
                <w:sz w:val="16"/>
                <w:szCs w:val="16"/>
                <w:color w:val="auto"/>
              </w:rPr>
              <w:t>59,709</w:t>
            </w:r>
          </w:p>
        </w:tc>
        <w:tc>
          <w:tcPr>
            <w:tcW w:w="180" w:type="dxa"/>
            <w:vAlign w:val="bottom"/>
          </w:tcPr>
          <w:p>
            <w:pPr>
              <w:spacing w:after="0"/>
              <w:rPr>
                <w:sz w:val="15"/>
                <w:szCs w:val="15"/>
                <w:color w:val="auto"/>
              </w:rPr>
            </w:pPr>
          </w:p>
        </w:tc>
        <w:tc>
          <w:tcPr>
            <w:tcW w:w="70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73,489</w:t>
            </w: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Aggregate fair value of loans purchased and held by ULT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80"/>
              <w:spacing w:after="0" w:line="178" w:lineRule="exact"/>
              <w:rPr>
                <w:sz w:val="20"/>
                <w:szCs w:val="20"/>
                <w:color w:val="auto"/>
              </w:rPr>
            </w:pPr>
            <w:r>
              <w:rPr>
                <w:rFonts w:ascii="Arial" w:cs="Arial" w:eastAsia="Arial" w:hAnsi="Arial"/>
                <w:sz w:val="16"/>
                <w:szCs w:val="16"/>
                <w:color w:val="auto"/>
              </w:rPr>
              <w:t>60,231</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86,742</w:t>
            </w:r>
          </w:p>
        </w:tc>
      </w:tr>
      <w:tr>
        <w:trPr>
          <w:trHeight w:val="189"/>
        </w:trPr>
        <w:tc>
          <w:tcPr>
            <w:tcW w:w="7240" w:type="dxa"/>
            <w:vAlign w:val="bottom"/>
          </w:tcPr>
          <w:p>
            <w:pPr>
              <w:spacing w:after="0"/>
              <w:rPr>
                <w:sz w:val="20"/>
                <w:szCs w:val="20"/>
                <w:color w:val="auto"/>
              </w:rPr>
            </w:pPr>
            <w:r>
              <w:rPr>
                <w:rFonts w:ascii="Arial" w:cs="Arial" w:eastAsia="Arial" w:hAnsi="Arial"/>
                <w:sz w:val="16"/>
                <w:szCs w:val="16"/>
                <w:color w:val="auto"/>
              </w:rPr>
              <w:t>Restricted cash pledged as collateral</w:t>
            </w:r>
          </w:p>
        </w:tc>
        <w:tc>
          <w:tcPr>
            <w:tcW w:w="180" w:type="dxa"/>
            <w:vAlign w:val="bottom"/>
          </w:tcPr>
          <w:p>
            <w:pPr>
              <w:spacing w:after="0"/>
              <w:rPr>
                <w:sz w:val="16"/>
                <w:szCs w:val="16"/>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6"/>
                <w:szCs w:val="16"/>
                <w:color w:val="auto"/>
              </w:rPr>
              <w:t>11,270</w:t>
            </w:r>
          </w:p>
        </w:tc>
        <w:tc>
          <w:tcPr>
            <w:tcW w:w="1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3,441</w:t>
            </w:r>
          </w:p>
        </w:tc>
      </w:tr>
    </w:tbl>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Upstart Warehouse Trust Credit Facility</w:t>
      </w:r>
    </w:p>
    <w:p>
      <w:pPr>
        <w:spacing w:after="0" w:line="104" w:lineRule="exact"/>
        <w:rPr>
          <w:sz w:val="20"/>
          <w:szCs w:val="20"/>
          <w:color w:val="auto"/>
        </w:rPr>
      </w:pPr>
    </w:p>
    <w:p>
      <w:pPr>
        <w:ind w:left="800" w:right="60" w:firstLine="482"/>
        <w:spacing w:after="0" w:line="246" w:lineRule="auto"/>
        <w:rPr>
          <w:sz w:val="20"/>
          <w:szCs w:val="20"/>
          <w:color w:val="auto"/>
        </w:rPr>
      </w:pPr>
      <w:r>
        <w:rPr>
          <w:rFonts w:ascii="Arial" w:cs="Arial" w:eastAsia="Arial" w:hAnsi="Arial"/>
          <w:sz w:val="15"/>
          <w:szCs w:val="15"/>
          <w:color w:val="auto"/>
        </w:rPr>
        <w:t>In May 2018, the Company’s consolidated VIE, Upstart Warehouse Trust (“UWT”) entered into a revolving credit and security agreement with third-party lenders, including one subordinated lender, for an uncommitted credit facility up to $152.0 million (the “UWT Warehouse Credit Facility”) to fund UWT’s purchase of loans from Upstart’s platform. The ability to borrow additional amounts under this warehouse credit facility expired in May 2020. The UWT Warehouse Credit Facility matures on the earlier of May 21, 2021 or the acceleration of the facility following an event of default, upon which date 100% of the outstanding principal, together with any accrued and unpaid interest, becomes due and payable. The entire amount of the outstanding debt may be prepaid at any time without penalty. The UWT Warehouse Credit Facility bears a floating interest rate of LIBOR plus 2.75% for a total amount up to $125.0 million and LIBOR plus 6.25% for an additional amount up to $27.0 million funded by the subordinated lender. These interest rates increased by an additional</w:t>
      </w:r>
    </w:p>
    <w:p>
      <w:pPr>
        <w:spacing w:after="0" w:line="5" w:lineRule="exact"/>
        <w:rPr>
          <w:sz w:val="20"/>
          <w:szCs w:val="20"/>
          <w:color w:val="auto"/>
        </w:rPr>
      </w:pPr>
    </w:p>
    <w:p>
      <w:pPr>
        <w:ind w:left="800" w:right="100"/>
        <w:spacing w:after="0" w:line="238" w:lineRule="auto"/>
        <w:rPr>
          <w:sz w:val="20"/>
          <w:szCs w:val="20"/>
          <w:color w:val="auto"/>
        </w:rPr>
      </w:pPr>
      <w:r>
        <w:rPr>
          <w:rFonts w:ascii="Arial" w:cs="Arial" w:eastAsia="Arial" w:hAnsi="Arial"/>
          <w:sz w:val="16"/>
          <w:szCs w:val="16"/>
          <w:color w:val="auto"/>
        </w:rPr>
        <w:t>0.75% following the scheduled expiration of the revolving period on May 22, 2020. In November 2020, the Company terminated the UWT Warehouse Credit Facility and paid down the full outstanding borrowings and accrued interest.</w:t>
      </w:r>
    </w:p>
    <w:p>
      <w:pPr>
        <w:spacing w:after="0" w:line="179" w:lineRule="exact"/>
        <w:rPr>
          <w:sz w:val="20"/>
          <w:szCs w:val="20"/>
          <w:color w:val="auto"/>
        </w:rPr>
      </w:pPr>
    </w:p>
    <w:p>
      <w:pPr>
        <w:ind w:left="800" w:right="280" w:firstLine="482"/>
        <w:spacing w:after="0" w:line="238" w:lineRule="auto"/>
        <w:rPr>
          <w:sz w:val="20"/>
          <w:szCs w:val="20"/>
          <w:color w:val="auto"/>
        </w:rPr>
      </w:pPr>
      <w:r>
        <w:rPr>
          <w:rFonts w:ascii="Arial" w:cs="Arial" w:eastAsia="Arial" w:hAnsi="Arial"/>
          <w:sz w:val="16"/>
          <w:szCs w:val="16"/>
          <w:color w:val="auto"/>
        </w:rPr>
        <w:t>The maximum advance rates under the UWT Warehouse Credit Facility for the senior loans and the subordinated loans held by UWT were 70% and 85%, respectively, as of December 31, 2019.</w:t>
      </w:r>
    </w:p>
    <w:p>
      <w:pPr>
        <w:spacing w:after="0" w:line="179"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The UWT Warehouse Credit Facility contains certain financial covenants. As of December 31, 2019, UWT was in material compliance with all applicable covenants under the UWT Warehouse Credit Facility. The creditors of UWT have no recourse to the general credit of the Company except for certain limited obligations of UWT to its creditors that are guaranteed by the Company. The Company does not guarantee the credit performance of the loans owned by UWT, and the loans and other assets owned by UWT are not available to settle the claims of creditors of the Company.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0440"/>
          </w:cols>
          <w:pgMar w:left="320" w:top="419" w:right="113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340" w:firstLine="482"/>
        <w:spacing w:after="0" w:line="236" w:lineRule="auto"/>
        <w:rPr>
          <w:sz w:val="20"/>
          <w:szCs w:val="20"/>
          <w:color w:val="auto"/>
        </w:rPr>
      </w:pPr>
      <w:r>
        <w:rPr>
          <w:rFonts w:ascii="Arial" w:cs="Arial" w:eastAsia="Arial" w:hAnsi="Arial"/>
          <w:sz w:val="16"/>
          <w:szCs w:val="16"/>
          <w:color w:val="auto"/>
        </w:rPr>
        <w:t>As of December 31, 2019 the aggregate balances held by UWT that were pledged as collateral for the UWT Warehouse Credit Facility and included in loans at fair value and restricted cash in the consolidated balance sheets, respectively was as follows (in thousands):</w:t>
      </w:r>
    </w:p>
    <w:p>
      <w:pPr>
        <w:sectPr>
          <w:pgSz w:w="11900" w:h="16838" w:orient="portrait"/>
          <w:cols w:equalWidth="0" w:num="1">
            <w:col w:w="10440"/>
          </w:cols>
          <w:pgMar w:left="320" w:top="42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Outstanding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-115570</wp:posOffset>
            </wp:positionV>
            <wp:extent cx="6127750" cy="1200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27750" cy="120015"/>
                    </a:xfrm>
                    <a:prstGeom prst="rect">
                      <a:avLst/>
                    </a:prstGeom>
                    <a:noFill/>
                  </pic:spPr>
                </pic:pic>
              </a:graphicData>
            </a:graphic>
          </wp:anchor>
        </w:drawing>
      </w:r>
    </w:p>
    <w:p>
      <w:pPr>
        <w:ind w:left="800" w:right="1640"/>
        <w:spacing w:after="0" w:line="236" w:lineRule="auto"/>
        <w:rPr>
          <w:sz w:val="20"/>
          <w:szCs w:val="20"/>
          <w:color w:val="auto"/>
        </w:rPr>
      </w:pPr>
      <w:r>
        <w:rPr>
          <w:rFonts w:ascii="Arial" w:cs="Arial" w:eastAsia="Arial" w:hAnsi="Arial"/>
          <w:sz w:val="16"/>
          <w:szCs w:val="16"/>
          <w:color w:val="auto"/>
        </w:rPr>
        <w:t>Aggregate outstanding principal of loans pledged as collateral Aggregate fair value of personal loans purchased and held by UWT Restricted cash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-231140</wp:posOffset>
            </wp:positionV>
            <wp:extent cx="6127750" cy="1123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27750" cy="112395"/>
                    </a:xfrm>
                    <a:prstGeom prst="rect">
                      <a:avLst/>
                    </a:prstGeom>
                    <a:noFill/>
                  </pic:spPr>
                </pic:pic>
              </a:graphicData>
            </a:graphic>
          </wp:anchor>
        </w:drawing>
      </w:r>
    </w:p>
    <w:p>
      <w:pPr>
        <w:spacing w:after="0" w:line="23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Risk Retention Funding Loans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UWT Warehouse Credit Facility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660" w:type="dxa"/>
            <w:vAlign w:val="bottom"/>
            <w:tcBorders>
              <w:top w:val="single" w:sz="8" w:color="auto"/>
            </w:tcBorders>
            <w:gridSpan w:val="3"/>
          </w:tcPr>
          <w:p>
            <w:pPr>
              <w:ind w:left="20"/>
              <w:spacing w:after="0" w:line="134" w:lineRule="exact"/>
              <w:rPr>
                <w:sz w:val="20"/>
                <w:szCs w:val="20"/>
                <w:color w:val="auto"/>
              </w:rPr>
            </w:pPr>
            <w:r>
              <w:rPr>
                <w:rFonts w:ascii="Arial" w:cs="Arial" w:eastAsia="Arial" w:hAnsi="Arial"/>
                <w:sz w:val="13"/>
                <w:szCs w:val="13"/>
                <w:b w:val="1"/>
                <w:bCs w:val="1"/>
                <w:color w:val="auto"/>
              </w:rPr>
              <w:t>December 31,</w:t>
            </w:r>
          </w:p>
        </w:tc>
        <w:tc>
          <w:tcPr>
            <w:tcW w:w="8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1"/>
                <w:szCs w:val="11"/>
                <w:color w:val="auto"/>
              </w:rPr>
            </w:pPr>
          </w:p>
        </w:tc>
      </w:tr>
      <w:tr>
        <w:trPr>
          <w:trHeight w:val="134"/>
        </w:trPr>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ind w:left="100"/>
              <w:spacing w:after="0" w:line="134" w:lineRule="exact"/>
              <w:rPr>
                <w:sz w:val="20"/>
                <w:szCs w:val="20"/>
                <w:color w:val="auto"/>
              </w:rPr>
            </w:pPr>
            <w:r>
              <w:rPr>
                <w:rFonts w:ascii="Arial" w:cs="Arial" w:eastAsia="Arial" w:hAnsi="Arial"/>
                <w:sz w:val="13"/>
                <w:szCs w:val="13"/>
                <w:b w:val="1"/>
                <w:bCs w:val="1"/>
                <w:color w:val="auto"/>
              </w:rPr>
              <w:t>2020</w:t>
            </w:r>
          </w:p>
        </w:tc>
        <w:tc>
          <w:tcPr>
            <w:tcW w:w="8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4"/>
              <w:spacing w:after="0" w:line="134"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1"/>
                <w:szCs w:val="11"/>
                <w:color w:val="auto"/>
              </w:rPr>
            </w:pPr>
          </w:p>
        </w:tc>
      </w:tr>
      <w:tr>
        <w:trPr>
          <w:trHeight w:val="168"/>
        </w:trPr>
        <w:tc>
          <w:tcPr>
            <w:tcW w:w="180" w:type="dxa"/>
            <w:vAlign w:val="bottom"/>
          </w:tcPr>
          <w:p>
            <w:pPr>
              <w:spacing w:after="0" w:line="168" w:lineRule="exact"/>
              <w:rPr>
                <w:sz w:val="20"/>
                <w:szCs w:val="20"/>
                <w:color w:val="auto"/>
              </w:rPr>
            </w:pPr>
            <w:r>
              <w:rPr>
                <w:rFonts w:ascii="Arial" w:cs="Arial" w:eastAsia="Arial" w:hAnsi="Arial"/>
                <w:sz w:val="16"/>
                <w:szCs w:val="16"/>
                <w:color w:val="auto"/>
              </w:rPr>
              <w:t>$</w:t>
            </w:r>
          </w:p>
        </w:tc>
        <w:tc>
          <w:tcPr>
            <w:tcW w:w="680" w:type="dxa"/>
            <w:vAlign w:val="bottom"/>
          </w:tcPr>
          <w:p>
            <w:pPr>
              <w:ind w:left="520"/>
              <w:spacing w:after="0" w:line="168" w:lineRule="exact"/>
              <w:rPr>
                <w:sz w:val="20"/>
                <w:szCs w:val="20"/>
                <w:color w:val="auto"/>
              </w:rPr>
            </w:pPr>
            <w:r>
              <w:rPr>
                <w:rFonts w:ascii="Arial" w:cs="Arial" w:eastAsia="Arial" w:hAnsi="Arial"/>
                <w:sz w:val="16"/>
                <w:szCs w:val="16"/>
                <w:color w:val="auto"/>
                <w:w w:val="87"/>
              </w:rPr>
              <w:t>—</w:t>
            </w:r>
          </w:p>
        </w:tc>
        <w:tc>
          <w:tcPr>
            <w:tcW w:w="800" w:type="dxa"/>
            <w:vAlign w:val="bottom"/>
          </w:tcPr>
          <w:p>
            <w:pPr>
              <w:spacing w:after="0"/>
              <w:rPr>
                <w:sz w:val="14"/>
                <w:szCs w:val="14"/>
                <w:color w:val="auto"/>
              </w:rPr>
            </w:pPr>
          </w:p>
        </w:tc>
        <w:tc>
          <w:tcPr>
            <w:tcW w:w="200" w:type="dxa"/>
            <w:vAlign w:val="bottom"/>
          </w:tcPr>
          <w:p>
            <w:pPr>
              <w:jc w:val="right"/>
              <w:ind w:right="29"/>
              <w:spacing w:after="0" w:line="168" w:lineRule="exact"/>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line="168" w:lineRule="exact"/>
              <w:rPr>
                <w:sz w:val="20"/>
                <w:szCs w:val="20"/>
                <w:color w:val="auto"/>
              </w:rPr>
            </w:pPr>
            <w:r>
              <w:rPr>
                <w:rFonts w:ascii="Arial" w:cs="Arial" w:eastAsia="Arial" w:hAnsi="Arial"/>
                <w:sz w:val="16"/>
                <w:szCs w:val="16"/>
                <w:color w:val="auto"/>
              </w:rPr>
              <w:t>24,326</w:t>
            </w:r>
          </w:p>
        </w:tc>
        <w:tc>
          <w:tcPr>
            <w:tcW w:w="20" w:type="dxa"/>
            <w:vAlign w:val="bottom"/>
          </w:tcPr>
          <w:p>
            <w:pPr>
              <w:spacing w:after="0"/>
              <w:rPr>
                <w:sz w:val="14"/>
                <w:szCs w:val="14"/>
                <w:color w:val="auto"/>
              </w:rPr>
            </w:pPr>
          </w:p>
        </w:tc>
      </w:tr>
      <w:tr>
        <w:trPr>
          <w:trHeight w:val="177"/>
        </w:trPr>
        <w:tc>
          <w:tcPr>
            <w:tcW w:w="180" w:type="dxa"/>
            <w:vAlign w:val="bottom"/>
          </w:tcPr>
          <w:p>
            <w:pPr>
              <w:spacing w:after="0"/>
              <w:rPr>
                <w:sz w:val="15"/>
                <w:szCs w:val="15"/>
                <w:color w:val="auto"/>
              </w:rPr>
            </w:pPr>
          </w:p>
        </w:tc>
        <w:tc>
          <w:tcPr>
            <w:tcW w:w="1480" w:type="dxa"/>
            <w:vAlign w:val="bottom"/>
            <w:gridSpan w:val="2"/>
          </w:tcPr>
          <w:p>
            <w:pPr>
              <w:ind w:left="520"/>
              <w:spacing w:after="0" w:line="178"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36,228</w:t>
            </w:r>
          </w:p>
        </w:tc>
      </w:tr>
      <w:tr>
        <w:trPr>
          <w:trHeight w:val="177"/>
        </w:trPr>
        <w:tc>
          <w:tcPr>
            <w:tcW w:w="180" w:type="dxa"/>
            <w:vAlign w:val="bottom"/>
          </w:tcPr>
          <w:p>
            <w:pPr>
              <w:spacing w:after="0"/>
              <w:rPr>
                <w:sz w:val="15"/>
                <w:szCs w:val="15"/>
                <w:color w:val="auto"/>
              </w:rPr>
            </w:pPr>
          </w:p>
        </w:tc>
        <w:tc>
          <w:tcPr>
            <w:tcW w:w="1480" w:type="dxa"/>
            <w:vAlign w:val="bottom"/>
            <w:gridSpan w:val="2"/>
          </w:tcPr>
          <w:p>
            <w:pPr>
              <w:ind w:left="520"/>
              <w:spacing w:after="0" w:line="178"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39,557</w:t>
            </w:r>
          </w:p>
        </w:tc>
      </w:tr>
      <w:tr>
        <w:trPr>
          <w:trHeight w:val="189"/>
        </w:trPr>
        <w:tc>
          <w:tcPr>
            <w:tcW w:w="180" w:type="dxa"/>
            <w:vAlign w:val="bottom"/>
          </w:tcPr>
          <w:p>
            <w:pPr>
              <w:spacing w:after="0"/>
              <w:rPr>
                <w:sz w:val="16"/>
                <w:szCs w:val="16"/>
                <w:color w:val="auto"/>
              </w:rPr>
            </w:pPr>
          </w:p>
        </w:tc>
        <w:tc>
          <w:tcPr>
            <w:tcW w:w="148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1,720</w:t>
            </w:r>
          </w:p>
        </w:tc>
      </w:tr>
    </w:tbl>
    <w:p>
      <w:pPr>
        <w:spacing w:after="0" w:line="544" w:lineRule="exact"/>
        <w:rPr>
          <w:sz w:val="20"/>
          <w:szCs w:val="20"/>
          <w:color w:val="auto"/>
        </w:rPr>
      </w:pPr>
    </w:p>
    <w:p>
      <w:pPr>
        <w:sectPr>
          <w:pgSz w:w="11900" w:h="16838" w:orient="portrait"/>
          <w:cols w:equalWidth="0" w:num="2">
            <w:col w:w="7140" w:space="720"/>
            <w:col w:w="2580"/>
          </w:cols>
          <w:pgMar w:left="320" w:top="420" w:right="1139" w:bottom="1440" w:gutter="0" w:footer="0" w:header="0"/>
          <w:type w:val="continuous"/>
        </w:sectPr>
      </w:pPr>
    </w:p>
    <w:p>
      <w:pPr>
        <w:ind w:left="800" w:firstLine="482"/>
        <w:spacing w:after="0" w:line="251" w:lineRule="auto"/>
        <w:rPr>
          <w:sz w:val="20"/>
          <w:szCs w:val="20"/>
          <w:color w:val="auto"/>
        </w:rPr>
      </w:pPr>
      <w:r>
        <w:rPr>
          <w:rFonts w:ascii="Arial" w:cs="Arial" w:eastAsia="Arial" w:hAnsi="Arial"/>
          <w:sz w:val="15"/>
          <w:szCs w:val="15"/>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 RR entity as part of monthly cash distributions from the 2018-2 securitization on securitization notes and residual certificates. As of December 31, 2020, the outstanding principal balance under the 2018-2 RR Financing Agreement was immaterial. As of December 31, 2019, the outstanding principal balance under the 2018-2 RR Financing Agreement was $3.2 million.</w:t>
      </w:r>
    </w:p>
    <w:p>
      <w:pPr>
        <w:spacing w:after="0" w:line="171"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2020 and 2019, the outstanding principal balance under the 2019-2 RR Financing Agreement was $6.6 million and $13.8 million, respectively.</w:t>
      </w:r>
    </w:p>
    <w:p>
      <w:pPr>
        <w:spacing w:after="0" w:line="182" w:lineRule="exact"/>
        <w:rPr>
          <w:sz w:val="20"/>
          <w:szCs w:val="20"/>
          <w:color w:val="auto"/>
        </w:rPr>
      </w:pPr>
    </w:p>
    <w:p>
      <w:pPr>
        <w:ind w:left="800" w:right="60" w:firstLine="482"/>
        <w:spacing w:after="0" w:line="234" w:lineRule="auto"/>
        <w:rPr>
          <w:sz w:val="20"/>
          <w:szCs w:val="20"/>
          <w:color w:val="auto"/>
        </w:rPr>
      </w:pPr>
      <w:r>
        <w:rPr>
          <w:rFonts w:ascii="Arial" w:cs="Arial" w:eastAsia="Arial" w:hAnsi="Arial"/>
          <w:sz w:val="16"/>
          <w:szCs w:val="16"/>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$12.6 million and $22.0 million of securities held for risk retention for the 2018-2 and 2019-2 securitization transactions, included in notes receivables and residual certificates on the consolidated balance sheets as of December 31, 2020 and 2019, respectively.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0440"/>
          </w:cols>
          <w:pgMar w:left="320" w:top="420" w:right="1139" w:bottom="1440" w:gutter="0" w:footer="0" w:header="0"/>
          <w:type w:val="continuous"/>
        </w:sectPr>
      </w:pPr>
    </w:p>
    <w:bookmarkStart w:id="254" w:name="page255"/>
    <w:bookmarkEnd w:id="2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following table summarizes the aggregate amount of maturities of all borrowings as of December 31, 2020 (in thousands):</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78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w:t>
            </w:r>
          </w:p>
        </w:tc>
      </w:tr>
      <w:tr>
        <w:trPr>
          <w:trHeight w:val="157"/>
        </w:trPr>
        <w:tc>
          <w:tcPr>
            <w:tcW w:w="87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57"/>
        </w:trPr>
        <w:tc>
          <w:tcPr>
            <w:tcW w:w="8780" w:type="dxa"/>
            <w:vAlign w:val="bottom"/>
            <w:shd w:val="clear" w:color="auto" w:fill="CCEEFF"/>
          </w:tcPr>
          <w:p>
            <w:pPr>
              <w:jc w:val="right"/>
              <w:ind w:right="8389"/>
              <w:spacing w:after="0" w:line="152" w:lineRule="exact"/>
              <w:rPr>
                <w:sz w:val="20"/>
                <w:szCs w:val="20"/>
                <w:color w:val="auto"/>
              </w:rPr>
            </w:pPr>
            <w:r>
              <w:rPr>
                <w:rFonts w:ascii="Arial" w:cs="Arial" w:eastAsia="Arial" w:hAnsi="Arial"/>
                <w:sz w:val="14"/>
                <w:szCs w:val="14"/>
                <w:color w:val="auto"/>
                <w:w w:val="96"/>
              </w:rPr>
              <w:t>2021</w:t>
            </w:r>
          </w:p>
        </w:tc>
        <w:tc>
          <w:tcPr>
            <w:tcW w:w="1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20,500</w:t>
            </w:r>
          </w:p>
        </w:tc>
        <w:tc>
          <w:tcPr>
            <w:tcW w:w="40" w:type="dxa"/>
            <w:vAlign w:val="bottom"/>
            <w:shd w:val="clear" w:color="auto" w:fill="CCEEFF"/>
          </w:tcPr>
          <w:p>
            <w:pPr>
              <w:spacing w:after="0"/>
              <w:rPr>
                <w:sz w:val="13"/>
                <w:szCs w:val="13"/>
                <w:color w:val="auto"/>
              </w:rPr>
            </w:pPr>
          </w:p>
        </w:tc>
      </w:tr>
      <w:tr>
        <w:trPr>
          <w:trHeight w:val="166"/>
        </w:trPr>
        <w:tc>
          <w:tcPr>
            <w:tcW w:w="8780" w:type="dxa"/>
            <w:vAlign w:val="bottom"/>
          </w:tcPr>
          <w:p>
            <w:pPr>
              <w:jc w:val="right"/>
              <w:ind w:right="8389"/>
              <w:spacing w:after="0"/>
              <w:rPr>
                <w:sz w:val="20"/>
                <w:szCs w:val="20"/>
                <w:color w:val="auto"/>
              </w:rPr>
            </w:pPr>
            <w:r>
              <w:rPr>
                <w:rFonts w:ascii="Arial" w:cs="Arial" w:eastAsia="Arial" w:hAnsi="Arial"/>
                <w:sz w:val="14"/>
                <w:szCs w:val="14"/>
                <w:color w:val="auto"/>
                <w:w w:val="96"/>
              </w:rPr>
              <w:t>2022</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35,542</w:t>
            </w:r>
          </w:p>
        </w:tc>
        <w:tc>
          <w:tcPr>
            <w:tcW w:w="40" w:type="dxa"/>
            <w:vAlign w:val="bottom"/>
          </w:tcPr>
          <w:p>
            <w:pPr>
              <w:spacing w:after="0"/>
              <w:rPr>
                <w:sz w:val="14"/>
                <w:szCs w:val="14"/>
                <w:color w:val="auto"/>
              </w:rPr>
            </w:pPr>
          </w:p>
        </w:tc>
      </w:tr>
      <w:tr>
        <w:trPr>
          <w:trHeight w:val="166"/>
        </w:trPr>
        <w:tc>
          <w:tcPr>
            <w:tcW w:w="8780" w:type="dxa"/>
            <w:vAlign w:val="bottom"/>
            <w:shd w:val="clear" w:color="auto" w:fill="CCEEFF"/>
          </w:tcPr>
          <w:p>
            <w:pPr>
              <w:jc w:val="right"/>
              <w:ind w:right="8389"/>
              <w:spacing w:after="0"/>
              <w:rPr>
                <w:sz w:val="20"/>
                <w:szCs w:val="20"/>
                <w:color w:val="auto"/>
              </w:rPr>
            </w:pPr>
            <w:r>
              <w:rPr>
                <w:rFonts w:ascii="Arial" w:cs="Arial" w:eastAsia="Arial" w:hAnsi="Arial"/>
                <w:sz w:val="14"/>
                <w:szCs w:val="14"/>
                <w:color w:val="auto"/>
                <w:w w:val="96"/>
              </w:rPr>
              <w:t>2023</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6,639</w:t>
            </w:r>
          </w:p>
        </w:tc>
      </w:tr>
      <w:tr>
        <w:trPr>
          <w:trHeight w:val="166"/>
        </w:trPr>
        <w:tc>
          <w:tcPr>
            <w:tcW w:w="8780" w:type="dxa"/>
            <w:vAlign w:val="bottom"/>
          </w:tcPr>
          <w:p>
            <w:pPr>
              <w:jc w:val="right"/>
              <w:ind w:right="8389"/>
              <w:spacing w:after="0"/>
              <w:rPr>
                <w:sz w:val="20"/>
                <w:szCs w:val="20"/>
                <w:color w:val="auto"/>
              </w:rPr>
            </w:pPr>
            <w:r>
              <w:rPr>
                <w:rFonts w:ascii="Arial" w:cs="Arial" w:eastAsia="Arial" w:hAnsi="Arial"/>
                <w:sz w:val="14"/>
                <w:szCs w:val="14"/>
                <w:color w:val="auto"/>
                <w:w w:val="96"/>
              </w:rPr>
              <w:t>2024</w:t>
            </w:r>
          </w:p>
        </w:tc>
        <w:tc>
          <w:tcPr>
            <w:tcW w:w="18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8780" w:type="dxa"/>
            <w:vAlign w:val="bottom"/>
            <w:shd w:val="clear" w:color="auto" w:fill="CCEEFF"/>
          </w:tcPr>
          <w:p>
            <w:pPr>
              <w:jc w:val="right"/>
              <w:ind w:right="8389"/>
              <w:spacing w:after="0"/>
              <w:rPr>
                <w:sz w:val="20"/>
                <w:szCs w:val="20"/>
                <w:color w:val="auto"/>
              </w:rPr>
            </w:pPr>
            <w:r>
              <w:rPr>
                <w:rFonts w:ascii="Arial" w:cs="Arial" w:eastAsia="Arial" w:hAnsi="Arial"/>
                <w:sz w:val="14"/>
                <w:szCs w:val="14"/>
                <w:color w:val="auto"/>
                <w:w w:val="96"/>
              </w:rPr>
              <w:t>2025</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9"/>
        </w:trPr>
        <w:tc>
          <w:tcPr>
            <w:tcW w:w="8780" w:type="dxa"/>
            <w:vAlign w:val="bottom"/>
          </w:tcPr>
          <w:p>
            <w:pPr>
              <w:jc w:val="right"/>
              <w:ind w:right="8129"/>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62,681</w:t>
            </w:r>
          </w:p>
        </w:tc>
        <w:tc>
          <w:tcPr>
            <w:tcW w:w="40" w:type="dxa"/>
            <w:vAlign w:val="bottom"/>
          </w:tcPr>
          <w:p>
            <w:pPr>
              <w:spacing w:after="0"/>
              <w:rPr>
                <w:sz w:val="14"/>
                <w:szCs w:val="14"/>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8. Convertible Preferred Stock and Convertible Preferred Stock Warrants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Convertible Preferred Stock</w:t>
      </w:r>
    </w:p>
    <w:p>
      <w:pPr>
        <w:spacing w:after="0" w:line="106"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Upon completion of the IPO, all shares of convertible preferred stock outstanding, totaling 47,949,785 shares, were automatically converted into an equivalent number of shares of common stock on a one-to-one basis. The carrying value of $162.5 million was reclassified into stockholders’ equity (deficit). As of December 31, 2020, no shares of redeemable convertible preferred stock were issued and outstanding.</w:t>
      </w:r>
    </w:p>
    <w:p>
      <w:pPr>
        <w:spacing w:after="0" w:line="178"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In December 2020, the Company’s amended and restated certificate of incorporation became effective, which authorized the issuance of 70,000,000 shares of preferred stock with a par value of $0.0001 per share with rights and preferences, including voting rights, designated from time to time by the Company’s Board of Directors.</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Convertible Preferred Stock Warrants</w:t>
      </w:r>
    </w:p>
    <w:p>
      <w:pPr>
        <w:spacing w:after="0" w:line="106" w:lineRule="exact"/>
        <w:rPr>
          <w:sz w:val="20"/>
          <w:szCs w:val="20"/>
          <w:color w:val="auto"/>
        </w:rPr>
      </w:pPr>
    </w:p>
    <w:p>
      <w:pPr>
        <w:ind w:left="800" w:firstLine="482"/>
        <w:spacing w:after="0" w:line="252" w:lineRule="auto"/>
        <w:rPr>
          <w:sz w:val="20"/>
          <w:szCs w:val="20"/>
          <w:color w:val="auto"/>
        </w:rPr>
      </w:pPr>
      <w:r>
        <w:rPr>
          <w:rFonts w:ascii="Arial" w:cs="Arial" w:eastAsia="Arial" w:hAnsi="Arial"/>
          <w:sz w:val="15"/>
          <w:szCs w:val="15"/>
          <w:color w:val="auto"/>
        </w:rPr>
        <w:t>During June through November 2014, the Company issued initial lenders in the Upstart platform warrants to purchase an aggregate of 1,500,519 shares of Series B convertible preferred stock at a strike price of $ 0.01 or $1.67 per share. Of these warrants, 600,208 were outstanding as of December 31, 2019. The warrants have a contractual term of five to seven years and expire between June 2019 and November 2021. The convertible preferred stock warrants are recorded within accrued expenses and other liabilities on the consolidated balance sheets at their estimated fair value as of December 31, 2019.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for further details.</w:t>
      </w:r>
    </w:p>
    <w:p>
      <w:pPr>
        <w:spacing w:after="0" w:line="171"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In November 2020, the warrant holder exercised their rights to purchase 600,208 shares of our Series B preferred stock resulting in the reclassification of the convertible preferred stock warrant liability to additional paid- in capital. Upon completion of the IPO, convertible preferred stock were automatically converted into shares of common stock on a one-for-one basis. As of December 31, 2020, there were no convertible preferred stock warrants outstanding.</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Repurchase of Convertible Preferred Stock and Convertible Preferred Stock Warrants</w:t>
      </w:r>
    </w:p>
    <w:p>
      <w:pPr>
        <w:spacing w:after="0" w:line="106" w:lineRule="exact"/>
        <w:rPr>
          <w:sz w:val="20"/>
          <w:szCs w:val="20"/>
          <w:color w:val="auto"/>
        </w:rPr>
      </w:pPr>
    </w:p>
    <w:p>
      <w:pPr>
        <w:ind w:left="800" w:right="180" w:firstLine="482"/>
        <w:spacing w:after="0" w:line="235" w:lineRule="auto"/>
        <w:rPr>
          <w:sz w:val="20"/>
          <w:szCs w:val="20"/>
          <w:color w:val="auto"/>
        </w:rPr>
      </w:pPr>
      <w:r>
        <w:rPr>
          <w:rFonts w:ascii="Arial" w:cs="Arial" w:eastAsia="Arial" w:hAnsi="Arial"/>
          <w:sz w:val="16"/>
          <w:szCs w:val="16"/>
          <w:color w:val="auto"/>
        </w:rPr>
        <w:t>In November 2019, the Company repurchased and retired 277,831 shares of the Company’s Series C convertible preferred stock held by investors for a purchase price of $0.7 million. On repurchase, the portion equal to the original issuance price of $1.0 million was recorded as a reduction to convertible preferred stock and the excess of the original issuance price over the repurchase price was reflected as a decrease in accumulated deficit.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0440"/>
          </w:cols>
          <w:pgMar w:left="320" w:top="419" w:right="1139" w:bottom="1440" w:gutter="0" w:footer="0" w:header="0"/>
        </w:sectPr>
      </w:pPr>
    </w:p>
    <w:bookmarkStart w:id="255" w:name="page256"/>
    <w:bookmarkEnd w:id="2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On the same day, the Company also repurchased and cancelled 600,208 warrants to purchase Series B convertible preferred stock held by the same investor for a purchase price of $1.4 million. Upon repurchase, the Company derecognized $5.1 million of the convertible preferred stock warrant liabilities to reflect the fair value of the warrants repurchased. The Company recognized a $ 3.7 million gain on repurchase of the warrants, calculated as the difference between the price paid to repurchase the warrants and the fair value of the warrants immediately before the repurchase. The gain on repurchase of the warrants is included in expense on warrants and other non-operating expenses, net in the consolidated statements of operations and comprehensive income (loss).</w:t>
      </w:r>
    </w:p>
    <w:p>
      <w:pPr>
        <w:spacing w:after="0" w:line="258" w:lineRule="exact"/>
        <w:rPr>
          <w:sz w:val="20"/>
          <w:szCs w:val="20"/>
          <w:color w:val="auto"/>
        </w:rPr>
      </w:pPr>
    </w:p>
    <w:p>
      <w:pPr>
        <w:ind w:left="1280" w:right="6060" w:hanging="481"/>
        <w:spacing w:after="0" w:line="366" w:lineRule="auto"/>
        <w:tabs>
          <w:tab w:leader="none" w:pos="973" w:val="left"/>
        </w:tabs>
        <w:numPr>
          <w:ilvl w:val="0"/>
          <w:numId w:val="1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Common Stock and Common Stock Warrants Common Stock</w:t>
      </w:r>
    </w:p>
    <w:p>
      <w:pPr>
        <w:spacing w:after="0" w:line="1" w:lineRule="exact"/>
        <w:rPr>
          <w:sz w:val="20"/>
          <w:szCs w:val="20"/>
          <w:color w:val="auto"/>
        </w:rPr>
      </w:pPr>
    </w:p>
    <w:p>
      <w:pPr>
        <w:ind w:left="800" w:right="500" w:firstLine="482"/>
        <w:spacing w:after="0" w:line="238" w:lineRule="auto"/>
        <w:rPr>
          <w:sz w:val="20"/>
          <w:szCs w:val="20"/>
          <w:color w:val="auto"/>
        </w:rPr>
      </w:pPr>
      <w:r>
        <w:rPr>
          <w:rFonts w:ascii="Arial" w:cs="Arial" w:eastAsia="Arial" w:hAnsi="Arial"/>
          <w:sz w:val="16"/>
          <w:szCs w:val="16"/>
          <w:color w:val="auto"/>
        </w:rPr>
        <w:t>In December 2020, the Company’s amended and restated certificate of incorporation became effective, which authorized the issuance of 700,000,000 shares of common stock with a par value of $0.0001 per share.</w:t>
      </w:r>
    </w:p>
    <w:p>
      <w:pPr>
        <w:spacing w:after="0" w:line="179"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As of December 31, 2020 and 2019, the Company had reserved shares of common stock for issuance, on an as-converted basis, as follows: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620" w:type="dxa"/>
            <w:vAlign w:val="bottom"/>
          </w:tcPr>
          <w:p>
            <w:pPr>
              <w:spacing w:after="0"/>
              <w:rPr>
                <w:sz w:val="13"/>
                <w:szCs w:val="13"/>
                <w:color w:val="auto"/>
              </w:rPr>
            </w:pPr>
          </w:p>
        </w:tc>
        <w:tc>
          <w:tcPr>
            <w:tcW w:w="2020" w:type="dxa"/>
            <w:vAlign w:val="bottom"/>
            <w:gridSpan w:val="4"/>
          </w:tcPr>
          <w:p>
            <w:pPr>
              <w:ind w:left="58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76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51"/>
              <w:spacing w:after="0" w:line="134"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73"/>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CEEFF"/>
            </w:tcBorders>
          </w:tcPr>
          <w:p>
            <w:pPr>
              <w:spacing w:after="0"/>
              <w:rPr>
                <w:sz w:val="11"/>
                <w:szCs w:val="11"/>
                <w:color w:val="auto"/>
              </w:rPr>
            </w:pPr>
          </w:p>
        </w:tc>
      </w:tr>
      <w:tr>
        <w:trPr>
          <w:trHeight w:val="157"/>
        </w:trPr>
        <w:tc>
          <w:tcPr>
            <w:tcW w:w="76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Convertible preferred stock outstanding</w:t>
            </w:r>
          </w:p>
        </w:tc>
        <w:tc>
          <w:tcPr>
            <w:tcW w:w="9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47,349,577</w:t>
            </w:r>
          </w:p>
        </w:tc>
        <w:tc>
          <w:tcPr>
            <w:tcW w:w="40" w:type="dxa"/>
            <w:vAlign w:val="bottom"/>
            <w:shd w:val="clear" w:color="auto" w:fill="CCEEFF"/>
          </w:tcPr>
          <w:p>
            <w:pPr>
              <w:spacing w:after="0"/>
              <w:rPr>
                <w:sz w:val="13"/>
                <w:szCs w:val="13"/>
                <w:color w:val="auto"/>
              </w:rPr>
            </w:pPr>
          </w:p>
        </w:tc>
      </w:tr>
      <w:tr>
        <w:trPr>
          <w:trHeight w:val="166"/>
        </w:trPr>
        <w:tc>
          <w:tcPr>
            <w:tcW w:w="7620" w:type="dxa"/>
            <w:vAlign w:val="bottom"/>
          </w:tcPr>
          <w:p>
            <w:pPr>
              <w:spacing w:after="0"/>
              <w:rPr>
                <w:sz w:val="20"/>
                <w:szCs w:val="20"/>
                <w:color w:val="auto"/>
              </w:rPr>
            </w:pPr>
            <w:r>
              <w:rPr>
                <w:rFonts w:ascii="Arial" w:cs="Arial" w:eastAsia="Arial" w:hAnsi="Arial"/>
                <w:sz w:val="14"/>
                <w:szCs w:val="14"/>
                <w:color w:val="auto"/>
              </w:rPr>
              <w:t>Options issued and outstanding</w:t>
            </w:r>
          </w:p>
        </w:tc>
        <w:tc>
          <w:tcPr>
            <w:tcW w:w="900" w:type="dxa"/>
            <w:vAlign w:val="bottom"/>
          </w:tcPr>
          <w:p>
            <w:pPr>
              <w:jc w:val="right"/>
              <w:spacing w:after="0"/>
              <w:rPr>
                <w:sz w:val="20"/>
                <w:szCs w:val="20"/>
                <w:color w:val="auto"/>
              </w:rPr>
            </w:pPr>
            <w:r>
              <w:rPr>
                <w:rFonts w:ascii="Arial" w:cs="Arial" w:eastAsia="Arial" w:hAnsi="Arial"/>
                <w:sz w:val="14"/>
                <w:szCs w:val="14"/>
                <w:color w:val="auto"/>
              </w:rPr>
              <w:t>19,600,223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16,502,206</w:t>
            </w:r>
          </w:p>
        </w:tc>
        <w:tc>
          <w:tcPr>
            <w:tcW w:w="40" w:type="dxa"/>
            <w:vAlign w:val="bottom"/>
          </w:tcPr>
          <w:p>
            <w:pPr>
              <w:spacing w:after="0"/>
              <w:rPr>
                <w:sz w:val="14"/>
                <w:szCs w:val="14"/>
                <w:color w:val="auto"/>
              </w:rPr>
            </w:pPr>
          </w:p>
        </w:tc>
      </w:tr>
      <w:tr>
        <w:trPr>
          <w:trHeight w:val="166"/>
        </w:trPr>
        <w:tc>
          <w:tcPr>
            <w:tcW w:w="7620" w:type="dxa"/>
            <w:vAlign w:val="bottom"/>
            <w:shd w:val="clear" w:color="auto" w:fill="CCEEFF"/>
          </w:tcPr>
          <w:p>
            <w:pPr>
              <w:spacing w:after="0"/>
              <w:rPr>
                <w:sz w:val="20"/>
                <w:szCs w:val="20"/>
                <w:color w:val="auto"/>
              </w:rPr>
            </w:pPr>
            <w:r>
              <w:rPr>
                <w:rFonts w:ascii="Arial" w:cs="Arial" w:eastAsia="Arial" w:hAnsi="Arial"/>
                <w:sz w:val="14"/>
                <w:szCs w:val="14"/>
                <w:color w:val="auto"/>
              </w:rPr>
              <w:t>Shares available for future stock option grants</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2,537,181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1,319,666</w:t>
            </w:r>
          </w:p>
        </w:tc>
        <w:tc>
          <w:tcPr>
            <w:tcW w:w="40" w:type="dxa"/>
            <w:vAlign w:val="bottom"/>
            <w:shd w:val="clear" w:color="auto" w:fill="CCEEFF"/>
          </w:tcPr>
          <w:p>
            <w:pPr>
              <w:spacing w:after="0"/>
              <w:rPr>
                <w:sz w:val="14"/>
                <w:szCs w:val="14"/>
                <w:color w:val="auto"/>
              </w:rPr>
            </w:pPr>
          </w:p>
        </w:tc>
      </w:tr>
      <w:tr>
        <w:trPr>
          <w:trHeight w:val="166"/>
        </w:trPr>
        <w:tc>
          <w:tcPr>
            <w:tcW w:w="7620" w:type="dxa"/>
            <w:vAlign w:val="bottom"/>
          </w:tcPr>
          <w:p>
            <w:pPr>
              <w:spacing w:after="0"/>
              <w:rPr>
                <w:sz w:val="20"/>
                <w:szCs w:val="20"/>
                <w:color w:val="auto"/>
              </w:rPr>
            </w:pPr>
            <w:r>
              <w:rPr>
                <w:rFonts w:ascii="Arial" w:cs="Arial" w:eastAsia="Arial" w:hAnsi="Arial"/>
                <w:sz w:val="14"/>
                <w:szCs w:val="14"/>
                <w:color w:val="auto"/>
              </w:rPr>
              <w:t>Warrants to purchase convertible preferred stock</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600,208</w:t>
            </w:r>
          </w:p>
        </w:tc>
        <w:tc>
          <w:tcPr>
            <w:tcW w:w="40" w:type="dxa"/>
            <w:vAlign w:val="bottom"/>
          </w:tcPr>
          <w:p>
            <w:pPr>
              <w:spacing w:after="0"/>
              <w:rPr>
                <w:sz w:val="14"/>
                <w:szCs w:val="14"/>
                <w:color w:val="auto"/>
              </w:rPr>
            </w:pPr>
          </w:p>
        </w:tc>
      </w:tr>
      <w:tr>
        <w:trPr>
          <w:trHeight w:val="166"/>
        </w:trPr>
        <w:tc>
          <w:tcPr>
            <w:tcW w:w="7620" w:type="dxa"/>
            <w:vAlign w:val="bottom"/>
            <w:shd w:val="clear" w:color="auto" w:fill="CCEEFF"/>
          </w:tcPr>
          <w:p>
            <w:pPr>
              <w:spacing w:after="0"/>
              <w:rPr>
                <w:sz w:val="20"/>
                <w:szCs w:val="20"/>
                <w:color w:val="auto"/>
              </w:rPr>
            </w:pPr>
            <w:r>
              <w:rPr>
                <w:rFonts w:ascii="Arial" w:cs="Arial" w:eastAsia="Arial" w:hAnsi="Arial"/>
                <w:sz w:val="14"/>
                <w:szCs w:val="14"/>
                <w:color w:val="auto"/>
              </w:rPr>
              <w:t>Warrants to purchase common stock</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4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319,669</w:t>
            </w:r>
          </w:p>
        </w:tc>
        <w:tc>
          <w:tcPr>
            <w:tcW w:w="40" w:type="dxa"/>
            <w:vAlign w:val="bottom"/>
            <w:shd w:val="clear" w:color="auto" w:fill="CCEEFF"/>
          </w:tcPr>
          <w:p>
            <w:pPr>
              <w:spacing w:after="0"/>
              <w:rPr>
                <w:sz w:val="14"/>
                <w:szCs w:val="14"/>
                <w:color w:val="auto"/>
              </w:rPr>
            </w:pPr>
          </w:p>
        </w:tc>
      </w:tr>
      <w:tr>
        <w:trPr>
          <w:trHeight w:val="169"/>
        </w:trPr>
        <w:tc>
          <w:tcPr>
            <w:tcW w:w="7620" w:type="dxa"/>
            <w:vAlign w:val="bottom"/>
          </w:tcPr>
          <w:p>
            <w:pPr>
              <w:ind w:left="28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spacing w:after="0"/>
              <w:rPr>
                <w:sz w:val="20"/>
                <w:szCs w:val="20"/>
                <w:color w:val="auto"/>
              </w:rPr>
            </w:pPr>
            <w:r>
              <w:rPr>
                <w:rFonts w:ascii="Arial" w:cs="Arial" w:eastAsia="Arial" w:hAnsi="Arial"/>
                <w:sz w:val="14"/>
                <w:szCs w:val="14"/>
                <w:color w:val="auto"/>
              </w:rPr>
              <w:t>22,212,404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66,091,326</w:t>
            </w:r>
          </w:p>
        </w:tc>
        <w:tc>
          <w:tcPr>
            <w:tcW w:w="40" w:type="dxa"/>
            <w:vAlign w:val="bottom"/>
          </w:tcPr>
          <w:p>
            <w:pPr>
              <w:spacing w:after="0"/>
              <w:rPr>
                <w:sz w:val="14"/>
                <w:szCs w:val="14"/>
                <w:color w:val="auto"/>
              </w:rPr>
            </w:pPr>
          </w:p>
        </w:tc>
      </w:tr>
      <w:tr>
        <w:trPr>
          <w:trHeight w:val="20"/>
        </w:trPr>
        <w:tc>
          <w:tcPr>
            <w:tcW w:w="7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Common Stock Warrants</w:t>
      </w:r>
    </w:p>
    <w:p>
      <w:pPr>
        <w:spacing w:after="0" w:line="106"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March 2015 through July 2017, the Company issued warrants to purchase common stock in connection with the Mezzanine Loan and other historical borrowings. The Company also issued warrants to purchase common stock to other investors in March 2016. In December 2020, the warrant holders net exercised all 169,669 warrants resulting in 164,300 net shares issued by the Company. The outstanding warrants to purchase common stock not subject to remeasurement as of the balance sheet dates are as follows:</w:t>
      </w:r>
    </w:p>
    <w:p>
      <w:pPr>
        <w:spacing w:after="0" w:line="183"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0" w:type="dxa"/>
            <w:vAlign w:val="bottom"/>
            <w:gridSpan w:val="4"/>
          </w:tcPr>
          <w:p>
            <w:pPr>
              <w:ind w:left="240"/>
              <w:spacing w:after="0"/>
              <w:rPr>
                <w:sz w:val="20"/>
                <w:szCs w:val="20"/>
                <w:color w:val="auto"/>
              </w:rPr>
            </w:pPr>
            <w:r>
              <w:rPr>
                <w:rFonts w:ascii="Arial" w:cs="Arial" w:eastAsia="Arial" w:hAnsi="Arial"/>
                <w:sz w:val="13"/>
                <w:szCs w:val="13"/>
                <w:b w:val="1"/>
                <w:bCs w:val="1"/>
                <w:color w:val="auto"/>
              </w:rPr>
              <w:t>Warrants Outstanding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60" w:type="dxa"/>
            <w:vAlign w:val="bottom"/>
            <w:vMerge w:val="restart"/>
          </w:tcPr>
          <w:p>
            <w:pPr>
              <w:spacing w:after="0"/>
              <w:rPr>
                <w:sz w:val="20"/>
                <w:szCs w:val="20"/>
                <w:color w:val="auto"/>
              </w:rPr>
            </w:pPr>
            <w:r>
              <w:rPr>
                <w:rFonts w:ascii="Arial" w:cs="Arial" w:eastAsia="Arial" w:hAnsi="Arial"/>
                <w:sz w:val="13"/>
                <w:szCs w:val="13"/>
                <w:b w:val="1"/>
                <w:bCs w:val="1"/>
                <w:color w:val="auto"/>
                <w:w w:val="96"/>
              </w:rPr>
              <w:t>Issuance Date</w:t>
            </w:r>
          </w:p>
        </w:tc>
        <w:tc>
          <w:tcPr>
            <w:tcW w:w="4120" w:type="dxa"/>
            <w:vAlign w:val="bottom"/>
            <w:vMerge w:val="restart"/>
          </w:tcPr>
          <w:p>
            <w:pPr>
              <w:spacing w:after="0"/>
              <w:rPr>
                <w:sz w:val="13"/>
                <w:szCs w:val="13"/>
                <w:color w:val="auto"/>
              </w:rPr>
            </w:pPr>
          </w:p>
        </w:tc>
        <w:tc>
          <w:tcPr>
            <w:tcW w:w="2400" w:type="dxa"/>
            <w:vAlign w:val="bottom"/>
            <w:gridSpan w:val="4"/>
          </w:tcPr>
          <w:p>
            <w:pPr>
              <w:ind w:left="480"/>
              <w:spacing w:after="0"/>
              <w:rPr>
                <w:sz w:val="20"/>
                <w:szCs w:val="20"/>
                <w:color w:val="auto"/>
              </w:rPr>
            </w:pPr>
            <w:r>
              <w:rPr>
                <w:rFonts w:ascii="Arial" w:cs="Arial" w:eastAsia="Arial" w:hAnsi="Arial"/>
                <w:sz w:val="13"/>
                <w:szCs w:val="13"/>
                <w:b w:val="1"/>
                <w:bCs w:val="1"/>
                <w:color w:val="auto"/>
              </w:rPr>
              <w:t>December 31,</w:t>
            </w:r>
          </w:p>
        </w:tc>
        <w:tc>
          <w:tcPr>
            <w:tcW w:w="146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560" w:type="dxa"/>
            <w:vAlign w:val="bottom"/>
            <w:tcBorders>
              <w:top w:val="single" w:sz="8" w:color="auto"/>
            </w:tcBorders>
          </w:tcPr>
          <w:p>
            <w:pPr>
              <w:ind w:left="140"/>
              <w:spacing w:after="0" w:line="122" w:lineRule="exact"/>
              <w:rPr>
                <w:sz w:val="20"/>
                <w:szCs w:val="20"/>
                <w:color w:val="auto"/>
              </w:rPr>
            </w:pPr>
            <w:r>
              <w:rPr>
                <w:rFonts w:ascii="Arial" w:cs="Arial" w:eastAsia="Arial" w:hAnsi="Arial"/>
                <w:sz w:val="13"/>
                <w:szCs w:val="13"/>
                <w:b w:val="1"/>
                <w:bCs w:val="1"/>
                <w:color w:val="auto"/>
              </w:rPr>
              <w:t>2020</w:t>
            </w:r>
          </w:p>
        </w:tc>
        <w:tc>
          <w:tcPr>
            <w:tcW w:w="1240" w:type="dxa"/>
            <w:vAlign w:val="bottom"/>
            <w:tcBorders>
              <w:top w:val="single" w:sz="8" w:color="auto"/>
            </w:tcBorders>
            <w:gridSpan w:val="2"/>
          </w:tcPr>
          <w:p>
            <w:pPr>
              <w:jc w:val="right"/>
              <w:ind w:right="101"/>
              <w:spacing w:after="0" w:line="122" w:lineRule="exact"/>
              <w:rPr>
                <w:sz w:val="20"/>
                <w:szCs w:val="20"/>
                <w:color w:val="auto"/>
              </w:rPr>
            </w:pPr>
            <w:r>
              <w:rPr>
                <w:rFonts w:ascii="Arial" w:cs="Arial" w:eastAsia="Arial" w:hAnsi="Arial"/>
                <w:sz w:val="13"/>
                <w:szCs w:val="13"/>
                <w:b w:val="1"/>
                <w:bCs w:val="1"/>
                <w:color w:val="auto"/>
              </w:rPr>
              <w:t>2019</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rPr>
              <w:t>per Share</w:t>
            </w:r>
          </w:p>
        </w:tc>
        <w:tc>
          <w:tcPr>
            <w:tcW w:w="800" w:type="dxa"/>
            <w:vAlign w:val="bottom"/>
            <w:gridSpan w:val="2"/>
          </w:tcPr>
          <w:p>
            <w:pPr>
              <w:jc w:val="right"/>
              <w:ind w:right="40"/>
              <w:spacing w:after="0" w:line="122" w:lineRule="exact"/>
              <w:rPr>
                <w:sz w:val="20"/>
                <w:szCs w:val="20"/>
                <w:color w:val="auto"/>
              </w:rPr>
            </w:pPr>
            <w:r>
              <w:rPr>
                <w:rFonts w:ascii="Arial" w:cs="Arial" w:eastAsia="Arial" w:hAnsi="Arial"/>
                <w:sz w:val="13"/>
                <w:szCs w:val="13"/>
                <w:b w:val="1"/>
                <w:bCs w:val="1"/>
                <w:color w:val="auto"/>
                <w:w w:val="93"/>
              </w:rPr>
              <w:t>Term (Years)</w:t>
            </w:r>
          </w:p>
        </w:tc>
        <w:tc>
          <w:tcPr>
            <w:tcW w:w="0" w:type="dxa"/>
            <w:vAlign w:val="bottom"/>
          </w:tcPr>
          <w:p>
            <w:pPr>
              <w:spacing w:after="0"/>
              <w:rPr>
                <w:sz w:val="1"/>
                <w:szCs w:val="1"/>
                <w:color w:val="auto"/>
              </w:rPr>
            </w:pPr>
          </w:p>
        </w:tc>
      </w:tr>
      <w:tr>
        <w:trPr>
          <w:trHeight w:val="161"/>
        </w:trPr>
        <w:tc>
          <w:tcPr>
            <w:tcW w:w="498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color w:val="auto"/>
              </w:rPr>
              <w:t>March 1, 2015</w:t>
            </w:r>
          </w:p>
        </w:tc>
        <w:tc>
          <w:tcPr>
            <w:tcW w:w="560" w:type="dxa"/>
            <w:vAlign w:val="bottom"/>
            <w:tcBorders>
              <w:top w:val="single" w:sz="8" w:color="auto"/>
            </w:tcBorders>
            <w:shd w:val="clear" w:color="auto" w:fill="CCEEFF"/>
          </w:tcPr>
          <w:p>
            <w:pPr>
              <w:ind w:left="400"/>
              <w:spacing w:after="0" w:line="161" w:lineRule="exact"/>
              <w:rPr>
                <w:sz w:val="20"/>
                <w:szCs w:val="20"/>
                <w:color w:val="auto"/>
              </w:rPr>
            </w:pPr>
            <w:r>
              <w:rPr>
                <w:rFonts w:ascii="Arial" w:cs="Arial" w:eastAsia="Arial" w:hAnsi="Arial"/>
                <w:sz w:val="16"/>
                <w:szCs w:val="16"/>
                <w:color w:val="auto"/>
                <w:w w:val="87"/>
              </w:rPr>
              <w:t>—</w:t>
            </w:r>
          </w:p>
        </w:tc>
        <w:tc>
          <w:tcPr>
            <w:tcW w:w="6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78,031</w:t>
            </w:r>
          </w:p>
        </w:tc>
        <w:tc>
          <w:tcPr>
            <w:tcW w:w="6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1.67</w:t>
            </w:r>
          </w:p>
        </w:tc>
        <w:tc>
          <w:tcPr>
            <w:tcW w:w="6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10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80" w:type="dxa"/>
            <w:vAlign w:val="bottom"/>
            <w:gridSpan w:val="2"/>
          </w:tcPr>
          <w:p>
            <w:pPr>
              <w:spacing w:after="0" w:line="178" w:lineRule="exact"/>
              <w:rPr>
                <w:sz w:val="20"/>
                <w:szCs w:val="20"/>
                <w:color w:val="auto"/>
              </w:rPr>
            </w:pPr>
            <w:r>
              <w:rPr>
                <w:rFonts w:ascii="Arial" w:cs="Arial" w:eastAsia="Arial" w:hAnsi="Arial"/>
                <w:sz w:val="16"/>
                <w:szCs w:val="16"/>
                <w:color w:val="auto"/>
              </w:rPr>
              <w:t>February 1, 2016</w:t>
            </w:r>
          </w:p>
        </w:tc>
        <w:tc>
          <w:tcPr>
            <w:tcW w:w="560" w:type="dxa"/>
            <w:vAlign w:val="bottom"/>
          </w:tcPr>
          <w:p>
            <w:pPr>
              <w:ind w:left="400"/>
              <w:spacing w:after="0" w:line="178" w:lineRule="exact"/>
              <w:rPr>
                <w:sz w:val="20"/>
                <w:szCs w:val="20"/>
                <w:color w:val="auto"/>
              </w:rPr>
            </w:pPr>
            <w:r>
              <w:rPr>
                <w:rFonts w:ascii="Arial" w:cs="Arial" w:eastAsia="Arial" w:hAnsi="Arial"/>
                <w:sz w:val="16"/>
                <w:szCs w:val="16"/>
                <w:color w:val="auto"/>
                <w:w w:val="87"/>
              </w:rPr>
              <w:t>—</w:t>
            </w:r>
          </w:p>
        </w:tc>
        <w:tc>
          <w:tcPr>
            <w:tcW w:w="1840" w:type="dxa"/>
            <w:vAlign w:val="bottom"/>
            <w:gridSpan w:val="3"/>
          </w:tcPr>
          <w:p>
            <w:pPr>
              <w:jc w:val="right"/>
              <w:ind w:right="600"/>
              <w:spacing w:after="0" w:line="178" w:lineRule="exact"/>
              <w:rPr>
                <w:sz w:val="20"/>
                <w:szCs w:val="20"/>
                <w:color w:val="auto"/>
              </w:rPr>
            </w:pPr>
            <w:r>
              <w:rPr>
                <w:rFonts w:ascii="Arial" w:cs="Arial" w:eastAsia="Arial" w:hAnsi="Arial"/>
                <w:sz w:val="16"/>
                <w:szCs w:val="16"/>
                <w:color w:val="auto"/>
              </w:rPr>
              <w:t>60,084</w:t>
            </w:r>
          </w:p>
        </w:tc>
        <w:tc>
          <w:tcPr>
            <w:tcW w:w="1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1.17</w:t>
            </w:r>
          </w:p>
        </w:tc>
        <w:tc>
          <w:tcPr>
            <w:tcW w:w="600" w:type="dxa"/>
            <w:vAlign w:val="bottom"/>
          </w:tcPr>
          <w:p>
            <w:pPr>
              <w:spacing w:after="0"/>
              <w:rPr>
                <w:sz w:val="15"/>
                <w:szCs w:val="15"/>
                <w:color w:val="auto"/>
              </w:rPr>
            </w:pPr>
          </w:p>
        </w:tc>
        <w:tc>
          <w:tcPr>
            <w:tcW w:w="80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7"/>
        </w:trPr>
        <w:tc>
          <w:tcPr>
            <w:tcW w:w="49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July 1, 2017</w:t>
            </w:r>
          </w:p>
        </w:tc>
        <w:tc>
          <w:tcPr>
            <w:tcW w:w="560" w:type="dxa"/>
            <w:vAlign w:val="bottom"/>
            <w:tcBorders>
              <w:bottom w:val="single" w:sz="8" w:color="auto"/>
            </w:tcBorders>
            <w:shd w:val="clear" w:color="auto" w:fill="CCEEFF"/>
          </w:tcPr>
          <w:p>
            <w:pPr>
              <w:ind w:left="400"/>
              <w:spacing w:after="0" w:line="178" w:lineRule="exact"/>
              <w:rPr>
                <w:sz w:val="20"/>
                <w:szCs w:val="20"/>
                <w:color w:val="auto"/>
              </w:rPr>
            </w:pPr>
            <w:r>
              <w:rPr>
                <w:rFonts w:ascii="Arial" w:cs="Arial" w:eastAsia="Arial" w:hAnsi="Arial"/>
                <w:sz w:val="16"/>
                <w:szCs w:val="16"/>
                <w:color w:val="auto"/>
                <w:w w:val="87"/>
              </w:rPr>
              <w:t>—</w:t>
            </w:r>
          </w:p>
        </w:tc>
        <w:tc>
          <w:tcPr>
            <w:tcW w:w="6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31,554</w:t>
            </w: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1.35</w:t>
            </w:r>
          </w:p>
        </w:tc>
        <w:tc>
          <w:tcPr>
            <w:tcW w:w="6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1"/>
        </w:trPr>
        <w:tc>
          <w:tcPr>
            <w:tcW w:w="4980" w:type="dxa"/>
            <w:vAlign w:val="bottom"/>
            <w:gridSpan w:val="2"/>
          </w:tcPr>
          <w:p>
            <w:pPr>
              <w:ind w:left="320"/>
              <w:spacing w:after="0" w:line="181" w:lineRule="exact"/>
              <w:rPr>
                <w:sz w:val="20"/>
                <w:szCs w:val="20"/>
                <w:color w:val="auto"/>
              </w:rPr>
            </w:pPr>
            <w:r>
              <w:rPr>
                <w:rFonts w:ascii="Arial" w:cs="Arial" w:eastAsia="Arial" w:hAnsi="Arial"/>
                <w:sz w:val="16"/>
                <w:szCs w:val="16"/>
                <w:color w:val="auto"/>
              </w:rPr>
              <w:t>Total</w:t>
            </w:r>
          </w:p>
        </w:tc>
        <w:tc>
          <w:tcPr>
            <w:tcW w:w="560" w:type="dxa"/>
            <w:vAlign w:val="bottom"/>
          </w:tcPr>
          <w:p>
            <w:pPr>
              <w:ind w:left="400"/>
              <w:spacing w:after="0" w:line="181" w:lineRule="exact"/>
              <w:rPr>
                <w:sz w:val="20"/>
                <w:szCs w:val="20"/>
                <w:color w:val="auto"/>
              </w:rPr>
            </w:pPr>
            <w:r>
              <w:rPr>
                <w:rFonts w:ascii="Arial" w:cs="Arial" w:eastAsia="Arial" w:hAnsi="Arial"/>
                <w:sz w:val="16"/>
                <w:szCs w:val="16"/>
                <w:color w:val="auto"/>
                <w:w w:val="87"/>
              </w:rPr>
              <w:t>—</w:t>
            </w:r>
          </w:p>
        </w:tc>
        <w:tc>
          <w:tcPr>
            <w:tcW w:w="1840" w:type="dxa"/>
            <w:vAlign w:val="bottom"/>
            <w:gridSpan w:val="3"/>
          </w:tcPr>
          <w:p>
            <w:pPr>
              <w:jc w:val="right"/>
              <w:ind w:right="600"/>
              <w:spacing w:after="0" w:line="181" w:lineRule="exact"/>
              <w:rPr>
                <w:sz w:val="20"/>
                <w:szCs w:val="20"/>
                <w:color w:val="auto"/>
              </w:rPr>
            </w:pPr>
            <w:r>
              <w:rPr>
                <w:rFonts w:ascii="Arial" w:cs="Arial" w:eastAsia="Arial" w:hAnsi="Arial"/>
                <w:sz w:val="16"/>
                <w:szCs w:val="16"/>
                <w:color w:val="auto"/>
              </w:rPr>
              <w:t>169,669</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The estimated grant date fair value of the above common stock warrants granted in March 2015 through July 2017 was immaterial and recognized as an expense in the period granted.</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0440"/>
          </w:cols>
          <w:pgMar w:left="320" w:top="419" w:right="1139" w:bottom="1440" w:gutter="0" w:footer="0" w:header="0"/>
        </w:sectPr>
      </w:pPr>
    </w:p>
    <w:bookmarkStart w:id="256" w:name="page257"/>
    <w:bookmarkEnd w:id="2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0" w:lineRule="exact"/>
        <w:rPr>
          <w:sz w:val="20"/>
          <w:szCs w:val="20"/>
          <w:color w:val="auto"/>
        </w:rPr>
      </w:pPr>
    </w:p>
    <w:p>
      <w:pPr>
        <w:ind w:left="1280"/>
        <w:spacing w:after="0"/>
        <w:rPr>
          <w:sz w:val="20"/>
          <w:szCs w:val="20"/>
          <w:color w:val="auto"/>
        </w:rPr>
      </w:pPr>
      <w:r>
        <w:rPr>
          <w:rFonts w:ascii="Arial" w:cs="Arial" w:eastAsia="Arial" w:hAnsi="Arial"/>
          <w:sz w:val="16"/>
          <w:szCs w:val="16"/>
          <w:i w:val="1"/>
          <w:iCs w:val="1"/>
          <w:color w:val="auto"/>
        </w:rPr>
        <w:t>Common Stock Warrants Measured at Fair Value on a Recurring Basis</w:t>
      </w:r>
    </w:p>
    <w:p>
      <w:pPr>
        <w:spacing w:after="0" w:line="104" w:lineRule="exact"/>
        <w:rPr>
          <w:sz w:val="20"/>
          <w:szCs w:val="20"/>
          <w:color w:val="auto"/>
        </w:rPr>
      </w:pPr>
    </w:p>
    <w:p>
      <w:pPr>
        <w:ind w:left="800" w:right="60" w:firstLine="482"/>
        <w:spacing w:after="0" w:line="252" w:lineRule="auto"/>
        <w:rPr>
          <w:sz w:val="20"/>
          <w:szCs w:val="20"/>
          <w:color w:val="auto"/>
        </w:rPr>
      </w:pPr>
      <w:r>
        <w:rPr>
          <w:rFonts w:ascii="Arial" w:cs="Arial" w:eastAsia="Arial" w:hAnsi="Arial"/>
          <w:sz w:val="15"/>
          <w:szCs w:val="15"/>
          <w:color w:val="auto"/>
        </w:rPr>
        <w:t>In October 2018, the Company issued two common stock warrants to purchase an aggregate of 150,000 shares of common stock, with an exercise price of $2.16 per share. The estimated grant date fair value of the common stock warrants was recognized as debt issuance costs in the period granted. The common stock warrants have a contractual term of ten years and expire in October 2028. The common stock warrants were outstanding in their entirety as of December 31, 2019 and recorded as accrued expenses and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for further details.</w:t>
      </w:r>
    </w:p>
    <w:p>
      <w:pPr>
        <w:spacing w:after="0" w:line="171" w:lineRule="exact"/>
        <w:rPr>
          <w:sz w:val="20"/>
          <w:szCs w:val="20"/>
          <w:color w:val="auto"/>
        </w:rPr>
      </w:pPr>
    </w:p>
    <w:p>
      <w:pPr>
        <w:ind w:left="800" w:firstLine="482"/>
        <w:spacing w:after="0" w:line="234" w:lineRule="auto"/>
        <w:rPr>
          <w:sz w:val="20"/>
          <w:szCs w:val="20"/>
          <w:color w:val="auto"/>
        </w:rPr>
      </w:pPr>
      <w:r>
        <w:rPr>
          <w:rFonts w:ascii="Arial" w:cs="Arial" w:eastAsia="Arial" w:hAnsi="Arial"/>
          <w:sz w:val="16"/>
          <w:szCs w:val="16"/>
          <w:color w:val="auto"/>
        </w:rPr>
        <w:t>On December 1, 2020, the common stock warrants were amended to include a repurchase option in the event of an IPO. Upon the completion of an IPO, or a qualified acquisition of the Company, the common stock warrant holders have the option to require the Company to repurchase the warrants in their entirety for an aggregate purchase price of $3.0 million. The repurchase options terminate on the earlier of (i) 30 days after the closing of a qualified sale of the Company or; (ii) 10 business days after the date on which the Company’s IPO price per share is confirmed by the Company’s underwriters.</w:t>
      </w:r>
    </w:p>
    <w:p>
      <w:pPr>
        <w:spacing w:after="0" w:line="179"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On December 21, 2020 a warrant holder net exercised 75,000 warrants with an exercise price of $2.16 per share. The transaction was a cashless exercise resulting in 71,325 common shares issued by the Company. On December 31, 2020, the repurchase clause for the remaining outstanding warrants expired resulting in the value of 75,000 warrants reclassified from liability to equity on the consolidated balance sheets.</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10. Equity Incentive Plans</w:t>
      </w:r>
    </w:p>
    <w:p>
      <w:pPr>
        <w:spacing w:after="0" w:line="8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Equity Incentive Plans</w:t>
      </w:r>
    </w:p>
    <w:p>
      <w:pPr>
        <w:spacing w:after="0" w:line="106"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In 2012, the Company adopted the Equity Incentive Plan (“2012 Equity Incentive Plan”) authorizing the granting of incentive stock options (“ISOs”) and non-statutory stock options (“NSOs”) to eligible participants. As of December 31, 2019, the Company is authorized to issue up to 19,063,647 shares of common stock under the 2012 Equity Incentive Plan pursuant to awards outstanding immediatly prior to the termination of the 2012 Equity Incentive Plan.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179" w:lineRule="exact"/>
        <w:rPr>
          <w:sz w:val="20"/>
          <w:szCs w:val="20"/>
          <w:color w:val="auto"/>
        </w:rPr>
      </w:pPr>
    </w:p>
    <w:p>
      <w:pPr>
        <w:ind w:left="800" w:right="20" w:firstLine="482"/>
        <w:spacing w:after="0" w:line="234" w:lineRule="auto"/>
        <w:rPr>
          <w:sz w:val="20"/>
          <w:szCs w:val="20"/>
          <w:color w:val="auto"/>
        </w:rPr>
      </w:pPr>
      <w:r>
        <w:rPr>
          <w:rFonts w:ascii="Arial" w:cs="Arial" w:eastAsia="Arial" w:hAnsi="Arial"/>
          <w:sz w:val="16"/>
          <w:szCs w:val="16"/>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179" w:lineRule="exact"/>
        <w:rPr>
          <w:sz w:val="20"/>
          <w:szCs w:val="20"/>
          <w:color w:val="auto"/>
        </w:rPr>
      </w:pPr>
    </w:p>
    <w:p>
      <w:pPr>
        <w:ind w:left="800" w:firstLine="482"/>
        <w:spacing w:after="0" w:line="236" w:lineRule="auto"/>
        <w:rPr>
          <w:sz w:val="20"/>
          <w:szCs w:val="20"/>
          <w:color w:val="auto"/>
        </w:rPr>
      </w:pPr>
      <w:r>
        <w:rPr>
          <w:rFonts w:ascii="Arial" w:cs="Arial" w:eastAsia="Arial" w:hAnsi="Arial"/>
          <w:sz w:val="16"/>
          <w:szCs w:val="16"/>
          <w:color w:val="auto"/>
        </w:rPr>
        <w:t>The 2020 Equity Incentive Plan authorizes granting of ISOs, NSOs, stock appreciation rights, restricted stock, restricted stock units, or RSUs, and performance awards. As of December 31, 2020, the Company is authorized to issue up to 5,520,000 shares of common stock under the 2020 Equity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0420"/>
          </w:cols>
          <w:pgMar w:left="320" w:top="419" w:right="115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spacing w:after="0" w:line="233" w:lineRule="auto"/>
        <w:rPr>
          <w:sz w:val="20"/>
          <w:szCs w:val="20"/>
          <w:color w:val="auto"/>
        </w:rPr>
      </w:pPr>
      <w:r>
        <w:rPr>
          <w:rFonts w:ascii="Arial" w:cs="Arial" w:eastAsia="Arial" w:hAnsi="Arial"/>
          <w:sz w:val="16"/>
          <w:szCs w:val="16"/>
          <w:color w:val="auto"/>
        </w:rPr>
        <w:t>Incentive Plan.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as determined at the time the 2020 Plan was adopted). The number of shares available for issuance under our 2020 Equity Incentive Plan also includes an annual increase on the first day of each fiscal year beginning with the 2021 in an amount equal to the least of 15,000,000 shares or 5% of the outstanding shares of our common stock on the last day of our immediately preceding fiscal year.</w:t>
      </w:r>
    </w:p>
    <w:p>
      <w:pPr>
        <w:spacing w:after="0" w:line="179" w:lineRule="exact"/>
        <w:rPr>
          <w:sz w:val="20"/>
          <w:szCs w:val="20"/>
          <w:color w:val="auto"/>
        </w:rPr>
      </w:pPr>
    </w:p>
    <w:p>
      <w:pPr>
        <w:ind w:left="800" w:right="220" w:firstLine="482"/>
        <w:spacing w:after="0" w:line="238" w:lineRule="auto"/>
        <w:rPr>
          <w:sz w:val="20"/>
          <w:szCs w:val="20"/>
          <w:color w:val="auto"/>
        </w:rPr>
      </w:pPr>
      <w:r>
        <w:rPr>
          <w:rFonts w:ascii="Arial" w:cs="Arial" w:eastAsia="Arial" w:hAnsi="Arial"/>
          <w:sz w:val="16"/>
          <w:szCs w:val="16"/>
          <w:color w:val="auto"/>
        </w:rPr>
        <w:t>Activity under the Company’s 2012 Equity Incentive Plan and 2020 Equity Incentive Plan is set forth below (in thousands, except share and per share amounts):</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Weighted-</w:t>
            </w: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Weighted-</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4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w w:val="97"/>
              </w:rPr>
              <w:t>Average</w:t>
            </w: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7"/>
              </w:rPr>
              <w:t>Average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3"/>
                <w:szCs w:val="13"/>
                <w:b w:val="1"/>
                <w:bCs w:val="1"/>
                <w:color w:val="auto"/>
                <w:w w:val="97"/>
              </w:rPr>
              <w:t>Options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tcPr>
          <w:p>
            <w:pPr>
              <w:jc w:val="center"/>
              <w:ind w:right="300"/>
              <w:spacing w:after="0" w:line="142" w:lineRule="exact"/>
              <w:rPr>
                <w:sz w:val="20"/>
                <w:szCs w:val="20"/>
                <w:color w:val="auto"/>
              </w:rPr>
            </w:pPr>
            <w:r>
              <w:rPr>
                <w:rFonts w:ascii="Arial" w:cs="Arial" w:eastAsia="Arial" w:hAnsi="Arial"/>
                <w:sz w:val="13"/>
                <w:szCs w:val="13"/>
                <w:b w:val="1"/>
                <w:bCs w:val="1"/>
                <w:color w:val="auto"/>
                <w:w w:val="97"/>
              </w:rPr>
              <w:t>Exercise</w:t>
            </w:r>
          </w:p>
        </w:tc>
        <w:tc>
          <w:tcPr>
            <w:tcW w:w="102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96"/>
              </w:rPr>
              <w:t>Remaining</w:t>
            </w:r>
          </w:p>
        </w:tc>
        <w:tc>
          <w:tcPr>
            <w:tcW w:w="7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6"/>
              </w:rPr>
              <w:t>Aggregate</w:t>
            </w:r>
          </w:p>
        </w:tc>
      </w:tr>
      <w:tr>
        <w:trPr>
          <w:trHeight w:val="142"/>
        </w:trPr>
        <w:tc>
          <w:tcPr>
            <w:tcW w:w="456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94"/>
              </w:rPr>
              <w:t>Available</w:t>
            </w:r>
          </w:p>
        </w:tc>
        <w:tc>
          <w:tcPr>
            <w:tcW w:w="1220" w:type="dxa"/>
            <w:vAlign w:val="bottom"/>
            <w:gridSpan w:val="3"/>
          </w:tcPr>
          <w:p>
            <w:pPr>
              <w:jc w:val="right"/>
              <w:ind w:right="480"/>
              <w:spacing w:after="0" w:line="142" w:lineRule="exact"/>
              <w:rPr>
                <w:sz w:val="20"/>
                <w:szCs w:val="20"/>
                <w:color w:val="auto"/>
              </w:rPr>
            </w:pPr>
            <w:r>
              <w:rPr>
                <w:rFonts w:ascii="Arial" w:cs="Arial" w:eastAsia="Arial" w:hAnsi="Arial"/>
                <w:sz w:val="13"/>
                <w:szCs w:val="13"/>
                <w:b w:val="1"/>
                <w:bCs w:val="1"/>
                <w:color w:val="auto"/>
              </w:rPr>
              <w:t>Number of</w:t>
            </w:r>
          </w:p>
        </w:tc>
        <w:tc>
          <w:tcPr>
            <w:tcW w:w="940" w:type="dxa"/>
            <w:vAlign w:val="bottom"/>
            <w:gridSpan w:val="3"/>
          </w:tcPr>
          <w:p>
            <w:pPr>
              <w:jc w:val="center"/>
              <w:ind w:right="320"/>
              <w:spacing w:after="0" w:line="142" w:lineRule="exact"/>
              <w:rPr>
                <w:sz w:val="20"/>
                <w:szCs w:val="20"/>
                <w:color w:val="auto"/>
              </w:rPr>
            </w:pPr>
            <w:r>
              <w:rPr>
                <w:rFonts w:ascii="Arial" w:cs="Arial" w:eastAsia="Arial" w:hAnsi="Arial"/>
                <w:sz w:val="13"/>
                <w:szCs w:val="13"/>
                <w:b w:val="1"/>
                <w:bCs w:val="1"/>
                <w:color w:val="auto"/>
                <w:w w:val="95"/>
              </w:rPr>
              <w:t>Price Per</w:t>
            </w: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3"/>
                <w:szCs w:val="13"/>
                <w:b w:val="1"/>
                <w:bCs w:val="1"/>
                <w:color w:val="auto"/>
                <w:w w:val="96"/>
              </w:rPr>
              <w:t>Contractual</w:t>
            </w:r>
          </w:p>
        </w:tc>
        <w:tc>
          <w:tcPr>
            <w:tcW w:w="72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8"/>
              </w:rPr>
              <w:t>Intrinsic</w:t>
            </w:r>
          </w:p>
        </w:tc>
      </w:tr>
      <w:tr>
        <w:trPr>
          <w:trHeight w:val="154"/>
        </w:trPr>
        <w:tc>
          <w:tcPr>
            <w:tcW w:w="456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Grant</w:t>
            </w:r>
          </w:p>
        </w:tc>
        <w:tc>
          <w:tcPr>
            <w:tcW w:w="122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3"/>
                <w:szCs w:val="13"/>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3"/>
              </w:rPr>
              <w:t>Share</w:t>
            </w: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Life (years)</w:t>
            </w:r>
          </w:p>
        </w:tc>
        <w:tc>
          <w:tcPr>
            <w:tcW w:w="7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Value</w:t>
            </w:r>
          </w:p>
        </w:tc>
      </w:tr>
      <w:tr>
        <w:trPr>
          <w:trHeight w:val="169"/>
        </w:trPr>
        <w:tc>
          <w:tcPr>
            <w:tcW w:w="45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Balances at December 31, 2019</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1,319,666</w:t>
            </w:r>
          </w:p>
        </w:tc>
        <w:tc>
          <w:tcPr>
            <w:tcW w:w="3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16,502,206</w:t>
            </w: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1.86</w:t>
            </w: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ind w:left="480"/>
              <w:spacing w:after="0" w:line="169" w:lineRule="exact"/>
              <w:rPr>
                <w:sz w:val="20"/>
                <w:szCs w:val="20"/>
                <w:color w:val="auto"/>
              </w:rPr>
            </w:pPr>
            <w:r>
              <w:rPr>
                <w:rFonts w:ascii="Arial" w:cs="Arial" w:eastAsia="Arial" w:hAnsi="Arial"/>
                <w:sz w:val="16"/>
                <w:szCs w:val="16"/>
                <w:color w:val="auto"/>
                <w:w w:val="89"/>
              </w:rPr>
              <w:t>6.9</w:t>
            </w:r>
          </w:p>
        </w:tc>
        <w:tc>
          <w:tcPr>
            <w:tcW w:w="3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6"/>
                <w:szCs w:val="16"/>
                <w:color w:val="auto"/>
              </w:rPr>
              <w:t>$115,764</w:t>
            </w:r>
          </w:p>
        </w:tc>
        <w:tc>
          <w:tcPr>
            <w:tcW w:w="40" w:type="dxa"/>
            <w:vAlign w:val="bottom"/>
            <w:tcBorders>
              <w:top w:val="single" w:sz="8" w:color="CCEEFF"/>
            </w:tcBorders>
            <w:shd w:val="clear" w:color="auto" w:fill="CCEEFF"/>
          </w:tcPr>
          <w:p>
            <w:pPr>
              <w:spacing w:after="0"/>
              <w:rPr>
                <w:sz w:val="14"/>
                <w:szCs w:val="14"/>
                <w:color w:val="auto"/>
              </w:rPr>
            </w:pPr>
          </w:p>
        </w:tc>
      </w:tr>
      <w:tr>
        <w:trPr>
          <w:trHeight w:val="177"/>
        </w:trPr>
        <w:tc>
          <w:tcPr>
            <w:tcW w:w="4560" w:type="dxa"/>
            <w:vAlign w:val="bottom"/>
          </w:tcPr>
          <w:p>
            <w:pPr>
              <w:ind w:left="320"/>
              <w:spacing w:after="0" w:line="178" w:lineRule="exact"/>
              <w:rPr>
                <w:sz w:val="20"/>
                <w:szCs w:val="20"/>
                <w:color w:val="auto"/>
              </w:rPr>
            </w:pPr>
            <w:r>
              <w:rPr>
                <w:rFonts w:ascii="Arial" w:cs="Arial" w:eastAsia="Arial" w:hAnsi="Arial"/>
                <w:sz w:val="16"/>
                <w:szCs w:val="16"/>
                <w:color w:val="auto"/>
              </w:rPr>
              <w:t>Options authorized</w:t>
            </w:r>
          </w:p>
        </w:tc>
        <w:tc>
          <w:tcPr>
            <w:tcW w:w="1180" w:type="dxa"/>
            <w:vAlign w:val="bottom"/>
            <w:gridSpan w:val="2"/>
          </w:tcPr>
          <w:p>
            <w:pPr>
              <w:jc w:val="right"/>
              <w:ind w:right="380"/>
              <w:spacing w:after="0" w:line="178" w:lineRule="exact"/>
              <w:rPr>
                <w:sz w:val="20"/>
                <w:szCs w:val="20"/>
                <w:color w:val="auto"/>
              </w:rPr>
            </w:pPr>
            <w:r>
              <w:rPr>
                <w:rFonts w:ascii="Arial" w:cs="Arial" w:eastAsia="Arial" w:hAnsi="Arial"/>
                <w:sz w:val="16"/>
                <w:szCs w:val="16"/>
                <w:color w:val="auto"/>
              </w:rPr>
              <w:t>5,600,000</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45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Options granted</w:t>
            </w:r>
          </w:p>
        </w:tc>
        <w:tc>
          <w:tcPr>
            <w:tcW w:w="118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(5,709,030)</w:t>
            </w:r>
          </w:p>
        </w:tc>
        <w:tc>
          <w:tcPr>
            <w:tcW w:w="86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5,709,030</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7"/>
        </w:trPr>
        <w:tc>
          <w:tcPr>
            <w:tcW w:w="4560" w:type="dxa"/>
            <w:vAlign w:val="bottom"/>
          </w:tcPr>
          <w:p>
            <w:pPr>
              <w:ind w:left="320"/>
              <w:spacing w:after="0" w:line="178" w:lineRule="exact"/>
              <w:rPr>
                <w:sz w:val="20"/>
                <w:szCs w:val="20"/>
                <w:color w:val="auto"/>
              </w:rPr>
            </w:pPr>
            <w:r>
              <w:rPr>
                <w:rFonts w:ascii="Arial" w:cs="Arial" w:eastAsia="Arial" w:hAnsi="Arial"/>
                <w:sz w:val="16"/>
                <w:szCs w:val="16"/>
                <w:color w:val="auto"/>
              </w:rPr>
              <w:t>Options exercised</w:t>
            </w: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3"/>
          </w:tcPr>
          <w:p>
            <w:pPr>
              <w:jc w:val="right"/>
              <w:ind w:right="320"/>
              <w:spacing w:after="0" w:line="178" w:lineRule="exact"/>
              <w:rPr>
                <w:sz w:val="20"/>
                <w:szCs w:val="20"/>
                <w:color w:val="auto"/>
              </w:rPr>
            </w:pPr>
            <w:r>
              <w:rPr>
                <w:rFonts w:ascii="Arial" w:cs="Arial" w:eastAsia="Arial" w:hAnsi="Arial"/>
                <w:sz w:val="16"/>
                <w:szCs w:val="16"/>
                <w:color w:val="auto"/>
              </w:rPr>
              <w:t>(1,284,468)</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7"/>
        </w:trPr>
        <w:tc>
          <w:tcPr>
            <w:tcW w:w="456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Options cancelled and forfeited</w:t>
            </w:r>
          </w:p>
        </w:tc>
        <w:tc>
          <w:tcPr>
            <w:tcW w:w="1180" w:type="dxa"/>
            <w:vAlign w:val="bottom"/>
            <w:gridSpan w:val="2"/>
            <w:shd w:val="clear" w:color="auto" w:fill="CCEEFF"/>
          </w:tcPr>
          <w:p>
            <w:pPr>
              <w:jc w:val="right"/>
              <w:ind w:right="380"/>
              <w:spacing w:after="0" w:line="178" w:lineRule="exact"/>
              <w:rPr>
                <w:sz w:val="20"/>
                <w:szCs w:val="20"/>
                <w:color w:val="auto"/>
              </w:rPr>
            </w:pPr>
            <w:r>
              <w:rPr>
                <w:rFonts w:ascii="Arial" w:cs="Arial" w:eastAsia="Arial" w:hAnsi="Arial"/>
                <w:sz w:val="16"/>
                <w:szCs w:val="16"/>
                <w:color w:val="auto"/>
              </w:rPr>
              <w:t>1,326,545</w:t>
            </w:r>
          </w:p>
        </w:tc>
        <w:tc>
          <w:tcPr>
            <w:tcW w:w="1220" w:type="dxa"/>
            <w:vAlign w:val="bottom"/>
            <w:gridSpan w:val="3"/>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rPr>
              <w:t>(1,326,545)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4560" w:type="dxa"/>
            <w:vAlign w:val="bottom"/>
          </w:tcPr>
          <w:p>
            <w:pPr>
              <w:spacing w:after="0" w:line="181" w:lineRule="exact"/>
              <w:rPr>
                <w:sz w:val="20"/>
                <w:szCs w:val="20"/>
                <w:color w:val="auto"/>
              </w:rPr>
            </w:pPr>
            <w:r>
              <w:rPr>
                <w:rFonts w:ascii="Arial" w:cs="Arial" w:eastAsia="Arial" w:hAnsi="Arial"/>
                <w:sz w:val="16"/>
                <w:szCs w:val="16"/>
                <w:color w:val="auto"/>
              </w:rPr>
              <w:t>Balances at December 31, 2020</w:t>
            </w:r>
          </w:p>
        </w:tc>
        <w:tc>
          <w:tcPr>
            <w:tcW w:w="1180" w:type="dxa"/>
            <w:vAlign w:val="bottom"/>
            <w:gridSpan w:val="2"/>
          </w:tcPr>
          <w:p>
            <w:pPr>
              <w:jc w:val="right"/>
              <w:ind w:right="380"/>
              <w:spacing w:after="0" w:line="181" w:lineRule="exact"/>
              <w:rPr>
                <w:sz w:val="20"/>
                <w:szCs w:val="20"/>
                <w:color w:val="auto"/>
              </w:rPr>
            </w:pPr>
            <w:r>
              <w:rPr>
                <w:rFonts w:ascii="Arial" w:cs="Arial" w:eastAsia="Arial" w:hAnsi="Arial"/>
                <w:sz w:val="16"/>
                <w:szCs w:val="16"/>
                <w:color w:val="auto"/>
              </w:rPr>
              <w:t>2,537,181</w:t>
            </w:r>
          </w:p>
        </w:tc>
        <w:tc>
          <w:tcPr>
            <w:tcW w:w="860" w:type="dxa"/>
            <w:vAlign w:val="bottom"/>
            <w:gridSpan w:val="2"/>
          </w:tcPr>
          <w:p>
            <w:pPr>
              <w:jc w:val="right"/>
              <w:ind w:right="20"/>
              <w:spacing w:after="0" w:line="181" w:lineRule="exact"/>
              <w:rPr>
                <w:sz w:val="20"/>
                <w:szCs w:val="20"/>
                <w:color w:val="auto"/>
              </w:rPr>
            </w:pPr>
            <w:r>
              <w:rPr>
                <w:rFonts w:ascii="Arial" w:cs="Arial" w:eastAsia="Arial" w:hAnsi="Arial"/>
                <w:sz w:val="16"/>
                <w:szCs w:val="16"/>
                <w:color w:val="auto"/>
              </w:rPr>
              <w:t>19,600,223</w:t>
            </w:r>
          </w:p>
        </w:tc>
        <w:tc>
          <w:tcPr>
            <w:tcW w:w="360" w:type="dxa"/>
            <w:vAlign w:val="bottom"/>
          </w:tcPr>
          <w:p>
            <w:pPr>
              <w:spacing w:after="0"/>
              <w:rPr>
                <w:sz w:val="15"/>
                <w:szCs w:val="15"/>
                <w:color w:val="auto"/>
              </w:rPr>
            </w:pPr>
          </w:p>
        </w:tc>
        <w:tc>
          <w:tcPr>
            <w:tcW w:w="120" w:type="dxa"/>
            <w:vAlign w:val="bottom"/>
          </w:tcPr>
          <w:p>
            <w:pPr>
              <w:spacing w:after="0" w:line="181"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line="181" w:lineRule="exact"/>
              <w:rPr>
                <w:sz w:val="20"/>
                <w:szCs w:val="20"/>
                <w:color w:val="auto"/>
              </w:rPr>
            </w:pPr>
            <w:r>
              <w:rPr>
                <w:rFonts w:ascii="Arial" w:cs="Arial" w:eastAsia="Arial" w:hAnsi="Arial"/>
                <w:sz w:val="16"/>
                <w:szCs w:val="16"/>
                <w:color w:val="auto"/>
              </w:rPr>
              <w:t>4.27</w:t>
            </w:r>
          </w:p>
        </w:tc>
        <w:tc>
          <w:tcPr>
            <w:tcW w:w="1020" w:type="dxa"/>
            <w:vAlign w:val="bottom"/>
            <w:gridSpan w:val="2"/>
          </w:tcPr>
          <w:p>
            <w:pPr>
              <w:ind w:left="480"/>
              <w:spacing w:after="0" w:line="181" w:lineRule="exact"/>
              <w:rPr>
                <w:sz w:val="20"/>
                <w:szCs w:val="20"/>
                <w:color w:val="auto"/>
              </w:rPr>
            </w:pPr>
            <w:r>
              <w:rPr>
                <w:rFonts w:ascii="Arial" w:cs="Arial" w:eastAsia="Arial" w:hAnsi="Arial"/>
                <w:sz w:val="16"/>
                <w:szCs w:val="16"/>
                <w:color w:val="auto"/>
              </w:rPr>
              <w:t>6.8</w:t>
            </w:r>
          </w:p>
        </w:tc>
        <w:tc>
          <w:tcPr>
            <w:tcW w:w="720" w:type="dxa"/>
            <w:vAlign w:val="bottom"/>
            <w:gridSpan w:val="2"/>
          </w:tcPr>
          <w:p>
            <w:pPr>
              <w:jc w:val="center"/>
              <w:ind w:right="40"/>
              <w:spacing w:after="0" w:line="181" w:lineRule="exact"/>
              <w:rPr>
                <w:sz w:val="20"/>
                <w:szCs w:val="20"/>
                <w:color w:val="auto"/>
              </w:rPr>
            </w:pPr>
            <w:r>
              <w:rPr>
                <w:rFonts w:ascii="Arial" w:cs="Arial" w:eastAsia="Arial" w:hAnsi="Arial"/>
                <w:sz w:val="16"/>
                <w:szCs w:val="16"/>
                <w:color w:val="auto"/>
              </w:rPr>
              <w:t>$715,084</w:t>
            </w:r>
          </w:p>
        </w:tc>
      </w:tr>
      <w:tr>
        <w:trPr>
          <w:trHeight w:val="20"/>
        </w:trPr>
        <w:tc>
          <w:tcPr>
            <w:tcW w:w="4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456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Options exercisable—December 31, 2020</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5" w:lineRule="exact"/>
              <w:rPr>
                <w:sz w:val="20"/>
                <w:szCs w:val="20"/>
                <w:color w:val="auto"/>
              </w:rPr>
            </w:pPr>
            <w:r>
              <w:rPr>
                <w:rFonts w:ascii="Arial" w:cs="Arial" w:eastAsia="Arial" w:hAnsi="Arial"/>
                <w:sz w:val="16"/>
                <w:szCs w:val="16"/>
                <w:color w:val="auto"/>
              </w:rPr>
              <w:t>11,040,672</w:t>
            </w: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line="165" w:lineRule="exact"/>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20"/>
              <w:spacing w:after="0" w:line="165" w:lineRule="exact"/>
              <w:rPr>
                <w:sz w:val="20"/>
                <w:szCs w:val="20"/>
                <w:color w:val="auto"/>
              </w:rPr>
            </w:pPr>
            <w:r>
              <w:rPr>
                <w:rFonts w:ascii="Arial" w:cs="Arial" w:eastAsia="Arial" w:hAnsi="Arial"/>
                <w:sz w:val="16"/>
                <w:szCs w:val="16"/>
                <w:color w:val="auto"/>
              </w:rPr>
              <w:t>1.41</w:t>
            </w:r>
          </w:p>
        </w:tc>
        <w:tc>
          <w:tcPr>
            <w:tcW w:w="1020" w:type="dxa"/>
            <w:vAlign w:val="bottom"/>
            <w:gridSpan w:val="2"/>
            <w:shd w:val="clear" w:color="auto" w:fill="CCEEFF"/>
          </w:tcPr>
          <w:p>
            <w:pPr>
              <w:ind w:left="480"/>
              <w:spacing w:after="0" w:line="165" w:lineRule="exact"/>
              <w:rPr>
                <w:sz w:val="20"/>
                <w:szCs w:val="20"/>
                <w:color w:val="auto"/>
              </w:rPr>
            </w:pPr>
            <w:r>
              <w:rPr>
                <w:rFonts w:ascii="Arial" w:cs="Arial" w:eastAsia="Arial" w:hAnsi="Arial"/>
                <w:sz w:val="16"/>
                <w:szCs w:val="16"/>
                <w:color w:val="auto"/>
              </w:rPr>
              <w:t>5.0</w:t>
            </w:r>
          </w:p>
        </w:tc>
        <w:tc>
          <w:tcPr>
            <w:tcW w:w="720" w:type="dxa"/>
            <w:vAlign w:val="bottom"/>
            <w:gridSpan w:val="2"/>
            <w:shd w:val="clear" w:color="auto" w:fill="CCEEFF"/>
          </w:tcPr>
          <w:p>
            <w:pPr>
              <w:jc w:val="center"/>
              <w:ind w:right="40"/>
              <w:spacing w:after="0" w:line="165" w:lineRule="exact"/>
              <w:rPr>
                <w:sz w:val="20"/>
                <w:szCs w:val="20"/>
                <w:color w:val="auto"/>
              </w:rPr>
            </w:pPr>
            <w:r>
              <w:rPr>
                <w:rFonts w:ascii="Arial" w:cs="Arial" w:eastAsia="Arial" w:hAnsi="Arial"/>
                <w:sz w:val="16"/>
                <w:szCs w:val="16"/>
                <w:color w:val="auto"/>
              </w:rPr>
              <w:t>$434,287</w:t>
            </w:r>
          </w:p>
        </w:tc>
      </w:tr>
      <w:tr>
        <w:trPr>
          <w:trHeight w:val="20"/>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4560" w:type="dxa"/>
            <w:vAlign w:val="bottom"/>
          </w:tcPr>
          <w:p>
            <w:pPr>
              <w:spacing w:after="0" w:line="165" w:lineRule="exact"/>
              <w:rPr>
                <w:sz w:val="20"/>
                <w:szCs w:val="20"/>
                <w:color w:val="auto"/>
              </w:rPr>
            </w:pPr>
            <w:r>
              <w:rPr>
                <w:rFonts w:ascii="Arial" w:cs="Arial" w:eastAsia="Arial" w:hAnsi="Arial"/>
                <w:sz w:val="16"/>
                <w:szCs w:val="16"/>
                <w:color w:val="auto"/>
              </w:rPr>
              <w:t>Options vested and expected to vest—December 31, 2020</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18,044,133</w:t>
            </w:r>
          </w:p>
        </w:tc>
        <w:tc>
          <w:tcPr>
            <w:tcW w:w="360" w:type="dxa"/>
            <w:vAlign w:val="bottom"/>
          </w:tcPr>
          <w:p>
            <w:pPr>
              <w:spacing w:after="0"/>
              <w:rPr>
                <w:sz w:val="14"/>
                <w:szCs w:val="14"/>
                <w:color w:val="auto"/>
              </w:rPr>
            </w:pPr>
          </w:p>
        </w:tc>
        <w:tc>
          <w:tcPr>
            <w:tcW w:w="120" w:type="dxa"/>
            <w:vAlign w:val="bottom"/>
          </w:tcPr>
          <w:p>
            <w:pPr>
              <w:spacing w:after="0" w:line="165" w:lineRule="exact"/>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320"/>
              <w:spacing w:after="0" w:line="165" w:lineRule="exact"/>
              <w:rPr>
                <w:sz w:val="20"/>
                <w:szCs w:val="20"/>
                <w:color w:val="auto"/>
              </w:rPr>
            </w:pPr>
            <w:r>
              <w:rPr>
                <w:rFonts w:ascii="Arial" w:cs="Arial" w:eastAsia="Arial" w:hAnsi="Arial"/>
                <w:sz w:val="16"/>
                <w:szCs w:val="16"/>
                <w:color w:val="auto"/>
              </w:rPr>
              <w:t>3.87</w:t>
            </w:r>
          </w:p>
        </w:tc>
        <w:tc>
          <w:tcPr>
            <w:tcW w:w="1020" w:type="dxa"/>
            <w:vAlign w:val="bottom"/>
            <w:gridSpan w:val="2"/>
          </w:tcPr>
          <w:p>
            <w:pPr>
              <w:ind w:left="480"/>
              <w:spacing w:after="0" w:line="165" w:lineRule="exact"/>
              <w:rPr>
                <w:sz w:val="20"/>
                <w:szCs w:val="20"/>
                <w:color w:val="auto"/>
              </w:rPr>
            </w:pPr>
            <w:r>
              <w:rPr>
                <w:rFonts w:ascii="Arial" w:cs="Arial" w:eastAsia="Arial" w:hAnsi="Arial"/>
                <w:sz w:val="16"/>
                <w:szCs w:val="16"/>
                <w:color w:val="auto"/>
              </w:rPr>
              <w:t>6.5</w:t>
            </w:r>
          </w:p>
        </w:tc>
        <w:tc>
          <w:tcPr>
            <w:tcW w:w="720" w:type="dxa"/>
            <w:vAlign w:val="bottom"/>
            <w:gridSpan w:val="2"/>
          </w:tcPr>
          <w:p>
            <w:pPr>
              <w:jc w:val="center"/>
              <w:ind w:right="40"/>
              <w:spacing w:after="0" w:line="165" w:lineRule="exact"/>
              <w:rPr>
                <w:sz w:val="20"/>
                <w:szCs w:val="20"/>
                <w:color w:val="auto"/>
              </w:rPr>
            </w:pPr>
            <w:r>
              <w:rPr>
                <w:rFonts w:ascii="Arial" w:cs="Arial" w:eastAsia="Arial" w:hAnsi="Arial"/>
                <w:sz w:val="16"/>
                <w:szCs w:val="16"/>
                <w:color w:val="auto"/>
              </w:rPr>
              <w:t>$665,438</w:t>
            </w:r>
          </w:p>
        </w:tc>
      </w:tr>
      <w:tr>
        <w:trPr>
          <w:trHeight w:val="20"/>
        </w:trPr>
        <w:tc>
          <w:tcPr>
            <w:tcW w:w="4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40" w:firstLine="482"/>
        <w:spacing w:after="0" w:line="233" w:lineRule="auto"/>
        <w:rPr>
          <w:sz w:val="20"/>
          <w:szCs w:val="20"/>
          <w:color w:val="auto"/>
        </w:rPr>
      </w:pPr>
      <w:r>
        <w:rPr>
          <w:rFonts w:ascii="Arial" w:cs="Arial" w:eastAsia="Arial" w:hAnsi="Arial"/>
          <w:sz w:val="16"/>
          <w:szCs w:val="16"/>
          <w:color w:val="auto"/>
        </w:rPr>
        <w:t>The aggregate intrinsic value is calculated as the difference between the exercise price of the underlying awards and the fair value of the Company’s stock as of December 31, 2020. The aggregate intrinsic value of options exercised for the years ended December 31, 2020, 2019 and 2018, was $50.0 million, $ 2.1 million, and $0.6 million, respectively. The weighted-average grant date fair value of options granted during the years ended December 31, 2020, 2019 and 2018, was $11.04, $3.99, and $1.68 per share, respectively. The total fair value of options vested for the years ended December 31, 2020, 2019 and 2018, was $7.9 million, $2.7 million and $1.8 million, respectively.</w:t>
      </w:r>
    </w:p>
    <w:p>
      <w:pPr>
        <w:spacing w:after="0" w:line="182" w:lineRule="exact"/>
        <w:rPr>
          <w:sz w:val="20"/>
          <w:szCs w:val="20"/>
          <w:color w:val="auto"/>
        </w:rPr>
      </w:pPr>
    </w:p>
    <w:p>
      <w:pPr>
        <w:ind w:left="800" w:right="460" w:firstLine="482"/>
        <w:spacing w:after="0" w:line="238" w:lineRule="auto"/>
        <w:rPr>
          <w:sz w:val="20"/>
          <w:szCs w:val="20"/>
          <w:color w:val="auto"/>
        </w:rPr>
      </w:pPr>
      <w:r>
        <w:rPr>
          <w:rFonts w:ascii="Arial" w:cs="Arial" w:eastAsia="Arial" w:hAnsi="Arial"/>
          <w:sz w:val="16"/>
          <w:szCs w:val="16"/>
          <w:color w:val="auto"/>
        </w:rPr>
        <w:t>As of December 31, 2020, total unrecognized stock-based compensation expense was $35.3 million, which is expected to be recognized over a weighted-average period of 2.82 years.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Non-Employee Stock-Based Compensation</w:t>
      </w:r>
    </w:p>
    <w:p>
      <w:pPr>
        <w:spacing w:after="0" w:line="106" w:lineRule="exact"/>
        <w:rPr>
          <w:sz w:val="20"/>
          <w:szCs w:val="20"/>
          <w:color w:val="auto"/>
        </w:rPr>
      </w:pPr>
    </w:p>
    <w:p>
      <w:pPr>
        <w:jc w:val="both"/>
        <w:ind w:left="800" w:right="300" w:firstLine="482"/>
        <w:spacing w:after="0" w:line="258" w:lineRule="auto"/>
        <w:rPr>
          <w:sz w:val="20"/>
          <w:szCs w:val="20"/>
          <w:color w:val="auto"/>
        </w:rPr>
      </w:pPr>
      <w:r>
        <w:rPr>
          <w:rFonts w:ascii="Arial" w:cs="Arial" w:eastAsia="Arial" w:hAnsi="Arial"/>
          <w:sz w:val="15"/>
          <w:szCs w:val="15"/>
          <w:color w:val="auto"/>
        </w:rPr>
        <w:t>During the years ended December 31, 2020, 2019 and 2018, the Company granted non-qualified options to non-employees to purchase 0, 135,969 and 148,295 shares, respectively, of common stock under the 2012 Equity Incentive Plan. Non-employee options were issued with various vesting periods depending on the specific terms of each option and services provided by non-employees.</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0440"/>
          </w:cols>
          <w:pgMar w:left="320" w:top="419" w:right="1139" w:bottom="1440" w:gutter="0" w:footer="0" w:header="0"/>
        </w:sectPr>
      </w:pPr>
    </w:p>
    <w:bookmarkStart w:id="258" w:name="page259"/>
    <w:bookmarkEnd w:id="2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Fair Value of Options Granted</w:t>
      </w:r>
    </w:p>
    <w:p>
      <w:pPr>
        <w:spacing w:after="0" w:line="201" w:lineRule="exact"/>
        <w:rPr>
          <w:sz w:val="20"/>
          <w:szCs w:val="20"/>
          <w:color w:val="auto"/>
        </w:rPr>
      </w:pPr>
    </w:p>
    <w:p>
      <w:pPr>
        <w:ind w:left="800" w:right="860" w:firstLine="482"/>
        <w:spacing w:after="0" w:line="238" w:lineRule="auto"/>
        <w:rPr>
          <w:sz w:val="20"/>
          <w:szCs w:val="20"/>
          <w:color w:val="auto"/>
        </w:rPr>
      </w:pPr>
      <w:r>
        <w:rPr>
          <w:rFonts w:ascii="Arial" w:cs="Arial" w:eastAsia="Arial" w:hAnsi="Arial"/>
          <w:sz w:val="16"/>
          <w:szCs w:val="16"/>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63" w:lineRule="exact"/>
        <w:rPr>
          <w:sz w:val="20"/>
          <w:szCs w:val="20"/>
          <w:color w:val="auto"/>
        </w:rPr>
      </w:pPr>
    </w:p>
    <w:p>
      <w:pPr>
        <w:ind w:left="800" w:firstLine="482"/>
        <w:spacing w:after="0" w:line="255" w:lineRule="auto"/>
        <w:rPr>
          <w:sz w:val="20"/>
          <w:szCs w:val="20"/>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—Prior to the completion of the IPO, the fair value of the shares of common stock has historically been</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by the Company’s Board of Directors as there is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 After the completion of the IPO, the fair value of the Company’s common stock is determined by the closing price, on the date of grant, of its common stock, which is traded on the Nasdaq Global Select Market.</w:t>
      </w:r>
    </w:p>
    <w:p>
      <w:pPr>
        <w:spacing w:after="0" w:line="154" w:lineRule="exact"/>
        <w:rPr>
          <w:sz w:val="20"/>
          <w:szCs w:val="20"/>
          <w:color w:val="auto"/>
        </w:rPr>
      </w:pPr>
    </w:p>
    <w:p>
      <w:pPr>
        <w:ind w:left="800" w:right="60" w:firstLine="482"/>
        <w:spacing w:after="0"/>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are expected to be outstanding.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163" w:lineRule="exact"/>
        <w:rPr>
          <w:sz w:val="20"/>
          <w:szCs w:val="20"/>
          <w:color w:val="auto"/>
        </w:rPr>
      </w:pPr>
    </w:p>
    <w:p>
      <w:pPr>
        <w:jc w:val="both"/>
        <w:ind w:left="800" w:right="60" w:firstLine="482"/>
        <w:spacing w:after="0" w:line="244"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was privately held and did not have an active trading market for its common stock for a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time, the expected volatility is estimated based on the average volatility for comparable publicly-traded companies, over a period equal to the expected term of the stock option grants.</w:t>
      </w:r>
    </w:p>
    <w:p>
      <w:pPr>
        <w:spacing w:after="0" w:line="160" w:lineRule="exact"/>
        <w:rPr>
          <w:sz w:val="20"/>
          <w:szCs w:val="20"/>
          <w:color w:val="auto"/>
        </w:rPr>
      </w:pPr>
    </w:p>
    <w:p>
      <w:pPr>
        <w:ind w:left="800" w:right="260" w:firstLine="482"/>
        <w:spacing w:after="0" w:line="258"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—The risk-free interest rate assumption is based on the U.S. Treasury zero coupon issues in effect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of grant for periods corresponding with the expected term of the option.</w:t>
      </w:r>
    </w:p>
    <w:p>
      <w:pPr>
        <w:spacing w:after="0" w:line="148" w:lineRule="exact"/>
        <w:rPr>
          <w:sz w:val="20"/>
          <w:szCs w:val="20"/>
          <w:color w:val="auto"/>
        </w:rPr>
      </w:pPr>
    </w:p>
    <w:p>
      <w:pPr>
        <w:ind w:left="800" w:right="300" w:firstLine="482"/>
        <w:spacing w:after="0" w:line="258"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—The Company has never paid dividends on its common stock and does not anticipate paying dividends on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Therefore, the Company uses an expected dividend yield of zero.</w:t>
      </w:r>
    </w:p>
    <w:p>
      <w:pPr>
        <w:spacing w:after="0" w:line="164" w:lineRule="exact"/>
        <w:rPr>
          <w:sz w:val="20"/>
          <w:szCs w:val="20"/>
          <w:color w:val="auto"/>
        </w:rPr>
      </w:pPr>
    </w:p>
    <w:p>
      <w:pPr>
        <w:ind w:left="800" w:right="460" w:firstLine="482"/>
        <w:spacing w:after="0" w:line="238" w:lineRule="auto"/>
        <w:rPr>
          <w:sz w:val="20"/>
          <w:szCs w:val="20"/>
          <w:color w:val="auto"/>
        </w:rPr>
      </w:pPr>
      <w:r>
        <w:rPr>
          <w:rFonts w:ascii="Arial" w:cs="Arial" w:eastAsia="Arial" w:hAnsi="Arial"/>
          <w:sz w:val="16"/>
          <w:szCs w:val="16"/>
          <w:color w:val="auto"/>
        </w:rPr>
        <w:t>The following assumptions were used to estimate the fair value of employee and nonemployee stock options granted and the resulting fair values: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6"/>
              </w:rPr>
              <w:t>Year Ended December 31,</w:t>
            </w: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34"/>
        </w:trPr>
        <w:tc>
          <w:tcPr>
            <w:tcW w:w="452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gridSpan w:val="2"/>
          </w:tcPr>
          <w:p>
            <w:pPr>
              <w:jc w:val="right"/>
              <w:ind w:right="601"/>
              <w:spacing w:after="0" w:line="134"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gridSpan w:val="2"/>
          </w:tcPr>
          <w:p>
            <w:pPr>
              <w:jc w:val="right"/>
              <w:ind w:right="621"/>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c>
          <w:tcPr>
            <w:tcW w:w="1640" w:type="dxa"/>
            <w:vAlign w:val="bottom"/>
            <w:tcBorders>
              <w:bottom w:val="single" w:sz="8" w:color="auto"/>
            </w:tcBorders>
            <w:gridSpan w:val="2"/>
          </w:tcPr>
          <w:p>
            <w:pPr>
              <w:jc w:val="right"/>
              <w:ind w:right="601"/>
              <w:spacing w:after="0" w:line="134" w:lineRule="exact"/>
              <w:rPr>
                <w:sz w:val="20"/>
                <w:szCs w:val="20"/>
                <w:color w:val="auto"/>
              </w:rPr>
            </w:pPr>
            <w:r>
              <w:rPr>
                <w:rFonts w:ascii="Arial" w:cs="Arial" w:eastAsia="Arial" w:hAnsi="Arial"/>
                <w:sz w:val="13"/>
                <w:szCs w:val="13"/>
                <w:b w:val="1"/>
                <w:bCs w:val="1"/>
                <w:color w:val="auto"/>
              </w:rPr>
              <w:t>2018</w:t>
            </w:r>
          </w:p>
        </w:tc>
      </w:tr>
      <w:tr>
        <w:trPr>
          <w:trHeight w:val="169"/>
        </w:trPr>
        <w:tc>
          <w:tcPr>
            <w:tcW w:w="4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Expected term (in years)</w:t>
            </w: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5.3</w:t>
            </w:r>
          </w:p>
        </w:tc>
        <w:tc>
          <w:tcPr>
            <w:tcW w:w="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 10.0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5.5</w:t>
            </w:r>
          </w:p>
        </w:tc>
        <w:tc>
          <w:tcPr>
            <w:tcW w:w="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 10.0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5.9</w:t>
            </w:r>
          </w:p>
        </w:tc>
        <w:tc>
          <w:tcPr>
            <w:tcW w:w="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 10.0</w:t>
            </w:r>
          </w:p>
        </w:tc>
      </w:tr>
      <w:tr>
        <w:trPr>
          <w:trHeight w:val="177"/>
        </w:trPr>
        <w:tc>
          <w:tcPr>
            <w:tcW w:w="4520" w:type="dxa"/>
            <w:vAlign w:val="bottom"/>
          </w:tcPr>
          <w:p>
            <w:pPr>
              <w:spacing w:after="0" w:line="178" w:lineRule="exact"/>
              <w:rPr>
                <w:sz w:val="20"/>
                <w:szCs w:val="20"/>
                <w:color w:val="auto"/>
              </w:rPr>
            </w:pPr>
            <w:r>
              <w:rPr>
                <w:rFonts w:ascii="Arial" w:cs="Arial" w:eastAsia="Arial" w:hAnsi="Arial"/>
                <w:sz w:val="16"/>
                <w:szCs w:val="16"/>
                <w:color w:val="auto"/>
              </w:rPr>
              <w:t>Expected volatility</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53.23%</w:t>
            </w:r>
          </w:p>
        </w:tc>
        <w:tc>
          <w:tcPr>
            <w:tcW w:w="98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 72.02%</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55.69%</w:t>
            </w:r>
          </w:p>
        </w:tc>
        <w:tc>
          <w:tcPr>
            <w:tcW w:w="98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 59.23%</w:t>
            </w: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54.70%</w:t>
            </w:r>
          </w:p>
        </w:tc>
        <w:tc>
          <w:tcPr>
            <w:tcW w:w="880" w:type="dxa"/>
            <w:vAlign w:val="bottom"/>
          </w:tcPr>
          <w:p>
            <w:pPr>
              <w:ind w:left="20"/>
              <w:spacing w:after="0" w:line="178" w:lineRule="exact"/>
              <w:rPr>
                <w:sz w:val="20"/>
                <w:szCs w:val="20"/>
                <w:color w:val="auto"/>
              </w:rPr>
            </w:pPr>
            <w:r>
              <w:rPr>
                <w:rFonts w:ascii="Arial" w:cs="Arial" w:eastAsia="Arial" w:hAnsi="Arial"/>
                <w:sz w:val="16"/>
                <w:szCs w:val="16"/>
                <w:color w:val="auto"/>
              </w:rPr>
              <w:t>– 58.59%</w:t>
            </w:r>
          </w:p>
        </w:tc>
      </w:tr>
      <w:tr>
        <w:trPr>
          <w:trHeight w:val="177"/>
        </w:trPr>
        <w:tc>
          <w:tcPr>
            <w:tcW w:w="45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Risk-free interest rate</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0.33%</w:t>
            </w:r>
          </w:p>
        </w:tc>
        <w:tc>
          <w:tcPr>
            <w:tcW w:w="9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 1.50%</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1.67%</w:t>
            </w:r>
          </w:p>
        </w:tc>
        <w:tc>
          <w:tcPr>
            <w:tcW w:w="9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 2.40%</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2.16%</w:t>
            </w:r>
          </w:p>
        </w:tc>
        <w:tc>
          <w:tcPr>
            <w:tcW w:w="8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 3.13%</w:t>
            </w:r>
          </w:p>
        </w:tc>
      </w:tr>
      <w:tr>
        <w:trPr>
          <w:trHeight w:val="189"/>
        </w:trPr>
        <w:tc>
          <w:tcPr>
            <w:tcW w:w="4520" w:type="dxa"/>
            <w:vAlign w:val="bottom"/>
          </w:tcPr>
          <w:p>
            <w:pPr>
              <w:spacing w:after="0"/>
              <w:rPr>
                <w:sz w:val="20"/>
                <w:szCs w:val="20"/>
                <w:color w:val="auto"/>
              </w:rPr>
            </w:pPr>
            <w:r>
              <w:rPr>
                <w:rFonts w:ascii="Arial" w:cs="Arial" w:eastAsia="Arial" w:hAnsi="Arial"/>
                <w:sz w:val="16"/>
                <w:szCs w:val="16"/>
                <w:color w:val="auto"/>
              </w:rPr>
              <w:t>Dividend yield</w:t>
            </w:r>
          </w:p>
        </w:tc>
        <w:tc>
          <w:tcPr>
            <w:tcW w:w="7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980" w:type="dxa"/>
            <w:vAlign w:val="bottom"/>
            <w:gridSpan w:val="2"/>
          </w:tcPr>
          <w:p>
            <w:pPr>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Arial" w:cs="Arial" w:eastAsia="Arial" w:hAnsi="Arial"/>
                <w:sz w:val="16"/>
                <w:szCs w:val="16"/>
                <w:color w:val="auto"/>
              </w:rPr>
              <w:t>—%</w:t>
            </w:r>
          </w:p>
        </w:tc>
      </w:tr>
    </w:tbl>
    <w:p>
      <w:pPr>
        <w:spacing w:after="0" w:line="254"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2020 Employee Stock Purchase Plan</w:t>
      </w:r>
    </w:p>
    <w:p>
      <w:pPr>
        <w:spacing w:after="0" w:line="106" w:lineRule="exact"/>
        <w:rPr>
          <w:sz w:val="20"/>
          <w:szCs w:val="20"/>
          <w:color w:val="auto"/>
        </w:rPr>
      </w:pPr>
    </w:p>
    <w:p>
      <w:pPr>
        <w:ind w:left="800" w:right="140" w:firstLine="482"/>
        <w:spacing w:after="0" w:line="236" w:lineRule="auto"/>
        <w:rPr>
          <w:sz w:val="20"/>
          <w:szCs w:val="20"/>
          <w:color w:val="auto"/>
        </w:rPr>
      </w:pPr>
      <w:r>
        <w:rPr>
          <w:rFonts w:ascii="Arial" w:cs="Arial" w:eastAsia="Arial" w:hAnsi="Arial"/>
          <w:sz w:val="16"/>
          <w:szCs w:val="16"/>
          <w:color w:val="auto"/>
        </w:rPr>
        <w:t>In October 2020, our Board of Directors adopted, and in November 2020 our Board of Directors amended and our stockholders approved, our Employee Stock Purchase Plan (“ESPP”) which was effective on December 14, 2020. Our ESPP provides for consecutive six-month offering periods. The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0440"/>
          </w:cols>
          <w:pgMar w:left="320" w:top="419" w:right="1139" w:bottom="1440" w:gutter="0" w:footer="0" w:header="0"/>
        </w:sectPr>
      </w:pPr>
    </w:p>
    <w:bookmarkStart w:id="259" w:name="page260"/>
    <w:bookmarkEnd w:id="2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60"/>
        <w:spacing w:after="0" w:line="233" w:lineRule="auto"/>
        <w:rPr>
          <w:sz w:val="20"/>
          <w:szCs w:val="20"/>
          <w:color w:val="auto"/>
        </w:rPr>
      </w:pPr>
      <w:r>
        <w:rPr>
          <w:rFonts w:ascii="Arial" w:cs="Arial" w:eastAsia="Arial" w:hAnsi="Arial"/>
          <w:sz w:val="16"/>
          <w:szCs w:val="16"/>
          <w:color w:val="auto"/>
        </w:rPr>
        <w:t>offering periods are scheduled to start on the first trading day on or after February 15 and August 15 of each year, except the first offering period commenced on December 16, 2020 and will end on the first trading day on or before August 15, 2021. The second offering period will commence on the last trading day on or after August 15, 2021. The ESPP permits participants to purchase price shares in the amount of 85% of the lower of the fair market value of our shares of common stock on the first trading day of the offering period or on the exercise date. As of December 31, 2020, the maximum number of shares of common stock that can be issued under the employee stock purchase plan was 1,380,000 shares, in addition to any automatic annual evergreen increase. As of December 31, 2020, no shares of common stock have been granted or purchased under the ESPP.</w:t>
      </w:r>
    </w:p>
    <w:p>
      <w:pPr>
        <w:spacing w:after="0" w:line="181" w:lineRule="exact"/>
        <w:rPr>
          <w:sz w:val="20"/>
          <w:szCs w:val="20"/>
          <w:color w:val="auto"/>
        </w:rPr>
      </w:pPr>
    </w:p>
    <w:p>
      <w:pPr>
        <w:ind w:left="800" w:right="20" w:firstLine="482"/>
        <w:spacing w:after="0" w:line="238" w:lineRule="auto"/>
        <w:rPr>
          <w:sz w:val="20"/>
          <w:szCs w:val="20"/>
          <w:color w:val="auto"/>
        </w:rPr>
      </w:pPr>
      <w:r>
        <w:rPr>
          <w:rFonts w:ascii="Arial" w:cs="Arial" w:eastAsia="Arial" w:hAnsi="Arial"/>
          <w:sz w:val="16"/>
          <w:szCs w:val="16"/>
          <w:color w:val="auto"/>
        </w:rPr>
        <w:t>The Company recorded stock-based compensation in the following expense categories in its consolidated statements of operations and comprehensive income (loss) for employees and non-employees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4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8"/>
          </w:tcPr>
          <w:p>
            <w:pPr>
              <w:jc w:val="right"/>
              <w:ind w:right="38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488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6"/>
              <w:spacing w:after="0" w:line="134"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44"/>
              <w:spacing w:after="0" w:line="134" w:lineRule="exact"/>
              <w:rPr>
                <w:sz w:val="20"/>
                <w:szCs w:val="20"/>
                <w:color w:val="auto"/>
              </w:rPr>
            </w:pPr>
            <w:r>
              <w:rPr>
                <w:rFonts w:ascii="Arial" w:cs="Arial" w:eastAsia="Arial" w:hAnsi="Arial"/>
                <w:sz w:val="13"/>
                <w:szCs w:val="13"/>
                <w:b w:val="1"/>
                <w:bCs w:val="1"/>
                <w:color w:val="auto"/>
                <w:w w:val="89"/>
              </w:rPr>
              <w:t>2019</w:t>
            </w:r>
          </w:p>
        </w:tc>
        <w:tc>
          <w:tcPr>
            <w:tcW w:w="3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4"/>
              <w:spacing w:after="0" w:line="134" w:lineRule="exact"/>
              <w:rPr>
                <w:sz w:val="20"/>
                <w:szCs w:val="20"/>
                <w:color w:val="auto"/>
              </w:rPr>
            </w:pPr>
            <w:r>
              <w:rPr>
                <w:rFonts w:ascii="Arial" w:cs="Arial" w:eastAsia="Arial" w:hAnsi="Arial"/>
                <w:sz w:val="13"/>
                <w:szCs w:val="13"/>
                <w:b w:val="1"/>
                <w:bCs w:val="1"/>
                <w:color w:val="auto"/>
                <w:w w:val="96"/>
              </w:rPr>
              <w:t>2018</w:t>
            </w:r>
          </w:p>
        </w:tc>
        <w:tc>
          <w:tcPr>
            <w:tcW w:w="40" w:type="dxa"/>
            <w:vAlign w:val="bottom"/>
            <w:tcBorders>
              <w:bottom w:val="single" w:sz="8" w:color="CCEEFF"/>
            </w:tcBorders>
          </w:tcPr>
          <w:p>
            <w:pPr>
              <w:spacing w:after="0"/>
              <w:rPr>
                <w:sz w:val="11"/>
                <w:szCs w:val="11"/>
                <w:color w:val="auto"/>
              </w:rPr>
            </w:pPr>
          </w:p>
        </w:tc>
      </w:tr>
      <w:tr>
        <w:trPr>
          <w:trHeight w:val="169"/>
        </w:trPr>
        <w:tc>
          <w:tcPr>
            <w:tcW w:w="48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Sales and marketing</w:t>
            </w:r>
          </w:p>
        </w:tc>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1,562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278</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183</w:t>
            </w:r>
          </w:p>
        </w:tc>
        <w:tc>
          <w:tcPr>
            <w:tcW w:w="40" w:type="dxa"/>
            <w:vAlign w:val="bottom"/>
            <w:shd w:val="clear" w:color="auto" w:fill="CCEEFF"/>
          </w:tcPr>
          <w:p>
            <w:pPr>
              <w:spacing w:after="0"/>
              <w:rPr>
                <w:sz w:val="14"/>
                <w:szCs w:val="14"/>
                <w:color w:val="auto"/>
              </w:rPr>
            </w:pP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Customer operations</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898</w:t>
            </w:r>
          </w:p>
        </w:tc>
        <w:tc>
          <w:tcPr>
            <w:tcW w:w="100" w:type="dxa"/>
            <w:vAlign w:val="bottom"/>
          </w:tcPr>
          <w:p>
            <w:pPr>
              <w:spacing w:after="0"/>
              <w:rPr>
                <w:sz w:val="15"/>
                <w:szCs w:val="15"/>
                <w:color w:val="auto"/>
              </w:rPr>
            </w:pP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auto"/>
              </w:rPr>
              <w:t>433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178</w:t>
            </w:r>
          </w:p>
        </w:tc>
      </w:tr>
      <w:tr>
        <w:trPr>
          <w:trHeight w:val="177"/>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Engineering and product development</w:t>
            </w: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rPr>
              <w:t>4,844</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w w:val="94"/>
              </w:rPr>
              <w:t>1,803</w:t>
            </w:r>
          </w:p>
        </w:tc>
        <w:tc>
          <w:tcPr>
            <w:tcW w:w="1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753</w:t>
            </w: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General, administrative, and other</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340"/>
              <w:spacing w:after="0" w:line="178" w:lineRule="exact"/>
              <w:rPr>
                <w:sz w:val="20"/>
                <w:szCs w:val="20"/>
                <w:color w:val="auto"/>
              </w:rPr>
            </w:pPr>
            <w:r>
              <w:rPr>
                <w:rFonts w:ascii="Arial" w:cs="Arial" w:eastAsia="Arial" w:hAnsi="Arial"/>
                <w:sz w:val="16"/>
                <w:szCs w:val="16"/>
                <w:color w:val="auto"/>
              </w:rPr>
              <w:t>4,209</w:t>
            </w:r>
          </w:p>
        </w:tc>
        <w:tc>
          <w:tcPr>
            <w:tcW w:w="100" w:type="dxa"/>
            <w:vAlign w:val="bottom"/>
          </w:tcPr>
          <w:p>
            <w:pPr>
              <w:spacing w:after="0"/>
              <w:rPr>
                <w:sz w:val="15"/>
                <w:szCs w:val="15"/>
                <w:color w:val="auto"/>
              </w:rPr>
            </w:pPr>
          </w:p>
        </w:tc>
        <w:tc>
          <w:tcPr>
            <w:tcW w:w="72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w w:val="94"/>
              </w:rPr>
              <w:t>1,292</w:t>
            </w:r>
          </w:p>
        </w:tc>
        <w:tc>
          <w:tcPr>
            <w:tcW w:w="100" w:type="dxa"/>
            <w:vAlign w:val="bottom"/>
          </w:tcPr>
          <w:p>
            <w:pPr>
              <w:spacing w:after="0"/>
              <w:rPr>
                <w:sz w:val="15"/>
                <w:szCs w:val="15"/>
                <w:color w:val="auto"/>
              </w:rPr>
            </w:pPr>
          </w:p>
        </w:tc>
        <w:tc>
          <w:tcPr>
            <w:tcW w:w="4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931</w:t>
            </w:r>
          </w:p>
        </w:tc>
      </w:tr>
      <w:tr>
        <w:trPr>
          <w:trHeight w:val="24"/>
        </w:trPr>
        <w:tc>
          <w:tcPr>
            <w:tcW w:w="48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77"/>
        </w:trPr>
        <w:tc>
          <w:tcPr>
            <w:tcW w:w="4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w w:val="89"/>
              </w:rPr>
              <w:t>$</w:t>
            </w:r>
          </w:p>
        </w:tc>
        <w:tc>
          <w:tcPr>
            <w:tcW w:w="820" w:type="dxa"/>
            <w:vAlign w:val="bottom"/>
            <w:gridSpan w:val="2"/>
            <w:shd w:val="clear" w:color="auto" w:fill="CCEEFF"/>
          </w:tcPr>
          <w:p>
            <w:pPr>
              <w:jc w:val="right"/>
              <w:ind w:right="340"/>
              <w:spacing w:after="0" w:line="178" w:lineRule="exact"/>
              <w:rPr>
                <w:sz w:val="20"/>
                <w:szCs w:val="20"/>
                <w:color w:val="auto"/>
              </w:rPr>
            </w:pPr>
            <w:r>
              <w:rPr>
                <w:rFonts w:ascii="Arial" w:cs="Arial" w:eastAsia="Arial" w:hAnsi="Arial"/>
                <w:sz w:val="16"/>
                <w:szCs w:val="16"/>
                <w:color w:val="auto"/>
                <w:w w:val="93"/>
              </w:rPr>
              <w:t>11,513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320"/>
              <w:spacing w:after="0" w:line="178" w:lineRule="exact"/>
              <w:rPr>
                <w:sz w:val="20"/>
                <w:szCs w:val="20"/>
                <w:color w:val="auto"/>
              </w:rPr>
            </w:pPr>
            <w:r>
              <w:rPr>
                <w:rFonts w:ascii="Arial" w:cs="Arial" w:eastAsia="Arial" w:hAnsi="Arial"/>
                <w:sz w:val="16"/>
                <w:szCs w:val="16"/>
                <w:color w:val="auto"/>
                <w:w w:val="94"/>
              </w:rPr>
              <w:t>3,806</w:t>
            </w:r>
          </w:p>
        </w:tc>
        <w:tc>
          <w:tcPr>
            <w:tcW w:w="1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u w:val="single" w:color="auto"/>
                <w:color w:val="auto"/>
                <w:w w:val="89"/>
              </w:rPr>
              <w:t>$</w:t>
            </w:r>
          </w:p>
        </w:tc>
        <w:tc>
          <w:tcPr>
            <w:tcW w:w="4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w w:val="94"/>
              </w:rPr>
              <w:t>2,045</w:t>
            </w:r>
          </w:p>
        </w:tc>
      </w:tr>
      <w:tr>
        <w:trPr>
          <w:trHeight w:val="20"/>
        </w:trPr>
        <w:tc>
          <w:tcPr>
            <w:tcW w:w="4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11. Leases</w:t>
      </w:r>
    </w:p>
    <w:p>
      <w:pPr>
        <w:spacing w:after="0" w:line="106" w:lineRule="exact"/>
        <w:rPr>
          <w:sz w:val="20"/>
          <w:szCs w:val="20"/>
          <w:color w:val="auto"/>
        </w:rPr>
      </w:pPr>
    </w:p>
    <w:p>
      <w:pPr>
        <w:ind w:left="800" w:right="40" w:firstLine="482"/>
        <w:spacing w:after="0" w:line="251" w:lineRule="auto"/>
        <w:rPr>
          <w:sz w:val="20"/>
          <w:szCs w:val="20"/>
          <w:color w:val="auto"/>
        </w:rPr>
      </w:pPr>
      <w:r>
        <w:rPr>
          <w:rFonts w:ascii="Arial" w:cs="Arial" w:eastAsia="Arial" w:hAnsi="Arial"/>
          <w:sz w:val="15"/>
          <w:szCs w:val="15"/>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consolidated balance sheets.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As of December 31, 2020, future minimum non-cancelable lease payments are as follows (in thousands):</w:t>
      </w:r>
    </w:p>
    <w:p>
      <w:pPr>
        <w:spacing w:after="0" w:line="29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Operating</w:t>
            </w:r>
          </w:p>
        </w:tc>
      </w:tr>
      <w:tr>
        <w:trPr>
          <w:trHeight w:val="154"/>
        </w:trPr>
        <w:tc>
          <w:tcPr>
            <w:tcW w:w="558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90"/>
              </w:rPr>
              <w:t>Leases</w:t>
            </w:r>
          </w:p>
        </w:tc>
        <w:tc>
          <w:tcPr>
            <w:tcW w:w="80" w:type="dxa"/>
            <w:vAlign w:val="bottom"/>
            <w:tcBorders>
              <w:bottom w:val="single" w:sz="8" w:color="CCEEFF"/>
            </w:tcBorders>
          </w:tcPr>
          <w:p>
            <w:pPr>
              <w:spacing w:after="0"/>
              <w:rPr>
                <w:sz w:val="13"/>
                <w:szCs w:val="13"/>
                <w:color w:val="auto"/>
              </w:rPr>
            </w:pPr>
          </w:p>
        </w:tc>
      </w:tr>
      <w:tr>
        <w:trPr>
          <w:trHeight w:val="157"/>
        </w:trPr>
        <w:tc>
          <w:tcPr>
            <w:tcW w:w="55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2021</w:t>
            </w:r>
          </w:p>
        </w:tc>
        <w:tc>
          <w:tcPr>
            <w:tcW w:w="3460" w:type="dxa"/>
            <w:vAlign w:val="bottom"/>
            <w:gridSpan w:val="2"/>
            <w:shd w:val="clear" w:color="auto" w:fill="CCEEFF"/>
          </w:tcPr>
          <w:p>
            <w:pPr>
              <w:ind w:left="3380"/>
              <w:spacing w:after="0" w:line="157"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4,540</w:t>
            </w:r>
          </w:p>
        </w:tc>
      </w:tr>
      <w:tr>
        <w:trPr>
          <w:trHeight w:val="166"/>
        </w:trPr>
        <w:tc>
          <w:tcPr>
            <w:tcW w:w="5580" w:type="dxa"/>
            <w:vAlign w:val="bottom"/>
          </w:tcPr>
          <w:p>
            <w:pPr>
              <w:spacing w:after="0"/>
              <w:rPr>
                <w:sz w:val="20"/>
                <w:szCs w:val="20"/>
                <w:color w:val="auto"/>
              </w:rPr>
            </w:pPr>
            <w:r>
              <w:rPr>
                <w:rFonts w:ascii="Arial" w:cs="Arial" w:eastAsia="Arial" w:hAnsi="Arial"/>
                <w:sz w:val="14"/>
                <w:szCs w:val="14"/>
                <w:color w:val="auto"/>
              </w:rPr>
              <w:t>2022</w:t>
            </w: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5,221</w:t>
            </w:r>
          </w:p>
        </w:tc>
      </w:tr>
      <w:tr>
        <w:trPr>
          <w:trHeight w:val="16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3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5,516</w:t>
            </w:r>
          </w:p>
        </w:tc>
      </w:tr>
      <w:tr>
        <w:trPr>
          <w:trHeight w:val="166"/>
        </w:trPr>
        <w:tc>
          <w:tcPr>
            <w:tcW w:w="5580" w:type="dxa"/>
            <w:vAlign w:val="bottom"/>
          </w:tcPr>
          <w:p>
            <w:pPr>
              <w:spacing w:after="0"/>
              <w:rPr>
                <w:sz w:val="20"/>
                <w:szCs w:val="20"/>
                <w:color w:val="auto"/>
              </w:rPr>
            </w:pPr>
            <w:r>
              <w:rPr>
                <w:rFonts w:ascii="Arial" w:cs="Arial" w:eastAsia="Arial" w:hAnsi="Arial"/>
                <w:sz w:val="14"/>
                <w:szCs w:val="14"/>
                <w:color w:val="auto"/>
              </w:rPr>
              <w:t>2024</w:t>
            </w: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2,567</w:t>
            </w:r>
          </w:p>
        </w:tc>
      </w:tr>
      <w:tr>
        <w:trPr>
          <w:trHeight w:val="16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3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1,579</w:t>
            </w:r>
          </w:p>
        </w:tc>
      </w:tr>
      <w:tr>
        <w:trPr>
          <w:trHeight w:val="169"/>
        </w:trPr>
        <w:tc>
          <w:tcPr>
            <w:tcW w:w="5580" w:type="dxa"/>
            <w:vAlign w:val="bottom"/>
          </w:tcPr>
          <w:p>
            <w:pPr>
              <w:spacing w:after="0"/>
              <w:rPr>
                <w:sz w:val="20"/>
                <w:szCs w:val="20"/>
                <w:color w:val="auto"/>
              </w:rPr>
            </w:pPr>
            <w:r>
              <w:rPr>
                <w:rFonts w:ascii="Arial" w:cs="Arial" w:eastAsia="Arial" w:hAnsi="Arial"/>
                <w:sz w:val="14"/>
                <w:szCs w:val="14"/>
                <w:color w:val="auto"/>
              </w:rPr>
              <w:t>Thereafter</w:t>
            </w: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2,417</w:t>
            </w:r>
          </w:p>
        </w:tc>
      </w:tr>
      <w:tr>
        <w:trPr>
          <w:trHeight w:val="16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Total undiscounted lease payments</w:t>
            </w:r>
          </w:p>
        </w:tc>
        <w:tc>
          <w:tcPr>
            <w:tcW w:w="33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21,840</w:t>
            </w:r>
          </w:p>
        </w:tc>
        <w:tc>
          <w:tcPr>
            <w:tcW w:w="80" w:type="dxa"/>
            <w:vAlign w:val="bottom"/>
            <w:shd w:val="clear" w:color="auto" w:fill="CCEEFF"/>
          </w:tcPr>
          <w:p>
            <w:pPr>
              <w:spacing w:after="0"/>
              <w:rPr>
                <w:sz w:val="14"/>
                <w:szCs w:val="14"/>
                <w:color w:val="auto"/>
              </w:rPr>
            </w:pPr>
          </w:p>
        </w:tc>
      </w:tr>
      <w:tr>
        <w:trPr>
          <w:trHeight w:val="166"/>
        </w:trPr>
        <w:tc>
          <w:tcPr>
            <w:tcW w:w="5580" w:type="dxa"/>
            <w:vAlign w:val="bottom"/>
          </w:tcPr>
          <w:p>
            <w:pPr>
              <w:spacing w:after="0"/>
              <w:rPr>
                <w:sz w:val="20"/>
                <w:szCs w:val="20"/>
                <w:color w:val="auto"/>
              </w:rPr>
            </w:pPr>
            <w:r>
              <w:rPr>
                <w:rFonts w:ascii="Arial" w:cs="Arial" w:eastAsia="Arial" w:hAnsi="Arial"/>
                <w:sz w:val="14"/>
                <w:szCs w:val="14"/>
                <w:color w:val="auto"/>
              </w:rPr>
              <w:t>Less: Present value adjustment</w:t>
            </w: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(2,408)</w:t>
            </w:r>
          </w:p>
        </w:tc>
      </w:tr>
      <w:tr>
        <w:trPr>
          <w:trHeight w:val="24"/>
        </w:trPr>
        <w:tc>
          <w:tcPr>
            <w:tcW w:w="55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3460" w:type="dxa"/>
            <w:vAlign w:val="bottom"/>
            <w:gridSpan w:val="2"/>
            <w:shd w:val="clear" w:color="auto" w:fill="CCEEFF"/>
          </w:tcPr>
          <w:p>
            <w:pPr>
              <w:ind w:left="338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19,432</w:t>
            </w:r>
          </w:p>
        </w:tc>
        <w:tc>
          <w:tcPr>
            <w:tcW w:w="80" w:type="dxa"/>
            <w:vAlign w:val="bottom"/>
            <w:shd w:val="clear" w:color="auto" w:fill="CCEEFF"/>
          </w:tcPr>
          <w:p>
            <w:pPr>
              <w:spacing w:after="0"/>
              <w:rPr>
                <w:sz w:val="14"/>
                <w:szCs w:val="14"/>
                <w:color w:val="auto"/>
              </w:rPr>
            </w:pPr>
          </w:p>
        </w:tc>
      </w:tr>
      <w:tr>
        <w:trPr>
          <w:trHeight w:val="20"/>
        </w:trPr>
        <w:tc>
          <w:tcPr>
            <w:tcW w:w="5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0440"/>
          </w:cols>
          <w:pgMar w:left="320" w:top="419" w:right="1139" w:bottom="1440" w:gutter="0" w:footer="0" w:header="0"/>
        </w:sectPr>
      </w:pPr>
    </w:p>
    <w:bookmarkStart w:id="260" w:name="page261"/>
    <w:bookmarkEnd w:id="2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As of December 31, 2020, the Company does not have any operating leases which are yet to commence.</w:t>
      </w:r>
    </w:p>
    <w:p>
      <w:pPr>
        <w:spacing w:after="0" w:line="183" w:lineRule="exact"/>
        <w:rPr>
          <w:sz w:val="20"/>
          <w:szCs w:val="20"/>
          <w:color w:val="auto"/>
        </w:rPr>
      </w:pPr>
    </w:p>
    <w:p>
      <w:pPr>
        <w:ind w:left="800" w:right="100" w:firstLine="482"/>
        <w:spacing w:after="0" w:line="258" w:lineRule="auto"/>
        <w:rPr>
          <w:sz w:val="20"/>
          <w:szCs w:val="20"/>
          <w:color w:val="auto"/>
        </w:rPr>
      </w:pPr>
      <w:r>
        <w:rPr>
          <w:rFonts w:ascii="Arial" w:cs="Arial" w:eastAsia="Arial" w:hAnsi="Arial"/>
          <w:sz w:val="15"/>
          <w:szCs w:val="15"/>
          <w:color w:val="auto"/>
        </w:rPr>
        <w:t>The Company’s operating lease expense consists of rent and variable lease payments. Variable lease payments such as common area maintenance and parking fees, were included in operating expenses. Rent expense for the Company’s short-term leases was immaterial for the years ended December 31, 2020, 2019 and 2018. Operating lease expense was as follows (in thousands):</w:t>
      </w:r>
    </w:p>
    <w:p>
      <w:pPr>
        <w:spacing w:after="0" w:line="178" w:lineRule="exact"/>
        <w:rPr>
          <w:sz w:val="20"/>
          <w:szCs w:val="20"/>
          <w:color w:val="auto"/>
        </w:rPr>
      </w:pPr>
    </w:p>
    <w:p>
      <w:pPr>
        <w:jc w:val="center"/>
        <w:ind w:left="772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2540</wp:posOffset>
            </wp:positionV>
            <wp:extent cx="1156335"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56335" cy="7620"/>
                    </a:xfrm>
                    <a:prstGeom prst="rect">
                      <a:avLst/>
                    </a:prstGeom>
                    <a:noFill/>
                  </pic:spPr>
                </pic:pic>
              </a:graphicData>
            </a:graphic>
          </wp:anchor>
        </w:drawing>
      </w:r>
    </w:p>
    <w:p>
      <w:pPr>
        <w:ind w:left="8660"/>
        <w:spacing w:after="0"/>
        <w:tabs>
          <w:tab w:leader="none" w:pos="9340" w:val="left"/>
          <w:tab w:leader="none" w:pos="1002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16" w:lineRule="exact"/>
        <w:rPr>
          <w:sz w:val="20"/>
          <w:szCs w:val="20"/>
          <w:color w:val="auto"/>
        </w:rPr>
      </w:pPr>
    </w:p>
    <w:tbl>
      <w:tblPr>
        <w:tblLayout w:type="fixed"/>
        <w:tblInd w:w="800" w:type="dxa"/>
        <w:tblCellMar>
          <w:top w:w="0" w:type="dxa"/>
          <w:left w:w="0" w:type="dxa"/>
          <w:bottom w:w="0" w:type="dxa"/>
          <w:right w:w="0" w:type="dxa"/>
        </w:tblCellMar>
      </w:tblPr>
      <w:tr>
        <w:trPr>
          <w:trHeight w:val="24"/>
        </w:trPr>
        <w:tc>
          <w:tcPr>
            <w:tcW w:w="46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Rent expense</w:t>
            </w:r>
          </w:p>
        </w:tc>
        <w:tc>
          <w:tcPr>
            <w:tcW w:w="3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660" w:type="dxa"/>
            <w:vAlign w:val="bottom"/>
            <w:vMerge w:val="continue"/>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rPr>
              <w:t>$5,264</w:t>
            </w: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7" w:lineRule="exact"/>
              <w:rPr>
                <w:sz w:val="20"/>
                <w:szCs w:val="20"/>
                <w:color w:val="auto"/>
              </w:rPr>
            </w:pPr>
            <w:r>
              <w:rPr>
                <w:rFonts w:ascii="Arial" w:cs="Arial" w:eastAsia="Arial" w:hAnsi="Arial"/>
                <w:sz w:val="14"/>
                <w:szCs w:val="14"/>
                <w:color w:val="auto"/>
              </w:rPr>
              <w:t>$3,409</w:t>
            </w: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172"/>
        </w:trPr>
        <w:tc>
          <w:tcPr>
            <w:tcW w:w="4660" w:type="dxa"/>
            <w:vAlign w:val="bottom"/>
          </w:tcPr>
          <w:p>
            <w:pPr>
              <w:spacing w:after="0"/>
              <w:rPr>
                <w:sz w:val="20"/>
                <w:szCs w:val="20"/>
                <w:color w:val="auto"/>
              </w:rPr>
            </w:pPr>
            <w:r>
              <w:rPr>
                <w:rFonts w:ascii="Arial" w:cs="Arial" w:eastAsia="Arial" w:hAnsi="Arial"/>
                <w:sz w:val="14"/>
                <w:szCs w:val="14"/>
                <w:color w:val="auto"/>
              </w:rPr>
              <w:t>Variable lease payments</w:t>
            </w:r>
          </w:p>
        </w:tc>
        <w:tc>
          <w:tcPr>
            <w:tcW w:w="3800" w:type="dxa"/>
            <w:vAlign w:val="bottom"/>
            <w:gridSpan w:val="3"/>
          </w:tcPr>
          <w:p>
            <w:pPr>
              <w:jc w:val="right"/>
              <w:ind w:right="220"/>
              <w:spacing w:after="0"/>
              <w:rPr>
                <w:sz w:val="20"/>
                <w:szCs w:val="20"/>
                <w:color w:val="auto"/>
              </w:rPr>
            </w:pPr>
            <w:r>
              <w:rPr>
                <w:rFonts w:ascii="Arial" w:cs="Arial" w:eastAsia="Arial" w:hAnsi="Arial"/>
                <w:sz w:val="14"/>
                <w:szCs w:val="14"/>
                <w:color w:val="auto"/>
              </w:rPr>
              <w:t>1,357</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959</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Supplemental cash flow and noncash information related to the Company’s operating leases was as follows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7"/>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60" w:type="dxa"/>
            <w:vAlign w:val="bottom"/>
            <w:tcBorders>
              <w:bottom w:val="single" w:sz="8" w:color="CCEEFF"/>
            </w:tcBorders>
          </w:tcPr>
          <w:p>
            <w:pPr>
              <w:spacing w:after="0"/>
              <w:rPr>
                <w:sz w:val="13"/>
                <w:szCs w:val="13"/>
                <w:color w:val="auto"/>
              </w:rPr>
            </w:pPr>
          </w:p>
        </w:tc>
        <w:tc>
          <w:tcPr>
            <w:tcW w:w="2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6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Cash flows from operating activities</w:t>
            </w:r>
          </w:p>
        </w:tc>
        <w:tc>
          <w:tcPr>
            <w:tcW w:w="2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6580" w:type="dxa"/>
            <w:vAlign w:val="bottom"/>
            <w:gridSpan w:val="2"/>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2380" w:type="dxa"/>
            <w:vAlign w:val="bottom"/>
            <w:gridSpan w:val="2"/>
          </w:tcPr>
          <w:p>
            <w:pPr>
              <w:ind w:left="2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4,158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2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6580" w:type="dxa"/>
            <w:vAlign w:val="bottom"/>
            <w:gridSpan w:val="2"/>
          </w:tcPr>
          <w:p>
            <w:pPr>
              <w:spacing w:after="0"/>
              <w:rPr>
                <w:sz w:val="20"/>
                <w:szCs w:val="20"/>
                <w:color w:val="auto"/>
              </w:rPr>
            </w:pPr>
            <w:r>
              <w:rPr>
                <w:rFonts w:ascii="Arial" w:cs="Arial" w:eastAsia="Arial" w:hAnsi="Arial"/>
                <w:sz w:val="14"/>
                <w:szCs w:val="14"/>
                <w:color w:val="auto"/>
              </w:rPr>
              <w:t>Total right-of-use assets capitalized</w:t>
            </w:r>
          </w:p>
        </w:tc>
        <w:tc>
          <w:tcPr>
            <w:tcW w:w="2380" w:type="dxa"/>
            <w:vAlign w:val="bottom"/>
            <w:gridSpan w:val="2"/>
          </w:tcPr>
          <w:p>
            <w:pPr>
              <w:ind w:left="22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Supplemental cash flow and noncash information related to the Company’s operating leases was as follows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December 31,</w:t>
            </w:r>
          </w:p>
        </w:tc>
      </w:tr>
      <w:tr>
        <w:trPr>
          <w:trHeight w:val="154"/>
        </w:trPr>
        <w:tc>
          <w:tcPr>
            <w:tcW w:w="86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3"/>
                <w:szCs w:val="13"/>
                <w:color w:val="auto"/>
              </w:rPr>
            </w:pPr>
          </w:p>
        </w:tc>
      </w:tr>
      <w:tr>
        <w:trPr>
          <w:trHeight w:val="157"/>
        </w:trPr>
        <w:tc>
          <w:tcPr>
            <w:tcW w:w="86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Weighted average remaining lease term (in years)</w:t>
            </w:r>
          </w:p>
        </w:tc>
        <w:tc>
          <w:tcPr>
            <w:tcW w:w="100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4.57</w:t>
            </w:r>
          </w:p>
        </w:tc>
      </w:tr>
      <w:tr>
        <w:trPr>
          <w:trHeight w:val="172"/>
        </w:trPr>
        <w:tc>
          <w:tcPr>
            <w:tcW w:w="8640" w:type="dxa"/>
            <w:vAlign w:val="bottom"/>
          </w:tcPr>
          <w:p>
            <w:pPr>
              <w:spacing w:after="0"/>
              <w:rPr>
                <w:sz w:val="20"/>
                <w:szCs w:val="20"/>
                <w:color w:val="auto"/>
              </w:rPr>
            </w:pPr>
            <w:r>
              <w:rPr>
                <w:rFonts w:ascii="Arial" w:cs="Arial" w:eastAsia="Arial" w:hAnsi="Arial"/>
                <w:sz w:val="14"/>
                <w:szCs w:val="14"/>
                <w:color w:val="auto"/>
              </w:rPr>
              <w:t>Weighted average discount rate</w:t>
            </w: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5.12%</w:t>
            </w:r>
          </w:p>
        </w:tc>
      </w:tr>
    </w:tbl>
    <w:p>
      <w:pPr>
        <w:spacing w:after="0" w:line="259" w:lineRule="exact"/>
        <w:rPr>
          <w:sz w:val="20"/>
          <w:szCs w:val="20"/>
          <w:color w:val="auto"/>
        </w:rPr>
      </w:pPr>
    </w:p>
    <w:p>
      <w:pPr>
        <w:ind w:left="1280" w:right="6880" w:hanging="481"/>
        <w:spacing w:after="0" w:line="391" w:lineRule="auto"/>
        <w:tabs>
          <w:tab w:leader="none" w:pos="1061" w:val="left"/>
        </w:tabs>
        <w:numPr>
          <w:ilvl w:val="0"/>
          <w:numId w:val="13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Loan Purchase Obligation</w:t>
      </w:r>
    </w:p>
    <w:p>
      <w:pPr>
        <w:ind w:left="800" w:right="300" w:firstLine="482"/>
        <w:spacing w:after="0" w:line="234" w:lineRule="auto"/>
        <w:rPr>
          <w:sz w:val="20"/>
          <w:szCs w:val="20"/>
          <w:color w:val="auto"/>
        </w:rPr>
      </w:pPr>
      <w:r>
        <w:rPr>
          <w:rFonts w:ascii="Arial" w:cs="Arial" w:eastAsia="Arial" w:hAnsi="Arial"/>
          <w:sz w:val="16"/>
          <w:szCs w:val="16"/>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2020 and 2019, the total loan purchase commitment included outstanding principal balance of $39.3 million and $51.9 million, respectively.</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Repurchase and Indemnification Contingency</w:t>
      </w:r>
    </w:p>
    <w:p>
      <w:pPr>
        <w:spacing w:after="0" w:line="106" w:lineRule="exact"/>
        <w:rPr>
          <w:sz w:val="20"/>
          <w:szCs w:val="20"/>
          <w:color w:val="auto"/>
        </w:rPr>
      </w:pPr>
    </w:p>
    <w:p>
      <w:pPr>
        <w:ind w:left="800" w:right="160" w:firstLine="482"/>
        <w:spacing w:after="0" w:line="235" w:lineRule="auto"/>
        <w:rPr>
          <w:sz w:val="20"/>
          <w:szCs w:val="20"/>
          <w:color w:val="auto"/>
        </w:rPr>
      </w:pPr>
      <w:r>
        <w:rPr>
          <w:rFonts w:ascii="Arial" w:cs="Arial" w:eastAsia="Arial" w:hAnsi="Arial"/>
          <w:sz w:val="16"/>
          <w:szCs w:val="16"/>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0440"/>
          </w:cols>
          <w:pgMar w:left="320" w:top="419" w:right="1139" w:bottom="1440" w:gutter="0" w:footer="0" w:header="0"/>
        </w:sectPr>
      </w:pPr>
    </w:p>
    <w:bookmarkStart w:id="261" w:name="page262"/>
    <w:bookmarkEnd w:id="2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40"/>
        <w:spacing w:after="0" w:line="236" w:lineRule="auto"/>
        <w:rPr>
          <w:sz w:val="20"/>
          <w:szCs w:val="20"/>
          <w:color w:val="auto"/>
        </w:rPr>
      </w:pPr>
      <w:r>
        <w:rPr>
          <w:rFonts w:ascii="Arial" w:cs="Arial" w:eastAsia="Arial" w:hAnsi="Arial"/>
          <w:sz w:val="16"/>
          <w:szCs w:val="16"/>
          <w:color w:val="auto"/>
        </w:rPr>
        <w:t>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179" w:lineRule="exact"/>
        <w:rPr>
          <w:sz w:val="20"/>
          <w:szCs w:val="20"/>
          <w:color w:val="auto"/>
        </w:rPr>
      </w:pPr>
    </w:p>
    <w:p>
      <w:pPr>
        <w:ind w:left="800" w:right="20" w:firstLine="482"/>
        <w:spacing w:after="0" w:line="233" w:lineRule="auto"/>
        <w:rPr>
          <w:sz w:val="20"/>
          <w:szCs w:val="20"/>
          <w:color w:val="auto"/>
        </w:rPr>
      </w:pPr>
      <w:r>
        <w:rPr>
          <w:rFonts w:ascii="Arial" w:cs="Arial" w:eastAsia="Arial" w:hAnsi="Arial"/>
          <w:sz w:val="16"/>
          <w:szCs w:val="16"/>
          <w:color w:val="auto"/>
        </w:rPr>
        <w:t>The maximum potential amount of future payments associated under this obligation is the outstanding balances of the loans sold to the investors, which at December 31, 2020 and 2019, is $5,180.7 million and $3,498.1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2020 and 2019 of immaterial amounts to cover estimated future obligations related to these contractual terms. These amounts are included in accrued expenses and other liabilities on the Company’s consolidated balance sheets.</w:t>
      </w:r>
    </w:p>
    <w:p>
      <w:pPr>
        <w:spacing w:after="0" w:line="163"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Legal</w:t>
      </w:r>
    </w:p>
    <w:p>
      <w:pPr>
        <w:spacing w:after="0" w:line="106" w:lineRule="exact"/>
        <w:rPr>
          <w:sz w:val="20"/>
          <w:szCs w:val="20"/>
          <w:color w:val="auto"/>
        </w:rPr>
      </w:pPr>
    </w:p>
    <w:p>
      <w:pPr>
        <w:ind w:left="800" w:right="160" w:firstLine="482"/>
        <w:spacing w:after="0" w:line="234" w:lineRule="auto"/>
        <w:rPr>
          <w:sz w:val="20"/>
          <w:szCs w:val="20"/>
          <w:color w:val="auto"/>
        </w:rPr>
      </w:pPr>
      <w:r>
        <w:rPr>
          <w:rFonts w:ascii="Arial" w:cs="Arial" w:eastAsia="Arial" w:hAnsi="Arial"/>
          <w:sz w:val="16"/>
          <w:szCs w:val="16"/>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2020 and 2019, no loss contingency has been recorded in connection with legal proceedings arising in the ordinary course of business.</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Contingencies</w:t>
      </w:r>
    </w:p>
    <w:p>
      <w:pPr>
        <w:spacing w:after="0" w:line="106" w:lineRule="exact"/>
        <w:rPr>
          <w:sz w:val="20"/>
          <w:szCs w:val="20"/>
          <w:color w:val="auto"/>
        </w:rPr>
      </w:pPr>
    </w:p>
    <w:p>
      <w:pPr>
        <w:ind w:left="800" w:right="60" w:firstLine="482"/>
        <w:spacing w:after="0" w:line="252" w:lineRule="auto"/>
        <w:rPr>
          <w:sz w:val="20"/>
          <w:szCs w:val="20"/>
          <w:color w:val="auto"/>
        </w:rPr>
      </w:pPr>
      <w:r>
        <w:rPr>
          <w:rFonts w:ascii="Arial" w:cs="Arial" w:eastAsia="Arial" w:hAnsi="Arial"/>
          <w:sz w:val="15"/>
          <w:szCs w:val="15"/>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247"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Indemnifications</w:t>
      </w:r>
    </w:p>
    <w:p>
      <w:pPr>
        <w:spacing w:after="0" w:line="106"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13. Income Taxes</w:t>
      </w:r>
    </w:p>
    <w:p>
      <w:pPr>
        <w:spacing w:after="0" w:line="106" w:lineRule="exact"/>
        <w:rPr>
          <w:sz w:val="20"/>
          <w:szCs w:val="20"/>
          <w:color w:val="auto"/>
        </w:rPr>
      </w:pPr>
    </w:p>
    <w:p>
      <w:pPr>
        <w:ind w:left="800" w:right="100" w:firstLine="482"/>
        <w:spacing w:after="0" w:line="238" w:lineRule="auto"/>
        <w:rPr>
          <w:sz w:val="20"/>
          <w:szCs w:val="20"/>
          <w:color w:val="auto"/>
        </w:rPr>
      </w:pPr>
      <w:r>
        <w:rPr>
          <w:rFonts w:ascii="Arial" w:cs="Arial" w:eastAsia="Arial" w:hAnsi="Arial"/>
          <w:sz w:val="16"/>
          <w:szCs w:val="16"/>
          <w:color w:val="auto"/>
        </w:rPr>
        <w:t>Income (loss) before income taxes consisted entirely of income from domestic operations of $6.1 million, $(4.9) million and $(11.2) million for the calendar years ended December 31, 2020, 2019</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0440"/>
          </w:cols>
          <w:pgMar w:left="320" w:top="419" w:right="1139" w:bottom="1440" w:gutter="0" w:footer="0" w:header="0"/>
        </w:sectPr>
      </w:pPr>
    </w:p>
    <w:bookmarkStart w:id="262" w:name="page263"/>
    <w:bookmarkEnd w:id="2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40"/>
        <w:spacing w:after="0" w:line="238" w:lineRule="auto"/>
        <w:rPr>
          <w:sz w:val="20"/>
          <w:szCs w:val="20"/>
          <w:color w:val="auto"/>
        </w:rPr>
      </w:pPr>
      <w:r>
        <w:rPr>
          <w:rFonts w:ascii="Arial" w:cs="Arial" w:eastAsia="Arial" w:hAnsi="Arial"/>
          <w:sz w:val="16"/>
          <w:szCs w:val="16"/>
          <w:color w:val="auto"/>
        </w:rPr>
        <w:t>and 2018, respectively. Income tax expense (benefit) included in the statements of income and comprehensive income consisted of the following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10"/>
          </w:tcPr>
          <w:p>
            <w:pPr>
              <w:ind w:left="22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73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1"/>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0"/>
              <w:spacing w:after="0" w:line="13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CCEEFF"/>
            </w:tcBorders>
          </w:tcPr>
          <w:p>
            <w:pPr>
              <w:spacing w:after="0"/>
              <w:rPr>
                <w:sz w:val="11"/>
                <w:szCs w:val="11"/>
                <w:color w:val="auto"/>
              </w:rPr>
            </w:pPr>
          </w:p>
        </w:tc>
      </w:tr>
      <w:tr>
        <w:trPr>
          <w:trHeight w:val="146"/>
        </w:trPr>
        <w:tc>
          <w:tcPr>
            <w:tcW w:w="73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Current: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6"/>
        </w:trPr>
        <w:tc>
          <w:tcPr>
            <w:tcW w:w="7380" w:type="dxa"/>
            <w:vAlign w:val="bottom"/>
          </w:tcPr>
          <w:p>
            <w:pPr>
              <w:ind w:left="280"/>
              <w:spacing w:after="0"/>
              <w:rPr>
                <w:sz w:val="20"/>
                <w:szCs w:val="20"/>
                <w:color w:val="auto"/>
              </w:rPr>
            </w:pPr>
            <w:r>
              <w:rPr>
                <w:rFonts w:ascii="Arial" w:cs="Arial" w:eastAsia="Arial" w:hAnsi="Arial"/>
                <w:sz w:val="14"/>
                <w:szCs w:val="14"/>
                <w:color w:val="auto"/>
              </w:rPr>
              <w:t>Federal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300"/>
              <w:spacing w:after="0"/>
              <w:rPr>
                <w:sz w:val="20"/>
                <w:szCs w:val="20"/>
                <w:color w:val="auto"/>
              </w:rPr>
            </w:pPr>
            <w:r>
              <w:rPr>
                <w:rFonts w:ascii="Arial" w:cs="Arial" w:eastAsia="Arial" w:hAnsi="Arial"/>
                <w:sz w:val="14"/>
                <w:szCs w:val="14"/>
                <w:color w:val="auto"/>
              </w:rPr>
              <w:t>—</w:t>
            </w:r>
          </w:p>
        </w:tc>
      </w:tr>
      <w:tr>
        <w:trPr>
          <w:trHeight w:val="166"/>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r>
      <w:tr>
        <w:trPr>
          <w:trHeight w:val="20"/>
        </w:trPr>
        <w:tc>
          <w:tcPr>
            <w:tcW w:w="7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7380" w:type="dxa"/>
            <w:vAlign w:val="bottom"/>
          </w:tcPr>
          <w:p>
            <w:pPr>
              <w:spacing w:after="0"/>
              <w:rPr>
                <w:sz w:val="20"/>
                <w:szCs w:val="20"/>
                <w:color w:val="auto"/>
              </w:rPr>
            </w:pPr>
            <w:r>
              <w:rPr>
                <w:rFonts w:ascii="Arial" w:cs="Arial" w:eastAsia="Arial" w:hAnsi="Arial"/>
                <w:sz w:val="14"/>
                <w:szCs w:val="14"/>
                <w:color w:val="auto"/>
              </w:rPr>
              <w:t>Total current tax expense</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ind w:left="300"/>
              <w:spacing w:after="0"/>
              <w:rPr>
                <w:sz w:val="20"/>
                <w:szCs w:val="20"/>
                <w:color w:val="auto"/>
              </w:rPr>
            </w:pPr>
            <w:r>
              <w:rPr>
                <w:rFonts w:ascii="Arial" w:cs="Arial" w:eastAsia="Arial" w:hAnsi="Arial"/>
                <w:sz w:val="14"/>
                <w:szCs w:val="14"/>
                <w:color w:val="auto"/>
              </w:rPr>
              <w:t>—</w:t>
            </w:r>
          </w:p>
        </w:tc>
      </w:tr>
      <w:tr>
        <w:trPr>
          <w:trHeight w:val="166"/>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6"/>
        </w:trPr>
        <w:tc>
          <w:tcPr>
            <w:tcW w:w="7380" w:type="dxa"/>
            <w:vAlign w:val="bottom"/>
          </w:tcPr>
          <w:p>
            <w:pPr>
              <w:ind w:left="280"/>
              <w:spacing w:after="0"/>
              <w:rPr>
                <w:sz w:val="20"/>
                <w:szCs w:val="20"/>
                <w:color w:val="auto"/>
              </w:rPr>
            </w:pPr>
            <w:r>
              <w:rPr>
                <w:rFonts w:ascii="Arial" w:cs="Arial" w:eastAsia="Arial" w:hAnsi="Arial"/>
                <w:sz w:val="14"/>
                <w:szCs w:val="14"/>
                <w:color w:val="auto"/>
              </w:rPr>
              <w:t>Federal</w:t>
            </w: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300"/>
              <w:spacing w:after="0"/>
              <w:rPr>
                <w:sz w:val="20"/>
                <w:szCs w:val="20"/>
                <w:color w:val="auto"/>
              </w:rPr>
            </w:pPr>
            <w:r>
              <w:rPr>
                <w:rFonts w:ascii="Arial" w:cs="Arial" w:eastAsia="Arial" w:hAnsi="Arial"/>
                <w:sz w:val="14"/>
                <w:szCs w:val="14"/>
                <w:color w:val="auto"/>
              </w:rPr>
              <w:t>—</w:t>
            </w:r>
          </w:p>
        </w:tc>
      </w:tr>
      <w:tr>
        <w:trPr>
          <w:trHeight w:val="166"/>
        </w:trPr>
        <w:tc>
          <w:tcPr>
            <w:tcW w:w="7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r>
      <w:tr>
        <w:trPr>
          <w:trHeight w:val="20"/>
        </w:trPr>
        <w:tc>
          <w:tcPr>
            <w:tcW w:w="7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7380" w:type="dxa"/>
            <w:vAlign w:val="bottom"/>
          </w:tcPr>
          <w:p>
            <w:pPr>
              <w:spacing w:after="0"/>
              <w:rPr>
                <w:sz w:val="20"/>
                <w:szCs w:val="20"/>
                <w:color w:val="auto"/>
              </w:rPr>
            </w:pPr>
            <w:r>
              <w:rPr>
                <w:rFonts w:ascii="Arial" w:cs="Arial" w:eastAsia="Arial" w:hAnsi="Arial"/>
                <w:sz w:val="14"/>
                <w:szCs w:val="14"/>
                <w:color w:val="auto"/>
              </w:rPr>
              <w:t>Total deferred tax expense</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ind w:left="300"/>
              <w:spacing w:after="0"/>
              <w:rPr>
                <w:sz w:val="20"/>
                <w:szCs w:val="20"/>
                <w:color w:val="auto"/>
              </w:rPr>
            </w:pPr>
            <w:r>
              <w:rPr>
                <w:rFonts w:ascii="Arial" w:cs="Arial" w:eastAsia="Arial" w:hAnsi="Arial"/>
                <w:sz w:val="14"/>
                <w:szCs w:val="14"/>
                <w:color w:val="auto"/>
              </w:rPr>
              <w:t>—</w:t>
            </w:r>
          </w:p>
        </w:tc>
      </w:tr>
      <w:tr>
        <w:trPr>
          <w:trHeight w:val="24"/>
        </w:trPr>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Total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r>
      <w:tr>
        <w:trPr>
          <w:trHeight w:val="20"/>
        </w:trPr>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120" w:firstLine="482"/>
        <w:spacing w:after="0" w:line="238" w:lineRule="auto"/>
        <w:rPr>
          <w:sz w:val="20"/>
          <w:szCs w:val="20"/>
          <w:color w:val="auto"/>
        </w:rPr>
      </w:pPr>
      <w:r>
        <w:rPr>
          <w:rFonts w:ascii="Arial" w:cs="Arial" w:eastAsia="Arial" w:hAnsi="Arial"/>
          <w:sz w:val="16"/>
          <w:szCs w:val="16"/>
          <w:color w:val="auto"/>
        </w:rPr>
        <w:t>Income tax expense differed from the amount computed by applying the federal statutory income tax rate of 21% to pretax income (loss) as a result of the following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7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gridSpan w:val="9"/>
          </w:tcPr>
          <w:p>
            <w:pPr>
              <w:jc w:val="right"/>
              <w:ind w:right="34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75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0"/>
              <w:spacing w:after="0" w:line="134" w:lineRule="exact"/>
              <w:rPr>
                <w:sz w:val="20"/>
                <w:szCs w:val="20"/>
                <w:color w:val="auto"/>
              </w:rPr>
            </w:pPr>
            <w:r>
              <w:rPr>
                <w:rFonts w:ascii="Arial" w:cs="Arial" w:eastAsia="Arial" w:hAnsi="Arial"/>
                <w:sz w:val="13"/>
                <w:szCs w:val="13"/>
                <w:b w:val="1"/>
                <w:bCs w:val="1"/>
                <w:color w:val="auto"/>
                <w:w w:val="96"/>
              </w:rPr>
              <w:t>2020</w:t>
            </w:r>
          </w:p>
        </w:tc>
        <w:tc>
          <w:tcPr>
            <w:tcW w:w="2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0"/>
              <w:spacing w:after="0" w:line="134" w:lineRule="exact"/>
              <w:rPr>
                <w:sz w:val="20"/>
                <w:szCs w:val="20"/>
                <w:color w:val="auto"/>
              </w:rPr>
            </w:pPr>
            <w:r>
              <w:rPr>
                <w:rFonts w:ascii="Arial" w:cs="Arial" w:eastAsia="Arial" w:hAnsi="Arial"/>
                <w:sz w:val="13"/>
                <w:szCs w:val="13"/>
                <w:b w:val="1"/>
                <w:bCs w:val="1"/>
                <w:color w:val="auto"/>
                <w:w w:val="96"/>
              </w:rPr>
              <w:t>2019</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0"/>
              <w:spacing w:after="0" w:line="134" w:lineRule="exact"/>
              <w:rPr>
                <w:sz w:val="20"/>
                <w:szCs w:val="20"/>
                <w:color w:val="auto"/>
              </w:rPr>
            </w:pPr>
            <w:r>
              <w:rPr>
                <w:rFonts w:ascii="Arial" w:cs="Arial" w:eastAsia="Arial" w:hAnsi="Arial"/>
                <w:sz w:val="13"/>
                <w:szCs w:val="13"/>
                <w:b w:val="1"/>
                <w:bCs w:val="1"/>
                <w:color w:val="auto"/>
                <w:w w:val="96"/>
              </w:rPr>
              <w:t>2018</w:t>
            </w:r>
          </w:p>
        </w:tc>
        <w:tc>
          <w:tcPr>
            <w:tcW w:w="80" w:type="dxa"/>
            <w:vAlign w:val="bottom"/>
            <w:tcBorders>
              <w:bottom w:val="single" w:sz="8" w:color="CCEEFF"/>
            </w:tcBorders>
          </w:tcPr>
          <w:p>
            <w:pPr>
              <w:spacing w:after="0"/>
              <w:rPr>
                <w:sz w:val="11"/>
                <w:szCs w:val="11"/>
                <w:color w:val="auto"/>
              </w:rPr>
            </w:pPr>
          </w:p>
        </w:tc>
      </w:tr>
      <w:tr>
        <w:trPr>
          <w:trHeight w:val="157"/>
        </w:trPr>
        <w:tc>
          <w:tcPr>
            <w:tcW w:w="75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Federal tax at statutory rate</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1,271</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9"/>
              </w:rPr>
              <w:t>(1,039)</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(2,681)</w:t>
            </w:r>
          </w:p>
        </w:tc>
      </w:tr>
      <w:tr>
        <w:trPr>
          <w:trHeight w:val="166"/>
        </w:trPr>
        <w:tc>
          <w:tcPr>
            <w:tcW w:w="7500" w:type="dxa"/>
            <w:vAlign w:val="bottom"/>
          </w:tcPr>
          <w:p>
            <w:pPr>
              <w:spacing w:after="0"/>
              <w:rPr>
                <w:sz w:val="20"/>
                <w:szCs w:val="20"/>
                <w:color w:val="auto"/>
              </w:rPr>
            </w:pPr>
            <w:r>
              <w:rPr>
                <w:rFonts w:ascii="Arial" w:cs="Arial" w:eastAsia="Arial" w:hAnsi="Arial"/>
                <w:sz w:val="14"/>
                <w:szCs w:val="14"/>
                <w:color w:val="auto"/>
              </w:rPr>
              <w:t>State income taxes, net of federal tax benefit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34</w:t>
            </w: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Fair value adjustment on warrants</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2,371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320</w:t>
            </w:r>
          </w:p>
        </w:tc>
      </w:tr>
      <w:tr>
        <w:trPr>
          <w:trHeight w:val="166"/>
        </w:trPr>
        <w:tc>
          <w:tcPr>
            <w:tcW w:w="75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(1,476)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246</w:t>
            </w: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Research and development credit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(1,231)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(300)</w:t>
            </w:r>
          </w:p>
        </w:tc>
      </w:tr>
      <w:tr>
        <w:trPr>
          <w:trHeight w:val="166"/>
        </w:trPr>
        <w:tc>
          <w:tcPr>
            <w:tcW w:w="7500" w:type="dxa"/>
            <w:vAlign w:val="bottom"/>
          </w:tcPr>
          <w:p>
            <w:pPr>
              <w:spacing w:after="0"/>
              <w:rPr>
                <w:sz w:val="20"/>
                <w:szCs w:val="20"/>
                <w:color w:val="auto"/>
              </w:rPr>
            </w:pPr>
            <w:r>
              <w:rPr>
                <w:rFonts w:ascii="Arial" w:cs="Arial" w:eastAsia="Arial" w:hAnsi="Arial"/>
                <w:sz w:val="14"/>
                <w:szCs w:val="14"/>
                <w:color w:val="auto"/>
              </w:rPr>
              <w:t>PPP loan forgiveness (CARES Act)</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(1,110)</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3,147</w:t>
            </w:r>
          </w:p>
        </w:tc>
      </w:tr>
      <w:tr>
        <w:trPr>
          <w:trHeight w:val="166"/>
        </w:trPr>
        <w:tc>
          <w:tcPr>
            <w:tcW w:w="7500" w:type="dxa"/>
            <w:vAlign w:val="bottom"/>
          </w:tcPr>
          <w:p>
            <w:pPr>
              <w:spacing w:after="0"/>
              <w:rPr>
                <w:sz w:val="20"/>
                <w:szCs w:val="20"/>
                <w:color w:val="auto"/>
              </w:rPr>
            </w:pPr>
            <w:r>
              <w:rPr>
                <w:rFonts w:ascii="Arial" w:cs="Arial" w:eastAsia="Arial" w:hAnsi="Arial"/>
                <w:sz w:val="14"/>
                <w:szCs w:val="14"/>
                <w:color w:val="auto"/>
              </w:rPr>
              <w:t>Tax return to tax provision adjustment</w:t>
            </w: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(480)</w:t>
            </w: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(274)</w:t>
            </w:r>
          </w:p>
        </w:tc>
      </w:tr>
      <w:tr>
        <w:trPr>
          <w:trHeight w:val="166"/>
        </w:trPr>
        <w:tc>
          <w:tcPr>
            <w:tcW w:w="75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r>
      <w:tr>
        <w:trPr>
          <w:trHeight w:val="24"/>
        </w:trPr>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right="280" w:firstLine="482"/>
        <w:spacing w:after="0" w:line="238" w:lineRule="auto"/>
        <w:rPr>
          <w:sz w:val="20"/>
          <w:szCs w:val="20"/>
          <w:color w:val="auto"/>
        </w:rPr>
      </w:pPr>
      <w:r>
        <w:rPr>
          <w:rFonts w:ascii="Arial" w:cs="Arial" w:eastAsia="Arial" w:hAnsi="Arial"/>
          <w:sz w:val="16"/>
          <w:szCs w:val="16"/>
          <w:color w:val="auto"/>
        </w:rPr>
        <w:t>The tax effects of temporary differences that gave rise to significant portions of the Company’s deferred tax assets and liabilities related to the following (in thousands):</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040" w:type="dxa"/>
            <w:vAlign w:val="bottom"/>
          </w:tcPr>
          <w:p>
            <w:pPr>
              <w:spacing w:after="0"/>
              <w:rPr>
                <w:sz w:val="13"/>
                <w:szCs w:val="13"/>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804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70"/>
              <w:spacing w:after="0" w:line="134"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70"/>
              <w:spacing w:after="0" w:line="134"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1"/>
                <w:szCs w:val="11"/>
                <w:color w:val="auto"/>
              </w:rPr>
            </w:pPr>
          </w:p>
        </w:tc>
      </w:tr>
      <w:tr>
        <w:trPr>
          <w:trHeight w:val="146"/>
        </w:trPr>
        <w:tc>
          <w:tcPr>
            <w:tcW w:w="804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Deferred tax assets:</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6"/>
        </w:trPr>
        <w:tc>
          <w:tcPr>
            <w:tcW w:w="8040" w:type="dxa"/>
            <w:vAlign w:val="bottom"/>
          </w:tcPr>
          <w:p>
            <w:pPr>
              <w:ind w:left="280"/>
              <w:spacing w:after="0"/>
              <w:rPr>
                <w:sz w:val="20"/>
                <w:szCs w:val="20"/>
                <w:color w:val="auto"/>
              </w:rPr>
            </w:pPr>
            <w:r>
              <w:rPr>
                <w:rFonts w:ascii="Arial" w:cs="Arial" w:eastAsia="Arial" w:hAnsi="Arial"/>
                <w:sz w:val="14"/>
                <w:szCs w:val="14"/>
                <w:color w:val="auto"/>
              </w:rPr>
              <w:t>Net operating loss carryforwards</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$ 14,716</w:t>
            </w: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$ 17,180</w:t>
            </w:r>
          </w:p>
        </w:tc>
        <w:tc>
          <w:tcPr>
            <w:tcW w:w="80" w:type="dxa"/>
            <w:vAlign w:val="bottom"/>
          </w:tcPr>
          <w:p>
            <w:pPr>
              <w:spacing w:after="0"/>
              <w:rPr>
                <w:sz w:val="14"/>
                <w:szCs w:val="14"/>
                <w:color w:val="auto"/>
              </w:rPr>
            </w:pPr>
          </w:p>
        </w:tc>
      </w:tr>
      <w:tr>
        <w:trPr>
          <w:trHeight w:val="166"/>
        </w:trPr>
        <w:tc>
          <w:tcPr>
            <w:tcW w:w="8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5,680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4,961</w:t>
            </w:r>
          </w:p>
        </w:tc>
      </w:tr>
      <w:tr>
        <w:trPr>
          <w:trHeight w:val="166"/>
        </w:trPr>
        <w:tc>
          <w:tcPr>
            <w:tcW w:w="8040" w:type="dxa"/>
            <w:vAlign w:val="bottom"/>
          </w:tcPr>
          <w:p>
            <w:pPr>
              <w:ind w:left="280"/>
              <w:spacing w:after="0"/>
              <w:rPr>
                <w:sz w:val="20"/>
                <w:szCs w:val="20"/>
                <w:color w:val="auto"/>
              </w:rPr>
            </w:pPr>
            <w:r>
              <w:rPr>
                <w:rFonts w:ascii="Arial" w:cs="Arial" w:eastAsia="Arial" w:hAnsi="Arial"/>
                <w:sz w:val="14"/>
                <w:szCs w:val="14"/>
                <w:color w:val="auto"/>
              </w:rPr>
              <w:t>Research and development credits</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3,146</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2,274</w:t>
            </w:r>
          </w:p>
        </w:tc>
      </w:tr>
      <w:tr>
        <w:trPr>
          <w:trHeight w:val="166"/>
        </w:trPr>
        <w:tc>
          <w:tcPr>
            <w:tcW w:w="8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1,734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1,151</w:t>
            </w:r>
          </w:p>
        </w:tc>
      </w:tr>
      <w:tr>
        <w:trPr>
          <w:trHeight w:val="166"/>
        </w:trPr>
        <w:tc>
          <w:tcPr>
            <w:tcW w:w="8040" w:type="dxa"/>
            <w:vAlign w:val="bottom"/>
          </w:tcPr>
          <w:p>
            <w:pPr>
              <w:ind w:left="280"/>
              <w:spacing w:after="0"/>
              <w:rPr>
                <w:sz w:val="20"/>
                <w:szCs w:val="20"/>
                <w:color w:val="auto"/>
              </w:rPr>
            </w:pPr>
            <w:r>
              <w:rPr>
                <w:rFonts w:ascii="Arial" w:cs="Arial" w:eastAsia="Arial" w:hAnsi="Arial"/>
                <w:sz w:val="14"/>
                <w:szCs w:val="14"/>
                <w:color w:val="auto"/>
              </w:rPr>
              <w:t>Investment in partnerships</w:t>
            </w:r>
          </w:p>
        </w:tc>
        <w:tc>
          <w:tcPr>
            <w:tcW w:w="560" w:type="dxa"/>
            <w:vAlign w:val="bottom"/>
          </w:tcPr>
          <w:p>
            <w:pPr>
              <w:jc w:val="right"/>
              <w:spacing w:after="0"/>
              <w:rPr>
                <w:sz w:val="20"/>
                <w:szCs w:val="20"/>
                <w:color w:val="auto"/>
              </w:rPr>
            </w:pPr>
            <w:r>
              <w:rPr>
                <w:rFonts w:ascii="Arial" w:cs="Arial" w:eastAsia="Arial" w:hAnsi="Arial"/>
                <w:sz w:val="14"/>
                <w:szCs w:val="14"/>
                <w:color w:val="auto"/>
              </w:rPr>
              <w:t>896</w:t>
            </w:r>
          </w:p>
        </w:tc>
        <w:tc>
          <w:tcPr>
            <w:tcW w:w="3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775</w:t>
            </w:r>
          </w:p>
        </w:tc>
      </w:tr>
      <w:tr>
        <w:trPr>
          <w:trHeight w:val="166"/>
        </w:trPr>
        <w:tc>
          <w:tcPr>
            <w:tcW w:w="8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Accruals and reserves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w:t>
            </w:r>
          </w:p>
        </w:tc>
      </w:tr>
      <w:tr>
        <w:trPr>
          <w:trHeight w:val="166"/>
        </w:trPr>
        <w:tc>
          <w:tcPr>
            <w:tcW w:w="8040" w:type="dxa"/>
            <w:vAlign w:val="bottom"/>
          </w:tcPr>
          <w:p>
            <w:pPr>
              <w:ind w:left="280"/>
              <w:spacing w:after="0"/>
              <w:rPr>
                <w:sz w:val="20"/>
                <w:szCs w:val="20"/>
                <w:color w:val="auto"/>
              </w:rPr>
            </w:pPr>
            <w:r>
              <w:rPr>
                <w:rFonts w:ascii="Arial" w:cs="Arial" w:eastAsia="Arial" w:hAnsi="Arial"/>
                <w:sz w:val="14"/>
                <w:szCs w:val="14"/>
                <w:color w:val="auto"/>
              </w:rPr>
              <w:t>Servicing assets</w:t>
            </w:r>
          </w:p>
        </w:tc>
        <w:tc>
          <w:tcPr>
            <w:tcW w:w="560" w:type="dxa"/>
            <w:vAlign w:val="bottom"/>
          </w:tcPr>
          <w:p>
            <w:pPr>
              <w:jc w:val="right"/>
              <w:spacing w:after="0"/>
              <w:rPr>
                <w:sz w:val="20"/>
                <w:szCs w:val="20"/>
                <w:color w:val="auto"/>
              </w:rPr>
            </w:pPr>
            <w:r>
              <w:rPr>
                <w:rFonts w:ascii="Arial" w:cs="Arial" w:eastAsia="Arial" w:hAnsi="Arial"/>
                <w:sz w:val="14"/>
                <w:szCs w:val="14"/>
                <w:color w:val="auto"/>
              </w:rPr>
              <w:t>416</w:t>
            </w:r>
          </w:p>
        </w:tc>
        <w:tc>
          <w:tcPr>
            <w:tcW w:w="3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120</w:t>
            </w:r>
          </w:p>
        </w:tc>
      </w:tr>
      <w:tr>
        <w:trPr>
          <w:trHeight w:val="166"/>
        </w:trPr>
        <w:tc>
          <w:tcPr>
            <w:tcW w:w="8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w:t>
            </w:r>
          </w:p>
        </w:tc>
      </w:tr>
      <w:tr>
        <w:trPr>
          <w:trHeight w:val="169"/>
        </w:trPr>
        <w:tc>
          <w:tcPr>
            <w:tcW w:w="8040" w:type="dxa"/>
            <w:vAlign w:val="bottom"/>
          </w:tcPr>
          <w:p>
            <w:pPr>
              <w:ind w:left="280"/>
              <w:spacing w:after="0"/>
              <w:rPr>
                <w:sz w:val="20"/>
                <w:szCs w:val="20"/>
                <w:color w:val="auto"/>
              </w:rPr>
            </w:pPr>
            <w:r>
              <w:rPr>
                <w:rFonts w:ascii="Arial" w:cs="Arial" w:eastAsia="Arial" w:hAnsi="Arial"/>
                <w:sz w:val="14"/>
                <w:szCs w:val="14"/>
                <w:color w:val="auto"/>
              </w:rPr>
              <w:t>Other</w:t>
            </w:r>
          </w:p>
        </w:tc>
        <w:tc>
          <w:tcPr>
            <w:tcW w:w="560" w:type="dxa"/>
            <w:vAlign w:val="bottom"/>
          </w:tcPr>
          <w:p>
            <w:pPr>
              <w:jc w:val="right"/>
              <w:spacing w:after="0"/>
              <w:rPr>
                <w:sz w:val="20"/>
                <w:szCs w:val="20"/>
                <w:color w:val="auto"/>
              </w:rPr>
            </w:pPr>
            <w:r>
              <w:rPr>
                <w:rFonts w:ascii="Arial" w:cs="Arial" w:eastAsia="Arial" w:hAnsi="Arial"/>
                <w:sz w:val="14"/>
                <w:szCs w:val="14"/>
                <w:color w:val="auto"/>
              </w:rPr>
              <w:t>75</w:t>
            </w:r>
          </w:p>
        </w:tc>
        <w:tc>
          <w:tcPr>
            <w:tcW w:w="3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28</w:t>
            </w:r>
          </w:p>
        </w:tc>
      </w:tr>
      <w:tr>
        <w:trPr>
          <w:trHeight w:val="166"/>
        </w:trPr>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assets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27,315</w:t>
            </w:r>
          </w:p>
        </w:tc>
        <w:tc>
          <w:tcPr>
            <w:tcW w:w="3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26,947</w:t>
            </w:r>
          </w:p>
        </w:tc>
        <w:tc>
          <w:tcPr>
            <w:tcW w:w="80" w:type="dxa"/>
            <w:vAlign w:val="bottom"/>
            <w:shd w:val="clear" w:color="auto" w:fill="CCEEFF"/>
          </w:tcPr>
          <w:p>
            <w:pPr>
              <w:spacing w:after="0"/>
              <w:rPr>
                <w:sz w:val="14"/>
                <w:szCs w:val="14"/>
                <w:color w:val="auto"/>
              </w:rPr>
            </w:pPr>
          </w:p>
        </w:tc>
      </w:tr>
      <w:tr>
        <w:trPr>
          <w:trHeight w:val="166"/>
        </w:trPr>
        <w:tc>
          <w:tcPr>
            <w:tcW w:w="8040" w:type="dxa"/>
            <w:vAlign w:val="bottom"/>
          </w:tcPr>
          <w:p>
            <w:pPr>
              <w:spacing w:after="0"/>
              <w:rPr>
                <w:sz w:val="20"/>
                <w:szCs w:val="20"/>
                <w:color w:val="auto"/>
              </w:rPr>
            </w:pPr>
            <w:r>
              <w:rPr>
                <w:rFonts w:ascii="Arial" w:cs="Arial" w:eastAsia="Arial" w:hAnsi="Arial"/>
                <w:sz w:val="14"/>
                <w:szCs w:val="14"/>
                <w:color w:val="auto"/>
              </w:rPr>
              <w:t>Less: valuation allowance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(21,241)</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(20,720)</w:t>
            </w:r>
          </w:p>
        </w:tc>
      </w:tr>
      <w:tr>
        <w:trPr>
          <w:trHeight w:val="24"/>
        </w:trPr>
        <w:tc>
          <w:tcPr>
            <w:tcW w:w="8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6"/>
        </w:trPr>
        <w:tc>
          <w:tcPr>
            <w:tcW w:w="804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assets—net of valuation allowance</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6,074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6,227</w:t>
            </w:r>
          </w:p>
        </w:tc>
      </w:tr>
      <w:tr>
        <w:trPr>
          <w:trHeight w:val="20"/>
        </w:trPr>
        <w:tc>
          <w:tcPr>
            <w:tcW w:w="8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1"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0440"/>
          </w:cols>
          <w:pgMar w:left="320" w:top="419" w:right="1139" w:bottom="1440" w:gutter="0" w:footer="0" w:header="0"/>
        </w:sectPr>
      </w:pPr>
    </w:p>
    <w:bookmarkStart w:id="263" w:name="page264"/>
    <w:bookmarkEnd w:id="2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5"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8200" w:type="dxa"/>
            <w:vAlign w:val="bottom"/>
          </w:tcPr>
          <w:p>
            <w:pPr>
              <w:spacing w:after="0"/>
              <w:rPr>
                <w:sz w:val="13"/>
                <w:szCs w:val="13"/>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December 31,</w:t>
            </w:r>
          </w:p>
        </w:tc>
      </w:tr>
      <w:tr>
        <w:trPr>
          <w:trHeight w:val="134"/>
        </w:trPr>
        <w:tc>
          <w:tcPr>
            <w:tcW w:w="8200" w:type="dxa"/>
            <w:vAlign w:val="bottom"/>
          </w:tcPr>
          <w:p>
            <w:pPr>
              <w:spacing w:after="0"/>
              <w:rPr>
                <w:sz w:val="11"/>
                <w:szCs w:val="11"/>
                <w:color w:val="auto"/>
              </w:rPr>
            </w:pPr>
          </w:p>
        </w:tc>
        <w:tc>
          <w:tcPr>
            <w:tcW w:w="460" w:type="dxa"/>
            <w:vAlign w:val="bottom"/>
            <w:tcBorders>
              <w:top w:val="single" w:sz="8" w:color="auto"/>
            </w:tcBorders>
          </w:tcPr>
          <w:p>
            <w:pPr>
              <w:jc w:val="right"/>
              <w:ind w:right="11"/>
              <w:spacing w:after="0" w:line="134" w:lineRule="exact"/>
              <w:rPr>
                <w:sz w:val="20"/>
                <w:szCs w:val="20"/>
                <w:color w:val="auto"/>
              </w:rPr>
            </w:pPr>
            <w:r>
              <w:rPr>
                <w:rFonts w:ascii="Arial" w:cs="Arial" w:eastAsia="Arial" w:hAnsi="Arial"/>
                <w:sz w:val="13"/>
                <w:szCs w:val="13"/>
                <w:b w:val="1"/>
                <w:bCs w:val="1"/>
                <w:color w:val="auto"/>
              </w:rPr>
              <w:t>2020</w:t>
            </w:r>
          </w:p>
        </w:tc>
        <w:tc>
          <w:tcPr>
            <w:tcW w:w="940" w:type="dxa"/>
            <w:vAlign w:val="bottom"/>
            <w:tcBorders>
              <w:top w:val="single" w:sz="8" w:color="auto"/>
            </w:tcBorders>
            <w:gridSpan w:val="2"/>
          </w:tcPr>
          <w:p>
            <w:pPr>
              <w:jc w:val="right"/>
              <w:ind w:right="9"/>
              <w:spacing w:after="0" w:line="134"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r>
      <w:tr>
        <w:trPr>
          <w:trHeight w:val="146"/>
        </w:trPr>
        <w:tc>
          <w:tcPr>
            <w:tcW w:w="820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4"/>
                <w:szCs w:val="14"/>
                <w:color w:val="auto"/>
              </w:rPr>
              <w:t>Deferred tax liabilities:</w:t>
            </w:r>
          </w:p>
        </w:tc>
        <w:tc>
          <w:tcPr>
            <w:tcW w:w="4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6"/>
        </w:trPr>
        <w:tc>
          <w:tcPr>
            <w:tcW w:w="8200" w:type="dxa"/>
            <w:vAlign w:val="bottom"/>
          </w:tcPr>
          <w:p>
            <w:pPr>
              <w:ind w:left="280"/>
              <w:spacing w:after="0"/>
              <w:rPr>
                <w:sz w:val="20"/>
                <w:szCs w:val="20"/>
                <w:color w:val="auto"/>
              </w:rPr>
            </w:pPr>
            <w:r>
              <w:rPr>
                <w:rFonts w:ascii="Arial" w:cs="Arial" w:eastAsia="Arial" w:hAnsi="Arial"/>
                <w:sz w:val="14"/>
                <w:szCs w:val="14"/>
                <w:color w:val="auto"/>
              </w:rPr>
              <w:t>Right of use asset</w:t>
            </w:r>
          </w:p>
        </w:tc>
        <w:tc>
          <w:tcPr>
            <w:tcW w:w="460" w:type="dxa"/>
            <w:vAlign w:val="bottom"/>
          </w:tcPr>
          <w:p>
            <w:pPr>
              <w:jc w:val="right"/>
              <w:spacing w:after="0"/>
              <w:rPr>
                <w:sz w:val="20"/>
                <w:szCs w:val="20"/>
                <w:color w:val="auto"/>
              </w:rPr>
            </w:pPr>
            <w:r>
              <w:rPr>
                <w:rFonts w:ascii="Arial" w:cs="Arial" w:eastAsia="Arial" w:hAnsi="Arial"/>
                <w:sz w:val="14"/>
                <w:szCs w:val="14"/>
                <w:color w:val="auto"/>
              </w:rPr>
              <w:t>5,351</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4,708</w:t>
            </w:r>
          </w:p>
        </w:tc>
      </w:tr>
      <w:tr>
        <w:trPr>
          <w:trHeight w:val="166"/>
        </w:trPr>
        <w:tc>
          <w:tcPr>
            <w:tcW w:w="8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40" w:type="dxa"/>
            <w:vAlign w:val="bottom"/>
            <w:shd w:val="clear" w:color="auto" w:fill="CCEEFF"/>
          </w:tcPr>
          <w:p>
            <w:pPr>
              <w:spacing w:after="0"/>
              <w:rPr>
                <w:sz w:val="14"/>
                <w:szCs w:val="14"/>
                <w:color w:val="auto"/>
              </w:rPr>
            </w:pPr>
          </w:p>
        </w:tc>
      </w:tr>
      <w:tr>
        <w:trPr>
          <w:trHeight w:val="166"/>
        </w:trPr>
        <w:tc>
          <w:tcPr>
            <w:tcW w:w="8200" w:type="dxa"/>
            <w:vAlign w:val="bottom"/>
          </w:tcPr>
          <w:p>
            <w:pPr>
              <w:ind w:left="280"/>
              <w:spacing w:after="0"/>
              <w:rPr>
                <w:sz w:val="20"/>
                <w:szCs w:val="20"/>
                <w:color w:val="auto"/>
              </w:rPr>
            </w:pPr>
            <w:r>
              <w:rPr>
                <w:rFonts w:ascii="Arial" w:cs="Arial" w:eastAsia="Arial" w:hAnsi="Arial"/>
                <w:sz w:val="14"/>
                <w:szCs w:val="14"/>
                <w:color w:val="auto"/>
              </w:rPr>
              <w:t>Fair value adjustment—residual certificates</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1,165</w:t>
            </w:r>
          </w:p>
        </w:tc>
      </w:tr>
      <w:tr>
        <w:trPr>
          <w:trHeight w:val="24"/>
        </w:trPr>
        <w:tc>
          <w:tcPr>
            <w:tcW w:w="8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66"/>
        </w:trPr>
        <w:tc>
          <w:tcPr>
            <w:tcW w:w="8200" w:type="dxa"/>
            <w:vAlign w:val="bottom"/>
            <w:shd w:val="clear" w:color="auto" w:fill="CCEEFF"/>
          </w:tcPr>
          <w:p>
            <w:pPr>
              <w:spacing w:after="0"/>
              <w:rPr>
                <w:sz w:val="20"/>
                <w:szCs w:val="20"/>
                <w:color w:val="auto"/>
              </w:rPr>
            </w:pPr>
            <w:r>
              <w:rPr>
                <w:rFonts w:ascii="Arial" w:cs="Arial" w:eastAsia="Arial" w:hAnsi="Arial"/>
                <w:sz w:val="14"/>
                <w:szCs w:val="14"/>
                <w:color w:val="auto"/>
              </w:rPr>
              <w:t>Total deferred tax liabilities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w:t>
            </w:r>
          </w:p>
        </w:tc>
        <w:tc>
          <w:tcPr>
            <w:tcW w:w="5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6,227</w:t>
            </w:r>
          </w:p>
        </w:tc>
      </w:tr>
      <w:tr>
        <w:trPr>
          <w:trHeight w:val="20"/>
        </w:trPr>
        <w:tc>
          <w:tcPr>
            <w:tcW w:w="8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820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46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   —</w:t>
            </w:r>
          </w:p>
        </w:tc>
      </w:tr>
      <w:tr>
        <w:trPr>
          <w:trHeight w:val="20"/>
        </w:trPr>
        <w:tc>
          <w:tcPr>
            <w:tcW w:w="8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800" w:right="100" w:firstLine="482"/>
        <w:spacing w:after="0" w:line="236" w:lineRule="auto"/>
        <w:rPr>
          <w:sz w:val="20"/>
          <w:szCs w:val="20"/>
          <w:color w:val="auto"/>
        </w:rPr>
      </w:pPr>
      <w:r>
        <w:rPr>
          <w:rFonts w:ascii="Arial" w:cs="Arial" w:eastAsia="Arial" w:hAnsi="Arial"/>
          <w:sz w:val="16"/>
          <w:szCs w:val="16"/>
          <w:color w:val="auto"/>
        </w:rPr>
        <w:t>Management believes that, based on available evidence, both positive and negative, it is more likely than not that the deferred tax assets will not be utilized, and as such the Company maintains a full valuation allowance at December 31, 2020. The valuation allowance increased by $0.5 million for the year ended December 31, 2020 primarily as a result of current year activities.</w:t>
      </w:r>
    </w:p>
    <w:p>
      <w:pPr>
        <w:spacing w:after="0" w:line="179" w:lineRule="exact"/>
        <w:rPr>
          <w:sz w:val="20"/>
          <w:szCs w:val="20"/>
          <w:color w:val="auto"/>
        </w:rPr>
      </w:pPr>
    </w:p>
    <w:p>
      <w:pPr>
        <w:ind w:left="800" w:right="120" w:firstLine="482"/>
        <w:spacing w:after="0" w:line="232" w:lineRule="auto"/>
        <w:rPr>
          <w:sz w:val="20"/>
          <w:szCs w:val="20"/>
          <w:color w:val="auto"/>
        </w:rPr>
      </w:pPr>
      <w:r>
        <w:rPr>
          <w:rFonts w:ascii="Arial" w:cs="Arial" w:eastAsia="Arial" w:hAnsi="Arial"/>
          <w:sz w:val="16"/>
          <w:szCs w:val="16"/>
          <w:color w:val="auto"/>
        </w:rPr>
        <w:t>As of December 31, 2020, the Company had approximately $50.2 million and $49.2 million of federal and state (post-apportioned) net operating losses (NOL), respectively, that will begin to expire in 2035 and 2034, respectively. The Company also has federal and California research and development tax credits of approximately $3.8 million and $0.9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IRC Section 382. Utilization of NOL carryforwards and credits may be subject to a substantial annual limitation due to the ownership change limitations provided by the IRC, as amended, and similar state provisions. The annual limitation may result in the expiration of NOL and credits before utilization. The Company performed an ownership analysis and identified two previous ownership changes in 2013 and 2015, as defined under IRC Section 382 and 383, however neither resulted in a material limitation that will reduce the total amount of NOL carryforwards and credits that can be utilized.</w:t>
      </w:r>
    </w:p>
    <w:p>
      <w:pPr>
        <w:spacing w:after="0" w:line="185" w:lineRule="exact"/>
        <w:rPr>
          <w:sz w:val="20"/>
          <w:szCs w:val="20"/>
          <w:color w:val="auto"/>
        </w:rPr>
      </w:pPr>
    </w:p>
    <w:p>
      <w:pPr>
        <w:ind w:left="800" w:right="40" w:firstLine="482"/>
        <w:spacing w:after="0" w:line="232" w:lineRule="auto"/>
        <w:rPr>
          <w:sz w:val="20"/>
          <w:szCs w:val="20"/>
          <w:color w:val="auto"/>
        </w:rPr>
      </w:pPr>
      <w:r>
        <w:rPr>
          <w:rFonts w:ascii="Arial" w:cs="Arial" w:eastAsia="Arial" w:hAnsi="Arial"/>
          <w:sz w:val="16"/>
          <w:szCs w:val="16"/>
          <w:color w:val="auto"/>
        </w:rPr>
        <w:t>The Coronavirus Aid, Relief, and Economic Stimulus Act (CARES Act), was passed on March 27, 2020, and included several income tax policy changes designed to counteract the effect of the COVID-19 pandemic and its economic impact. These include making qualified investment property eligible for accelerated bonus depreciation, as a correction to the 2017 tax reform; accelerating the ability for companies to receive refunds of alternative minimum tax credit in tax years beginning in 2019; increasing the adjusted taxable income limitation for IRC Sec 163(j) interest expense limitation calculation from 30% to 50% for tax years 2019 and 2020; allowing NOL from tax years 2018, 2019, 2020 to be carried back for 5 years, as well as temporarily removing the 80% limitation on the NOL offset; and increasing charitable contribution deductions for corporations from 10% to 25% for tax year 2020. The CARES Act also includes non-income based tax provisions such as the paycheck protection program (PPP), employee retention credits, and deferral of employer payroll taxes. The Company has incorporated its PPP loan and accelerated bonus depreciation for its qualified investment properties in its 2020 tax provision.</w:t>
      </w:r>
    </w:p>
    <w:p>
      <w:pPr>
        <w:spacing w:after="0" w:line="185" w:lineRule="exact"/>
        <w:rPr>
          <w:sz w:val="20"/>
          <w:szCs w:val="20"/>
          <w:color w:val="auto"/>
        </w:rPr>
      </w:pPr>
    </w:p>
    <w:p>
      <w:pPr>
        <w:ind w:left="800" w:right="20" w:firstLine="482"/>
        <w:spacing w:after="0" w:line="235" w:lineRule="auto"/>
        <w:rPr>
          <w:sz w:val="20"/>
          <w:szCs w:val="20"/>
          <w:color w:val="auto"/>
        </w:rPr>
      </w:pPr>
      <w:r>
        <w:rPr>
          <w:rFonts w:ascii="Arial" w:cs="Arial" w:eastAsia="Arial" w:hAnsi="Arial"/>
          <w:sz w:val="16"/>
          <w:szCs w:val="16"/>
          <w:color w:val="auto"/>
        </w:rPr>
        <w:t>California Assembly Bill 85 (A.B. 85) was enacted on June 29, 2020 and includes provisions to suspend the use of NOL from tax years 2020 to 2022 for taxpayers with taxable income of $1 million or more. Additionally, A.B. 85 limits the use of business incentive tax credits for tax years 2020 to 2022 to $5M annually. In 2020, the Company has more than $1 million of California taxable income. However, the Company has sufficient research credits to offset its 2020 California tax liabilities as it was less than $5 million.</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F-55</w:t>
      </w:r>
    </w:p>
    <w:p>
      <w:pPr>
        <w:sectPr>
          <w:pgSz w:w="11900" w:h="16838" w:orient="portrait"/>
          <w:cols w:equalWidth="0" w:num="1">
            <w:col w:w="10440"/>
          </w:cols>
          <w:pgMar w:left="320" w:top="419" w:right="1139" w:bottom="1440" w:gutter="0" w:footer="0" w:header="0"/>
        </w:sectPr>
      </w:pPr>
    </w:p>
    <w:bookmarkStart w:id="264" w:name="page265"/>
    <w:bookmarkEnd w:id="2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A reconciliation of the beginning and ending balances of gross unrecognized tax benefits is as follows (in thousands):</w:t>
      </w:r>
    </w:p>
    <w:p>
      <w:pPr>
        <w:spacing w:after="0" w:line="188"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7"/>
              </w:rPr>
              <w:t>Year Ended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7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bottom w:val="single" w:sz="8" w:color="auto"/>
            </w:tcBorders>
            <w:gridSpan w:val="5"/>
          </w:tcPr>
          <w:p>
            <w:pPr>
              <w:jc w:val="center"/>
              <w:ind w:left="233"/>
              <w:spacing w:after="0"/>
              <w:rPr>
                <w:sz w:val="20"/>
                <w:szCs w:val="20"/>
                <w:color w:val="auto"/>
              </w:rPr>
            </w:pPr>
            <w:r>
              <w:rPr>
                <w:rFonts w:ascii="Arial" w:cs="Arial" w:eastAsia="Arial" w:hAnsi="Arial"/>
                <w:sz w:val="13"/>
                <w:szCs w:val="13"/>
                <w:b w:val="1"/>
                <w:bCs w:val="1"/>
                <w:color w:val="auto"/>
                <w:w w:val="96"/>
              </w:rPr>
              <w:t>December 31,</w:t>
            </w:r>
          </w:p>
        </w:tc>
        <w:tc>
          <w:tcPr>
            <w:tcW w:w="3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79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13"/>
              <w:spacing w:after="0" w:line="134"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1"/>
              <w:spacing w:after="0" w:line="134" w:lineRule="exact"/>
              <w:rPr>
                <w:sz w:val="20"/>
                <w:szCs w:val="20"/>
                <w:color w:val="auto"/>
              </w:rPr>
            </w:pPr>
            <w:r>
              <w:rPr>
                <w:rFonts w:ascii="Arial" w:cs="Arial" w:eastAsia="Arial" w:hAnsi="Arial"/>
                <w:sz w:val="13"/>
                <w:szCs w:val="13"/>
                <w:b w:val="1"/>
                <w:bCs w:val="1"/>
                <w:color w:val="auto"/>
                <w:w w:val="89"/>
              </w:rPr>
              <w:t>2019</w:t>
            </w:r>
          </w:p>
        </w:tc>
        <w:tc>
          <w:tcPr>
            <w:tcW w:w="2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2018</w:t>
            </w:r>
          </w:p>
        </w:tc>
        <w:tc>
          <w:tcPr>
            <w:tcW w:w="40" w:type="dxa"/>
            <w:vAlign w:val="bottom"/>
            <w:tcBorders>
              <w:bottom w:val="single" w:sz="8" w:color="CCEEFF"/>
            </w:tcBorders>
          </w:tcPr>
          <w:p>
            <w:pPr>
              <w:spacing w:after="0"/>
              <w:rPr>
                <w:sz w:val="11"/>
                <w:szCs w:val="11"/>
                <w:color w:val="auto"/>
              </w:rPr>
            </w:pPr>
          </w:p>
        </w:tc>
      </w:tr>
      <w:tr>
        <w:trPr>
          <w:trHeight w:val="157"/>
        </w:trPr>
        <w:tc>
          <w:tcPr>
            <w:tcW w:w="79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Balance at beginning of year</w:t>
            </w:r>
          </w:p>
        </w:tc>
        <w:tc>
          <w:tcPr>
            <w:tcW w:w="4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w w:val="97"/>
              </w:rPr>
              <w:t>$1,031</w:t>
            </w:r>
          </w:p>
        </w:tc>
        <w:tc>
          <w:tcPr>
            <w:tcW w:w="3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697</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$448</w:t>
            </w:r>
          </w:p>
        </w:tc>
        <w:tc>
          <w:tcPr>
            <w:tcW w:w="40" w:type="dxa"/>
            <w:vAlign w:val="bottom"/>
            <w:shd w:val="clear" w:color="auto" w:fill="CCEEFF"/>
          </w:tcPr>
          <w:p>
            <w:pPr>
              <w:spacing w:after="0"/>
              <w:rPr>
                <w:sz w:val="13"/>
                <w:szCs w:val="13"/>
                <w:color w:val="auto"/>
              </w:rPr>
            </w:pPr>
          </w:p>
        </w:tc>
      </w:tr>
      <w:tr>
        <w:trPr>
          <w:trHeight w:val="166"/>
        </w:trPr>
        <w:tc>
          <w:tcPr>
            <w:tcW w:w="7900" w:type="dxa"/>
            <w:vAlign w:val="bottom"/>
          </w:tcPr>
          <w:p>
            <w:pPr>
              <w:ind w:left="280"/>
              <w:spacing w:after="0"/>
              <w:rPr>
                <w:sz w:val="20"/>
                <w:szCs w:val="20"/>
                <w:color w:val="auto"/>
              </w:rPr>
            </w:pPr>
            <w:r>
              <w:rPr>
                <w:rFonts w:ascii="Arial" w:cs="Arial" w:eastAsia="Arial" w:hAnsi="Arial"/>
                <w:sz w:val="14"/>
                <w:szCs w:val="14"/>
                <w:color w:val="auto"/>
              </w:rPr>
              <w:t>Additions for tax positions of prior years</w:t>
            </w:r>
          </w:p>
        </w:tc>
        <w:tc>
          <w:tcPr>
            <w:tcW w:w="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positions related to the current year</w:t>
            </w: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40" w:type="dxa"/>
            <w:vAlign w:val="bottom"/>
            <w:shd w:val="clear" w:color="auto" w:fill="CCEEFF"/>
          </w:tcPr>
          <w:p>
            <w:pPr>
              <w:spacing w:after="0"/>
              <w:rPr>
                <w:sz w:val="14"/>
                <w:szCs w:val="14"/>
                <w:color w:val="auto"/>
              </w:rPr>
            </w:pPr>
          </w:p>
        </w:tc>
      </w:tr>
      <w:tr>
        <w:trPr>
          <w:trHeight w:val="169"/>
        </w:trPr>
        <w:tc>
          <w:tcPr>
            <w:tcW w:w="7900" w:type="dxa"/>
            <w:vAlign w:val="bottom"/>
          </w:tcPr>
          <w:p>
            <w:pPr>
              <w:spacing w:after="0"/>
              <w:rPr>
                <w:sz w:val="20"/>
                <w:szCs w:val="20"/>
                <w:color w:val="auto"/>
              </w:rPr>
            </w:pPr>
            <w:r>
              <w:rPr>
                <w:rFonts w:ascii="Arial" w:cs="Arial" w:eastAsia="Arial" w:hAnsi="Arial"/>
                <w:sz w:val="14"/>
                <w:szCs w:val="14"/>
                <w:color w:val="auto"/>
              </w:rPr>
              <w:t>Balance at end of year</w:t>
            </w:r>
          </w:p>
        </w:tc>
        <w:tc>
          <w:tcPr>
            <w:tcW w:w="44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1,820</w:t>
            </w:r>
          </w:p>
        </w:tc>
        <w:tc>
          <w:tcPr>
            <w:tcW w:w="3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4"/>
                <w:szCs w:val="14"/>
                <w:color w:val="auto"/>
              </w:rPr>
              <w:t>1,031</w:t>
            </w:r>
          </w:p>
        </w:tc>
        <w:tc>
          <w:tcPr>
            <w:tcW w:w="320" w:type="dxa"/>
            <w:vAlign w:val="bottom"/>
          </w:tcPr>
          <w:p>
            <w:pPr>
              <w:jc w:val="right"/>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697</w:t>
            </w:r>
          </w:p>
        </w:tc>
        <w:tc>
          <w:tcPr>
            <w:tcW w:w="40" w:type="dxa"/>
            <w:vAlign w:val="bottom"/>
          </w:tcPr>
          <w:p>
            <w:pPr>
              <w:spacing w:after="0"/>
              <w:rPr>
                <w:sz w:val="14"/>
                <w:szCs w:val="14"/>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If recognized, substantially all of the balance would favorably affect the Company’s effective income tax rate in future periods. As of December 31, 2020 the Company had $1.8 million in unrecognized income tax benefits and there were increases of $0.8 million to the Company’s unrecognized tax benefits during the year. The Company does not anticipate any significant increases or decreases to unrecognized tax benefit during the next twelve months. The Company’s policy is to classify interest and penalties associated with unrecognized tax benefits as income tax expense. The Company had no interest or penalty accruals associated with uncertain tax benefits in its consolidated balance sheets and consolidated statement of operations and comprehensive income (loss) for the tax year ended December 31, 2020.</w:t>
      </w:r>
    </w:p>
    <w:p>
      <w:pPr>
        <w:spacing w:after="0" w:line="181" w:lineRule="exact"/>
        <w:rPr>
          <w:sz w:val="20"/>
          <w:szCs w:val="20"/>
          <w:color w:val="auto"/>
        </w:rPr>
      </w:pPr>
    </w:p>
    <w:p>
      <w:pPr>
        <w:ind w:left="800" w:right="220" w:firstLine="482"/>
        <w:spacing w:after="0" w:line="233" w:lineRule="auto"/>
        <w:rPr>
          <w:sz w:val="20"/>
          <w:szCs w:val="20"/>
          <w:color w:val="auto"/>
        </w:rPr>
      </w:pPr>
      <w:r>
        <w:rPr>
          <w:rFonts w:ascii="Arial" w:cs="Arial" w:eastAsia="Arial" w:hAnsi="Arial"/>
          <w:sz w:val="16"/>
          <w:szCs w:val="16"/>
          <w:color w:val="auto"/>
        </w:rPr>
        <w:t>The Company files income tax returns in the U.S. federal jurisdiction and various state jurisdictions and has identified its federal, California, Pennsylvania, New York, Illinois and New Jersey tax returns as significant tax filings. The Company is not currently under examination by income tax authorities in federal or state jurisdictions. However, because the Company has net operating losses and credits carried forward in several jurisdictions, including the United States federal, California, Pennsylvania, New York and Illinois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56"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14. Related Party Transactions</w:t>
      </w:r>
    </w:p>
    <w:p>
      <w:pPr>
        <w:spacing w:after="0" w:line="106" w:lineRule="exact"/>
        <w:rPr>
          <w:sz w:val="20"/>
          <w:szCs w:val="20"/>
          <w:color w:val="auto"/>
        </w:rPr>
      </w:pPr>
    </w:p>
    <w:p>
      <w:pPr>
        <w:ind w:left="800" w:firstLine="482"/>
        <w:spacing w:after="0" w:line="238" w:lineRule="auto"/>
        <w:rPr>
          <w:sz w:val="20"/>
          <w:szCs w:val="20"/>
          <w:color w:val="auto"/>
        </w:rPr>
      </w:pPr>
      <w:r>
        <w:rPr>
          <w:rFonts w:ascii="Arial" w:cs="Arial" w:eastAsia="Arial" w:hAnsi="Arial"/>
          <w:sz w:val="16"/>
          <w:szCs w:val="16"/>
          <w:color w:val="auto"/>
        </w:rPr>
        <w:t>Since the Company’s inception, it has engaged in various transactions with its executive officers and directors, holders of more than 10% of its voting securities, and their affiliates.</w:t>
      </w:r>
    </w:p>
    <w:p>
      <w:pPr>
        <w:spacing w:after="0" w:line="179" w:lineRule="exact"/>
        <w:rPr>
          <w:sz w:val="20"/>
          <w:szCs w:val="20"/>
          <w:color w:val="auto"/>
        </w:rPr>
      </w:pPr>
    </w:p>
    <w:p>
      <w:pPr>
        <w:ind w:left="800" w:right="60" w:firstLine="482"/>
        <w:spacing w:after="0" w:line="235" w:lineRule="auto"/>
        <w:rPr>
          <w:sz w:val="20"/>
          <w:szCs w:val="20"/>
          <w:color w:val="auto"/>
        </w:rPr>
      </w:pPr>
      <w:r>
        <w:rPr>
          <w:rFonts w:ascii="Arial" w:cs="Arial" w:eastAsia="Arial" w:hAnsi="Arial"/>
          <w:sz w:val="16"/>
          <w:szCs w:val="16"/>
          <w:color w:val="auto"/>
        </w:rPr>
        <w:t>The related party investor and its affiliates also participated in securitization transactions sponsored and serviced by the Company in the years ended December 31, 2020, 2019, and, 2018 by contributing loans and purchasing securitization notes or residual certificates. As of December 31, 2020 and 2019, the balance of payable to securitization note holders and residual certificate holders due to the related party investors and its affiliates was $0 million and $41.3 million, respectively.</w:t>
      </w:r>
    </w:p>
    <w:p>
      <w:pPr>
        <w:spacing w:after="0" w:line="255"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15. Net Income (Loss) Per Share Attributable to Upstart Holdings, Inc. Common Stockholders</w:t>
      </w:r>
    </w:p>
    <w:p>
      <w:pPr>
        <w:spacing w:after="0" w:line="106" w:lineRule="exact"/>
        <w:rPr>
          <w:sz w:val="20"/>
          <w:szCs w:val="20"/>
          <w:color w:val="auto"/>
        </w:rPr>
      </w:pPr>
    </w:p>
    <w:p>
      <w:pPr>
        <w:ind w:left="800" w:right="100" w:firstLine="482"/>
        <w:spacing w:after="0" w:line="236" w:lineRule="auto"/>
        <w:rPr>
          <w:sz w:val="20"/>
          <w:szCs w:val="20"/>
          <w:color w:val="auto"/>
        </w:rPr>
      </w:pPr>
      <w:r>
        <w:rPr>
          <w:rFonts w:ascii="Arial" w:cs="Arial" w:eastAsia="Arial" w:hAnsi="Arial"/>
          <w:sz w:val="16"/>
          <w:szCs w:val="16"/>
          <w:color w:val="auto"/>
        </w:rPr>
        <w:t>Basic net income (loss) per common share attributable to Upstart Holdings, Inc.’s common stockholders is based on the weighted-average common shares outstanding during the relevant period. Diluted net income (loss) per common share attributable to Upstart Holdings, Inc.’s common</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F-56</w:t>
      </w:r>
    </w:p>
    <w:p>
      <w:pPr>
        <w:sectPr>
          <w:pgSz w:w="11900" w:h="16838" w:orient="portrait"/>
          <w:cols w:equalWidth="0" w:num="1">
            <w:col w:w="10440"/>
          </w:cols>
          <w:pgMar w:left="320" w:top="419" w:right="1139" w:bottom="1440" w:gutter="0" w:footer="0" w:header="0"/>
        </w:sectPr>
      </w:pPr>
    </w:p>
    <w:bookmarkStart w:id="265" w:name="page266"/>
    <w:bookmarkEnd w:id="2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220"/>
        <w:spacing w:after="0" w:line="238" w:lineRule="auto"/>
        <w:rPr>
          <w:sz w:val="20"/>
          <w:szCs w:val="20"/>
          <w:color w:val="auto"/>
        </w:rPr>
      </w:pPr>
      <w:r>
        <w:rPr>
          <w:rFonts w:ascii="Arial" w:cs="Arial" w:eastAsia="Arial" w:hAnsi="Arial"/>
          <w:sz w:val="16"/>
          <w:szCs w:val="16"/>
          <w:color w:val="auto"/>
        </w:rPr>
        <w:t>stockholders is based on the weighted-average common shares outstanding during the relevant period adjusted for the dilutive effect of share-based awards.</w:t>
      </w:r>
    </w:p>
    <w:p>
      <w:pPr>
        <w:spacing w:after="0" w:line="179" w:lineRule="exact"/>
        <w:rPr>
          <w:sz w:val="20"/>
          <w:szCs w:val="20"/>
          <w:color w:val="auto"/>
        </w:rPr>
      </w:pPr>
    </w:p>
    <w:p>
      <w:pPr>
        <w:jc w:val="both"/>
        <w:ind w:left="800" w:right="260" w:firstLine="482"/>
        <w:spacing w:after="0" w:line="236" w:lineRule="auto"/>
        <w:rPr>
          <w:sz w:val="20"/>
          <w:szCs w:val="20"/>
          <w:color w:val="auto"/>
        </w:rPr>
      </w:pPr>
      <w:r>
        <w:rPr>
          <w:rFonts w:ascii="Arial" w:cs="Arial" w:eastAsia="Arial" w:hAnsi="Arial"/>
          <w:sz w:val="16"/>
          <w:szCs w:val="16"/>
          <w:color w:val="auto"/>
        </w:rPr>
        <w:t>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5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4"/>
        </w:trPr>
        <w:tc>
          <w:tcPr>
            <w:tcW w:w="59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0"/>
              <w:spacing w:after="0" w:line="134"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0"/>
              <w:spacing w:after="0" w:line="134" w:lineRule="exact"/>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0"/>
              <w:spacing w:after="0" w:line="134" w:lineRule="exact"/>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1"/>
                <w:szCs w:val="11"/>
                <w:color w:val="auto"/>
              </w:rPr>
            </w:pPr>
          </w:p>
        </w:tc>
      </w:tr>
      <w:tr>
        <w:trPr>
          <w:trHeight w:val="157"/>
        </w:trPr>
        <w:tc>
          <w:tcPr>
            <w:tcW w:w="59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 xml:space="preserve">Numerator </w:t>
            </w:r>
            <w:r>
              <w:rPr>
                <w:rFonts w:ascii="Arial" w:cs="Arial" w:eastAsia="Arial" w:hAnsi="Arial"/>
                <w:sz w:val="14"/>
                <w:szCs w:val="14"/>
                <w:i w:val="1"/>
                <w:iCs w:val="1"/>
                <w:color w:val="auto"/>
              </w:rPr>
              <w:t>(in thousands):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5980" w:type="dxa"/>
            <w:vAlign w:val="bottom"/>
          </w:tcPr>
          <w:p>
            <w:pPr>
              <w:ind w:left="280"/>
              <w:spacing w:after="0"/>
              <w:rPr>
                <w:sz w:val="20"/>
                <w:szCs w:val="20"/>
                <w:color w:val="auto"/>
              </w:rPr>
            </w:pPr>
            <w:r>
              <w:rPr>
                <w:rFonts w:ascii="Arial" w:cs="Arial" w:eastAsia="Arial" w:hAnsi="Arial"/>
                <w:sz w:val="14"/>
                <w:szCs w:val="14"/>
                <w:color w:val="auto"/>
              </w:rPr>
              <w:t>Net income (loss) attributable to Upstart Holdings, Inc. common stockholders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5,983</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(466)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(12,319)</w:t>
            </w:r>
          </w:p>
        </w:tc>
      </w:tr>
      <w:tr>
        <w:trPr>
          <w:trHeight w:val="166"/>
        </w:trPr>
        <w:tc>
          <w:tcPr>
            <w:tcW w:w="5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noncumulative dividends to preferred stockholders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(5,983)</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5980" w:type="dxa"/>
            <w:vAlign w:val="bottom"/>
          </w:tcPr>
          <w:p>
            <w:pPr>
              <w:ind w:left="280"/>
              <w:spacing w:after="0"/>
              <w:rPr>
                <w:sz w:val="20"/>
                <w:szCs w:val="20"/>
                <w:color w:val="auto"/>
              </w:rPr>
            </w:pPr>
            <w:r>
              <w:rPr>
                <w:rFonts w:ascii="Arial" w:cs="Arial" w:eastAsia="Arial" w:hAnsi="Arial"/>
                <w:sz w:val="14"/>
                <w:szCs w:val="14"/>
                <w:color w:val="auto"/>
              </w:rPr>
              <w:t>Net income (loss) attributable to common stockholders, basic and 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(466)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(12,319)</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3"/>
        </w:trPr>
        <w:tc>
          <w:tcPr>
            <w:tcW w:w="598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Denominator:</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7"/>
        </w:trPr>
        <w:tc>
          <w:tcPr>
            <w:tcW w:w="5980" w:type="dxa"/>
            <w:vAlign w:val="bottom"/>
          </w:tcPr>
          <w:p>
            <w:pPr>
              <w:ind w:left="280"/>
              <w:spacing w:after="0"/>
              <w:rPr>
                <w:sz w:val="20"/>
                <w:szCs w:val="20"/>
                <w:color w:val="auto"/>
              </w:rPr>
            </w:pPr>
            <w:r>
              <w:rPr>
                <w:rFonts w:ascii="Arial" w:cs="Arial" w:eastAsia="Arial" w:hAnsi="Arial"/>
                <w:sz w:val="14"/>
                <w:szCs w:val="14"/>
                <w:color w:val="auto"/>
              </w:rPr>
              <w:t>Weighted-average common shares outstanding used to calculate net income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5980" w:type="dxa"/>
            <w:vAlign w:val="bottom"/>
          </w:tcPr>
          <w:p>
            <w:pPr>
              <w:ind w:left="420"/>
              <w:spacing w:after="0"/>
              <w:rPr>
                <w:sz w:val="20"/>
                <w:szCs w:val="20"/>
                <w:color w:val="auto"/>
              </w:rPr>
            </w:pPr>
            <w:r>
              <w:rPr>
                <w:rFonts w:ascii="Arial" w:cs="Arial" w:eastAsia="Arial" w:hAnsi="Arial"/>
                <w:sz w:val="14"/>
                <w:szCs w:val="14"/>
                <w:color w:val="auto"/>
              </w:rPr>
              <w:t>(loss) per share attributable to Upstart Holdings, Inc. common stockholders,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5980" w:type="dxa"/>
            <w:vAlign w:val="bottom"/>
          </w:tcPr>
          <w:p>
            <w:pPr>
              <w:ind w:left="420"/>
              <w:spacing w:after="0"/>
              <w:rPr>
                <w:sz w:val="20"/>
                <w:szCs w:val="20"/>
                <w:color w:val="auto"/>
              </w:rPr>
            </w:pPr>
            <w:r>
              <w:rPr>
                <w:rFonts w:ascii="Arial" w:cs="Arial" w:eastAsia="Arial" w:hAnsi="Arial"/>
                <w:sz w:val="14"/>
                <w:szCs w:val="14"/>
                <w:color w:val="auto"/>
              </w:rPr>
              <w:t>basic and diluted</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17,513,670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14,335,611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14,128,183</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5"/>
        </w:trPr>
        <w:tc>
          <w:tcPr>
            <w:tcW w:w="598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Net income (loss) per share attributable to Upstart Holdings, Inc. common</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59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(0.87)</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left="800" w:right="40" w:firstLine="482"/>
        <w:spacing w:after="0" w:line="269" w:lineRule="auto"/>
        <w:rPr>
          <w:sz w:val="20"/>
          <w:szCs w:val="20"/>
          <w:color w:val="auto"/>
        </w:rPr>
      </w:pPr>
      <w:r>
        <w:rPr>
          <w:rFonts w:ascii="Arial" w:cs="Arial" w:eastAsia="Arial" w:hAnsi="Arial"/>
          <w:sz w:val="15"/>
          <w:szCs w:val="15"/>
          <w:color w:val="auto"/>
        </w:rPr>
        <w:t>The following securities were excluded from the computation of diluted net income (loss) per share attributable to Upstart Holdings, Inc. common stockholders for the periods presented, because including them would have been anti-dilutive (on an as-converted basis):</w:t>
      </w:r>
    </w:p>
    <w:p>
      <w:pPr>
        <w:spacing w:after="0" w:line="170"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6560" w:type="dxa"/>
            <w:vAlign w:val="bottom"/>
          </w:tcPr>
          <w:p>
            <w:pPr>
              <w:spacing w:after="0"/>
              <w:rPr>
                <w:sz w:val="13"/>
                <w:szCs w:val="13"/>
                <w:color w:val="auto"/>
              </w:rPr>
            </w:pPr>
          </w:p>
        </w:tc>
        <w:tc>
          <w:tcPr>
            <w:tcW w:w="2300" w:type="dxa"/>
            <w:vAlign w:val="bottom"/>
            <w:tcBorders>
              <w:bottom w:val="single" w:sz="8" w:color="auto"/>
            </w:tcBorders>
            <w:gridSpan w:val="5"/>
          </w:tcPr>
          <w:p>
            <w:pPr>
              <w:ind w:left="740"/>
              <w:spacing w:after="0"/>
              <w:rPr>
                <w:sz w:val="20"/>
                <w:szCs w:val="20"/>
                <w:color w:val="auto"/>
              </w:rPr>
            </w:pPr>
            <w:r>
              <w:rPr>
                <w:rFonts w:ascii="Arial" w:cs="Arial" w:eastAsia="Arial" w:hAnsi="Arial"/>
                <w:sz w:val="13"/>
                <w:szCs w:val="13"/>
                <w:b w:val="1"/>
                <w:bCs w:val="1"/>
                <w:color w:val="auto"/>
                <w:w w:val="96"/>
              </w:rPr>
              <w:t>Year Ended December 31,</w:t>
            </w: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6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231"/>
              <w:spacing w:after="0" w:line="134"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53"/>
              <w:spacing w:after="0" w:line="13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0"/>
              <w:spacing w:after="0" w:line="134" w:lineRule="exact"/>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CCEEFF"/>
            </w:tcBorders>
          </w:tcPr>
          <w:p>
            <w:pPr>
              <w:spacing w:after="0"/>
              <w:rPr>
                <w:sz w:val="11"/>
                <w:szCs w:val="11"/>
                <w:color w:val="auto"/>
              </w:rPr>
            </w:pPr>
          </w:p>
        </w:tc>
      </w:tr>
      <w:tr>
        <w:trPr>
          <w:trHeight w:val="157"/>
        </w:trPr>
        <w:tc>
          <w:tcPr>
            <w:tcW w:w="656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Convertible preferred stock</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47,349,577</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46,882,877</w:t>
            </w:r>
          </w:p>
        </w:tc>
        <w:tc>
          <w:tcPr>
            <w:tcW w:w="40" w:type="dxa"/>
            <w:vAlign w:val="bottom"/>
            <w:shd w:val="clear" w:color="auto" w:fill="CCEEFF"/>
          </w:tcPr>
          <w:p>
            <w:pPr>
              <w:spacing w:after="0"/>
              <w:rPr>
                <w:sz w:val="13"/>
                <w:szCs w:val="13"/>
                <w:color w:val="auto"/>
              </w:rPr>
            </w:pPr>
          </w:p>
        </w:tc>
      </w:tr>
      <w:tr>
        <w:trPr>
          <w:trHeight w:val="166"/>
        </w:trPr>
        <w:tc>
          <w:tcPr>
            <w:tcW w:w="6560" w:type="dxa"/>
            <w:vAlign w:val="bottom"/>
          </w:tcPr>
          <w:p>
            <w:pPr>
              <w:spacing w:after="0"/>
              <w:rPr>
                <w:sz w:val="20"/>
                <w:szCs w:val="20"/>
                <w:color w:val="auto"/>
              </w:rPr>
            </w:pPr>
            <w:r>
              <w:rPr>
                <w:rFonts w:ascii="Arial" w:cs="Arial" w:eastAsia="Arial" w:hAnsi="Arial"/>
                <w:sz w:val="14"/>
                <w:szCs w:val="14"/>
                <w:color w:val="auto"/>
              </w:rPr>
              <w:t>Options to purchase common stock</w:t>
            </w:r>
          </w:p>
        </w:tc>
        <w:tc>
          <w:tcPr>
            <w:tcW w:w="880" w:type="dxa"/>
            <w:vAlign w:val="bottom"/>
          </w:tcPr>
          <w:p>
            <w:pPr>
              <w:jc w:val="right"/>
              <w:spacing w:after="0"/>
              <w:rPr>
                <w:sz w:val="20"/>
                <w:szCs w:val="20"/>
                <w:color w:val="auto"/>
              </w:rPr>
            </w:pPr>
            <w:r>
              <w:rPr>
                <w:rFonts w:ascii="Arial" w:cs="Arial" w:eastAsia="Arial" w:hAnsi="Arial"/>
                <w:sz w:val="14"/>
                <w:szCs w:val="14"/>
                <w:color w:val="auto"/>
              </w:rPr>
              <w:t>19,600,223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16,502,206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12,293,165</w:t>
            </w: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Warrants to purchase convertible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600,208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1,500,519</w:t>
            </w:r>
          </w:p>
        </w:tc>
        <w:tc>
          <w:tcPr>
            <w:tcW w:w="40" w:type="dxa"/>
            <w:vAlign w:val="bottom"/>
            <w:shd w:val="clear" w:color="auto" w:fill="CCEEFF"/>
          </w:tcPr>
          <w:p>
            <w:pPr>
              <w:spacing w:after="0"/>
              <w:rPr>
                <w:sz w:val="14"/>
                <w:szCs w:val="14"/>
                <w:color w:val="auto"/>
              </w:rPr>
            </w:pPr>
          </w:p>
        </w:tc>
      </w:tr>
      <w:tr>
        <w:trPr>
          <w:trHeight w:val="169"/>
        </w:trPr>
        <w:tc>
          <w:tcPr>
            <w:tcW w:w="6560" w:type="dxa"/>
            <w:vAlign w:val="bottom"/>
          </w:tcPr>
          <w:p>
            <w:pPr>
              <w:spacing w:after="0"/>
              <w:rPr>
                <w:sz w:val="20"/>
                <w:szCs w:val="20"/>
                <w:color w:val="auto"/>
              </w:rPr>
            </w:pPr>
            <w:r>
              <w:rPr>
                <w:rFonts w:ascii="Arial" w:cs="Arial" w:eastAsia="Arial" w:hAnsi="Arial"/>
                <w:sz w:val="14"/>
                <w:szCs w:val="14"/>
                <w:color w:val="auto"/>
              </w:rPr>
              <w:t>Warrants to purchase common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319,669</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1,617,553</w:t>
            </w:r>
          </w:p>
        </w:tc>
        <w:tc>
          <w:tcPr>
            <w:tcW w:w="40" w:type="dxa"/>
            <w:vAlign w:val="bottom"/>
          </w:tcPr>
          <w:p>
            <w:pPr>
              <w:spacing w:after="0"/>
              <w:rPr>
                <w:sz w:val="14"/>
                <w:szCs w:val="14"/>
                <w:color w:val="auto"/>
              </w:rPr>
            </w:pPr>
          </w:p>
        </w:tc>
      </w:tr>
      <w:tr>
        <w:trPr>
          <w:trHeight w:val="166"/>
        </w:trPr>
        <w:tc>
          <w:tcPr>
            <w:tcW w:w="65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19,675,223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64,771,660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62,294,114</w:t>
            </w:r>
          </w:p>
        </w:tc>
        <w:tc>
          <w:tcPr>
            <w:tcW w:w="40" w:type="dxa"/>
            <w:vAlign w:val="bottom"/>
            <w:shd w:val="clear" w:color="auto" w:fill="CCEEFF"/>
          </w:tcPr>
          <w:p>
            <w:pPr>
              <w:spacing w:after="0"/>
              <w:rPr>
                <w:sz w:val="14"/>
                <w:szCs w:val="14"/>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7"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16. Subsequent Events</w:t>
      </w:r>
    </w:p>
    <w:p>
      <w:pPr>
        <w:spacing w:after="0" w:line="106" w:lineRule="exact"/>
        <w:rPr>
          <w:sz w:val="20"/>
          <w:szCs w:val="20"/>
          <w:color w:val="auto"/>
        </w:rPr>
      </w:pPr>
    </w:p>
    <w:p>
      <w:pPr>
        <w:jc w:val="both"/>
        <w:ind w:left="800" w:right="80" w:firstLine="482"/>
        <w:spacing w:after="0" w:line="236" w:lineRule="auto"/>
        <w:rPr>
          <w:sz w:val="20"/>
          <w:szCs w:val="20"/>
          <w:color w:val="auto"/>
        </w:rPr>
      </w:pPr>
      <w:r>
        <w:rPr>
          <w:rFonts w:ascii="Arial" w:cs="Arial" w:eastAsia="Arial" w:hAnsi="Arial"/>
          <w:sz w:val="16"/>
          <w:szCs w:val="16"/>
          <w:color w:val="auto"/>
        </w:rPr>
        <w:t>The Company has evaluated the impact of events that have occurred subsequent to December 31, 2020, through March 18, 2021, the date which the consolidated financial statements were available to be issued. Based on the evaluation, the Company has determined no subsequent events were required to be recognized or disclosed except the matter below.</w:t>
      </w:r>
    </w:p>
    <w:p>
      <w:pPr>
        <w:spacing w:after="0" w:line="179" w:lineRule="exact"/>
        <w:rPr>
          <w:sz w:val="20"/>
          <w:szCs w:val="20"/>
          <w:color w:val="auto"/>
        </w:rPr>
      </w:pPr>
    </w:p>
    <w:p>
      <w:pPr>
        <w:ind w:left="800" w:right="80" w:firstLine="482"/>
        <w:spacing w:after="0" w:line="235" w:lineRule="auto"/>
        <w:rPr>
          <w:sz w:val="20"/>
          <w:szCs w:val="20"/>
          <w:color w:val="auto"/>
        </w:rPr>
      </w:pPr>
      <w:r>
        <w:rPr>
          <w:rFonts w:ascii="Arial" w:cs="Arial" w:eastAsia="Arial" w:hAnsi="Arial"/>
          <w:sz w:val="16"/>
          <w:szCs w:val="16"/>
          <w:color w:val="auto"/>
        </w:rPr>
        <w:t>In January 2021, the Company repurchased $11.2 million of loans previously sold to an institutional investor for inclusion into a structured pass-through certificate program. Upstart determined in January 2021 to repurchase these loans to adhere to the hypothetical pool characteristics outlined in the preliminary offering memorandum. The Company did not recognize any gain or loss on the repurchase and classified the repurchased loans as held-for-sale.</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F-57</w:t>
      </w:r>
    </w:p>
    <w:p>
      <w:pPr>
        <w:sectPr>
          <w:pgSz w:w="11900" w:h="16838" w:orient="portrait"/>
          <w:cols w:equalWidth="0" w:num="1">
            <w:col w:w="10440"/>
          </w:cols>
          <w:pgMar w:left="320" w:top="419" w:right="1139" w:bottom="1440" w:gutter="0" w:footer="0" w:header="0"/>
        </w:sectPr>
      </w:pPr>
    </w:p>
    <w:bookmarkStart w:id="266" w:name="page267"/>
    <w:bookmarkEnd w:id="2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Upstart Holdings, Inc.</w:t>
      </w:r>
    </w:p>
    <w:p>
      <w:pPr>
        <w:spacing w:after="0" w:line="18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26" w:lineRule="exact"/>
        <w:rPr>
          <w:sz w:val="20"/>
          <w:szCs w:val="20"/>
          <w:color w:val="auto"/>
        </w:rPr>
      </w:pPr>
    </w:p>
    <w:p>
      <w:pPr>
        <w:ind w:left="800" w:right="100" w:firstLine="482"/>
        <w:spacing w:after="0" w:line="235" w:lineRule="auto"/>
        <w:rPr>
          <w:sz w:val="20"/>
          <w:szCs w:val="20"/>
          <w:color w:val="auto"/>
        </w:rPr>
      </w:pPr>
      <w:r>
        <w:rPr>
          <w:rFonts w:ascii="Arial" w:cs="Arial" w:eastAsia="Arial" w:hAnsi="Arial"/>
          <w:sz w:val="16"/>
          <w:szCs w:val="16"/>
          <w:color w:val="auto"/>
        </w:rPr>
        <w:t>On March 15, 2021, the Company entered into a definitive agreement to acquire Prodigy Software, Inc., a provider of cloud-based automotive retail software. The aggregate consideration to be paid by us is estimated to be $100 million, subject to customary purchase price adjustments, payable in a combination of cash and shares of our common stock. The transaction is subject to customary closing conditions, and is expected to close in the second quarter of 2021.</w:t>
      </w:r>
    </w:p>
    <w:p>
      <w:pPr>
        <w:spacing w:after="0" w:line="178" w:lineRule="exact"/>
        <w:rPr>
          <w:sz w:val="20"/>
          <w:szCs w:val="20"/>
          <w:color w:val="auto"/>
        </w:rPr>
      </w:pPr>
    </w:p>
    <w:p>
      <w:pPr>
        <w:ind w:left="800" w:firstLine="482"/>
        <w:spacing w:after="0" w:line="235" w:lineRule="auto"/>
        <w:rPr>
          <w:sz w:val="20"/>
          <w:szCs w:val="20"/>
          <w:color w:val="auto"/>
        </w:rPr>
      </w:pPr>
      <w:r>
        <w:rPr>
          <w:rFonts w:ascii="Arial" w:cs="Arial" w:eastAsia="Arial" w:hAnsi="Arial"/>
          <w:sz w:val="16"/>
          <w:szCs w:val="16"/>
          <w:color w:val="auto"/>
        </w:rPr>
        <w:t>In March 2021, the Company’s Board of Directors approved the Company’s intent to voluntarily repay proceeds received under the Paycheck Protection Program in the second quarter of 2021. There has been no change in the Company’s assessment that forgiveness of the loan under the CARES Act is reasonably assured. Upon repayment, the Company’s other income will be reduced by the repayment amount of approximately $5.3 million.</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F-58</w:t>
      </w:r>
    </w:p>
    <w:p>
      <w:pPr>
        <w:sectPr>
          <w:pgSz w:w="11900" w:h="16838" w:orient="portrait"/>
          <w:cols w:equalWidth="0" w:num="1">
            <w:col w:w="10420"/>
          </w:cols>
          <w:pgMar w:left="320" w:top="419" w:right="1159" w:bottom="1440" w:gutter="0" w:footer="0" w:header="0"/>
        </w:sectPr>
      </w:pPr>
    </w:p>
    <w:bookmarkStart w:id="267" w:name="page268"/>
    <w:bookmarkEnd w:id="26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200660</wp:posOffset>
            </wp:positionV>
            <wp:extent cx="5407025" cy="7149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07025" cy="7149465"/>
                    </a:xfrm>
                    <a:prstGeom prst="rect">
                      <a:avLst/>
                    </a:prstGeom>
                    <a:noFill/>
                  </pic:spPr>
                </pic:pic>
              </a:graphicData>
            </a:graphic>
          </wp:anchor>
        </w:drawing>
      </w:r>
    </w:p>
    <w:p>
      <w:pPr>
        <w:sectPr>
          <w:pgSz w:w="11900" w:h="16838" w:orient="portrait"/>
          <w:cols w:equalWidth="0" w:num="1">
            <w:col w:w="10139"/>
          </w:cols>
          <w:pgMar w:left="320" w:top="419" w:right="1440" w:bottom="1440" w:gutter="0" w:footer="0" w:header="0"/>
        </w:sectPr>
      </w:pPr>
    </w:p>
    <w:bookmarkStart w:id="268" w:name="page269"/>
    <w:bookmarkEnd w:id="26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867410</wp:posOffset>
            </wp:positionH>
            <wp:positionV relativeFrom="paragraph">
              <wp:posOffset>200660</wp:posOffset>
            </wp:positionV>
            <wp:extent cx="5407025" cy="70440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07025" cy="7044055"/>
                    </a:xfrm>
                    <a:prstGeom prst="rect">
                      <a:avLst/>
                    </a:prstGeom>
                    <a:noFill/>
                  </pic:spPr>
                </pic:pic>
              </a:graphicData>
            </a:graphic>
          </wp:anchor>
        </w:drawing>
      </w:r>
    </w:p>
    <w:p>
      <w:pPr>
        <w:sectPr>
          <w:pgSz w:w="11900" w:h="16838" w:orient="portrait"/>
          <w:cols w:equalWidth="0" w:num="1">
            <w:col w:w="10139"/>
          </w:cols>
          <w:pgMar w:left="320" w:top="419" w:right="1440"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PART II</w:t>
      </w:r>
    </w:p>
    <w:p>
      <w:pPr>
        <w:spacing w:after="0" w:line="18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08" w:lineRule="exact"/>
        <w:rPr>
          <w:sz w:val="20"/>
          <w:szCs w:val="20"/>
          <w:color w:val="auto"/>
        </w:rPr>
      </w:pPr>
    </w:p>
    <w:p>
      <w:pPr>
        <w:ind w:left="800" w:right="160" w:firstLine="482"/>
        <w:spacing w:after="0" w:line="238" w:lineRule="auto"/>
        <w:rPr>
          <w:sz w:val="20"/>
          <w:szCs w:val="20"/>
          <w:color w:val="auto"/>
        </w:rPr>
      </w:pPr>
      <w:r>
        <w:rPr>
          <w:rFonts w:ascii="Arial" w:cs="Arial" w:eastAsia="Arial" w:hAnsi="Arial"/>
          <w:sz w:val="16"/>
          <w:szCs w:val="16"/>
          <w:color w:val="auto"/>
        </w:rPr>
        <w:t>The following table sets forth all expenses to be paid by us, other than underwriting discounts and commissions, upon completion of this offering. All amounts shown are estimates except for the SEC registration fee and the FINRA filing fee.</w:t>
      </w:r>
    </w:p>
    <w:p>
      <w:pPr>
        <w:spacing w:after="0" w:line="184"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Amount</w:t>
            </w:r>
          </w:p>
        </w:tc>
      </w:tr>
      <w:tr>
        <w:trPr>
          <w:trHeight w:val="142"/>
        </w:trPr>
        <w:tc>
          <w:tcPr>
            <w:tcW w:w="5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6"/>
              </w:rPr>
              <w:t>to be</w:t>
            </w:r>
          </w:p>
        </w:tc>
      </w:tr>
      <w:tr>
        <w:trPr>
          <w:trHeight w:val="154"/>
        </w:trPr>
        <w:tc>
          <w:tcPr>
            <w:tcW w:w="5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Paid</w:t>
            </w:r>
          </w:p>
        </w:tc>
      </w:tr>
      <w:tr>
        <w:trPr>
          <w:trHeight w:val="169"/>
        </w:trPr>
        <w:tc>
          <w:tcPr>
            <w:tcW w:w="55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SEC registration fee</w:t>
            </w:r>
          </w:p>
        </w:tc>
        <w:tc>
          <w:tcPr>
            <w:tcW w:w="32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36,671</w:t>
            </w:r>
          </w:p>
        </w:tc>
        <w:tc>
          <w:tcPr>
            <w:tcW w:w="40" w:type="dxa"/>
            <w:vAlign w:val="bottom"/>
            <w:tcBorders>
              <w:top w:val="single" w:sz="8" w:color="CCEEFF"/>
            </w:tcBorders>
            <w:shd w:val="clear" w:color="auto" w:fill="CCEEFF"/>
          </w:tcPr>
          <w:p>
            <w:pPr>
              <w:spacing w:after="0"/>
              <w:rPr>
                <w:sz w:val="14"/>
                <w:szCs w:val="14"/>
                <w:color w:val="auto"/>
              </w:rPr>
            </w:pPr>
          </w:p>
        </w:tc>
      </w:tr>
      <w:tr>
        <w:trPr>
          <w:trHeight w:val="177"/>
        </w:trPr>
        <w:tc>
          <w:tcPr>
            <w:tcW w:w="5580" w:type="dxa"/>
            <w:vAlign w:val="bottom"/>
          </w:tcPr>
          <w:p>
            <w:pPr>
              <w:spacing w:after="0" w:line="178" w:lineRule="exact"/>
              <w:rPr>
                <w:sz w:val="20"/>
                <w:szCs w:val="20"/>
                <w:color w:val="auto"/>
              </w:rPr>
            </w:pPr>
            <w:r>
              <w:rPr>
                <w:rFonts w:ascii="Arial" w:cs="Arial" w:eastAsia="Arial" w:hAnsi="Arial"/>
                <w:sz w:val="16"/>
                <w:szCs w:val="16"/>
                <w:color w:val="auto"/>
              </w:rPr>
              <w:t>FINRA filing fee</w:t>
            </w: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50,919</w:t>
            </w:r>
          </w:p>
        </w:tc>
      </w:tr>
      <w:tr>
        <w:trPr>
          <w:trHeight w:val="177"/>
        </w:trPr>
        <w:tc>
          <w:tcPr>
            <w:tcW w:w="55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Legal fees and expenses</w:t>
            </w:r>
          </w:p>
        </w:tc>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535,000</w:t>
            </w:r>
          </w:p>
        </w:tc>
      </w:tr>
      <w:tr>
        <w:trPr>
          <w:trHeight w:val="177"/>
        </w:trPr>
        <w:tc>
          <w:tcPr>
            <w:tcW w:w="5580" w:type="dxa"/>
            <w:vAlign w:val="bottom"/>
          </w:tcPr>
          <w:p>
            <w:pPr>
              <w:spacing w:after="0" w:line="178" w:lineRule="exact"/>
              <w:rPr>
                <w:sz w:val="20"/>
                <w:szCs w:val="20"/>
                <w:color w:val="auto"/>
              </w:rPr>
            </w:pPr>
            <w:r>
              <w:rPr>
                <w:rFonts w:ascii="Arial" w:cs="Arial" w:eastAsia="Arial" w:hAnsi="Arial"/>
                <w:sz w:val="16"/>
                <w:szCs w:val="16"/>
                <w:color w:val="auto"/>
              </w:rPr>
              <w:t>Accounting fees and expenses</w:t>
            </w: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160,000</w:t>
            </w:r>
          </w:p>
        </w:tc>
      </w:tr>
      <w:tr>
        <w:trPr>
          <w:trHeight w:val="177"/>
        </w:trPr>
        <w:tc>
          <w:tcPr>
            <w:tcW w:w="55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Transfer agent and registrar fees</w:t>
            </w:r>
          </w:p>
        </w:tc>
        <w:tc>
          <w:tcPr>
            <w:tcW w:w="3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5,000</w:t>
            </w:r>
          </w:p>
        </w:tc>
      </w:tr>
      <w:tr>
        <w:trPr>
          <w:trHeight w:val="181"/>
        </w:trPr>
        <w:tc>
          <w:tcPr>
            <w:tcW w:w="5580" w:type="dxa"/>
            <w:vAlign w:val="bottom"/>
          </w:tcPr>
          <w:p>
            <w:pPr>
              <w:spacing w:after="0" w:line="178" w:lineRule="exact"/>
              <w:rPr>
                <w:sz w:val="20"/>
                <w:szCs w:val="20"/>
                <w:color w:val="auto"/>
              </w:rPr>
            </w:pPr>
            <w:r>
              <w:rPr>
                <w:rFonts w:ascii="Arial" w:cs="Arial" w:eastAsia="Arial" w:hAnsi="Arial"/>
                <w:sz w:val="16"/>
                <w:szCs w:val="16"/>
                <w:color w:val="auto"/>
              </w:rPr>
              <w:t>Miscellaneous expenses</w:t>
            </w:r>
          </w:p>
        </w:tc>
        <w:tc>
          <w:tcPr>
            <w:tcW w:w="3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5,000</w:t>
            </w:r>
          </w:p>
        </w:tc>
        <w:tc>
          <w:tcPr>
            <w:tcW w:w="40" w:type="dxa"/>
            <w:vAlign w:val="bottom"/>
          </w:tcPr>
          <w:p>
            <w:pPr>
              <w:spacing w:after="0"/>
              <w:rPr>
                <w:sz w:val="15"/>
                <w:szCs w:val="15"/>
                <w:color w:val="auto"/>
              </w:rPr>
            </w:pPr>
          </w:p>
        </w:tc>
      </w:tr>
      <w:tr>
        <w:trPr>
          <w:trHeight w:val="177"/>
        </w:trPr>
        <w:tc>
          <w:tcPr>
            <w:tcW w:w="5580" w:type="dxa"/>
            <w:vAlign w:val="bottom"/>
            <w:shd w:val="clear" w:color="auto" w:fill="CCEEFF"/>
          </w:tcPr>
          <w:p>
            <w:pPr>
              <w:ind w:left="320"/>
              <w:spacing w:after="0" w:line="178" w:lineRule="exact"/>
              <w:rPr>
                <w:sz w:val="20"/>
                <w:szCs w:val="20"/>
                <w:color w:val="auto"/>
              </w:rPr>
            </w:pPr>
            <w:r>
              <w:rPr>
                <w:rFonts w:ascii="Arial" w:cs="Arial" w:eastAsia="Arial" w:hAnsi="Arial"/>
                <w:sz w:val="16"/>
                <w:szCs w:val="16"/>
                <w:color w:val="auto"/>
              </w:rPr>
              <w:t>Total</w:t>
            </w:r>
          </w:p>
        </w:tc>
        <w:tc>
          <w:tcPr>
            <w:tcW w:w="3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792,590</w:t>
            </w:r>
          </w:p>
        </w:tc>
      </w:tr>
      <w:tr>
        <w:trPr>
          <w:trHeight w:val="20"/>
        </w:trPr>
        <w:tc>
          <w:tcPr>
            <w:tcW w:w="5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08" w:lineRule="exact"/>
        <w:rPr>
          <w:sz w:val="20"/>
          <w:szCs w:val="20"/>
          <w:color w:val="auto"/>
        </w:rPr>
      </w:pPr>
    </w:p>
    <w:p>
      <w:pPr>
        <w:jc w:val="both"/>
        <w:ind w:left="800" w:right="40" w:firstLine="482"/>
        <w:spacing w:after="0" w:line="238" w:lineRule="auto"/>
        <w:rPr>
          <w:sz w:val="20"/>
          <w:szCs w:val="20"/>
          <w:color w:val="auto"/>
        </w:rPr>
      </w:pPr>
      <w:r>
        <w:rPr>
          <w:rFonts w:ascii="Arial" w:cs="Arial" w:eastAsia="Arial" w:hAnsi="Arial"/>
          <w:sz w:val="16"/>
          <w:szCs w:val="16"/>
          <w:color w:val="auto"/>
        </w:rPr>
        <w:t>Section 145 of the Delaware General Corporation Law authorizes a corporation’s board of directors to grant, and authorizes a court to award, indemnity to officers, directors, and other corporate agents.</w:t>
      </w:r>
    </w:p>
    <w:p>
      <w:pPr>
        <w:spacing w:after="0" w:line="179" w:lineRule="exact"/>
        <w:rPr>
          <w:sz w:val="20"/>
          <w:szCs w:val="20"/>
          <w:color w:val="auto"/>
        </w:rPr>
      </w:pPr>
    </w:p>
    <w:p>
      <w:pPr>
        <w:ind w:left="800" w:right="40" w:firstLine="482"/>
        <w:spacing w:after="0" w:line="236" w:lineRule="auto"/>
        <w:rPr>
          <w:sz w:val="20"/>
          <w:szCs w:val="20"/>
          <w:color w:val="auto"/>
        </w:rPr>
      </w:pPr>
      <w:r>
        <w:rPr>
          <w:rFonts w:ascii="Arial" w:cs="Arial" w:eastAsia="Arial" w:hAnsi="Arial"/>
          <w:sz w:val="16"/>
          <w:szCs w:val="16"/>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6" w:lineRule="exact"/>
        <w:rPr>
          <w:sz w:val="20"/>
          <w:szCs w:val="20"/>
          <w:color w:val="auto"/>
        </w:rPr>
      </w:pPr>
    </w:p>
    <w:p>
      <w:pPr>
        <w:ind w:left="1460" w:hanging="188"/>
        <w:spacing w:after="0"/>
        <w:tabs>
          <w:tab w:leader="none" w:pos="1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breach of their duty of loyalty to our company or our stockholders;</w:t>
      </w:r>
    </w:p>
    <w:p>
      <w:pPr>
        <w:spacing w:after="0" w:line="99" w:lineRule="exact"/>
        <w:rPr>
          <w:rFonts w:ascii="Arial" w:cs="Arial" w:eastAsia="Arial" w:hAnsi="Arial"/>
          <w:sz w:val="16"/>
          <w:szCs w:val="16"/>
          <w:color w:val="auto"/>
        </w:rPr>
      </w:pPr>
    </w:p>
    <w:p>
      <w:pPr>
        <w:ind w:left="1460" w:hanging="188"/>
        <w:spacing w:after="0"/>
        <w:tabs>
          <w:tab w:leader="none" w:pos="1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act or omission not in good faith or that involves intentional misconduct or a knowing violation of law;</w:t>
      </w:r>
    </w:p>
    <w:p>
      <w:pPr>
        <w:spacing w:after="0" w:line="99" w:lineRule="exact"/>
        <w:rPr>
          <w:rFonts w:ascii="Arial" w:cs="Arial" w:eastAsia="Arial" w:hAnsi="Arial"/>
          <w:sz w:val="16"/>
          <w:szCs w:val="16"/>
          <w:color w:val="auto"/>
        </w:rPr>
      </w:pPr>
    </w:p>
    <w:p>
      <w:pPr>
        <w:ind w:left="1460" w:right="520" w:hanging="188"/>
        <w:spacing w:after="0" w:line="238" w:lineRule="auto"/>
        <w:tabs>
          <w:tab w:leader="none" w:pos="1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unlawful payments of dividends or unlawful stock repurchases or redemptions as provided in Section 174 of the Delaware General Corporation Law; or</w:t>
      </w:r>
    </w:p>
    <w:p>
      <w:pPr>
        <w:spacing w:after="0" w:line="96" w:lineRule="exact"/>
        <w:rPr>
          <w:rFonts w:ascii="Arial" w:cs="Arial" w:eastAsia="Arial" w:hAnsi="Arial"/>
          <w:sz w:val="16"/>
          <w:szCs w:val="16"/>
          <w:color w:val="auto"/>
        </w:rPr>
      </w:pPr>
    </w:p>
    <w:p>
      <w:pPr>
        <w:ind w:left="1460" w:hanging="188"/>
        <w:spacing w:after="0"/>
        <w:tabs>
          <w:tab w:leader="none" w:pos="1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transaction from which they derived an improper personal benefit.</w:t>
      </w:r>
    </w:p>
    <w:p>
      <w:pPr>
        <w:spacing w:after="0" w:line="183"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8" w:lineRule="exact"/>
        <w:rPr>
          <w:sz w:val="20"/>
          <w:szCs w:val="20"/>
          <w:color w:val="auto"/>
        </w:rPr>
      </w:pPr>
    </w:p>
    <w:p>
      <w:pPr>
        <w:ind w:left="800" w:right="140" w:firstLine="482"/>
        <w:spacing w:after="0" w:line="238" w:lineRule="auto"/>
        <w:rPr>
          <w:sz w:val="20"/>
          <w:szCs w:val="20"/>
          <w:color w:val="auto"/>
        </w:rPr>
      </w:pPr>
      <w:r>
        <w:rPr>
          <w:rFonts w:ascii="Arial" w:cs="Arial" w:eastAsia="Arial" w:hAnsi="Arial"/>
          <w:sz w:val="16"/>
          <w:szCs w:val="16"/>
          <w:color w:val="auto"/>
        </w:rPr>
        <w:t>In addition our amended and restated bylaws provide that we will indemnify, to the fullest extent permitted by law, any person who is or was a party or is threatened to be made a party to any action,</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0440"/>
          </w:cols>
          <w:pgMar w:left="320" w:top="419" w:right="1139" w:bottom="1440" w:gutter="0" w:footer="0" w:header="0"/>
        </w:sectPr>
      </w:pPr>
    </w:p>
    <w:bookmarkStart w:id="270" w:name="page271"/>
    <w:bookmarkEnd w:id="2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81" w:lineRule="exact"/>
        <w:rPr>
          <w:sz w:val="20"/>
          <w:szCs w:val="20"/>
          <w:color w:val="auto"/>
        </w:rPr>
      </w:pPr>
    </w:p>
    <w:p>
      <w:pPr>
        <w:ind w:left="800" w:right="60"/>
        <w:spacing w:after="0" w:line="233" w:lineRule="auto"/>
        <w:rPr>
          <w:sz w:val="20"/>
          <w:szCs w:val="20"/>
          <w:color w:val="auto"/>
        </w:rPr>
      </w:pPr>
      <w:r>
        <w:rPr>
          <w:rFonts w:ascii="Arial" w:cs="Arial" w:eastAsia="Arial" w:hAnsi="Arial"/>
          <w:sz w:val="16"/>
          <w:szCs w:val="16"/>
          <w:color w:val="auto"/>
        </w:rPr>
        <w:t>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181" w:lineRule="exact"/>
        <w:rPr>
          <w:sz w:val="20"/>
          <w:szCs w:val="20"/>
          <w:color w:val="auto"/>
        </w:rPr>
      </w:pPr>
    </w:p>
    <w:p>
      <w:pPr>
        <w:ind w:left="800" w:right="60" w:firstLine="482"/>
        <w:spacing w:after="0" w:line="233"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2"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5" w:lineRule="exact"/>
        <w:rPr>
          <w:sz w:val="20"/>
          <w:szCs w:val="20"/>
          <w:color w:val="auto"/>
        </w:rPr>
      </w:pPr>
    </w:p>
    <w:p>
      <w:pPr>
        <w:ind w:left="800" w:right="200" w:firstLine="482"/>
        <w:spacing w:after="0" w:line="235" w:lineRule="auto"/>
        <w:rPr>
          <w:sz w:val="20"/>
          <w:szCs w:val="20"/>
          <w:color w:val="auto"/>
        </w:rPr>
      </w:pPr>
      <w:r>
        <w:rPr>
          <w:rFonts w:ascii="Arial" w:cs="Arial" w:eastAsia="Arial" w:hAnsi="Arial"/>
          <w:sz w:val="16"/>
          <w:szCs w:val="16"/>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8" w:lineRule="exact"/>
        <w:rPr>
          <w:sz w:val="20"/>
          <w:szCs w:val="20"/>
          <w:color w:val="auto"/>
        </w:rPr>
      </w:pPr>
    </w:p>
    <w:p>
      <w:pPr>
        <w:ind w:left="800" w:right="420" w:firstLine="482"/>
        <w:spacing w:after="0" w:line="238" w:lineRule="auto"/>
        <w:rPr>
          <w:sz w:val="20"/>
          <w:szCs w:val="20"/>
          <w:color w:val="auto"/>
        </w:rPr>
      </w:pPr>
      <w:r>
        <w:rPr>
          <w:rFonts w:ascii="Arial" w:cs="Arial" w:eastAsia="Arial" w:hAnsi="Arial"/>
          <w:sz w:val="16"/>
          <w:szCs w:val="16"/>
          <w:color w:val="auto"/>
        </w:rPr>
        <w:t>Certain of our non-employee directors may, through their relationships with their employers, be insured or indemnified against certain liabilities incurred in their capacity as members of our board of directors.</w:t>
      </w:r>
    </w:p>
    <w:p>
      <w:pPr>
        <w:spacing w:after="0" w:line="179" w:lineRule="exact"/>
        <w:rPr>
          <w:sz w:val="20"/>
          <w:szCs w:val="20"/>
          <w:color w:val="auto"/>
        </w:rPr>
      </w:pPr>
    </w:p>
    <w:p>
      <w:pPr>
        <w:ind w:left="800" w:right="820" w:firstLine="482"/>
        <w:spacing w:after="0" w:line="238" w:lineRule="auto"/>
        <w:rPr>
          <w:sz w:val="20"/>
          <w:szCs w:val="20"/>
          <w:color w:val="auto"/>
        </w:rPr>
      </w:pPr>
      <w:r>
        <w:rPr>
          <w:rFonts w:ascii="Arial" w:cs="Arial" w:eastAsia="Arial" w:hAnsi="Arial"/>
          <w:sz w:val="16"/>
          <w:szCs w:val="16"/>
          <w:color w:val="auto"/>
        </w:rPr>
        <w:t>The underwriting agreement to be filed as Exhibit 1.1 to this registration statement will provide for indemnification by the underwriters of us and our officers and directors for certain liabilities arising under the Securities Act or otherwise.</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440"/>
          </w:cols>
          <w:pgMar w:left="320" w:top="419" w:right="113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ITEM 15.RECENT SALES OF UNREGISTERED SECURITIES.</w:t>
      </w: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Since January 1, 2018, we have issued the following unregistered securities:</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Convertible Promissory Note Issuances</w:t>
      </w:r>
    </w:p>
    <w:p>
      <w:pPr>
        <w:spacing w:after="0" w:line="106" w:lineRule="exact"/>
        <w:rPr>
          <w:sz w:val="20"/>
          <w:szCs w:val="20"/>
          <w:color w:val="auto"/>
        </w:rPr>
      </w:pPr>
    </w:p>
    <w:p>
      <w:pPr>
        <w:ind w:left="800" w:right="40" w:firstLine="482"/>
        <w:spacing w:after="0" w:line="236" w:lineRule="auto"/>
        <w:rPr>
          <w:sz w:val="20"/>
          <w:szCs w:val="20"/>
          <w:color w:val="auto"/>
        </w:rPr>
      </w:pPr>
      <w:r>
        <w:rPr>
          <w:rFonts w:ascii="Arial" w:cs="Arial" w:eastAsia="Arial" w:hAnsi="Arial"/>
          <w:sz w:val="16"/>
          <w:szCs w:val="16"/>
          <w:color w:val="auto"/>
        </w:rPr>
        <w:t>In September 2017, we issued subordinated convertible notes in the aggregate principal amount of $20.0 million in a private placement. We refer to these notes as the 2017 convertible notes. The 2017 convertible notes accrued interest at a rate equal to 8.0% per year. Each of these notes was converted on June 30, 2018 into shares of our Series C-1 preferred stock.</w:t>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Warrant Issuances and Exercises</w:t>
      </w:r>
    </w:p>
    <w:p>
      <w:pPr>
        <w:spacing w:after="0" w:line="106" w:lineRule="exact"/>
        <w:rPr>
          <w:sz w:val="20"/>
          <w:szCs w:val="20"/>
          <w:color w:val="auto"/>
        </w:rPr>
      </w:pPr>
    </w:p>
    <w:p>
      <w:pPr>
        <w:ind w:left="800" w:right="400" w:firstLine="482"/>
        <w:spacing w:after="0" w:line="238" w:lineRule="auto"/>
        <w:rPr>
          <w:sz w:val="20"/>
          <w:szCs w:val="20"/>
          <w:color w:val="auto"/>
        </w:rPr>
      </w:pPr>
      <w:r>
        <w:rPr>
          <w:rFonts w:ascii="Arial" w:cs="Arial" w:eastAsia="Arial" w:hAnsi="Arial"/>
          <w:sz w:val="16"/>
          <w:szCs w:val="16"/>
          <w:color w:val="auto"/>
        </w:rPr>
        <w:t>In October 2018, we issued warrants to purchase a total of 150,000 shares of common stock to two accredited investors at an exercise price of $2.16 per share.</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Preferred Stock Issuances</w:t>
      </w:r>
    </w:p>
    <w:p>
      <w:pPr>
        <w:spacing w:after="0" w:line="106" w:lineRule="exact"/>
        <w:rPr>
          <w:sz w:val="20"/>
          <w:szCs w:val="20"/>
          <w:color w:val="auto"/>
        </w:rPr>
      </w:pPr>
    </w:p>
    <w:p>
      <w:pPr>
        <w:ind w:left="800" w:right="360" w:firstLine="482"/>
        <w:spacing w:after="0" w:line="238" w:lineRule="auto"/>
        <w:rPr>
          <w:sz w:val="20"/>
          <w:szCs w:val="20"/>
          <w:color w:val="auto"/>
        </w:rPr>
      </w:pPr>
      <w:r>
        <w:rPr>
          <w:rFonts w:ascii="Arial" w:cs="Arial" w:eastAsia="Arial" w:hAnsi="Arial"/>
          <w:sz w:val="16"/>
          <w:szCs w:val="16"/>
          <w:color w:val="auto"/>
        </w:rPr>
        <w:t>From December 2018 to April 2019, we sold an aggregate of 6,010,911 shares of our Series D convertible preferred stock to 4 accredited investors at a purchase price of $9.000295 per share, for an aggregate of $54.1 million.</w:t>
      </w:r>
    </w:p>
    <w:p>
      <w:pPr>
        <w:spacing w:after="0" w:line="179" w:lineRule="exact"/>
        <w:rPr>
          <w:sz w:val="20"/>
          <w:szCs w:val="20"/>
          <w:color w:val="auto"/>
        </w:rPr>
      </w:pPr>
    </w:p>
    <w:p>
      <w:pPr>
        <w:ind w:left="800" w:right="260" w:firstLine="482"/>
        <w:spacing w:after="0" w:line="238" w:lineRule="auto"/>
        <w:rPr>
          <w:sz w:val="20"/>
          <w:szCs w:val="20"/>
          <w:color w:val="auto"/>
        </w:rPr>
      </w:pPr>
      <w:r>
        <w:rPr>
          <w:rFonts w:ascii="Arial" w:cs="Arial" w:eastAsia="Arial" w:hAnsi="Arial"/>
          <w:sz w:val="16"/>
          <w:szCs w:val="16"/>
          <w:color w:val="auto"/>
        </w:rPr>
        <w:t>In November 2020, we sold 600,208 shares of our Series B convertible preferred stock to one accredited investor at a per share exercise price of $0.01 pursuant to an exercise of a warrant.</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Common Stock Issuances</w:t>
      </w:r>
    </w:p>
    <w:p>
      <w:pPr>
        <w:spacing w:after="0" w:line="10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In September 2020, we sold 282,750 shares of our common stock to an accredited investor, as part of a strategic transaction.</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6"/>
          <w:szCs w:val="16"/>
          <w:b w:val="1"/>
          <w:bCs w:val="1"/>
          <w:i w:val="1"/>
          <w:iCs w:val="1"/>
          <w:color w:val="auto"/>
        </w:rPr>
        <w:t>Option Issuances</w:t>
      </w:r>
    </w:p>
    <w:p>
      <w:pPr>
        <w:spacing w:after="0" w:line="106" w:lineRule="exact"/>
        <w:rPr>
          <w:sz w:val="20"/>
          <w:szCs w:val="20"/>
          <w:color w:val="auto"/>
        </w:rPr>
      </w:pPr>
    </w:p>
    <w:p>
      <w:pPr>
        <w:ind w:left="800" w:right="240" w:firstLine="482"/>
        <w:spacing w:after="0" w:line="236" w:lineRule="auto"/>
        <w:rPr>
          <w:sz w:val="20"/>
          <w:szCs w:val="20"/>
          <w:color w:val="auto"/>
        </w:rPr>
      </w:pPr>
      <w:r>
        <w:rPr>
          <w:rFonts w:ascii="Arial" w:cs="Arial" w:eastAsia="Arial" w:hAnsi="Arial"/>
          <w:sz w:val="16"/>
          <w:szCs w:val="16"/>
          <w:color w:val="auto"/>
        </w:rPr>
        <w:t>From January 1, 2018 through the filing date of this registration statement, we granted to our directors, officers, employees, consultants, and other service providers options to purchase an aggregate of 13,271,452 shares of our common stock under our equity compensation plans at exercise prices ranging from approximately $2.15 to $125.28 per share.</w:t>
      </w:r>
    </w:p>
    <w:p>
      <w:pPr>
        <w:spacing w:after="0" w:line="179" w:lineRule="exact"/>
        <w:rPr>
          <w:sz w:val="20"/>
          <w:szCs w:val="20"/>
          <w:color w:val="auto"/>
        </w:rPr>
      </w:pPr>
    </w:p>
    <w:p>
      <w:pPr>
        <w:ind w:left="800" w:firstLine="482"/>
        <w:spacing w:after="0" w:line="233" w:lineRule="auto"/>
        <w:rPr>
          <w:sz w:val="20"/>
          <w:szCs w:val="20"/>
          <w:color w:val="auto"/>
        </w:rPr>
      </w:pPr>
      <w:r>
        <w:rPr>
          <w:rFonts w:ascii="Arial" w:cs="Arial" w:eastAsia="Arial" w:hAnsi="Arial"/>
          <w:sz w:val="16"/>
          <w:szCs w:val="16"/>
          <w:color w:val="auto"/>
        </w:rPr>
        <w:t>We believe the offers, sales, and issuances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104" w:lineRule="exact"/>
        <w:rPr>
          <w:sz w:val="20"/>
          <w:szCs w:val="20"/>
          <w:color w:val="auto"/>
        </w:rPr>
      </w:pPr>
    </w:p>
    <w:p>
      <w:pPr>
        <w:ind w:left="1280" w:hanging="481"/>
        <w:spacing w:after="0"/>
        <w:tabs>
          <w:tab w:leader="none" w:pos="1280"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04" w:lineRule="exact"/>
        <w:rPr>
          <w:sz w:val="20"/>
          <w:szCs w:val="20"/>
          <w:color w:val="auto"/>
        </w:rPr>
      </w:pPr>
    </w:p>
    <w:p>
      <w:pPr>
        <w:ind w:left="800" w:right="720" w:firstLine="482"/>
        <w:spacing w:after="0" w:line="238" w:lineRule="auto"/>
        <w:rPr>
          <w:sz w:val="20"/>
          <w:szCs w:val="20"/>
          <w:color w:val="auto"/>
        </w:rPr>
      </w:pPr>
      <w:r>
        <w:rPr>
          <w:rFonts w:ascii="Arial" w:cs="Arial" w:eastAsia="Arial" w:hAnsi="Arial"/>
          <w:sz w:val="16"/>
          <w:szCs w:val="16"/>
          <w:color w:val="auto"/>
        </w:rPr>
        <w:t>See the Exhibit Index immediately preceding the signature page hereto for a list of exhibits filed as part of this registration statement on Form S-1, which Exhibit Index is incorporated herein by reference.</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440"/>
          </w:cols>
          <w:pgMar w:left="320" w:top="419" w:right="1139" w:bottom="1440" w:gutter="0" w:footer="0" w:header="0"/>
        </w:sectPr>
      </w:pPr>
    </w:p>
    <w:bookmarkStart w:id="272" w:name="page273"/>
    <w:bookmarkEnd w:id="2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5" w:lineRule="exact"/>
        <w:rPr>
          <w:sz w:val="20"/>
          <w:szCs w:val="20"/>
          <w:color w:val="auto"/>
        </w:rPr>
      </w:pPr>
    </w:p>
    <w:p>
      <w:pPr>
        <w:ind w:left="1280" w:hanging="481"/>
        <w:spacing w:after="0"/>
        <w:tabs>
          <w:tab w:leader="none" w:pos="1280"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p>
    <w:p>
      <w:pPr>
        <w:spacing w:after="0" w:line="104" w:lineRule="exact"/>
        <w:rPr>
          <w:sz w:val="20"/>
          <w:szCs w:val="20"/>
          <w:color w:val="auto"/>
        </w:rPr>
      </w:pPr>
    </w:p>
    <w:p>
      <w:pPr>
        <w:ind w:left="800" w:right="860" w:firstLine="482"/>
        <w:spacing w:after="0" w:line="238" w:lineRule="auto"/>
        <w:rPr>
          <w:sz w:val="20"/>
          <w:szCs w:val="20"/>
          <w:color w:val="auto"/>
        </w:rPr>
      </w:pPr>
      <w:r>
        <w:rPr>
          <w:rFonts w:ascii="Arial" w:cs="Arial" w:eastAsia="Arial" w:hAnsi="Arial"/>
          <w:sz w:val="16"/>
          <w:szCs w:val="16"/>
          <w:color w:val="auto"/>
        </w:rPr>
        <w:t>All financial statement schedules are omitted because the information called for is not required or is shown either in the consolidated financial statements or in the notes thereto.</w:t>
      </w:r>
    </w:p>
    <w:p>
      <w:pPr>
        <w:spacing w:after="0" w:line="25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ITEM 17. UNDERTAKINGS.</w:t>
      </w:r>
    </w:p>
    <w:p>
      <w:pPr>
        <w:spacing w:after="0" w:line="108"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9" w:lineRule="exact"/>
        <w:rPr>
          <w:sz w:val="20"/>
          <w:szCs w:val="20"/>
          <w:color w:val="auto"/>
        </w:rPr>
      </w:pPr>
    </w:p>
    <w:p>
      <w:pPr>
        <w:ind w:left="800" w:right="80" w:firstLine="482"/>
        <w:spacing w:after="0" w:line="233"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The undersigned registrant hereby undertakes that:</w:t>
      </w:r>
    </w:p>
    <w:p>
      <w:pPr>
        <w:spacing w:after="0" w:line="183" w:lineRule="exact"/>
        <w:rPr>
          <w:sz w:val="20"/>
          <w:szCs w:val="20"/>
          <w:color w:val="auto"/>
        </w:rPr>
      </w:pPr>
    </w:p>
    <w:p>
      <w:pPr>
        <w:ind w:left="800" w:firstLine="481"/>
        <w:spacing w:after="0" w:line="235" w:lineRule="auto"/>
        <w:tabs>
          <w:tab w:leader="none" w:pos="151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8" w:lineRule="exact"/>
        <w:rPr>
          <w:rFonts w:ascii="Arial" w:cs="Arial" w:eastAsia="Arial" w:hAnsi="Arial"/>
          <w:sz w:val="16"/>
          <w:szCs w:val="16"/>
          <w:color w:val="auto"/>
        </w:rPr>
      </w:pPr>
    </w:p>
    <w:p>
      <w:pPr>
        <w:ind w:left="800" w:right="200" w:firstLine="481"/>
        <w:spacing w:after="0" w:line="236" w:lineRule="auto"/>
        <w:tabs>
          <w:tab w:leader="none" w:pos="151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420"/>
          </w:cols>
          <w:pgMar w:left="320" w:top="419" w:right="1159" w:bottom="1440" w:gutter="0" w:footer="0" w:header="0"/>
        </w:sectPr>
      </w:pPr>
    </w:p>
    <w:bookmarkStart w:id="273" w:name="page274"/>
    <w:bookmarkEnd w:id="2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EXHIBIT INDEX</w:t>
      </w:r>
    </w:p>
    <w:p>
      <w:pPr>
        <w:spacing w:after="0" w:line="361"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740" w:type="dxa"/>
            <w:vAlign w:val="bottom"/>
          </w:tcPr>
          <w:p>
            <w:pPr>
              <w:ind w:left="160"/>
              <w:spacing w:after="0"/>
              <w:rPr>
                <w:sz w:val="20"/>
                <w:szCs w:val="20"/>
                <w:color w:val="auto"/>
              </w:rPr>
            </w:pPr>
            <w:r>
              <w:rPr>
                <w:rFonts w:ascii="Arial" w:cs="Arial" w:eastAsia="Arial" w:hAnsi="Arial"/>
                <w:sz w:val="13"/>
                <w:szCs w:val="13"/>
                <w:b w:val="1"/>
                <w:bCs w:val="1"/>
                <w:color w:val="auto"/>
              </w:rPr>
              <w:t>Exhibit</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40" w:type="dxa"/>
            <w:vAlign w:val="bottom"/>
            <w:gridSpan w:val="20"/>
            <w:vMerge w:val="restart"/>
          </w:tcPr>
          <w:p>
            <w:pPr>
              <w:ind w:left="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3"/>
                <w:szCs w:val="13"/>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Form</w:t>
            </w:r>
          </w:p>
        </w:tc>
        <w:tc>
          <w:tcPr>
            <w:tcW w:w="0" w:type="dxa"/>
            <w:vAlign w:val="bottom"/>
          </w:tcPr>
          <w:p>
            <w:pPr>
              <w:spacing w:after="0"/>
              <w:rPr>
                <w:sz w:val="1"/>
                <w:szCs w:val="1"/>
                <w:color w:val="auto"/>
              </w:rPr>
            </w:pPr>
          </w:p>
        </w:tc>
      </w:tr>
      <w:tr>
        <w:trPr>
          <w:trHeight w:val="154"/>
        </w:trPr>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20"/>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40" w:type="dxa"/>
            <w:vAlign w:val="bottom"/>
          </w:tcPr>
          <w:p>
            <w:pPr>
              <w:ind w:left="80"/>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9"/>
                <w:szCs w:val="19"/>
                <w:color w:val="auto"/>
              </w:rPr>
            </w:pPr>
          </w:p>
        </w:tc>
        <w:tc>
          <w:tcPr>
            <w:tcW w:w="4340" w:type="dxa"/>
            <w:vAlign w:val="bottom"/>
            <w:gridSpan w:val="25"/>
          </w:tcPr>
          <w:p>
            <w:pPr>
              <w:spacing w:after="0"/>
              <w:rPr>
                <w:rFonts w:ascii="Arial" w:cs="Arial" w:eastAsia="Arial" w:hAnsi="Arial"/>
                <w:sz w:val="16"/>
                <w:szCs w:val="16"/>
                <w:color w:val="0000EE"/>
              </w:rPr>
            </w:pPr>
            <w:hyperlink w:anchor="page279">
              <w:r>
                <w:rPr>
                  <w:rFonts w:ascii="Arial" w:cs="Arial" w:eastAsia="Arial" w:hAnsi="Arial"/>
                  <w:sz w:val="16"/>
                  <w:szCs w:val="16"/>
                  <w:color w:val="0000EE"/>
                </w:rPr>
                <w:t>Form of Underwriting Agreement.</w:t>
              </w:r>
            </w:hyperlink>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1"/>
                <w:szCs w:val="21"/>
                <w:color w:val="auto"/>
              </w:rPr>
            </w:pPr>
          </w:p>
        </w:tc>
        <w:tc>
          <w:tcPr>
            <w:tcW w:w="4000" w:type="dxa"/>
            <w:vAlign w:val="bottom"/>
            <w:tcBorders>
              <w:bottom w:val="single" w:sz="8" w:color="0000EE"/>
            </w:tcBorders>
            <w:gridSpan w:val="19"/>
          </w:tcPr>
          <w:p>
            <w:pPr>
              <w:spacing w:after="0"/>
              <w:rPr>
                <w:rFonts w:ascii="Arial" w:cs="Arial" w:eastAsia="Arial" w:hAnsi="Arial"/>
                <w:sz w:val="16"/>
                <w:szCs w:val="16"/>
                <w:color w:val="0000EE"/>
                <w:w w:val="98"/>
              </w:rPr>
            </w:pPr>
            <w:hyperlink r:id="rId355">
              <w:r>
                <w:rPr>
                  <w:rFonts w:ascii="Arial" w:cs="Arial" w:eastAsia="Arial" w:hAnsi="Arial"/>
                  <w:sz w:val="16"/>
                  <w:szCs w:val="16"/>
                  <w:color w:val="0000EE"/>
                  <w:w w:val="98"/>
                </w:rPr>
                <w:t>Amended and Restated Certificate of Incorporation of the</w:t>
              </w:r>
            </w:hyperlink>
          </w:p>
        </w:tc>
        <w:tc>
          <w:tcPr>
            <w:tcW w:w="340" w:type="dxa"/>
            <w:vAlign w:val="bottom"/>
            <w:gridSpan w:val="6"/>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bottom w:val="single" w:sz="8" w:color="0000EE"/>
            </w:tcBorders>
            <w:gridSpan w:val="2"/>
          </w:tcPr>
          <w:p>
            <w:pPr>
              <w:spacing w:after="0" w:line="158" w:lineRule="exact"/>
              <w:rPr>
                <w:rFonts w:ascii="Arial" w:cs="Arial" w:eastAsia="Arial" w:hAnsi="Arial"/>
                <w:sz w:val="16"/>
                <w:szCs w:val="16"/>
                <w:color w:val="0000EE"/>
                <w:w w:val="95"/>
              </w:rPr>
            </w:pPr>
            <w:hyperlink r:id="rId355">
              <w:r>
                <w:rPr>
                  <w:rFonts w:ascii="Arial" w:cs="Arial" w:eastAsia="Arial" w:hAnsi="Arial"/>
                  <w:sz w:val="16"/>
                  <w:szCs w:val="16"/>
                  <w:color w:val="0000EE"/>
                  <w:w w:val="95"/>
                </w:rPr>
                <w:t>registrant.</w:t>
              </w:r>
            </w:hyperlink>
          </w:p>
        </w:tc>
        <w:tc>
          <w:tcPr>
            <w:tcW w:w="3640" w:type="dxa"/>
            <w:vAlign w:val="bottom"/>
            <w:gridSpan w:val="23"/>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1"/>
                <w:szCs w:val="21"/>
                <w:color w:val="auto"/>
              </w:rPr>
            </w:pPr>
          </w:p>
        </w:tc>
        <w:tc>
          <w:tcPr>
            <w:tcW w:w="3380" w:type="dxa"/>
            <w:vAlign w:val="bottom"/>
            <w:tcBorders>
              <w:bottom w:val="single" w:sz="8" w:color="0000EE"/>
            </w:tcBorders>
            <w:gridSpan w:val="12"/>
          </w:tcPr>
          <w:p>
            <w:pPr>
              <w:spacing w:after="0"/>
              <w:rPr>
                <w:rFonts w:ascii="Arial" w:cs="Arial" w:eastAsia="Arial" w:hAnsi="Arial"/>
                <w:sz w:val="16"/>
                <w:szCs w:val="16"/>
                <w:color w:val="0000EE"/>
                <w:w w:val="97"/>
              </w:rPr>
            </w:pPr>
            <w:hyperlink r:id="rId356">
              <w:r>
                <w:rPr>
                  <w:rFonts w:ascii="Arial" w:cs="Arial" w:eastAsia="Arial" w:hAnsi="Arial"/>
                  <w:sz w:val="16"/>
                  <w:szCs w:val="16"/>
                  <w:color w:val="0000EE"/>
                  <w:w w:val="97"/>
                </w:rPr>
                <w:t>Amended and Restated Bylaws of the registrant.</w:t>
              </w:r>
            </w:hyperlink>
          </w:p>
        </w:tc>
        <w:tc>
          <w:tcPr>
            <w:tcW w:w="960" w:type="dxa"/>
            <w:vAlign w:val="bottom"/>
            <w:gridSpan w:val="13"/>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1"/>
                <w:szCs w:val="21"/>
                <w:color w:val="auto"/>
              </w:rPr>
            </w:pPr>
          </w:p>
        </w:tc>
        <w:tc>
          <w:tcPr>
            <w:tcW w:w="3500" w:type="dxa"/>
            <w:vAlign w:val="bottom"/>
            <w:tcBorders>
              <w:bottom w:val="single" w:sz="8" w:color="0000EE"/>
            </w:tcBorders>
            <w:gridSpan w:val="14"/>
          </w:tcPr>
          <w:p>
            <w:pPr>
              <w:spacing w:after="0"/>
              <w:rPr>
                <w:rFonts w:ascii="Arial" w:cs="Arial" w:eastAsia="Arial" w:hAnsi="Arial"/>
                <w:sz w:val="16"/>
                <w:szCs w:val="16"/>
                <w:color w:val="0000EE"/>
                <w:w w:val="97"/>
              </w:rPr>
            </w:pPr>
            <w:hyperlink r:id="rId357">
              <w:r>
                <w:rPr>
                  <w:rFonts w:ascii="Arial" w:cs="Arial" w:eastAsia="Arial" w:hAnsi="Arial"/>
                  <w:sz w:val="16"/>
                  <w:szCs w:val="16"/>
                  <w:color w:val="0000EE"/>
                  <w:w w:val="97"/>
                </w:rPr>
                <w:t>Form of common stock certificate of the registrant.</w:t>
              </w:r>
            </w:hyperlink>
          </w:p>
        </w:tc>
        <w:tc>
          <w:tcPr>
            <w:tcW w:w="840" w:type="dxa"/>
            <w:vAlign w:val="bottom"/>
            <w:gridSpan w:val="11"/>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21"/>
                <w:szCs w:val="21"/>
                <w:color w:val="auto"/>
              </w:rPr>
            </w:pPr>
          </w:p>
        </w:tc>
        <w:tc>
          <w:tcPr>
            <w:tcW w:w="4220" w:type="dxa"/>
            <w:vAlign w:val="bottom"/>
            <w:tcBorders>
              <w:bottom w:val="single" w:sz="8" w:color="0000EE"/>
            </w:tcBorders>
            <w:gridSpan w:val="22"/>
          </w:tcPr>
          <w:p>
            <w:pPr>
              <w:spacing w:after="0"/>
              <w:rPr>
                <w:rFonts w:ascii="Arial" w:cs="Arial" w:eastAsia="Arial" w:hAnsi="Arial"/>
                <w:sz w:val="16"/>
                <w:szCs w:val="16"/>
                <w:color w:val="0000EE"/>
                <w:w w:val="98"/>
              </w:rPr>
            </w:pPr>
            <w:hyperlink r:id="rId358">
              <w:r>
                <w:rPr>
                  <w:rFonts w:ascii="Arial" w:cs="Arial" w:eastAsia="Arial" w:hAnsi="Arial"/>
                  <w:sz w:val="16"/>
                  <w:szCs w:val="16"/>
                  <w:color w:val="0000EE"/>
                  <w:w w:val="98"/>
                </w:rPr>
                <w:t>Amended and Restated Investors’ Rights Agreement among</w:t>
              </w:r>
            </w:hyperlink>
          </w:p>
        </w:tc>
        <w:tc>
          <w:tcPr>
            <w:tcW w:w="120" w:type="dxa"/>
            <w:vAlign w:val="bottom"/>
            <w:gridSpan w:val="3"/>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40" w:type="dxa"/>
            <w:vAlign w:val="bottom"/>
            <w:tcBorders>
              <w:bottom w:val="single" w:sz="8" w:color="0000EE"/>
            </w:tcBorders>
            <w:gridSpan w:val="25"/>
          </w:tcPr>
          <w:p>
            <w:pPr>
              <w:spacing w:after="0" w:line="158" w:lineRule="exact"/>
              <w:rPr>
                <w:rFonts w:ascii="Arial" w:cs="Arial" w:eastAsia="Arial" w:hAnsi="Arial"/>
                <w:sz w:val="16"/>
                <w:szCs w:val="16"/>
                <w:color w:val="0000EE"/>
                <w:w w:val="98"/>
              </w:rPr>
            </w:pPr>
            <w:hyperlink r:id="rId358">
              <w:r>
                <w:rPr>
                  <w:rFonts w:ascii="Arial" w:cs="Arial" w:eastAsia="Arial" w:hAnsi="Arial"/>
                  <w:sz w:val="16"/>
                  <w:szCs w:val="16"/>
                  <w:color w:val="0000EE"/>
                  <w:w w:val="98"/>
                </w:rPr>
                <w:t>the registrant and certain holders of its capital stock, amended</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40" w:type="dxa"/>
            <w:vAlign w:val="bottom"/>
            <w:gridSpan w:val="25"/>
          </w:tcPr>
          <w:p>
            <w:pPr>
              <w:spacing w:after="0" w:line="158" w:lineRule="exact"/>
              <w:rPr>
                <w:rFonts w:ascii="Arial" w:cs="Arial" w:eastAsia="Arial" w:hAnsi="Arial"/>
                <w:sz w:val="16"/>
                <w:szCs w:val="16"/>
                <w:color w:val="0000EE"/>
              </w:rPr>
            </w:pPr>
            <w:hyperlink r:id="rId358">
              <w:r>
                <w:rPr>
                  <w:rFonts w:ascii="Arial" w:cs="Arial" w:eastAsia="Arial" w:hAnsi="Arial"/>
                  <w:sz w:val="16"/>
                  <w:szCs w:val="16"/>
                  <w:color w:val="0000EE"/>
                </w:rPr>
                <w:t>as of December 31, 2018.</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21"/>
                <w:szCs w:val="21"/>
                <w:color w:val="auto"/>
              </w:rPr>
            </w:pPr>
          </w:p>
        </w:tc>
        <w:tc>
          <w:tcPr>
            <w:tcW w:w="3080" w:type="dxa"/>
            <w:vAlign w:val="bottom"/>
            <w:tcBorders>
              <w:bottom w:val="single" w:sz="8" w:color="0000EE"/>
            </w:tcBorders>
            <w:gridSpan w:val="10"/>
          </w:tcPr>
          <w:p>
            <w:pPr>
              <w:spacing w:after="0"/>
              <w:rPr>
                <w:rFonts w:ascii="Arial" w:cs="Arial" w:eastAsia="Arial" w:hAnsi="Arial"/>
                <w:sz w:val="16"/>
                <w:szCs w:val="16"/>
                <w:color w:val="0000EE"/>
                <w:w w:val="97"/>
              </w:rPr>
            </w:pPr>
            <w:hyperlink r:id="rId359">
              <w:r>
                <w:rPr>
                  <w:rFonts w:ascii="Arial" w:cs="Arial" w:eastAsia="Arial" w:hAnsi="Arial"/>
                  <w:sz w:val="16"/>
                  <w:szCs w:val="16"/>
                  <w:color w:val="0000EE"/>
                  <w:w w:val="97"/>
                </w:rPr>
                <w:t>Form of warrant to purchase common stock.</w:t>
              </w:r>
            </w:hyperlink>
          </w:p>
        </w:tc>
        <w:tc>
          <w:tcPr>
            <w:tcW w:w="1260" w:type="dxa"/>
            <w:vAlign w:val="bottom"/>
            <w:gridSpan w:val="15"/>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21"/>
                <w:szCs w:val="21"/>
                <w:color w:val="auto"/>
              </w:rPr>
            </w:pPr>
          </w:p>
        </w:tc>
        <w:tc>
          <w:tcPr>
            <w:tcW w:w="4340" w:type="dxa"/>
            <w:vAlign w:val="bottom"/>
            <w:gridSpan w:val="25"/>
          </w:tcPr>
          <w:p>
            <w:pPr>
              <w:spacing w:after="0"/>
              <w:rPr>
                <w:rFonts w:ascii="Arial" w:cs="Arial" w:eastAsia="Arial" w:hAnsi="Arial"/>
                <w:sz w:val="16"/>
                <w:szCs w:val="16"/>
                <w:color w:val="0000EE"/>
              </w:rPr>
            </w:pPr>
            <w:hyperlink w:anchor="page312">
              <w:r>
                <w:rPr>
                  <w:rFonts w:ascii="Arial" w:cs="Arial" w:eastAsia="Arial" w:hAnsi="Arial"/>
                  <w:sz w:val="16"/>
                  <w:szCs w:val="16"/>
                  <w:color w:val="0000EE"/>
                </w:rPr>
                <w:t>Opinion of Wilson Sonsini Goodrich &amp; Rosati, P.C.</w:t>
              </w:r>
            </w:hyperlink>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21"/>
                <w:szCs w:val="21"/>
                <w:color w:val="auto"/>
              </w:rPr>
            </w:pPr>
          </w:p>
        </w:tc>
        <w:tc>
          <w:tcPr>
            <w:tcW w:w="4340" w:type="dxa"/>
            <w:vAlign w:val="bottom"/>
            <w:gridSpan w:val="25"/>
          </w:tcPr>
          <w:p>
            <w:pPr>
              <w:spacing w:after="0"/>
              <w:rPr>
                <w:rFonts w:ascii="Arial" w:cs="Arial" w:eastAsia="Arial" w:hAnsi="Arial"/>
                <w:sz w:val="16"/>
                <w:szCs w:val="16"/>
                <w:color w:val="0000EE"/>
              </w:rPr>
            </w:pPr>
            <w:hyperlink r:id="rId360">
              <w:r>
                <w:rPr>
                  <w:rFonts w:ascii="Arial" w:cs="Arial" w:eastAsia="Arial" w:hAnsi="Arial"/>
                  <w:sz w:val="16"/>
                  <w:szCs w:val="16"/>
                  <w:color w:val="0000EE"/>
                </w:rPr>
                <w:t>Form of Indemnification Agreement between the registrant</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80" w:type="dxa"/>
            <w:vAlign w:val="bottom"/>
            <w:tcBorders>
              <w:top w:val="single" w:sz="8" w:color="0000EE"/>
              <w:bottom w:val="single" w:sz="8" w:color="0000EE"/>
            </w:tcBorders>
            <w:gridSpan w:val="11"/>
          </w:tcPr>
          <w:p>
            <w:pPr>
              <w:spacing w:after="0" w:line="158" w:lineRule="exact"/>
              <w:rPr>
                <w:rFonts w:ascii="Arial" w:cs="Arial" w:eastAsia="Arial" w:hAnsi="Arial"/>
                <w:sz w:val="16"/>
                <w:szCs w:val="16"/>
                <w:color w:val="0000EE"/>
                <w:w w:val="97"/>
              </w:rPr>
            </w:pPr>
            <w:hyperlink r:id="rId360">
              <w:r>
                <w:rPr>
                  <w:rFonts w:ascii="Arial" w:cs="Arial" w:eastAsia="Arial" w:hAnsi="Arial"/>
                  <w:sz w:val="16"/>
                  <w:szCs w:val="16"/>
                  <w:color w:val="0000EE"/>
                  <w:w w:val="97"/>
                </w:rPr>
                <w:t>and each of its directors and executive officers.</w:t>
              </w:r>
            </w:hyperlink>
          </w:p>
        </w:tc>
        <w:tc>
          <w:tcPr>
            <w:tcW w:w="780" w:type="dxa"/>
            <w:vAlign w:val="bottom"/>
            <w:tcBorders>
              <w:top w:val="single" w:sz="8" w:color="0000EE"/>
            </w:tcBorders>
            <w:gridSpan w:val="9"/>
          </w:tcPr>
          <w:p>
            <w:pPr>
              <w:spacing w:after="0"/>
              <w:rPr>
                <w:sz w:val="13"/>
                <w:szCs w:val="13"/>
                <w:color w:val="auto"/>
              </w:rPr>
            </w:pPr>
          </w:p>
        </w:tc>
        <w:tc>
          <w:tcPr>
            <w:tcW w:w="2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21"/>
                <w:szCs w:val="21"/>
                <w:color w:val="auto"/>
              </w:rPr>
            </w:pPr>
          </w:p>
        </w:tc>
        <w:tc>
          <w:tcPr>
            <w:tcW w:w="4260" w:type="dxa"/>
            <w:vAlign w:val="bottom"/>
            <w:tcBorders>
              <w:bottom w:val="single" w:sz="8" w:color="0000EE"/>
            </w:tcBorders>
            <w:gridSpan w:val="24"/>
          </w:tcPr>
          <w:p>
            <w:pPr>
              <w:spacing w:after="0"/>
              <w:rPr>
                <w:rFonts w:ascii="Arial" w:cs="Arial" w:eastAsia="Arial" w:hAnsi="Arial"/>
                <w:sz w:val="16"/>
                <w:szCs w:val="16"/>
                <w:color w:val="0000EE"/>
                <w:w w:val="98"/>
              </w:rPr>
            </w:pPr>
            <w:hyperlink r:id="rId361">
              <w:r>
                <w:rPr>
                  <w:rFonts w:ascii="Arial" w:cs="Arial" w:eastAsia="Arial" w:hAnsi="Arial"/>
                  <w:sz w:val="16"/>
                  <w:szCs w:val="16"/>
                  <w:color w:val="0000EE"/>
                  <w:w w:val="98"/>
                </w:rPr>
                <w:t>Upstart Holdings, Inc. 2020 Equity Incentive Plan and related</w:t>
              </w:r>
            </w:hyperlink>
          </w:p>
        </w:tc>
        <w:tc>
          <w:tcPr>
            <w:tcW w:w="80" w:type="dxa"/>
            <w:vAlign w:val="bottom"/>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Borders>
              <w:bottom w:val="single" w:sz="8" w:color="0000EE"/>
            </w:tcBorders>
            <w:gridSpan w:val="4"/>
          </w:tcPr>
          <w:p>
            <w:pPr>
              <w:spacing w:after="0" w:line="158" w:lineRule="exact"/>
              <w:rPr>
                <w:rFonts w:ascii="Arial" w:cs="Arial" w:eastAsia="Arial" w:hAnsi="Arial"/>
                <w:sz w:val="16"/>
                <w:szCs w:val="16"/>
                <w:color w:val="0000EE"/>
                <w:w w:val="97"/>
              </w:rPr>
            </w:pPr>
            <w:hyperlink r:id="rId361">
              <w:r>
                <w:rPr>
                  <w:rFonts w:ascii="Arial" w:cs="Arial" w:eastAsia="Arial" w:hAnsi="Arial"/>
                  <w:sz w:val="16"/>
                  <w:szCs w:val="16"/>
                  <w:color w:val="0000EE"/>
                  <w:w w:val="97"/>
                </w:rPr>
                <w:t>form agreements.</w:t>
              </w:r>
            </w:hyperlink>
          </w:p>
        </w:tc>
        <w:tc>
          <w:tcPr>
            <w:tcW w:w="3100" w:type="dxa"/>
            <w:vAlign w:val="bottom"/>
            <w:gridSpan w:val="21"/>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10.3+</w:t>
            </w:r>
          </w:p>
        </w:tc>
        <w:tc>
          <w:tcPr>
            <w:tcW w:w="280" w:type="dxa"/>
            <w:vAlign w:val="bottom"/>
          </w:tcPr>
          <w:p>
            <w:pPr>
              <w:spacing w:after="0"/>
              <w:rPr>
                <w:sz w:val="21"/>
                <w:szCs w:val="21"/>
                <w:color w:val="auto"/>
              </w:rPr>
            </w:pPr>
          </w:p>
        </w:tc>
        <w:tc>
          <w:tcPr>
            <w:tcW w:w="4340" w:type="dxa"/>
            <w:vAlign w:val="bottom"/>
            <w:gridSpan w:val="25"/>
          </w:tcPr>
          <w:p>
            <w:pPr>
              <w:spacing w:after="0"/>
              <w:rPr>
                <w:rFonts w:ascii="Arial" w:cs="Arial" w:eastAsia="Arial" w:hAnsi="Arial"/>
                <w:sz w:val="16"/>
                <w:szCs w:val="16"/>
                <w:color w:val="0000EE"/>
              </w:rPr>
            </w:pPr>
            <w:hyperlink r:id="rId362">
              <w:r>
                <w:rPr>
                  <w:rFonts w:ascii="Arial" w:cs="Arial" w:eastAsia="Arial" w:hAnsi="Arial"/>
                  <w:sz w:val="16"/>
                  <w:szCs w:val="16"/>
                  <w:color w:val="0000EE"/>
                </w:rPr>
                <w:t>Upstart Holdings, Inc. 2012 Stock Plan and related form</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6"/>
              </w:rPr>
            </w:pPr>
            <w:hyperlink r:id="rId362">
              <w:r>
                <w:rPr>
                  <w:rFonts w:ascii="Arial" w:cs="Arial" w:eastAsia="Arial" w:hAnsi="Arial"/>
                  <w:sz w:val="16"/>
                  <w:szCs w:val="16"/>
                  <w:color w:val="0000EE"/>
                  <w:w w:val="96"/>
                </w:rPr>
                <w:t>agreements.</w:t>
              </w:r>
            </w:hyperlink>
          </w:p>
        </w:tc>
        <w:tc>
          <w:tcPr>
            <w:tcW w:w="3000" w:type="dxa"/>
            <w:vAlign w:val="bottom"/>
            <w:tcBorders>
              <w:top w:val="single" w:sz="8" w:color="0000EE"/>
            </w:tcBorders>
            <w:gridSpan w:val="14"/>
          </w:tcPr>
          <w:p>
            <w:pPr>
              <w:spacing w:after="0"/>
              <w:rPr>
                <w:sz w:val="13"/>
                <w:szCs w:val="13"/>
                <w:color w:val="auto"/>
              </w:rPr>
            </w:pPr>
          </w:p>
        </w:tc>
        <w:tc>
          <w:tcPr>
            <w:tcW w:w="46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21"/>
                <w:szCs w:val="21"/>
                <w:color w:val="auto"/>
              </w:rPr>
            </w:pPr>
          </w:p>
        </w:tc>
        <w:tc>
          <w:tcPr>
            <w:tcW w:w="4340" w:type="dxa"/>
            <w:vAlign w:val="bottom"/>
            <w:gridSpan w:val="25"/>
          </w:tcPr>
          <w:p>
            <w:pPr>
              <w:spacing w:after="0"/>
              <w:rPr>
                <w:rFonts w:ascii="Arial" w:cs="Arial" w:eastAsia="Arial" w:hAnsi="Arial"/>
                <w:sz w:val="16"/>
                <w:szCs w:val="16"/>
                <w:color w:val="0000EE"/>
              </w:rPr>
            </w:pPr>
            <w:hyperlink r:id="rId363">
              <w:r>
                <w:rPr>
                  <w:rFonts w:ascii="Arial" w:cs="Arial" w:eastAsia="Arial" w:hAnsi="Arial"/>
                  <w:sz w:val="16"/>
                  <w:szCs w:val="16"/>
                  <w:color w:val="0000EE"/>
                </w:rPr>
                <w:t>Upstart Holdings, Inc. Employee Incentive Compensation</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8" w:lineRule="exact"/>
              <w:rPr>
                <w:rFonts w:ascii="Arial" w:cs="Arial" w:eastAsia="Arial" w:hAnsi="Arial"/>
                <w:sz w:val="16"/>
                <w:szCs w:val="16"/>
                <w:color w:val="0000EE"/>
                <w:w w:val="93"/>
              </w:rPr>
            </w:pPr>
            <w:hyperlink r:id="rId363">
              <w:r>
                <w:rPr>
                  <w:rFonts w:ascii="Arial" w:cs="Arial" w:eastAsia="Arial" w:hAnsi="Arial"/>
                  <w:sz w:val="16"/>
                  <w:szCs w:val="16"/>
                  <w:color w:val="0000EE"/>
                  <w:w w:val="93"/>
                </w:rPr>
                <w:t>Plan.</w:t>
              </w:r>
            </w:hyperlink>
          </w:p>
        </w:tc>
        <w:tc>
          <w:tcPr>
            <w:tcW w:w="2560" w:type="dxa"/>
            <w:vAlign w:val="bottom"/>
            <w:tcBorders>
              <w:top w:val="single" w:sz="8" w:color="0000EE"/>
            </w:tcBorders>
            <w:gridSpan w:val="6"/>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Borders>
              <w:top w:val="single" w:sz="8" w:color="0000EE"/>
            </w:tcBorders>
            <w:gridSpan w:val="10"/>
          </w:tcPr>
          <w:p>
            <w:pPr>
              <w:spacing w:after="0"/>
              <w:rPr>
                <w:sz w:val="13"/>
                <w:szCs w:val="13"/>
                <w:color w:val="auto"/>
              </w:rPr>
            </w:pPr>
          </w:p>
        </w:tc>
        <w:tc>
          <w:tcPr>
            <w:tcW w:w="36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10.5+</w:t>
            </w:r>
          </w:p>
        </w:tc>
        <w:tc>
          <w:tcPr>
            <w:tcW w:w="280" w:type="dxa"/>
            <w:vAlign w:val="bottom"/>
          </w:tcPr>
          <w:p>
            <w:pPr>
              <w:spacing w:after="0"/>
              <w:rPr>
                <w:sz w:val="21"/>
                <w:szCs w:val="21"/>
                <w:color w:val="auto"/>
              </w:rPr>
            </w:pPr>
          </w:p>
        </w:tc>
        <w:tc>
          <w:tcPr>
            <w:tcW w:w="4200" w:type="dxa"/>
            <w:vAlign w:val="bottom"/>
            <w:tcBorders>
              <w:bottom w:val="single" w:sz="8" w:color="0000EE"/>
            </w:tcBorders>
            <w:gridSpan w:val="21"/>
          </w:tcPr>
          <w:p>
            <w:pPr>
              <w:spacing w:after="0"/>
              <w:rPr>
                <w:rFonts w:ascii="Arial" w:cs="Arial" w:eastAsia="Arial" w:hAnsi="Arial"/>
                <w:sz w:val="16"/>
                <w:szCs w:val="16"/>
                <w:color w:val="0000EE"/>
                <w:w w:val="98"/>
              </w:rPr>
            </w:pPr>
            <w:hyperlink r:id="rId364">
              <w:r>
                <w:rPr>
                  <w:rFonts w:ascii="Arial" w:cs="Arial" w:eastAsia="Arial" w:hAnsi="Arial"/>
                  <w:sz w:val="16"/>
                  <w:szCs w:val="16"/>
                  <w:color w:val="0000EE"/>
                  <w:w w:val="98"/>
                </w:rPr>
                <w:t>Upstart Holdings, Inc. 2020 Employee Stock Purchase Plan.</w:t>
              </w:r>
            </w:hyperlink>
          </w:p>
        </w:tc>
        <w:tc>
          <w:tcPr>
            <w:tcW w:w="140" w:type="dxa"/>
            <w:vAlign w:val="bottom"/>
            <w:gridSpan w:val="4"/>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21"/>
                <w:szCs w:val="21"/>
                <w:color w:val="auto"/>
              </w:rPr>
            </w:pPr>
          </w:p>
        </w:tc>
        <w:tc>
          <w:tcPr>
            <w:tcW w:w="3860" w:type="dxa"/>
            <w:vAlign w:val="bottom"/>
            <w:tcBorders>
              <w:bottom w:val="single" w:sz="8" w:color="0000EE"/>
            </w:tcBorders>
            <w:gridSpan w:val="16"/>
          </w:tcPr>
          <w:p>
            <w:pPr>
              <w:spacing w:after="0"/>
              <w:rPr>
                <w:rFonts w:ascii="Arial" w:cs="Arial" w:eastAsia="Arial" w:hAnsi="Arial"/>
                <w:sz w:val="16"/>
                <w:szCs w:val="16"/>
                <w:color w:val="0000EE"/>
                <w:w w:val="98"/>
              </w:rPr>
            </w:pPr>
            <w:hyperlink r:id="rId365">
              <w:r>
                <w:rPr>
                  <w:rFonts w:ascii="Arial" w:cs="Arial" w:eastAsia="Arial" w:hAnsi="Arial"/>
                  <w:sz w:val="16"/>
                  <w:szCs w:val="16"/>
                  <w:color w:val="0000EE"/>
                  <w:w w:val="98"/>
                </w:rPr>
                <w:t>Upstart Holdings, Inc. Executive Change in Control and</w:t>
              </w:r>
            </w:hyperlink>
          </w:p>
        </w:tc>
        <w:tc>
          <w:tcPr>
            <w:tcW w:w="480" w:type="dxa"/>
            <w:vAlign w:val="bottom"/>
            <w:gridSpan w:val="9"/>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40" w:type="dxa"/>
            <w:vAlign w:val="bottom"/>
            <w:gridSpan w:val="25"/>
          </w:tcPr>
          <w:p>
            <w:pPr>
              <w:spacing w:after="0" w:line="158" w:lineRule="exact"/>
              <w:rPr>
                <w:rFonts w:ascii="Arial" w:cs="Arial" w:eastAsia="Arial" w:hAnsi="Arial"/>
                <w:sz w:val="16"/>
                <w:szCs w:val="16"/>
                <w:color w:val="0000EE"/>
              </w:rPr>
            </w:pPr>
            <w:hyperlink r:id="rId365">
              <w:r>
                <w:rPr>
                  <w:rFonts w:ascii="Arial" w:cs="Arial" w:eastAsia="Arial" w:hAnsi="Arial"/>
                  <w:sz w:val="16"/>
                  <w:szCs w:val="16"/>
                  <w:color w:val="0000EE"/>
                </w:rPr>
                <w:t>Severance Policy and related participation.</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21"/>
                <w:szCs w:val="21"/>
                <w:color w:val="auto"/>
              </w:rPr>
            </w:pPr>
          </w:p>
        </w:tc>
        <w:tc>
          <w:tcPr>
            <w:tcW w:w="4340" w:type="dxa"/>
            <w:vAlign w:val="bottom"/>
            <w:gridSpan w:val="25"/>
          </w:tcPr>
          <w:p>
            <w:pPr>
              <w:spacing w:after="0"/>
              <w:rPr>
                <w:rFonts w:ascii="Arial" w:cs="Arial" w:eastAsia="Arial" w:hAnsi="Arial"/>
                <w:sz w:val="16"/>
                <w:szCs w:val="16"/>
                <w:color w:val="0000EE"/>
                <w:w w:val="99"/>
              </w:rPr>
            </w:pPr>
            <w:hyperlink r:id="rId366">
              <w:r>
                <w:rPr>
                  <w:rFonts w:ascii="Arial" w:cs="Arial" w:eastAsia="Arial" w:hAnsi="Arial"/>
                  <w:sz w:val="16"/>
                  <w:szCs w:val="16"/>
                  <w:color w:val="0000EE"/>
                  <w:w w:val="99"/>
                </w:rPr>
                <w:t>Upstart Holdings, Inc. Outside Director Compensation Policy.</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40" w:type="dxa"/>
            <w:vAlign w:val="bottom"/>
          </w:tcPr>
          <w:p>
            <w:pPr>
              <w:ind w:left="80"/>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rPr>
                <w:sz w:val="21"/>
                <w:szCs w:val="21"/>
                <w:color w:val="auto"/>
              </w:rPr>
            </w:pPr>
          </w:p>
        </w:tc>
        <w:tc>
          <w:tcPr>
            <w:tcW w:w="4260" w:type="dxa"/>
            <w:vAlign w:val="bottom"/>
            <w:tcBorders>
              <w:bottom w:val="single" w:sz="8" w:color="0000EE"/>
            </w:tcBorders>
            <w:gridSpan w:val="24"/>
          </w:tcPr>
          <w:p>
            <w:pPr>
              <w:spacing w:after="0"/>
              <w:rPr>
                <w:rFonts w:ascii="Arial" w:cs="Arial" w:eastAsia="Arial" w:hAnsi="Arial"/>
                <w:sz w:val="16"/>
                <w:szCs w:val="16"/>
                <w:color w:val="0000EE"/>
                <w:w w:val="99"/>
              </w:rPr>
            </w:pPr>
            <w:hyperlink r:id="rId367">
              <w:r>
                <w:rPr>
                  <w:rFonts w:ascii="Arial" w:cs="Arial" w:eastAsia="Arial" w:hAnsi="Arial"/>
                  <w:sz w:val="16"/>
                  <w:szCs w:val="16"/>
                  <w:color w:val="0000EE"/>
                  <w:w w:val="99"/>
                </w:rPr>
                <w:t>Sub-Sublease Agreement, dated April 1, 2019, between Bay</w:t>
              </w:r>
            </w:hyperlink>
          </w:p>
        </w:tc>
        <w:tc>
          <w:tcPr>
            <w:tcW w:w="80" w:type="dxa"/>
            <w:vAlign w:val="bottom"/>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340" w:type="dxa"/>
            <w:vAlign w:val="bottom"/>
            <w:gridSpan w:val="25"/>
          </w:tcPr>
          <w:p>
            <w:pPr>
              <w:spacing w:after="0" w:line="158" w:lineRule="exact"/>
              <w:rPr>
                <w:rFonts w:ascii="Arial" w:cs="Arial" w:eastAsia="Arial" w:hAnsi="Arial"/>
                <w:sz w:val="16"/>
                <w:szCs w:val="16"/>
                <w:color w:val="0000EE"/>
              </w:rPr>
            </w:pPr>
            <w:hyperlink r:id="rId367">
              <w:r>
                <w:rPr>
                  <w:rFonts w:ascii="Arial" w:cs="Arial" w:eastAsia="Arial" w:hAnsi="Arial"/>
                  <w:sz w:val="16"/>
                  <w:szCs w:val="16"/>
                  <w:color w:val="0000EE"/>
                </w:rPr>
                <w:t>Meadows Station 3 Investors, LLC and Open Text Inc.,</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0" w:type="dxa"/>
            <w:vAlign w:val="bottom"/>
            <w:tcBorders>
              <w:top w:val="single" w:sz="8" w:color="0000EE"/>
            </w:tcBorders>
            <w:gridSpan w:val="15"/>
          </w:tcPr>
          <w:p>
            <w:pPr>
              <w:spacing w:after="0" w:line="158" w:lineRule="exact"/>
              <w:rPr>
                <w:rFonts w:ascii="Arial" w:cs="Arial" w:eastAsia="Arial" w:hAnsi="Arial"/>
                <w:sz w:val="16"/>
                <w:szCs w:val="16"/>
                <w:color w:val="0000EE"/>
              </w:rPr>
            </w:pPr>
            <w:hyperlink r:id="rId367">
              <w:r>
                <w:rPr>
                  <w:rFonts w:ascii="Arial" w:cs="Arial" w:eastAsia="Arial" w:hAnsi="Arial"/>
                  <w:sz w:val="16"/>
                  <w:szCs w:val="16"/>
                  <w:color w:val="0000EE"/>
                </w:rPr>
                <w:t>Snowflake, Inc. and Upstart Holdings, Inc.</w:t>
              </w:r>
            </w:hyperlink>
          </w:p>
        </w:tc>
        <w:tc>
          <w:tcPr>
            <w:tcW w:w="54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0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305685"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114" w:lineRule="exact"/>
        <w:rPr>
          <w:sz w:val="20"/>
          <w:szCs w:val="20"/>
          <w:color w:val="auto"/>
        </w:rPr>
      </w:pPr>
    </w:p>
    <w:p>
      <w:pPr>
        <w:ind w:left="40"/>
        <w:spacing w:after="0"/>
        <w:tabs>
          <w:tab w:leader="none" w:pos="1000" w:val="left"/>
          <w:tab w:leader="none" w:pos="2120" w:val="left"/>
        </w:tabs>
        <w:rPr>
          <w:sz w:val="20"/>
          <w:szCs w:val="20"/>
          <w:color w:val="auto"/>
        </w:rPr>
      </w:pPr>
      <w:r>
        <w:rPr>
          <w:rFonts w:ascii="Arial" w:cs="Arial" w:eastAsia="Arial" w:hAnsi="Arial"/>
          <w:sz w:val="13"/>
          <w:szCs w:val="13"/>
          <w:b w:val="1"/>
          <w:bCs w:val="1"/>
          <w:color w:val="auto"/>
        </w:rPr>
        <w:t>File No.</w:t>
      </w:r>
      <w:r>
        <w:rPr>
          <w:sz w:val="20"/>
          <w:szCs w:val="20"/>
          <w:color w:val="auto"/>
        </w:rPr>
        <w:tab/>
      </w:r>
      <w:r>
        <w:rPr>
          <w:rFonts w:ascii="Arial" w:cs="Arial" w:eastAsia="Arial" w:hAnsi="Arial"/>
          <w:sz w:val="13"/>
          <w:szCs w:val="13"/>
          <w:b w:val="1"/>
          <w:bCs w:val="1"/>
          <w:color w:val="auto"/>
        </w:rPr>
        <w:t>Exhibit</w:t>
      </w:r>
      <w:r>
        <w:rPr>
          <w:sz w:val="20"/>
          <w:szCs w:val="20"/>
          <w:color w:val="auto"/>
        </w:rPr>
        <w:tab/>
      </w:r>
      <w:r>
        <w:rPr>
          <w:rFonts w:ascii="Arial" w:cs="Arial" w:eastAsia="Arial" w:hAnsi="Arial"/>
          <w:sz w:val="12"/>
          <w:szCs w:val="12"/>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10160</wp:posOffset>
            </wp:positionV>
            <wp:extent cx="230568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3.1</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3.2</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272"/>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4.1</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272"/>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4.2</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6, 2021</w:t>
            </w:r>
          </w:p>
        </w:tc>
      </w:tr>
      <w:tr>
        <w:trPr>
          <w:trHeight w:val="627"/>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4.4</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2021</w:t>
            </w:r>
          </w:p>
        </w:tc>
      </w:tr>
      <w:tr>
        <w:trPr>
          <w:trHeight w:val="544"/>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10.1</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10.2</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10.3</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6, 2021</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10.4</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10.5</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272"/>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10.6</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449"/>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10.7</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4, 2020</w:t>
            </w:r>
          </w:p>
        </w:tc>
      </w:tr>
      <w:tr>
        <w:trPr>
          <w:trHeight w:val="272"/>
        </w:trPr>
        <w:tc>
          <w:tcPr>
            <w:tcW w:w="1020" w:type="dxa"/>
            <w:vAlign w:val="bottom"/>
          </w:tcPr>
          <w:p>
            <w:pPr>
              <w:jc w:val="right"/>
              <w:ind w:right="101"/>
              <w:spacing w:after="0"/>
              <w:rPr>
                <w:sz w:val="20"/>
                <w:szCs w:val="20"/>
                <w:color w:val="auto"/>
              </w:rPr>
            </w:pPr>
            <w:r>
              <w:rPr>
                <w:rFonts w:ascii="Arial" w:cs="Arial" w:eastAsia="Arial" w:hAnsi="Arial"/>
                <w:sz w:val="16"/>
                <w:szCs w:val="16"/>
                <w:color w:val="auto"/>
                <w:w w:val="95"/>
              </w:rPr>
              <w:t>333-249860</w:t>
            </w:r>
          </w:p>
        </w:tc>
        <w:tc>
          <w:tcPr>
            <w:tcW w:w="760" w:type="dxa"/>
            <w:vAlign w:val="bottom"/>
          </w:tcPr>
          <w:p>
            <w:pPr>
              <w:jc w:val="right"/>
              <w:ind w:right="201"/>
              <w:spacing w:after="0"/>
              <w:rPr>
                <w:sz w:val="20"/>
                <w:szCs w:val="20"/>
                <w:color w:val="auto"/>
              </w:rPr>
            </w:pPr>
            <w:r>
              <w:rPr>
                <w:rFonts w:ascii="Arial" w:cs="Arial" w:eastAsia="Arial" w:hAnsi="Arial"/>
                <w:sz w:val="16"/>
                <w:szCs w:val="16"/>
                <w:color w:val="auto"/>
              </w:rPr>
              <w:t>10.8</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6, 2020</w:t>
            </w:r>
          </w:p>
        </w:tc>
      </w:tr>
    </w:tbl>
    <w:p>
      <w:pPr>
        <w:sectPr>
          <w:pgSz w:w="11900" w:h="16838" w:orient="portrait"/>
          <w:cols w:equalWidth="0" w:num="2">
            <w:col w:w="6720" w:space="400"/>
            <w:col w:w="3320"/>
          </w:cols>
          <w:pgMar w:left="320" w:top="419" w:right="1139" w:bottom="1440" w:gutter="0" w:footer="0" w:header="0"/>
        </w:sectPr>
      </w:pPr>
    </w:p>
    <w:bookmarkStart w:id="274" w:name="page275"/>
    <w:bookmarkEnd w:id="2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49"/>
        </w:trPr>
        <w:tc>
          <w:tcPr>
            <w:tcW w:w="820" w:type="dxa"/>
            <w:vAlign w:val="bottom"/>
          </w:tcPr>
          <w:p>
            <w:pPr>
              <w:ind w:left="200"/>
              <w:spacing w:after="0"/>
              <w:rPr>
                <w:sz w:val="20"/>
                <w:szCs w:val="20"/>
                <w:color w:val="auto"/>
              </w:rPr>
            </w:pPr>
            <w:r>
              <w:rPr>
                <w:rFonts w:ascii="Arial" w:cs="Arial" w:eastAsia="Arial" w:hAnsi="Arial"/>
                <w:sz w:val="13"/>
                <w:szCs w:val="13"/>
                <w:b w:val="1"/>
                <w:bCs w:val="1"/>
                <w:color w:val="auto"/>
              </w:rPr>
              <w:t>Exhibit</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760" w:type="dxa"/>
            <w:vAlign w:val="bottom"/>
            <w:gridSpan w:val="18"/>
            <w:vMerge w:val="restart"/>
          </w:tcPr>
          <w:p>
            <w:pPr>
              <w:ind w:left="28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Pr>
          <w:p>
            <w:pPr>
              <w:spacing w:after="0"/>
              <w:rPr>
                <w:sz w:val="13"/>
                <w:szCs w:val="13"/>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Form</w:t>
            </w:r>
          </w:p>
        </w:tc>
        <w:tc>
          <w:tcPr>
            <w:tcW w:w="0" w:type="dxa"/>
            <w:vAlign w:val="bottom"/>
          </w:tcPr>
          <w:p>
            <w:pPr>
              <w:spacing w:after="0"/>
              <w:rPr>
                <w:sz w:val="1"/>
                <w:szCs w:val="1"/>
                <w:color w:val="auto"/>
              </w:rPr>
            </w:pPr>
          </w:p>
        </w:tc>
      </w:tr>
      <w:tr>
        <w:trPr>
          <w:trHeight w:val="154"/>
        </w:trPr>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Number</w:t>
            </w:r>
          </w:p>
        </w:tc>
        <w:tc>
          <w:tcPr>
            <w:tcW w:w="3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8"/>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820" w:type="dxa"/>
            <w:vAlign w:val="bottom"/>
          </w:tcPr>
          <w:p>
            <w:pPr>
              <w:ind w:left="8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9"/>
                <w:szCs w:val="19"/>
                <w:color w:val="auto"/>
              </w:rPr>
            </w:pPr>
          </w:p>
        </w:tc>
        <w:tc>
          <w:tcPr>
            <w:tcW w:w="3840" w:type="dxa"/>
            <w:vAlign w:val="bottom"/>
            <w:tcBorders>
              <w:bottom w:val="single" w:sz="8" w:color="0000EE"/>
            </w:tcBorders>
            <w:gridSpan w:val="12"/>
          </w:tcPr>
          <w:p>
            <w:pPr>
              <w:spacing w:after="0"/>
              <w:rPr>
                <w:rFonts w:ascii="Arial" w:cs="Arial" w:eastAsia="Arial" w:hAnsi="Arial"/>
                <w:sz w:val="16"/>
                <w:szCs w:val="16"/>
                <w:color w:val="0000EE"/>
                <w:w w:val="97"/>
              </w:rPr>
            </w:pPr>
            <w:hyperlink r:id="rId371">
              <w:r>
                <w:rPr>
                  <w:rFonts w:ascii="Arial" w:cs="Arial" w:eastAsia="Arial" w:hAnsi="Arial"/>
                  <w:sz w:val="16"/>
                  <w:szCs w:val="16"/>
                  <w:color w:val="0000EE"/>
                  <w:w w:val="97"/>
                </w:rPr>
                <w:t>Amended and Restated Loan and Security Agreement,</w:t>
              </w:r>
            </w:hyperlink>
          </w:p>
        </w:tc>
        <w:tc>
          <w:tcPr>
            <w:tcW w:w="400" w:type="dxa"/>
            <w:vAlign w:val="bottom"/>
            <w:gridSpan w:val="11"/>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20" w:type="dxa"/>
            <w:vAlign w:val="bottom"/>
            <w:tcBorders>
              <w:bottom w:val="single" w:sz="8" w:color="0000EE"/>
            </w:tcBorders>
            <w:gridSpan w:val="15"/>
          </w:tcPr>
          <w:p>
            <w:pPr>
              <w:spacing w:after="0" w:line="158" w:lineRule="exact"/>
              <w:rPr>
                <w:rFonts w:ascii="Arial" w:cs="Arial" w:eastAsia="Arial" w:hAnsi="Arial"/>
                <w:sz w:val="16"/>
                <w:szCs w:val="16"/>
                <w:color w:val="0000EE"/>
                <w:w w:val="98"/>
              </w:rPr>
            </w:pPr>
            <w:hyperlink r:id="rId371">
              <w:r>
                <w:rPr>
                  <w:rFonts w:ascii="Arial" w:cs="Arial" w:eastAsia="Arial" w:hAnsi="Arial"/>
                  <w:sz w:val="16"/>
                  <w:szCs w:val="16"/>
                  <w:color w:val="0000EE"/>
                  <w:w w:val="98"/>
                </w:rPr>
                <w:t>dated September 5, 2018, between Silicon Valley Bank,</w:t>
              </w:r>
            </w:hyperlink>
          </w:p>
        </w:tc>
        <w:tc>
          <w:tcPr>
            <w:tcW w:w="32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tcBorders>
              <w:bottom w:val="single" w:sz="8" w:color="0000EE"/>
            </w:tcBorders>
            <w:gridSpan w:val="23"/>
          </w:tcPr>
          <w:p>
            <w:pPr>
              <w:spacing w:after="0" w:line="158" w:lineRule="exact"/>
              <w:rPr>
                <w:rFonts w:ascii="Arial" w:cs="Arial" w:eastAsia="Arial" w:hAnsi="Arial"/>
                <w:sz w:val="16"/>
                <w:szCs w:val="16"/>
                <w:color w:val="0000EE"/>
                <w:w w:val="98"/>
              </w:rPr>
            </w:pPr>
            <w:hyperlink r:id="rId371">
              <w:r>
                <w:rPr>
                  <w:rFonts w:ascii="Arial" w:cs="Arial" w:eastAsia="Arial" w:hAnsi="Arial"/>
                  <w:sz w:val="16"/>
                  <w:szCs w:val="16"/>
                  <w:color w:val="0000EE"/>
                  <w:w w:val="98"/>
                </w:rPr>
                <w:t>Upstart Holdings, Inc. and Upstart Network, Inc. amended as</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760" w:type="dxa"/>
            <w:vAlign w:val="bottom"/>
            <w:tcBorders>
              <w:bottom w:val="single" w:sz="8" w:color="0000EE"/>
            </w:tcBorders>
            <w:gridSpan w:val="11"/>
          </w:tcPr>
          <w:p>
            <w:pPr>
              <w:spacing w:after="0" w:line="158" w:lineRule="exact"/>
              <w:rPr>
                <w:rFonts w:ascii="Arial" w:cs="Arial" w:eastAsia="Arial" w:hAnsi="Arial"/>
                <w:sz w:val="16"/>
                <w:szCs w:val="16"/>
                <w:color w:val="0000EE"/>
                <w:w w:val="97"/>
              </w:rPr>
            </w:pPr>
            <w:hyperlink r:id="rId371">
              <w:r>
                <w:rPr>
                  <w:rFonts w:ascii="Arial" w:cs="Arial" w:eastAsia="Arial" w:hAnsi="Arial"/>
                  <w:sz w:val="16"/>
                  <w:szCs w:val="16"/>
                  <w:color w:val="0000EE"/>
                  <w:w w:val="97"/>
                </w:rPr>
                <w:t>of October 22, 2018, August 14, 2019, June 30, 2020,</w:t>
              </w:r>
            </w:hyperlink>
          </w:p>
        </w:tc>
        <w:tc>
          <w:tcPr>
            <w:tcW w:w="480" w:type="dxa"/>
            <w:vAlign w:val="bottom"/>
            <w:gridSpan w:val="12"/>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1">
              <w:r>
                <w:rPr>
                  <w:rFonts w:ascii="Arial" w:cs="Arial" w:eastAsia="Arial" w:hAnsi="Arial"/>
                  <w:sz w:val="16"/>
                  <w:szCs w:val="16"/>
                  <w:color w:val="0000EE"/>
                </w:rPr>
                <w:t>October 1, 2020, November 3, 2020 and November 25,</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680" w:type="dxa"/>
            <w:vAlign w:val="bottom"/>
            <w:gridSpan w:val="2"/>
          </w:tcPr>
          <w:p>
            <w:pPr>
              <w:ind w:left="300"/>
              <w:spacing w:after="0" w:line="158" w:lineRule="exact"/>
              <w:rPr>
                <w:rFonts w:ascii="Arial" w:cs="Arial" w:eastAsia="Arial" w:hAnsi="Arial"/>
                <w:sz w:val="16"/>
                <w:szCs w:val="16"/>
                <w:color w:val="0000EE"/>
                <w:w w:val="89"/>
              </w:rPr>
            </w:pPr>
            <w:hyperlink r:id="rId371">
              <w:r>
                <w:rPr>
                  <w:rFonts w:ascii="Arial" w:cs="Arial" w:eastAsia="Arial" w:hAnsi="Arial"/>
                  <w:sz w:val="16"/>
                  <w:szCs w:val="16"/>
                  <w:color w:val="0000EE"/>
                  <w:w w:val="89"/>
                </w:rPr>
                <w:t>2020.</w:t>
              </w:r>
            </w:hyperlink>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10.10</w:t>
            </w:r>
          </w:p>
        </w:tc>
        <w:tc>
          <w:tcPr>
            <w:tcW w:w="300" w:type="dxa"/>
            <w:vAlign w:val="bottom"/>
          </w:tcPr>
          <w:p>
            <w:pPr>
              <w:spacing w:after="0"/>
              <w:rPr>
                <w:sz w:val="21"/>
                <w:szCs w:val="21"/>
                <w:color w:val="auto"/>
              </w:rPr>
            </w:pPr>
          </w:p>
        </w:tc>
        <w:tc>
          <w:tcPr>
            <w:tcW w:w="4020" w:type="dxa"/>
            <w:vAlign w:val="bottom"/>
            <w:tcBorders>
              <w:bottom w:val="single" w:sz="8" w:color="0000EE"/>
            </w:tcBorders>
            <w:gridSpan w:val="17"/>
          </w:tcPr>
          <w:p>
            <w:pPr>
              <w:spacing w:after="0"/>
              <w:rPr>
                <w:rFonts w:ascii="Arial" w:cs="Arial" w:eastAsia="Arial" w:hAnsi="Arial"/>
                <w:sz w:val="16"/>
                <w:szCs w:val="16"/>
                <w:color w:val="0000EE"/>
                <w:w w:val="99"/>
              </w:rPr>
            </w:pPr>
            <w:hyperlink r:id="rId372">
              <w:r>
                <w:rPr>
                  <w:rFonts w:ascii="Arial" w:cs="Arial" w:eastAsia="Arial" w:hAnsi="Arial"/>
                  <w:sz w:val="16"/>
                  <w:szCs w:val="16"/>
                  <w:color w:val="0000EE"/>
                  <w:w w:val="99"/>
                </w:rPr>
                <w:t>Mezzanine Loan and Security Agreement, dated October</w:t>
              </w:r>
            </w:hyperlink>
          </w:p>
        </w:tc>
        <w:tc>
          <w:tcPr>
            <w:tcW w:w="220" w:type="dxa"/>
            <w:vAlign w:val="bottom"/>
            <w:gridSpan w:val="6"/>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60" w:type="dxa"/>
            <w:vAlign w:val="bottom"/>
            <w:tcBorders>
              <w:bottom w:val="single" w:sz="8" w:color="0000EE"/>
            </w:tcBorders>
            <w:gridSpan w:val="16"/>
          </w:tcPr>
          <w:p>
            <w:pPr>
              <w:spacing w:after="0" w:line="158" w:lineRule="exact"/>
              <w:rPr>
                <w:rFonts w:ascii="Arial" w:cs="Arial" w:eastAsia="Arial" w:hAnsi="Arial"/>
                <w:sz w:val="16"/>
                <w:szCs w:val="16"/>
                <w:color w:val="0000EE"/>
                <w:w w:val="97"/>
              </w:rPr>
            </w:pPr>
            <w:hyperlink r:id="rId372">
              <w:r>
                <w:rPr>
                  <w:rFonts w:ascii="Arial" w:cs="Arial" w:eastAsia="Arial" w:hAnsi="Arial"/>
                  <w:sz w:val="16"/>
                  <w:szCs w:val="16"/>
                  <w:color w:val="0000EE"/>
                  <w:w w:val="97"/>
                </w:rPr>
                <w:t>22, 2018, between Silicon Valley Bank, Upstart Holdings,</w:t>
              </w:r>
            </w:hyperlink>
          </w:p>
        </w:tc>
        <w:tc>
          <w:tcPr>
            <w:tcW w:w="28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0" w:type="dxa"/>
            <w:vAlign w:val="bottom"/>
            <w:tcBorders>
              <w:bottom w:val="single" w:sz="8" w:color="0000EE"/>
            </w:tcBorders>
            <w:gridSpan w:val="22"/>
          </w:tcPr>
          <w:p>
            <w:pPr>
              <w:spacing w:after="0" w:line="158" w:lineRule="exact"/>
              <w:rPr>
                <w:rFonts w:ascii="Arial" w:cs="Arial" w:eastAsia="Arial" w:hAnsi="Arial"/>
                <w:sz w:val="16"/>
                <w:szCs w:val="16"/>
                <w:color w:val="0000EE"/>
                <w:w w:val="97"/>
              </w:rPr>
            </w:pPr>
            <w:hyperlink r:id="rId372">
              <w:r>
                <w:rPr>
                  <w:rFonts w:ascii="Arial" w:cs="Arial" w:eastAsia="Arial" w:hAnsi="Arial"/>
                  <w:sz w:val="16"/>
                  <w:szCs w:val="16"/>
                  <w:color w:val="0000EE"/>
                  <w:w w:val="97"/>
                </w:rPr>
                <w:t>Inc. and Upstart Network, Inc. amended as of June 30, 2020</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Borders>
              <w:bottom w:val="single" w:sz="8" w:color="0000EE"/>
            </w:tcBorders>
            <w:gridSpan w:val="5"/>
          </w:tcPr>
          <w:p>
            <w:pPr>
              <w:spacing w:after="0" w:line="158" w:lineRule="exact"/>
              <w:rPr>
                <w:rFonts w:ascii="Arial" w:cs="Arial" w:eastAsia="Arial" w:hAnsi="Arial"/>
                <w:sz w:val="16"/>
                <w:szCs w:val="16"/>
                <w:color w:val="0000EE"/>
                <w:w w:val="97"/>
              </w:rPr>
            </w:pPr>
            <w:hyperlink r:id="rId372">
              <w:r>
                <w:rPr>
                  <w:rFonts w:ascii="Arial" w:cs="Arial" w:eastAsia="Arial" w:hAnsi="Arial"/>
                  <w:sz w:val="16"/>
                  <w:szCs w:val="16"/>
                  <w:color w:val="0000EE"/>
                  <w:w w:val="97"/>
                </w:rPr>
                <w:t>and October 1, 2020.</w:t>
              </w:r>
            </w:hyperlink>
          </w:p>
        </w:tc>
        <w:tc>
          <w:tcPr>
            <w:tcW w:w="2760" w:type="dxa"/>
            <w:vAlign w:val="bottom"/>
            <w:gridSpan w:val="18"/>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10.11</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r:id="rId373">
              <w:r>
                <w:rPr>
                  <w:rFonts w:ascii="Arial" w:cs="Arial" w:eastAsia="Arial" w:hAnsi="Arial"/>
                  <w:sz w:val="16"/>
                  <w:szCs w:val="16"/>
                  <w:color w:val="0000EE"/>
                </w:rPr>
                <w:t>Amended and Restated Revolving Credit and Security</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20" w:type="dxa"/>
            <w:vAlign w:val="bottom"/>
            <w:tcBorders>
              <w:bottom w:val="single" w:sz="8" w:color="0000EE"/>
            </w:tcBorders>
            <w:gridSpan w:val="15"/>
          </w:tcPr>
          <w:p>
            <w:pPr>
              <w:spacing w:after="0" w:line="158" w:lineRule="exact"/>
              <w:rPr>
                <w:rFonts w:ascii="Arial" w:cs="Arial" w:eastAsia="Arial" w:hAnsi="Arial"/>
                <w:sz w:val="16"/>
                <w:szCs w:val="16"/>
                <w:color w:val="0000EE"/>
                <w:w w:val="98"/>
              </w:rPr>
            </w:pPr>
            <w:hyperlink r:id="rId373">
              <w:r>
                <w:rPr>
                  <w:rFonts w:ascii="Arial" w:cs="Arial" w:eastAsia="Arial" w:hAnsi="Arial"/>
                  <w:sz w:val="16"/>
                  <w:szCs w:val="16"/>
                  <w:color w:val="0000EE"/>
                  <w:w w:val="98"/>
                </w:rPr>
                <w:t>Agreement, dated May 22, 2020, between Upstart Loan</w:t>
              </w:r>
            </w:hyperlink>
          </w:p>
        </w:tc>
        <w:tc>
          <w:tcPr>
            <w:tcW w:w="32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40" w:type="dxa"/>
            <w:vAlign w:val="bottom"/>
            <w:tcBorders>
              <w:bottom w:val="single" w:sz="8" w:color="0000EE"/>
            </w:tcBorders>
            <w:gridSpan w:val="8"/>
          </w:tcPr>
          <w:p>
            <w:pPr>
              <w:spacing w:after="0" w:line="158" w:lineRule="exact"/>
              <w:rPr>
                <w:rFonts w:ascii="Arial" w:cs="Arial" w:eastAsia="Arial" w:hAnsi="Arial"/>
                <w:sz w:val="16"/>
                <w:szCs w:val="16"/>
                <w:color w:val="0000EE"/>
                <w:w w:val="97"/>
              </w:rPr>
            </w:pPr>
            <w:hyperlink r:id="rId373">
              <w:r>
                <w:rPr>
                  <w:rFonts w:ascii="Arial" w:cs="Arial" w:eastAsia="Arial" w:hAnsi="Arial"/>
                  <w:sz w:val="16"/>
                  <w:szCs w:val="16"/>
                  <w:color w:val="0000EE"/>
                  <w:w w:val="97"/>
                </w:rPr>
                <w:t>Trust and Goldman Sachs Bank USA.</w:t>
              </w:r>
            </w:hyperlink>
          </w:p>
        </w:tc>
        <w:tc>
          <w:tcPr>
            <w:tcW w:w="1600" w:type="dxa"/>
            <w:vAlign w:val="bottom"/>
            <w:gridSpan w:val="15"/>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10.13^</w:t>
            </w:r>
          </w:p>
        </w:tc>
        <w:tc>
          <w:tcPr>
            <w:tcW w:w="300" w:type="dxa"/>
            <w:vAlign w:val="bottom"/>
          </w:tcPr>
          <w:p>
            <w:pPr>
              <w:spacing w:after="0"/>
              <w:rPr>
                <w:sz w:val="21"/>
                <w:szCs w:val="21"/>
                <w:color w:val="auto"/>
              </w:rPr>
            </w:pPr>
          </w:p>
        </w:tc>
        <w:tc>
          <w:tcPr>
            <w:tcW w:w="3960" w:type="dxa"/>
            <w:vAlign w:val="bottom"/>
            <w:tcBorders>
              <w:bottom w:val="single" w:sz="8" w:color="0000EE"/>
            </w:tcBorders>
            <w:gridSpan w:val="16"/>
          </w:tcPr>
          <w:p>
            <w:pPr>
              <w:spacing w:after="0"/>
              <w:rPr>
                <w:rFonts w:ascii="Arial" w:cs="Arial" w:eastAsia="Arial" w:hAnsi="Arial"/>
                <w:sz w:val="16"/>
                <w:szCs w:val="16"/>
                <w:color w:val="0000EE"/>
                <w:w w:val="98"/>
              </w:rPr>
            </w:pPr>
            <w:hyperlink r:id="rId374">
              <w:r>
                <w:rPr>
                  <w:rFonts w:ascii="Arial" w:cs="Arial" w:eastAsia="Arial" w:hAnsi="Arial"/>
                  <w:sz w:val="16"/>
                  <w:szCs w:val="16"/>
                  <w:color w:val="0000EE"/>
                  <w:w w:val="98"/>
                </w:rPr>
                <w:t>Third Amended and Restated Loan Program Agreement,</w:t>
              </w:r>
            </w:hyperlink>
          </w:p>
        </w:tc>
        <w:tc>
          <w:tcPr>
            <w:tcW w:w="280" w:type="dxa"/>
            <w:vAlign w:val="bottom"/>
            <w:gridSpan w:val="7"/>
          </w:tcPr>
          <w:p>
            <w:pPr>
              <w:spacing w:after="0"/>
              <w:rPr>
                <w:sz w:val="21"/>
                <w:szCs w:val="21"/>
                <w:color w:val="auto"/>
              </w:rPr>
            </w:pP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Borders>
              <w:bottom w:val="single" w:sz="8" w:color="0000EE"/>
            </w:tcBorders>
            <w:gridSpan w:val="21"/>
          </w:tcPr>
          <w:p>
            <w:pPr>
              <w:spacing w:after="0" w:line="158" w:lineRule="exact"/>
              <w:rPr>
                <w:rFonts w:ascii="Arial" w:cs="Arial" w:eastAsia="Arial" w:hAnsi="Arial"/>
                <w:sz w:val="16"/>
                <w:szCs w:val="16"/>
                <w:color w:val="0000EE"/>
                <w:w w:val="99"/>
              </w:rPr>
            </w:pPr>
            <w:hyperlink r:id="rId374">
              <w:r>
                <w:rPr>
                  <w:rFonts w:ascii="Arial" w:cs="Arial" w:eastAsia="Arial" w:hAnsi="Arial"/>
                  <w:sz w:val="16"/>
                  <w:szCs w:val="16"/>
                  <w:color w:val="0000EE"/>
                  <w:w w:val="99"/>
                </w:rPr>
                <w:t>dated January 1, 2019, between Upstart Network, Inc. and</w:t>
              </w:r>
            </w:hyperlink>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4">
              <w:r>
                <w:rPr>
                  <w:rFonts w:ascii="Arial" w:cs="Arial" w:eastAsia="Arial" w:hAnsi="Arial"/>
                  <w:sz w:val="16"/>
                  <w:szCs w:val="16"/>
                  <w:color w:val="0000EE"/>
                </w:rPr>
                <w:t>Cross River Bank, amended as of November 20, 2019 and</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4"/>
          </w:tcPr>
          <w:p>
            <w:pPr>
              <w:spacing w:after="0" w:line="158" w:lineRule="exact"/>
              <w:rPr>
                <w:rFonts w:ascii="Arial" w:cs="Arial" w:eastAsia="Arial" w:hAnsi="Arial"/>
                <w:sz w:val="16"/>
                <w:szCs w:val="16"/>
                <w:color w:val="0000EE"/>
                <w:w w:val="96"/>
              </w:rPr>
            </w:pPr>
            <w:hyperlink r:id="rId374">
              <w:r>
                <w:rPr>
                  <w:rFonts w:ascii="Arial" w:cs="Arial" w:eastAsia="Arial" w:hAnsi="Arial"/>
                  <w:sz w:val="16"/>
                  <w:szCs w:val="16"/>
                  <w:color w:val="0000EE"/>
                  <w:w w:val="96"/>
                </w:rPr>
                <w:t>November 25, 2020.</w:t>
              </w:r>
            </w:hyperlink>
          </w:p>
        </w:tc>
        <w:tc>
          <w:tcPr>
            <w:tcW w:w="2660" w:type="dxa"/>
            <w:vAlign w:val="bottom"/>
            <w:tcBorders>
              <w:top w:val="single" w:sz="8" w:color="0000EE"/>
            </w:tcBorders>
            <w:gridSpan w:val="15"/>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10.14^</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r:id="rId375">
              <w:r>
                <w:rPr>
                  <w:rFonts w:ascii="Arial" w:cs="Arial" w:eastAsia="Arial" w:hAnsi="Arial"/>
                  <w:sz w:val="16"/>
                  <w:szCs w:val="16"/>
                  <w:color w:val="0000EE"/>
                </w:rPr>
                <w:t>Third Amended and Restated Loan Sale Agreement, dated</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5">
              <w:r>
                <w:rPr>
                  <w:rFonts w:ascii="Arial" w:cs="Arial" w:eastAsia="Arial" w:hAnsi="Arial"/>
                  <w:sz w:val="16"/>
                  <w:szCs w:val="16"/>
                  <w:color w:val="0000EE"/>
                </w:rPr>
                <w:t>January 1, 2019, between Upstart Network, Inc. and Cross</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tcBorders>
              <w:top w:val="single" w:sz="8" w:color="0000EE"/>
            </w:tcBorders>
            <w:gridSpan w:val="21"/>
          </w:tcPr>
          <w:p>
            <w:pPr>
              <w:spacing w:after="0" w:line="158" w:lineRule="exact"/>
              <w:rPr>
                <w:rFonts w:ascii="Arial" w:cs="Arial" w:eastAsia="Arial" w:hAnsi="Arial"/>
                <w:sz w:val="16"/>
                <w:szCs w:val="16"/>
                <w:color w:val="0000EE"/>
              </w:rPr>
            </w:pPr>
            <w:hyperlink r:id="rId375">
              <w:r>
                <w:rPr>
                  <w:rFonts w:ascii="Arial" w:cs="Arial" w:eastAsia="Arial" w:hAnsi="Arial"/>
                  <w:sz w:val="16"/>
                  <w:szCs w:val="16"/>
                  <w:color w:val="0000EE"/>
                </w:rPr>
                <w:t>River Bank, amended as of November 25, 2020.</w:t>
              </w:r>
            </w:hyperlink>
          </w:p>
        </w:tc>
        <w:tc>
          <w:tcPr>
            <w:tcW w:w="1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10.15^</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r:id="rId376">
              <w:r>
                <w:rPr>
                  <w:rFonts w:ascii="Arial" w:cs="Arial" w:eastAsia="Arial" w:hAnsi="Arial"/>
                  <w:sz w:val="16"/>
                  <w:szCs w:val="16"/>
                  <w:color w:val="0000EE"/>
                </w:rPr>
                <w:t>Second Amended and Restated Promotion Agreement,</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6">
              <w:r>
                <w:rPr>
                  <w:rFonts w:ascii="Arial" w:cs="Arial" w:eastAsia="Arial" w:hAnsi="Arial"/>
                  <w:sz w:val="16"/>
                  <w:szCs w:val="16"/>
                  <w:color w:val="0000EE"/>
                </w:rPr>
                <w:t>dated November 6, 2020, between Upstart Network, Inc.</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Borders>
              <w:top w:val="single" w:sz="8" w:color="0000EE"/>
              <w:bottom w:val="single" w:sz="8" w:color="0000EE"/>
            </w:tcBorders>
            <w:gridSpan w:val="6"/>
          </w:tcPr>
          <w:p>
            <w:pPr>
              <w:spacing w:after="0" w:line="158" w:lineRule="exact"/>
              <w:rPr>
                <w:rFonts w:ascii="Arial" w:cs="Arial" w:eastAsia="Arial" w:hAnsi="Arial"/>
                <w:sz w:val="16"/>
                <w:szCs w:val="16"/>
                <w:color w:val="0000EE"/>
                <w:w w:val="97"/>
              </w:rPr>
            </w:pPr>
            <w:hyperlink r:id="rId376">
              <w:r>
                <w:rPr>
                  <w:rFonts w:ascii="Arial" w:cs="Arial" w:eastAsia="Arial" w:hAnsi="Arial"/>
                  <w:sz w:val="16"/>
                  <w:szCs w:val="16"/>
                  <w:color w:val="0000EE"/>
                  <w:w w:val="97"/>
                </w:rPr>
                <w:t>and Credit Karma Offers, Inc.</w:t>
              </w:r>
            </w:hyperlink>
          </w:p>
        </w:tc>
        <w:tc>
          <w:tcPr>
            <w:tcW w:w="1920" w:type="dxa"/>
            <w:vAlign w:val="bottom"/>
            <w:tcBorders>
              <w:top w:val="single" w:sz="8" w:color="0000EE"/>
            </w:tcBorders>
            <w:gridSpan w:val="10"/>
          </w:tcPr>
          <w:p>
            <w:pPr>
              <w:spacing w:after="0"/>
              <w:rPr>
                <w:sz w:val="13"/>
                <w:szCs w:val="13"/>
                <w:color w:val="auto"/>
              </w:rPr>
            </w:pPr>
          </w:p>
        </w:tc>
        <w:tc>
          <w:tcPr>
            <w:tcW w:w="28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10.16^</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r:id="rId377">
              <w:r>
                <w:rPr>
                  <w:rFonts w:ascii="Arial" w:cs="Arial" w:eastAsia="Arial" w:hAnsi="Arial"/>
                  <w:sz w:val="16"/>
                  <w:szCs w:val="16"/>
                  <w:color w:val="0000EE"/>
                </w:rPr>
                <w:t>Amended and Restated TransUnion Master Agreement for</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60" w:type="dxa"/>
            <w:vAlign w:val="bottom"/>
            <w:tcBorders>
              <w:top w:val="single" w:sz="8" w:color="0000EE"/>
            </w:tcBorders>
            <w:gridSpan w:val="18"/>
          </w:tcPr>
          <w:p>
            <w:pPr>
              <w:spacing w:after="0" w:line="158" w:lineRule="exact"/>
              <w:rPr>
                <w:rFonts w:ascii="Arial" w:cs="Arial" w:eastAsia="Arial" w:hAnsi="Arial"/>
                <w:sz w:val="16"/>
                <w:szCs w:val="16"/>
                <w:color w:val="0000EE"/>
              </w:rPr>
            </w:pPr>
            <w:hyperlink r:id="rId377">
              <w:r>
                <w:rPr>
                  <w:rFonts w:ascii="Arial" w:cs="Arial" w:eastAsia="Arial" w:hAnsi="Arial"/>
                  <w:sz w:val="16"/>
                  <w:szCs w:val="16"/>
                  <w:color w:val="0000EE"/>
                </w:rPr>
                <w:t>Consumer Reporting and Ancillary Services, dated</w:t>
              </w:r>
            </w:hyperlink>
          </w:p>
        </w:tc>
        <w:tc>
          <w:tcPr>
            <w:tcW w:w="1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7">
              <w:r>
                <w:rPr>
                  <w:rFonts w:ascii="Arial" w:cs="Arial" w:eastAsia="Arial" w:hAnsi="Arial"/>
                  <w:sz w:val="16"/>
                  <w:szCs w:val="16"/>
                  <w:color w:val="0000EE"/>
                </w:rPr>
                <w:t>November 25, 2020, between Upstart Network, Inc. and</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2"/>
          </w:tcPr>
          <w:p>
            <w:pPr>
              <w:spacing w:after="0" w:line="158" w:lineRule="exact"/>
              <w:rPr>
                <w:rFonts w:ascii="Arial" w:cs="Arial" w:eastAsia="Arial" w:hAnsi="Arial"/>
                <w:sz w:val="16"/>
                <w:szCs w:val="16"/>
                <w:color w:val="0000EE"/>
                <w:w w:val="95"/>
              </w:rPr>
            </w:pPr>
            <w:hyperlink r:id="rId377">
              <w:r>
                <w:rPr>
                  <w:rFonts w:ascii="Arial" w:cs="Arial" w:eastAsia="Arial" w:hAnsi="Arial"/>
                  <w:sz w:val="16"/>
                  <w:szCs w:val="16"/>
                  <w:color w:val="0000EE"/>
                  <w:w w:val="95"/>
                </w:rPr>
                <w:t>TransUnion LLC.</w:t>
              </w:r>
            </w:hyperlink>
          </w:p>
        </w:tc>
        <w:tc>
          <w:tcPr>
            <w:tcW w:w="2740" w:type="dxa"/>
            <w:vAlign w:val="bottom"/>
            <w:tcBorders>
              <w:top w:val="single" w:sz="8" w:color="0000EE"/>
            </w:tcBorders>
            <w:gridSpan w:val="13"/>
          </w:tcPr>
          <w:p>
            <w:pPr>
              <w:spacing w:after="0"/>
              <w:rPr>
                <w:sz w:val="13"/>
                <w:szCs w:val="13"/>
                <w:color w:val="auto"/>
              </w:rPr>
            </w:pPr>
          </w:p>
        </w:tc>
        <w:tc>
          <w:tcPr>
            <w:tcW w:w="32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10.17^</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r:id="rId378">
              <w:r>
                <w:rPr>
                  <w:rFonts w:ascii="Arial" w:cs="Arial" w:eastAsia="Arial" w:hAnsi="Arial"/>
                  <w:sz w:val="16"/>
                  <w:szCs w:val="16"/>
                  <w:color w:val="0000EE"/>
                </w:rPr>
                <w:t>Amended and Restated Billing Agent Agreement, dated</w:t>
              </w:r>
            </w:hyperlink>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S-1/A</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40" w:type="dxa"/>
            <w:vAlign w:val="bottom"/>
            <w:gridSpan w:val="23"/>
          </w:tcPr>
          <w:p>
            <w:pPr>
              <w:spacing w:after="0" w:line="158" w:lineRule="exact"/>
              <w:rPr>
                <w:rFonts w:ascii="Arial" w:cs="Arial" w:eastAsia="Arial" w:hAnsi="Arial"/>
                <w:sz w:val="16"/>
                <w:szCs w:val="16"/>
                <w:color w:val="0000EE"/>
              </w:rPr>
            </w:pPr>
            <w:hyperlink r:id="rId378">
              <w:r>
                <w:rPr>
                  <w:rFonts w:ascii="Arial" w:cs="Arial" w:eastAsia="Arial" w:hAnsi="Arial"/>
                  <w:sz w:val="16"/>
                  <w:szCs w:val="16"/>
                  <w:color w:val="0000EE"/>
                </w:rPr>
                <w:t>November 25, 2020, between Upstart Network, Inc. and</w:t>
              </w:r>
            </w:hyperlink>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5"/>
              </w:rPr>
            </w:pPr>
            <w:hyperlink r:id="rId378">
              <w:r>
                <w:rPr>
                  <w:rFonts w:ascii="Arial" w:cs="Arial" w:eastAsia="Arial" w:hAnsi="Arial"/>
                  <w:sz w:val="16"/>
                  <w:szCs w:val="16"/>
                  <w:color w:val="0000EE"/>
                  <w:w w:val="95"/>
                </w:rPr>
                <w:t>Trans Union LLC.</w:t>
              </w:r>
            </w:hyperlink>
          </w:p>
        </w:tc>
        <w:tc>
          <w:tcPr>
            <w:tcW w:w="2660" w:type="dxa"/>
            <w:vAlign w:val="bottom"/>
            <w:tcBorders>
              <w:top w:val="single" w:sz="8" w:color="0000EE"/>
            </w:tcBorders>
            <w:gridSpan w:val="11"/>
          </w:tcPr>
          <w:p>
            <w:pPr>
              <w:spacing w:after="0"/>
              <w:rPr>
                <w:sz w:val="13"/>
                <w:szCs w:val="13"/>
                <w:color w:val="auto"/>
              </w:rPr>
            </w:pPr>
          </w:p>
        </w:tc>
        <w:tc>
          <w:tcPr>
            <w:tcW w:w="360" w:type="dxa"/>
            <w:vAlign w:val="bottom"/>
            <w:gridSpan w:val="9"/>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820" w:type="dxa"/>
            <w:vAlign w:val="bottom"/>
          </w:tcPr>
          <w:p>
            <w:pPr>
              <w:ind w:left="80"/>
              <w:spacing w:after="0"/>
              <w:rPr>
                <w:sz w:val="20"/>
                <w:szCs w:val="20"/>
                <w:color w:val="auto"/>
              </w:rPr>
            </w:pPr>
            <w:r>
              <w:rPr>
                <w:rFonts w:ascii="Arial" w:cs="Arial" w:eastAsia="Arial" w:hAnsi="Arial"/>
                <w:sz w:val="16"/>
                <w:szCs w:val="16"/>
                <w:color w:val="auto"/>
              </w:rPr>
              <w:t>21.1*</w:t>
            </w:r>
          </w:p>
        </w:tc>
        <w:tc>
          <w:tcPr>
            <w:tcW w:w="300" w:type="dxa"/>
            <w:vAlign w:val="bottom"/>
          </w:tcPr>
          <w:p>
            <w:pPr>
              <w:spacing w:after="0"/>
              <w:rPr>
                <w:sz w:val="21"/>
                <w:szCs w:val="21"/>
                <w:color w:val="auto"/>
              </w:rPr>
            </w:pPr>
          </w:p>
        </w:tc>
        <w:tc>
          <w:tcPr>
            <w:tcW w:w="4240" w:type="dxa"/>
            <w:vAlign w:val="bottom"/>
            <w:gridSpan w:val="23"/>
          </w:tcPr>
          <w:p>
            <w:pPr>
              <w:spacing w:after="0"/>
              <w:rPr>
                <w:rFonts w:ascii="Arial" w:cs="Arial" w:eastAsia="Arial" w:hAnsi="Arial"/>
                <w:sz w:val="16"/>
                <w:szCs w:val="16"/>
                <w:color w:val="0000EE"/>
              </w:rPr>
            </w:pPr>
            <w:hyperlink w:anchor="page313">
              <w:r>
                <w:rPr>
                  <w:rFonts w:ascii="Arial" w:cs="Arial" w:eastAsia="Arial" w:hAnsi="Arial"/>
                  <w:sz w:val="16"/>
                  <w:szCs w:val="16"/>
                  <w:color w:val="0000EE"/>
                </w:rPr>
                <w:t>List of subsidiaries of the registrant.</w:t>
              </w:r>
            </w:hyperlink>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13"/>
          </w:tcPr>
          <w:p>
            <w:pPr>
              <w:ind w:left="80"/>
              <w:spacing w:after="0"/>
              <w:rPr>
                <w:sz w:val="20"/>
                <w:szCs w:val="20"/>
                <w:color w:val="auto"/>
              </w:rPr>
            </w:pPr>
            <w:r>
              <w:rPr>
                <w:rFonts w:ascii="Arial" w:cs="Arial" w:eastAsia="Arial" w:hAnsi="Arial"/>
                <w:sz w:val="16"/>
                <w:szCs w:val="16"/>
                <w:color w:val="auto"/>
              </w:rPr>
              <w:t>II-6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230568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2305685" cy="762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4"/>
                <w:szCs w:val="14"/>
                <w:color w:val="auto"/>
              </w:rPr>
            </w:pPr>
          </w:p>
        </w:tc>
        <w:tc>
          <w:tcPr>
            <w:tcW w:w="17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Filing Date</w:t>
            </w:r>
          </w:p>
        </w:tc>
      </w:tr>
      <w:tr>
        <w:trPr>
          <w:trHeight w:val="263"/>
        </w:trPr>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333-249860</w:t>
            </w: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c>
          <w:tcPr>
            <w:tcW w:w="1720" w:type="dxa"/>
            <w:vAlign w:val="bottom"/>
          </w:tcPr>
          <w:p>
            <w:pPr>
              <w:ind w:left="440"/>
              <w:spacing w:after="0"/>
              <w:rPr>
                <w:sz w:val="20"/>
                <w:szCs w:val="20"/>
                <w:color w:val="auto"/>
              </w:rPr>
            </w:pPr>
            <w:r>
              <w:rPr>
                <w:rFonts w:ascii="Arial" w:cs="Arial" w:eastAsia="Arial" w:hAnsi="Arial"/>
                <w:sz w:val="16"/>
                <w:szCs w:val="16"/>
                <w:color w:val="auto"/>
                <w:w w:val="95"/>
              </w:rPr>
              <w:t>November 6,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10.10</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5, 2020</w:t>
            </w:r>
          </w:p>
        </w:tc>
      </w:tr>
      <w:tr>
        <w:trPr>
          <w:trHeight w:val="804"/>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10.11</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5, 2020</w:t>
            </w:r>
          </w:p>
        </w:tc>
      </w:tr>
      <w:tr>
        <w:trPr>
          <w:trHeight w:val="627"/>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10.13</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5, 2020</w:t>
            </w:r>
          </w:p>
        </w:tc>
      </w:tr>
      <w:tr>
        <w:trPr>
          <w:trHeight w:val="804"/>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10.14</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5, 2020</w:t>
            </w:r>
          </w:p>
        </w:tc>
      </w:tr>
      <w:tr>
        <w:trPr>
          <w:trHeight w:val="627"/>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10.15</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November 5, 2020</w:t>
            </w:r>
          </w:p>
        </w:tc>
      </w:tr>
      <w:tr>
        <w:trPr>
          <w:trHeight w:val="627"/>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10.16</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7, 2020</w:t>
            </w:r>
          </w:p>
        </w:tc>
      </w:tr>
      <w:tr>
        <w:trPr>
          <w:trHeight w:val="804"/>
        </w:trPr>
        <w:tc>
          <w:tcPr>
            <w:tcW w:w="980" w:type="dxa"/>
            <w:vAlign w:val="bottom"/>
          </w:tcPr>
          <w:p>
            <w:pPr>
              <w:jc w:val="right"/>
              <w:ind w:right="61"/>
              <w:spacing w:after="0"/>
              <w:rPr>
                <w:sz w:val="20"/>
                <w:szCs w:val="20"/>
                <w:color w:val="auto"/>
              </w:rPr>
            </w:pPr>
            <w:r>
              <w:rPr>
                <w:rFonts w:ascii="Arial" w:cs="Arial" w:eastAsia="Arial" w:hAnsi="Arial"/>
                <w:sz w:val="16"/>
                <w:szCs w:val="16"/>
                <w:color w:val="auto"/>
                <w:w w:val="95"/>
              </w:rPr>
              <w:t>333-249860</w:t>
            </w:r>
          </w:p>
        </w:tc>
        <w:tc>
          <w:tcPr>
            <w:tcW w:w="800" w:type="dxa"/>
            <w:vAlign w:val="bottom"/>
          </w:tcPr>
          <w:p>
            <w:pPr>
              <w:jc w:val="right"/>
              <w:ind w:right="201"/>
              <w:spacing w:after="0"/>
              <w:rPr>
                <w:sz w:val="20"/>
                <w:szCs w:val="20"/>
                <w:color w:val="auto"/>
              </w:rPr>
            </w:pPr>
            <w:r>
              <w:rPr>
                <w:rFonts w:ascii="Arial" w:cs="Arial" w:eastAsia="Arial" w:hAnsi="Arial"/>
                <w:sz w:val="16"/>
                <w:szCs w:val="16"/>
                <w:color w:val="auto"/>
              </w:rPr>
              <w:t>10.17</w:t>
            </w:r>
          </w:p>
        </w:tc>
        <w:tc>
          <w:tcPr>
            <w:tcW w:w="1540" w:type="dxa"/>
            <w:vAlign w:val="bottom"/>
          </w:tcPr>
          <w:p>
            <w:pPr>
              <w:ind w:left="260"/>
              <w:spacing w:after="0"/>
              <w:rPr>
                <w:sz w:val="20"/>
                <w:szCs w:val="20"/>
                <w:color w:val="auto"/>
              </w:rPr>
            </w:pPr>
            <w:r>
              <w:rPr>
                <w:rFonts w:ascii="Arial" w:cs="Arial" w:eastAsia="Arial" w:hAnsi="Arial"/>
                <w:sz w:val="16"/>
                <w:szCs w:val="16"/>
                <w:color w:val="auto"/>
                <w:w w:val="95"/>
              </w:rPr>
              <w:t>December 7, 2020</w:t>
            </w:r>
          </w:p>
        </w:tc>
      </w:tr>
    </w:tbl>
    <w:p>
      <w:pPr>
        <w:sectPr>
          <w:pgSz w:w="11900" w:h="16838" w:orient="portrait"/>
          <w:cols w:equalWidth="0" w:num="2">
            <w:col w:w="6720" w:space="100"/>
            <w:col w:w="3620"/>
          </w:cols>
          <w:pgMar w:left="320" w:top="419" w:right="1139" w:bottom="1440" w:gutter="0" w:footer="0" w:header="0"/>
        </w:sectPr>
      </w:pPr>
    </w:p>
    <w:bookmarkStart w:id="275" w:name="page276"/>
    <w:bookmarkEnd w:id="2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166"/>
        </w:trPr>
        <w:tc>
          <w:tcPr>
            <w:tcW w:w="6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Exhibit</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Incorporated by Reference</w:t>
            </w:r>
          </w:p>
        </w:tc>
        <w:tc>
          <w:tcPr>
            <w:tcW w:w="0" w:type="dxa"/>
            <w:vAlign w:val="bottom"/>
          </w:tcPr>
          <w:p>
            <w:pPr>
              <w:spacing w:after="0"/>
              <w:rPr>
                <w:sz w:val="1"/>
                <w:szCs w:val="1"/>
                <w:color w:val="auto"/>
              </w:rPr>
            </w:pPr>
          </w:p>
        </w:tc>
      </w:tr>
      <w:tr>
        <w:trPr>
          <w:trHeight w:val="110"/>
        </w:trPr>
        <w:tc>
          <w:tcPr>
            <w:tcW w:w="6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78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rPr>
              <w:t>Description</w:t>
            </w:r>
          </w:p>
        </w:tc>
        <w:tc>
          <w:tcPr>
            <w:tcW w:w="100" w:type="dxa"/>
            <w:vAlign w:val="bottom"/>
            <w:vMerge w:val="restart"/>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Form</w:t>
            </w:r>
          </w:p>
        </w:tc>
        <w:tc>
          <w:tcPr>
            <w:tcW w:w="100" w:type="dxa"/>
            <w:vAlign w:val="bottom"/>
            <w:vMerge w:val="restart"/>
          </w:tcPr>
          <w:p>
            <w:pPr>
              <w:spacing w:after="0"/>
              <w:rPr>
                <w:sz w:val="9"/>
                <w:szCs w:val="9"/>
                <w:color w:val="auto"/>
              </w:rPr>
            </w:pPr>
          </w:p>
        </w:tc>
        <w:tc>
          <w:tcPr>
            <w:tcW w:w="90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File No.</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Exhibit</w:t>
            </w:r>
          </w:p>
        </w:tc>
        <w:tc>
          <w:tcPr>
            <w:tcW w:w="100" w:type="dxa"/>
            <w:vAlign w:val="bottom"/>
            <w:vMerge w:val="restart"/>
          </w:tcPr>
          <w:p>
            <w:pPr>
              <w:spacing w:after="0"/>
              <w:rPr>
                <w:sz w:val="9"/>
                <w:szCs w:val="9"/>
                <w:color w:val="auto"/>
              </w:rPr>
            </w:pPr>
          </w:p>
        </w:tc>
        <w:tc>
          <w:tcPr>
            <w:tcW w:w="172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54"/>
        </w:trPr>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640" w:type="dxa"/>
            <w:vAlign w:val="bottom"/>
          </w:tcPr>
          <w:p>
            <w:pPr>
              <w:ind w:left="80"/>
              <w:spacing w:after="0"/>
              <w:rPr>
                <w:sz w:val="20"/>
                <w:szCs w:val="20"/>
                <w:color w:val="auto"/>
              </w:rPr>
            </w:pPr>
            <w:r>
              <w:rPr>
                <w:rFonts w:ascii="Arial" w:cs="Arial" w:eastAsia="Arial" w:hAnsi="Arial"/>
                <w:sz w:val="16"/>
                <w:szCs w:val="16"/>
                <w:color w:val="auto"/>
              </w:rPr>
              <w:t>23.1*</w:t>
            </w:r>
          </w:p>
        </w:tc>
        <w:tc>
          <w:tcPr>
            <w:tcW w:w="280" w:type="dxa"/>
            <w:vAlign w:val="bottom"/>
          </w:tcPr>
          <w:p>
            <w:pPr>
              <w:spacing w:after="0"/>
              <w:rPr>
                <w:sz w:val="19"/>
                <w:szCs w:val="19"/>
                <w:color w:val="auto"/>
              </w:rPr>
            </w:pPr>
          </w:p>
        </w:tc>
        <w:tc>
          <w:tcPr>
            <w:tcW w:w="4120" w:type="dxa"/>
            <w:vAlign w:val="bottom"/>
            <w:tcBorders>
              <w:bottom w:val="single" w:sz="8" w:color="0000EE"/>
            </w:tcBorders>
            <w:gridSpan w:val="4"/>
          </w:tcPr>
          <w:p>
            <w:pPr>
              <w:spacing w:after="0"/>
              <w:rPr>
                <w:rFonts w:ascii="Arial" w:cs="Arial" w:eastAsia="Arial" w:hAnsi="Arial"/>
                <w:sz w:val="16"/>
                <w:szCs w:val="16"/>
                <w:color w:val="0000EE"/>
                <w:w w:val="97"/>
              </w:rPr>
            </w:pPr>
            <w:hyperlink w:anchor="page314">
              <w:r>
                <w:rPr>
                  <w:rFonts w:ascii="Arial" w:cs="Arial" w:eastAsia="Arial" w:hAnsi="Arial"/>
                  <w:sz w:val="16"/>
                  <w:szCs w:val="16"/>
                  <w:color w:val="0000EE"/>
                  <w:w w:val="97"/>
                </w:rPr>
                <w:t>Consent of Deloitte &amp; Touche LLP, Independent Registered</w:t>
              </w:r>
            </w:hyperlink>
          </w:p>
        </w:tc>
        <w:tc>
          <w:tcPr>
            <w:tcW w:w="420" w:type="dxa"/>
            <w:vAlign w:val="bottom"/>
            <w:gridSpan w:val="3"/>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Borders>
              <w:bottom w:val="single" w:sz="8" w:color="0000EE"/>
            </w:tcBorders>
            <w:gridSpan w:val="2"/>
          </w:tcPr>
          <w:p>
            <w:pPr>
              <w:spacing w:after="0" w:line="158" w:lineRule="exact"/>
              <w:rPr>
                <w:rFonts w:ascii="Arial" w:cs="Arial" w:eastAsia="Arial" w:hAnsi="Arial"/>
                <w:sz w:val="16"/>
                <w:szCs w:val="16"/>
                <w:color w:val="0000EE"/>
                <w:w w:val="97"/>
              </w:rPr>
            </w:pPr>
            <w:hyperlink w:anchor="page314">
              <w:r>
                <w:rPr>
                  <w:rFonts w:ascii="Arial" w:cs="Arial" w:eastAsia="Arial" w:hAnsi="Arial"/>
                  <w:sz w:val="16"/>
                  <w:szCs w:val="16"/>
                  <w:color w:val="0000EE"/>
                  <w:w w:val="97"/>
                </w:rPr>
                <w:t>Public Accounting Firm.</w:t>
              </w:r>
            </w:hyperlink>
          </w:p>
        </w:tc>
        <w:tc>
          <w:tcPr>
            <w:tcW w:w="2880" w:type="dxa"/>
            <w:vAlign w:val="bottom"/>
            <w:gridSpan w:val="5"/>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40" w:type="dxa"/>
            <w:vAlign w:val="bottom"/>
          </w:tcPr>
          <w:p>
            <w:pPr>
              <w:ind w:left="80"/>
              <w:spacing w:after="0"/>
              <w:rPr>
                <w:sz w:val="20"/>
                <w:szCs w:val="20"/>
                <w:color w:val="auto"/>
              </w:rPr>
            </w:pPr>
            <w:r>
              <w:rPr>
                <w:rFonts w:ascii="Arial" w:cs="Arial" w:eastAsia="Arial" w:hAnsi="Arial"/>
                <w:sz w:val="16"/>
                <w:szCs w:val="16"/>
                <w:color w:val="auto"/>
              </w:rPr>
              <w:t>23.2*</w:t>
            </w:r>
          </w:p>
        </w:tc>
        <w:tc>
          <w:tcPr>
            <w:tcW w:w="280" w:type="dxa"/>
            <w:vAlign w:val="bottom"/>
          </w:tcPr>
          <w:p>
            <w:pPr>
              <w:spacing w:after="0"/>
              <w:rPr>
                <w:sz w:val="21"/>
                <w:szCs w:val="21"/>
                <w:color w:val="auto"/>
              </w:rPr>
            </w:pPr>
          </w:p>
        </w:tc>
        <w:tc>
          <w:tcPr>
            <w:tcW w:w="4540" w:type="dxa"/>
            <w:vAlign w:val="bottom"/>
            <w:gridSpan w:val="7"/>
          </w:tcPr>
          <w:p>
            <w:pPr>
              <w:spacing w:after="0"/>
              <w:rPr>
                <w:rFonts w:ascii="Arial" w:cs="Arial" w:eastAsia="Arial" w:hAnsi="Arial"/>
                <w:sz w:val="16"/>
                <w:szCs w:val="16"/>
                <w:color w:val="0000EE"/>
              </w:rPr>
            </w:pPr>
            <w:hyperlink w:anchor="page312">
              <w:r>
                <w:rPr>
                  <w:rFonts w:ascii="Arial" w:cs="Arial" w:eastAsia="Arial" w:hAnsi="Arial"/>
                  <w:sz w:val="16"/>
                  <w:szCs w:val="16"/>
                  <w:color w:val="0000EE"/>
                </w:rPr>
                <w:t>Consent of Wilson Sonsini Goodrich &amp; Rosati, P.C. (included in</w:t>
              </w:r>
            </w:hyperlink>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top w:val="single" w:sz="8" w:color="0000EE"/>
              <w:bottom w:val="single" w:sz="8" w:color="0000EE"/>
            </w:tcBorders>
          </w:tcPr>
          <w:p>
            <w:pPr>
              <w:spacing w:after="0" w:line="158" w:lineRule="exact"/>
              <w:rPr>
                <w:rFonts w:ascii="Arial" w:cs="Arial" w:eastAsia="Arial" w:hAnsi="Arial"/>
                <w:sz w:val="16"/>
                <w:szCs w:val="16"/>
                <w:color w:val="0000EE"/>
                <w:w w:val="97"/>
              </w:rPr>
            </w:pPr>
            <w:hyperlink w:anchor="page312">
              <w:r>
                <w:rPr>
                  <w:rFonts w:ascii="Arial" w:cs="Arial" w:eastAsia="Arial" w:hAnsi="Arial"/>
                  <w:sz w:val="16"/>
                  <w:szCs w:val="16"/>
                  <w:color w:val="0000EE"/>
                  <w:w w:val="97"/>
                </w:rPr>
                <w:t>Exhibit 5.1).</w:t>
              </w:r>
            </w:hyperlink>
          </w:p>
        </w:tc>
        <w:tc>
          <w:tcPr>
            <w:tcW w:w="3540" w:type="dxa"/>
            <w:vAlign w:val="bottom"/>
            <w:tcBorders>
              <w:top w:val="single" w:sz="8" w:color="0000EE"/>
            </w:tcBorders>
            <w:gridSpan w:val="4"/>
          </w:tcPr>
          <w:p>
            <w:pPr>
              <w:spacing w:after="0"/>
              <w:rPr>
                <w:sz w:val="13"/>
                <w:szCs w:val="13"/>
                <w:color w:val="auto"/>
              </w:rPr>
            </w:pPr>
          </w:p>
        </w:tc>
        <w:tc>
          <w:tcPr>
            <w:tcW w:w="16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40" w:type="dxa"/>
            <w:vAlign w:val="bottom"/>
          </w:tcPr>
          <w:p>
            <w:pPr>
              <w:ind w:left="80"/>
              <w:spacing w:after="0"/>
              <w:rPr>
                <w:sz w:val="20"/>
                <w:szCs w:val="20"/>
                <w:color w:val="auto"/>
              </w:rPr>
            </w:pPr>
            <w:r>
              <w:rPr>
                <w:rFonts w:ascii="Arial" w:cs="Arial" w:eastAsia="Arial" w:hAnsi="Arial"/>
                <w:sz w:val="16"/>
                <w:szCs w:val="16"/>
                <w:color w:val="auto"/>
              </w:rPr>
              <w:t>24.1*</w:t>
            </w:r>
          </w:p>
        </w:tc>
        <w:tc>
          <w:tcPr>
            <w:tcW w:w="280" w:type="dxa"/>
            <w:vAlign w:val="bottom"/>
          </w:tcPr>
          <w:p>
            <w:pPr>
              <w:spacing w:after="0"/>
              <w:rPr>
                <w:sz w:val="21"/>
                <w:szCs w:val="21"/>
                <w:color w:val="auto"/>
              </w:rPr>
            </w:pPr>
          </w:p>
        </w:tc>
        <w:tc>
          <w:tcPr>
            <w:tcW w:w="386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277">
              <w:r>
                <w:rPr>
                  <w:rFonts w:ascii="Arial" w:cs="Arial" w:eastAsia="Arial" w:hAnsi="Arial"/>
                  <w:sz w:val="16"/>
                  <w:szCs w:val="16"/>
                  <w:color w:val="0000EE"/>
                  <w:w w:val="98"/>
                </w:rPr>
                <w:t>Power of Attorney (included in signature pages hereto).</w:t>
              </w:r>
            </w:hyperlink>
          </w:p>
        </w:tc>
        <w:tc>
          <w:tcPr>
            <w:tcW w:w="68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82550</wp:posOffset>
            </wp:positionV>
            <wp:extent cx="67564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150" w:lineRule="exact"/>
        <w:rPr>
          <w:sz w:val="20"/>
          <w:szCs w:val="20"/>
          <w:color w:val="auto"/>
        </w:rPr>
      </w:pPr>
    </w:p>
    <w:p>
      <w:pPr>
        <w:ind w:left="1280" w:hanging="481"/>
        <w:spacing w:after="0"/>
        <w:tabs>
          <w:tab w:leader="none" w:pos="12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ind w:left="1280" w:hanging="481"/>
        <w:spacing w:after="0" w:line="231" w:lineRule="auto"/>
        <w:tabs>
          <w:tab w:leader="none" w:pos="12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Portions of this exhibit (indicated by asterisk) have been excluded because such information is both (i) not material and (ii) would be competitively harmful if publicly disclosed.</w:t>
      </w:r>
    </w:p>
    <w:p>
      <w:pPr>
        <w:spacing w:after="0" w:line="1" w:lineRule="exact"/>
        <w:rPr>
          <w:sz w:val="20"/>
          <w:szCs w:val="20"/>
          <w:color w:val="auto"/>
        </w:rPr>
      </w:pPr>
    </w:p>
    <w:p>
      <w:pPr>
        <w:ind w:left="1280" w:hanging="481"/>
        <w:spacing w:after="0"/>
        <w:tabs>
          <w:tab w:leader="none" w:pos="12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2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0440"/>
          </w:cols>
          <w:pgMar w:left="320" w:top="419" w:right="1139" w:bottom="1440" w:gutter="0" w:footer="0" w:header="0"/>
        </w:sectPr>
      </w:pPr>
    </w:p>
    <w:bookmarkStart w:id="276" w:name="page277"/>
    <w:bookmarkEnd w:id="2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1"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SIGNATURES</w:t>
      </w:r>
    </w:p>
    <w:p>
      <w:pPr>
        <w:spacing w:after="0" w:line="203" w:lineRule="exact"/>
        <w:rPr>
          <w:sz w:val="20"/>
          <w:szCs w:val="20"/>
          <w:color w:val="auto"/>
        </w:rPr>
      </w:pPr>
    </w:p>
    <w:p>
      <w:pPr>
        <w:ind w:left="800" w:right="60" w:firstLine="482"/>
        <w:spacing w:after="0" w:line="236"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San Mateo, California, on the 6th day of April, 2021.</w:t>
      </w:r>
    </w:p>
    <w:p>
      <w:pPr>
        <w:spacing w:after="0" w:line="182"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UPSTART HOLDINGS, INC.</w:t>
      </w:r>
    </w:p>
    <w:p>
      <w:pPr>
        <w:spacing w:after="0" w:line="203"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By: /s/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-3175</wp:posOffset>
            </wp:positionV>
            <wp:extent cx="224536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ind w:left="6920"/>
        <w:spacing w:after="0"/>
        <w:rPr>
          <w:sz w:val="20"/>
          <w:szCs w:val="20"/>
          <w:color w:val="auto"/>
        </w:rPr>
      </w:pPr>
      <w:r>
        <w:rPr>
          <w:rFonts w:ascii="Arial" w:cs="Arial" w:eastAsia="Arial" w:hAnsi="Arial"/>
          <w:sz w:val="16"/>
          <w:szCs w:val="16"/>
          <w:color w:val="auto"/>
        </w:rPr>
        <w:t>Dave Girouard</w:t>
      </w:r>
    </w:p>
    <w:p>
      <w:pPr>
        <w:ind w:left="6920"/>
        <w:spacing w:after="0"/>
        <w:rPr>
          <w:sz w:val="20"/>
          <w:szCs w:val="20"/>
          <w:color w:val="auto"/>
        </w:rPr>
      </w:pPr>
      <w:r>
        <w:rPr>
          <w:rFonts w:ascii="Arial" w:cs="Arial" w:eastAsia="Arial" w:hAnsi="Arial"/>
          <w:sz w:val="16"/>
          <w:szCs w:val="16"/>
          <w:color w:val="auto"/>
        </w:rPr>
        <w:t>Chief Executive Officer</w:t>
      </w:r>
    </w:p>
    <w:p>
      <w:pPr>
        <w:spacing w:after="0" w:line="257"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POWER OF ATTORNEY</w:t>
      </w:r>
    </w:p>
    <w:p>
      <w:pPr>
        <w:spacing w:after="0" w:line="203" w:lineRule="exact"/>
        <w:rPr>
          <w:sz w:val="20"/>
          <w:szCs w:val="20"/>
          <w:color w:val="auto"/>
        </w:rPr>
      </w:pPr>
    </w:p>
    <w:p>
      <w:pPr>
        <w:ind w:left="800" w:firstLine="482"/>
        <w:spacing w:after="0" w:line="232"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Dave Girouard, Sanjay Datta and Alison Nicoll,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5" w:lineRule="exact"/>
        <w:rPr>
          <w:sz w:val="20"/>
          <w:szCs w:val="20"/>
          <w:color w:val="auto"/>
        </w:rPr>
      </w:pPr>
    </w:p>
    <w:p>
      <w:pPr>
        <w:ind w:left="800" w:right="80" w:firstLine="482"/>
        <w:spacing w:after="0" w:line="238" w:lineRule="auto"/>
        <w:rPr>
          <w:sz w:val="20"/>
          <w:szCs w:val="20"/>
          <w:color w:val="auto"/>
        </w:rPr>
      </w:pPr>
      <w:r>
        <w:rPr>
          <w:rFonts w:ascii="Arial" w:cs="Arial" w:eastAsia="Arial" w:hAnsi="Arial"/>
          <w:sz w:val="16"/>
          <w:szCs w:val="16"/>
          <w:color w:val="auto"/>
        </w:rPr>
        <w:t>Pursuant to the requirements of the Securities Act of 1933, as amended, this registration statement on Form S-1 has been signed by the following persons in the capacities and on the dates indicated.</w:t>
      </w:r>
    </w:p>
    <w:p>
      <w:pPr>
        <w:spacing w:after="0" w:line="192" w:lineRule="exact"/>
        <w:rPr>
          <w:sz w:val="20"/>
          <w:szCs w:val="20"/>
          <w:color w:val="auto"/>
        </w:rPr>
      </w:pPr>
    </w:p>
    <w:tbl>
      <w:tblPr>
        <w:tblLayout w:type="fixed"/>
        <w:tblInd w:w="800" w:type="dxa"/>
        <w:tblCellMar>
          <w:top w:w="0" w:type="dxa"/>
          <w:left w:w="0" w:type="dxa"/>
          <w:bottom w:w="0" w:type="dxa"/>
          <w:right w:w="0" w:type="dxa"/>
        </w:tblCellMar>
      </w:tblPr>
      <w:tr>
        <w:trPr>
          <w:trHeight w:val="154"/>
        </w:trPr>
        <w:tc>
          <w:tcPr>
            <w:tcW w:w="2320" w:type="dxa"/>
            <w:vAlign w:val="bottom"/>
            <w:gridSpan w:val="2"/>
          </w:tcPr>
          <w:p>
            <w:pPr>
              <w:ind w:left="1740"/>
              <w:spacing w:after="0"/>
              <w:rPr>
                <w:sz w:val="20"/>
                <w:szCs w:val="20"/>
                <w:color w:val="auto"/>
              </w:rPr>
            </w:pPr>
            <w:r>
              <w:rPr>
                <w:rFonts w:ascii="Arial" w:cs="Arial" w:eastAsia="Arial" w:hAnsi="Arial"/>
                <w:sz w:val="13"/>
                <w:szCs w:val="13"/>
                <w:b w:val="1"/>
                <w:bCs w:val="1"/>
                <w:color w:val="auto"/>
                <w:w w:val="93"/>
              </w:rPr>
              <w:t>Signature</w:t>
            </w:r>
          </w:p>
        </w:tc>
        <w:tc>
          <w:tcPr>
            <w:tcW w:w="1740" w:type="dxa"/>
            <w:vAlign w:val="bottom"/>
          </w:tcPr>
          <w:p>
            <w:pPr>
              <w:spacing w:after="0"/>
              <w:rPr>
                <w:sz w:val="13"/>
                <w:szCs w:val="13"/>
                <w:color w:val="auto"/>
              </w:rPr>
            </w:pPr>
          </w:p>
        </w:tc>
        <w:tc>
          <w:tcPr>
            <w:tcW w:w="3320" w:type="dxa"/>
            <w:vAlign w:val="bottom"/>
            <w:gridSpan w:val="3"/>
          </w:tcPr>
          <w:p>
            <w:pPr>
              <w:ind w:left="1840"/>
              <w:spacing w:after="0"/>
              <w:rPr>
                <w:sz w:val="20"/>
                <w:szCs w:val="20"/>
                <w:color w:val="auto"/>
              </w:rPr>
            </w:pPr>
            <w:r>
              <w:rPr>
                <w:rFonts w:ascii="Arial" w:cs="Arial" w:eastAsia="Arial" w:hAnsi="Arial"/>
                <w:sz w:val="13"/>
                <w:szCs w:val="13"/>
                <w:b w:val="1"/>
                <w:bCs w:val="1"/>
                <w:color w:val="auto"/>
              </w:rPr>
              <w:t>Title</w:t>
            </w:r>
          </w:p>
        </w:tc>
        <w:tc>
          <w:tcPr>
            <w:tcW w:w="1600" w:type="dxa"/>
            <w:vAlign w:val="bottom"/>
            <w:gridSpan w:val="2"/>
          </w:tcPr>
          <w:p>
            <w:pPr>
              <w:ind w:left="1320"/>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358"/>
        </w:trPr>
        <w:tc>
          <w:tcPr>
            <w:tcW w:w="1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Dave Girouard</w:t>
            </w: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Chief Executive Officer and Director</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2320" w:type="dxa"/>
            <w:vAlign w:val="bottom"/>
            <w:gridSpan w:val="2"/>
          </w:tcPr>
          <w:p>
            <w:pPr>
              <w:spacing w:after="0"/>
              <w:rPr>
                <w:sz w:val="20"/>
                <w:szCs w:val="20"/>
                <w:color w:val="auto"/>
              </w:rPr>
            </w:pPr>
            <w:r>
              <w:rPr>
                <w:rFonts w:ascii="Arial" w:cs="Arial" w:eastAsia="Arial" w:hAnsi="Arial"/>
                <w:sz w:val="16"/>
                <w:szCs w:val="16"/>
                <w:color w:val="auto"/>
              </w:rPr>
              <w:t>Dave Girouard</w:t>
            </w:r>
          </w:p>
        </w:tc>
        <w:tc>
          <w:tcPr>
            <w:tcW w:w="1740" w:type="dxa"/>
            <w:vAlign w:val="bottom"/>
          </w:tcPr>
          <w:p>
            <w:pPr>
              <w:spacing w:after="0"/>
              <w:rPr>
                <w:sz w:val="16"/>
                <w:szCs w:val="16"/>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p>
        </w:tc>
        <w:tc>
          <w:tcPr>
            <w:tcW w:w="1600" w:type="dxa"/>
            <w:vAlign w:val="bottom"/>
            <w:gridSpan w:val="2"/>
          </w:tcPr>
          <w:p>
            <w:pPr>
              <w:ind w:left="620"/>
              <w:spacing w:after="0"/>
              <w:rPr>
                <w:sz w:val="20"/>
                <w:szCs w:val="20"/>
                <w:color w:val="auto"/>
              </w:rPr>
            </w:pPr>
            <w:r>
              <w:rPr>
                <w:rFonts w:ascii="Arial" w:cs="Arial" w:eastAsia="Arial" w:hAnsi="Arial"/>
                <w:sz w:val="16"/>
                <w:szCs w:val="16"/>
                <w:color w:val="auto"/>
              </w:rPr>
              <w:t>April 6, 2021</w:t>
            </w:r>
          </w:p>
        </w:tc>
      </w:tr>
      <w:tr>
        <w:trPr>
          <w:trHeight w:val="356"/>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Sanjay Datta</w:t>
            </w:r>
          </w:p>
        </w:tc>
        <w:tc>
          <w:tcPr>
            <w:tcW w:w="1740" w:type="dxa"/>
            <w:vAlign w:val="bottom"/>
            <w:tcBorders>
              <w:bottom w:val="single" w:sz="8" w:color="auto"/>
            </w:tcBorders>
          </w:tcPr>
          <w:p>
            <w:pPr>
              <w:spacing w:after="0"/>
              <w:rPr>
                <w:sz w:val="24"/>
                <w:szCs w:val="24"/>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Chief Financial Officer</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2320" w:type="dxa"/>
            <w:vAlign w:val="bottom"/>
            <w:gridSpan w:val="2"/>
          </w:tcPr>
          <w:p>
            <w:pPr>
              <w:spacing w:after="0"/>
              <w:rPr>
                <w:sz w:val="20"/>
                <w:szCs w:val="20"/>
                <w:color w:val="auto"/>
              </w:rPr>
            </w:pPr>
            <w:r>
              <w:rPr>
                <w:rFonts w:ascii="Arial" w:cs="Arial" w:eastAsia="Arial" w:hAnsi="Arial"/>
                <w:sz w:val="16"/>
                <w:szCs w:val="16"/>
                <w:color w:val="auto"/>
              </w:rPr>
              <w:t>Sanjay Datta</w:t>
            </w:r>
          </w:p>
        </w:tc>
        <w:tc>
          <w:tcPr>
            <w:tcW w:w="1740" w:type="dxa"/>
            <w:vAlign w:val="bottom"/>
          </w:tcPr>
          <w:p>
            <w:pPr>
              <w:spacing w:after="0"/>
              <w:rPr>
                <w:sz w:val="16"/>
                <w:szCs w:val="16"/>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Officer)</w:t>
            </w:r>
          </w:p>
        </w:tc>
        <w:tc>
          <w:tcPr>
            <w:tcW w:w="1600" w:type="dxa"/>
            <w:vAlign w:val="bottom"/>
            <w:gridSpan w:val="2"/>
          </w:tcPr>
          <w:p>
            <w:pPr>
              <w:ind w:left="620"/>
              <w:spacing w:after="0"/>
              <w:rPr>
                <w:sz w:val="20"/>
                <w:szCs w:val="20"/>
                <w:color w:val="auto"/>
              </w:rPr>
            </w:pPr>
            <w:r>
              <w:rPr>
                <w:rFonts w:ascii="Arial" w:cs="Arial" w:eastAsia="Arial" w:hAnsi="Arial"/>
                <w:sz w:val="16"/>
                <w:szCs w:val="16"/>
                <w:color w:val="auto"/>
              </w:rPr>
              <w:t>April 6, 2021</w:t>
            </w:r>
          </w:p>
        </w:tc>
      </w:tr>
      <w:tr>
        <w:trPr>
          <w:trHeight w:val="356"/>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Natalia Mirgorodskaya</w:t>
            </w:r>
          </w:p>
        </w:tc>
        <w:tc>
          <w:tcPr>
            <w:tcW w:w="1740" w:type="dxa"/>
            <w:vAlign w:val="bottom"/>
            <w:tcBorders>
              <w:bottom w:val="single" w:sz="8" w:color="auto"/>
            </w:tcBorders>
          </w:tcPr>
          <w:p>
            <w:pPr>
              <w:spacing w:after="0"/>
              <w:rPr>
                <w:sz w:val="24"/>
                <w:szCs w:val="24"/>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Corporate Controller</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2320" w:type="dxa"/>
            <w:vAlign w:val="bottom"/>
            <w:gridSpan w:val="2"/>
          </w:tcPr>
          <w:p>
            <w:pPr>
              <w:spacing w:after="0"/>
              <w:rPr>
                <w:sz w:val="20"/>
                <w:szCs w:val="20"/>
                <w:color w:val="auto"/>
              </w:rPr>
            </w:pPr>
            <w:r>
              <w:rPr>
                <w:rFonts w:ascii="Arial" w:cs="Arial" w:eastAsia="Arial" w:hAnsi="Arial"/>
                <w:sz w:val="16"/>
                <w:szCs w:val="16"/>
                <w:color w:val="auto"/>
              </w:rPr>
              <w:t>Natalia Mirgorodskaya</w:t>
            </w:r>
          </w:p>
        </w:tc>
        <w:tc>
          <w:tcPr>
            <w:tcW w:w="1740" w:type="dxa"/>
            <w:vAlign w:val="bottom"/>
          </w:tcPr>
          <w:p>
            <w:pPr>
              <w:spacing w:after="0"/>
              <w:rPr>
                <w:sz w:val="16"/>
                <w:szCs w:val="16"/>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Accounting Officer</w:t>
            </w:r>
            <w:r>
              <w:rPr>
                <w:rFonts w:ascii="Arial" w:cs="Arial" w:eastAsia="Arial" w:hAnsi="Arial"/>
                <w:sz w:val="16"/>
                <w:szCs w:val="16"/>
                <w:color w:val="auto"/>
              </w:rPr>
              <w:t>)</w:t>
            </w:r>
          </w:p>
        </w:tc>
        <w:tc>
          <w:tcPr>
            <w:tcW w:w="1600" w:type="dxa"/>
            <w:vAlign w:val="bottom"/>
            <w:gridSpan w:val="2"/>
          </w:tcPr>
          <w:p>
            <w:pPr>
              <w:ind w:left="620"/>
              <w:spacing w:after="0"/>
              <w:rPr>
                <w:sz w:val="20"/>
                <w:szCs w:val="20"/>
                <w:color w:val="auto"/>
              </w:rPr>
            </w:pPr>
            <w:r>
              <w:rPr>
                <w:rFonts w:ascii="Arial" w:cs="Arial" w:eastAsia="Arial" w:hAnsi="Arial"/>
                <w:sz w:val="16"/>
                <w:szCs w:val="16"/>
                <w:color w:val="auto"/>
              </w:rPr>
              <w:t>April 6, 2021</w:t>
            </w:r>
          </w:p>
        </w:tc>
      </w:tr>
      <w:tr>
        <w:trPr>
          <w:trHeight w:val="356"/>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Kerry W. Cooper</w:t>
            </w:r>
          </w:p>
        </w:tc>
        <w:tc>
          <w:tcPr>
            <w:tcW w:w="1740" w:type="dxa"/>
            <w:vAlign w:val="bottom"/>
            <w:tcBorders>
              <w:bottom w:val="single" w:sz="8" w:color="auto"/>
            </w:tcBorders>
          </w:tcPr>
          <w:p>
            <w:pPr>
              <w:spacing w:after="0"/>
              <w:rPr>
                <w:sz w:val="24"/>
                <w:szCs w:val="24"/>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2320" w:type="dxa"/>
            <w:vAlign w:val="bottom"/>
            <w:gridSpan w:val="2"/>
          </w:tcPr>
          <w:p>
            <w:pPr>
              <w:spacing w:after="0"/>
              <w:rPr>
                <w:sz w:val="20"/>
                <w:szCs w:val="20"/>
                <w:color w:val="auto"/>
              </w:rPr>
            </w:pPr>
            <w:r>
              <w:rPr>
                <w:rFonts w:ascii="Arial" w:cs="Arial" w:eastAsia="Arial" w:hAnsi="Arial"/>
                <w:sz w:val="16"/>
                <w:szCs w:val="16"/>
                <w:color w:val="auto"/>
              </w:rPr>
              <w:t>Kerry W. Cooper</w:t>
            </w:r>
          </w:p>
        </w:tc>
        <w:tc>
          <w:tcPr>
            <w:tcW w:w="1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gridSpan w:val="2"/>
          </w:tcPr>
          <w:p>
            <w:pPr>
              <w:ind w:left="620"/>
              <w:spacing w:after="0"/>
              <w:rPr>
                <w:sz w:val="20"/>
                <w:szCs w:val="20"/>
                <w:color w:val="auto"/>
              </w:rPr>
            </w:pPr>
            <w:r>
              <w:rPr>
                <w:rFonts w:ascii="Arial" w:cs="Arial" w:eastAsia="Arial" w:hAnsi="Arial"/>
                <w:sz w:val="16"/>
                <w:szCs w:val="16"/>
                <w:color w:val="auto"/>
              </w:rPr>
              <w:t>April 6, 2021</w:t>
            </w:r>
          </w:p>
        </w:tc>
      </w:tr>
      <w:tr>
        <w:trPr>
          <w:trHeight w:val="356"/>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Paul Gu</w:t>
            </w:r>
          </w:p>
        </w:tc>
        <w:tc>
          <w:tcPr>
            <w:tcW w:w="1740" w:type="dxa"/>
            <w:vAlign w:val="bottom"/>
            <w:tcBorders>
              <w:bottom w:val="single" w:sz="8" w:color="auto"/>
            </w:tcBorders>
          </w:tcPr>
          <w:p>
            <w:pPr>
              <w:spacing w:after="0"/>
              <w:rPr>
                <w:sz w:val="24"/>
                <w:szCs w:val="24"/>
                <w:color w:val="auto"/>
              </w:rPr>
            </w:pPr>
          </w:p>
        </w:tc>
        <w:tc>
          <w:tcPr>
            <w:tcW w:w="3320" w:type="dxa"/>
            <w:vAlign w:val="bottom"/>
            <w:gridSpan w:val="3"/>
          </w:tcPr>
          <w:p>
            <w:pPr>
              <w:ind w:left="200"/>
              <w:spacing w:after="0"/>
              <w:rPr>
                <w:sz w:val="20"/>
                <w:szCs w:val="20"/>
                <w:color w:val="auto"/>
              </w:rPr>
            </w:pPr>
            <w:r>
              <w:rPr>
                <w:rFonts w:ascii="Arial" w:cs="Arial" w:eastAsia="Arial" w:hAnsi="Arial"/>
                <w:sz w:val="16"/>
                <w:szCs w:val="16"/>
                <w:color w:val="auto"/>
              </w:rPr>
              <w:t>Director</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2"/>
        </w:trPr>
        <w:tc>
          <w:tcPr>
            <w:tcW w:w="2320" w:type="dxa"/>
            <w:vAlign w:val="bottom"/>
            <w:gridSpan w:val="2"/>
          </w:tcPr>
          <w:p>
            <w:pPr>
              <w:spacing w:after="0"/>
              <w:rPr>
                <w:sz w:val="20"/>
                <w:szCs w:val="20"/>
                <w:color w:val="auto"/>
              </w:rPr>
            </w:pPr>
            <w:r>
              <w:rPr>
                <w:rFonts w:ascii="Arial" w:cs="Arial" w:eastAsia="Arial" w:hAnsi="Arial"/>
                <w:sz w:val="16"/>
                <w:szCs w:val="16"/>
                <w:color w:val="auto"/>
              </w:rPr>
              <w:t>Paul Gu</w:t>
            </w:r>
          </w:p>
        </w:tc>
        <w:tc>
          <w:tcPr>
            <w:tcW w:w="1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0" w:type="dxa"/>
            <w:vAlign w:val="bottom"/>
            <w:gridSpan w:val="2"/>
          </w:tcPr>
          <w:p>
            <w:pPr>
              <w:ind w:left="620"/>
              <w:spacing w:after="0"/>
              <w:rPr>
                <w:sz w:val="20"/>
                <w:szCs w:val="20"/>
                <w:color w:val="auto"/>
              </w:rPr>
            </w:pPr>
            <w:r>
              <w:rPr>
                <w:rFonts w:ascii="Arial" w:cs="Arial" w:eastAsia="Arial" w:hAnsi="Arial"/>
                <w:sz w:val="16"/>
                <w:szCs w:val="16"/>
                <w:color w:val="auto"/>
              </w:rPr>
              <w:t>April 6, 2021</w:t>
            </w:r>
          </w:p>
        </w:tc>
      </w:tr>
      <w:tr>
        <w:trPr>
          <w:trHeight w:val="307"/>
        </w:trPr>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20" w:type="dxa"/>
            <w:vAlign w:val="bottom"/>
            <w:gridSpan w:val="3"/>
          </w:tcPr>
          <w:p>
            <w:pPr>
              <w:ind w:left="660"/>
              <w:spacing w:after="0"/>
              <w:rPr>
                <w:sz w:val="20"/>
                <w:szCs w:val="20"/>
                <w:color w:val="auto"/>
              </w:rPr>
            </w:pPr>
            <w:r>
              <w:rPr>
                <w:rFonts w:ascii="Arial" w:cs="Arial" w:eastAsia="Arial" w:hAnsi="Arial"/>
                <w:sz w:val="16"/>
                <w:szCs w:val="16"/>
                <w:color w:val="auto"/>
              </w:rPr>
              <w:t>II-8</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380"/>
          </w:cols>
          <w:pgMar w:left="320" w:top="419" w:right="1199" w:bottom="1440" w:gutter="0" w:footer="0" w:header="0"/>
        </w:sectPr>
      </w:pPr>
    </w:p>
    <w:bookmarkStart w:id="277" w:name="page278"/>
    <w:bookmarkEnd w:id="27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70" w:lineRule="exact"/>
        <w:rPr>
          <w:sz w:val="20"/>
          <w:szCs w:val="20"/>
          <w:color w:val="auto"/>
        </w:rPr>
      </w:pPr>
    </w:p>
    <w:p>
      <w:pPr>
        <w:jc w:val="right"/>
        <w:ind w:right="1220"/>
        <w:spacing w:after="0"/>
        <w:rPr>
          <w:sz w:val="20"/>
          <w:szCs w:val="20"/>
          <w:color w:val="auto"/>
        </w:rPr>
      </w:pPr>
      <w:r>
        <w:rPr>
          <w:rFonts w:ascii="Arial" w:cs="Arial" w:eastAsia="Arial" w:hAnsi="Arial"/>
          <w:sz w:val="13"/>
          <w:szCs w:val="13"/>
          <w:b w:val="1"/>
          <w:bCs w:val="1"/>
          <w:u w:val="single" w:color="auto"/>
          <w:color w:val="auto"/>
        </w:rPr>
        <w:t>Signature</w:t>
      </w:r>
    </w:p>
    <w:p>
      <w:pPr>
        <w:spacing w:after="0" w:line="20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Mary Hentges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Mary Hentges</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Oskar Mielczarek de la Miel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Oskar Mielczarek de la Miel</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Ciaran O’Kelly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Ciaran O’Kelly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Sukhinder Singh Cassidy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Sukhinder Singh Cassidy</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Robert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Robert Schwartz</w:t>
      </w:r>
    </w:p>
    <w:p>
      <w:pPr>
        <w:spacing w:after="0" w:line="18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Hilliard C. Terry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-3175</wp:posOffset>
            </wp:positionV>
            <wp:extent cx="257556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2575560" cy="762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Hilliard C. Terry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920" w:type="dxa"/>
            <w:vAlign w:val="bottom"/>
            <w:gridSpan w:val="2"/>
          </w:tcPr>
          <w:p>
            <w:pPr>
              <w:ind w:left="1640"/>
              <w:spacing w:after="0"/>
              <w:rPr>
                <w:sz w:val="20"/>
                <w:szCs w:val="20"/>
                <w:color w:val="auto"/>
              </w:rPr>
            </w:pPr>
            <w:r>
              <w:rPr>
                <w:rFonts w:ascii="Arial" w:cs="Arial" w:eastAsia="Arial" w:hAnsi="Arial"/>
                <w:sz w:val="13"/>
                <w:szCs w:val="13"/>
                <w:b w:val="1"/>
                <w:bCs w:val="1"/>
                <w:color w:val="auto"/>
                <w:w w:val="97"/>
              </w:rPr>
              <w:t>Title</w:t>
            </w:r>
          </w:p>
        </w:tc>
        <w:tc>
          <w:tcPr>
            <w:tcW w:w="2800" w:type="dxa"/>
            <w:vAlign w:val="bottom"/>
            <w:gridSpan w:val="2"/>
          </w:tcPr>
          <w:p>
            <w:pPr>
              <w:ind w:left="252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660" w:type="dxa"/>
            <w:vAlign w:val="bottom"/>
          </w:tcPr>
          <w:p>
            <w:pPr>
              <w:spacing w:after="0"/>
              <w:rPr>
                <w:sz w:val="20"/>
                <w:szCs w:val="20"/>
                <w:color w:val="auto"/>
              </w:rPr>
            </w:pPr>
            <w:r>
              <w:rPr>
                <w:rFonts w:ascii="Arial" w:cs="Arial" w:eastAsia="Arial" w:hAnsi="Arial"/>
                <w:sz w:val="16"/>
                <w:szCs w:val="16"/>
                <w:color w:val="auto"/>
              </w:rPr>
              <w:t>Director</w:t>
            </w:r>
          </w:p>
        </w:tc>
        <w:tc>
          <w:tcPr>
            <w:tcW w:w="260" w:type="dxa"/>
            <w:vAlign w:val="bottom"/>
          </w:tcPr>
          <w:p>
            <w:pPr>
              <w:spacing w:after="0"/>
              <w:rPr>
                <w:sz w:val="24"/>
                <w:szCs w:val="24"/>
                <w:color w:val="auto"/>
              </w:rPr>
            </w:pPr>
          </w:p>
        </w:tc>
        <w:tc>
          <w:tcPr>
            <w:tcW w:w="2800" w:type="dxa"/>
            <w:vAlign w:val="bottom"/>
            <w:gridSpan w:val="2"/>
            <w:vMerge w:val="restart"/>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9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800" w:type="dxa"/>
            <w:vAlign w:val="bottom"/>
            <w:gridSpan w:val="2"/>
            <w:vMerge w:val="restart"/>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9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800" w:type="dxa"/>
            <w:vAlign w:val="bottom"/>
            <w:gridSpan w:val="2"/>
            <w:vMerge w:val="restart"/>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19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800" w:type="dxa"/>
            <w:vAlign w:val="bottom"/>
            <w:gridSpan w:val="2"/>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568"/>
        </w:trPr>
        <w:tc>
          <w:tcPr>
            <w:tcW w:w="19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800" w:type="dxa"/>
            <w:vAlign w:val="bottom"/>
            <w:gridSpan w:val="2"/>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568"/>
        </w:trPr>
        <w:tc>
          <w:tcPr>
            <w:tcW w:w="192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2800" w:type="dxa"/>
            <w:vAlign w:val="bottom"/>
            <w:gridSpan w:val="2"/>
          </w:tcPr>
          <w:p>
            <w:pPr>
              <w:ind w:left="1820"/>
              <w:spacing w:after="0"/>
              <w:rPr>
                <w:sz w:val="20"/>
                <w:szCs w:val="20"/>
                <w:color w:val="auto"/>
              </w:rPr>
            </w:pPr>
            <w:r>
              <w:rPr>
                <w:rFonts w:ascii="Arial" w:cs="Arial" w:eastAsia="Arial" w:hAnsi="Arial"/>
                <w:sz w:val="16"/>
                <w:szCs w:val="16"/>
                <w:color w:val="auto"/>
              </w:rPr>
              <w:t>April 6, 2021</w:t>
            </w:r>
          </w:p>
        </w:tc>
        <w:tc>
          <w:tcPr>
            <w:tcW w:w="0" w:type="dxa"/>
            <w:vAlign w:val="bottom"/>
          </w:tcPr>
          <w:p>
            <w:pPr>
              <w:spacing w:after="0"/>
              <w:rPr>
                <w:sz w:val="1"/>
                <w:szCs w:val="1"/>
                <w:color w:val="auto"/>
              </w:rPr>
            </w:pPr>
          </w:p>
        </w:tc>
      </w:tr>
      <w:tr>
        <w:trPr>
          <w:trHeight w:val="485"/>
        </w:trPr>
        <w:tc>
          <w:tcPr>
            <w:tcW w:w="1920" w:type="dxa"/>
            <w:vAlign w:val="bottom"/>
            <w:gridSpan w:val="2"/>
          </w:tcPr>
          <w:p>
            <w:pPr>
              <w:ind w:left="460"/>
              <w:spacing w:after="0"/>
              <w:rPr>
                <w:sz w:val="20"/>
                <w:szCs w:val="20"/>
                <w:color w:val="auto"/>
              </w:rPr>
            </w:pPr>
            <w:r>
              <w:rPr>
                <w:rFonts w:ascii="Arial" w:cs="Arial" w:eastAsia="Arial" w:hAnsi="Arial"/>
                <w:sz w:val="16"/>
                <w:szCs w:val="16"/>
                <w:color w:val="auto"/>
              </w:rPr>
              <w:t>II-9</w:t>
            </w: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-2934970</wp:posOffset>
            </wp:positionV>
            <wp:extent cx="718947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89470" cy="35560"/>
                    </a:xfrm>
                    <a:prstGeom prst="rect">
                      <a:avLst/>
                    </a:prstGeom>
                    <a:noFill/>
                  </pic:spPr>
                </pic:pic>
              </a:graphicData>
            </a:graphic>
          </wp:anchor>
        </w:drawing>
      </w:r>
    </w:p>
    <w:p>
      <w:pPr>
        <w:sectPr>
          <w:pgSz w:w="11900" w:h="16838" w:orient="portrait"/>
          <w:cols w:equalWidth="0" w:num="2">
            <w:col w:w="4340" w:space="720"/>
            <w:col w:w="5079"/>
          </w:cols>
          <w:pgMar w:left="320" w:top="419"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6"/>
          <w:szCs w:val="16"/>
          <w:b w:val="1"/>
          <w:bCs w:val="1"/>
          <w:color w:val="auto"/>
        </w:rPr>
        <w:t>Exhibit 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Upstart Holdings,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2418080</wp:posOffset>
            </wp:positionH>
            <wp:positionV relativeFrom="paragraph">
              <wp:posOffset>208915</wp:posOffset>
            </wp:positionV>
            <wp:extent cx="129159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 Agreement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March [•], 2021</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Goldman Sachs &amp; Co. LLC,</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BofA Securities, Inc.,</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Citigroup Global Markets Inc.,</w:t>
      </w:r>
    </w:p>
    <w:p>
      <w:pPr>
        <w:spacing w:after="0" w:line="5" w:lineRule="exact"/>
        <w:rPr>
          <w:sz w:val="20"/>
          <w:szCs w:val="20"/>
          <w:color w:val="auto"/>
        </w:rPr>
      </w:pPr>
    </w:p>
    <w:p>
      <w:pPr>
        <w:ind w:left="381"/>
        <w:spacing w:after="0"/>
        <w:rPr>
          <w:sz w:val="20"/>
          <w:szCs w:val="20"/>
          <w:color w:val="auto"/>
        </w:rPr>
      </w:pPr>
      <w:r>
        <w:rPr>
          <w:rFonts w:ascii="Arial" w:cs="Arial" w:eastAsia="Arial" w:hAnsi="Arial"/>
          <w:sz w:val="16"/>
          <w:szCs w:val="16"/>
          <w:color w:val="auto"/>
        </w:rPr>
        <w:t>As representatives (the “Representatives”) of the several Underwriters named in Schedule I hereto,</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color w:val="auto"/>
        </w:rPr>
        <w:t>c/o Goldman Sachs &amp; Co. LLC,</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200 West Street,</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New York, New York 10282-2198.</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color w:val="auto"/>
        </w:rPr>
        <w:t>c/o BofA Securities, Inc.,</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One Bryant Park,</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New York, New York 10036.</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color w:val="auto"/>
        </w:rPr>
        <w:t>c/o Citigroup Global Markets Inc.,</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color w:val="auto"/>
        </w:rPr>
        <w:t>388 Greenwich Street,</w:t>
      </w: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color w:val="auto"/>
        </w:rPr>
        <w:t>New York, New York 10013.</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color w:val="auto"/>
        </w:rPr>
        <w:t>Ladies and Gentlemen:</w:t>
      </w:r>
    </w:p>
    <w:p>
      <w:pPr>
        <w:spacing w:after="0" w:line="100" w:lineRule="exact"/>
        <w:rPr>
          <w:sz w:val="20"/>
          <w:szCs w:val="20"/>
          <w:color w:val="auto"/>
        </w:rPr>
      </w:pPr>
    </w:p>
    <w:p>
      <w:pPr>
        <w:ind w:left="1" w:right="20" w:firstLine="386"/>
        <w:spacing w:after="0" w:line="252" w:lineRule="auto"/>
        <w:rPr>
          <w:sz w:val="20"/>
          <w:szCs w:val="20"/>
          <w:color w:val="auto"/>
        </w:rPr>
      </w:pPr>
      <w:r>
        <w:rPr>
          <w:rFonts w:ascii="Arial" w:cs="Arial" w:eastAsia="Arial" w:hAnsi="Arial"/>
          <w:sz w:val="16"/>
          <w:szCs w:val="16"/>
          <w:color w:val="auto"/>
        </w:rPr>
        <w:t>Upstart Holdings,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$0.0001 per share (“Stock”) of the Company. The Firm Shares and the Optional Shares that the Underwriters elect to purchase pursuant to Section 2 hereof are herein collectively called the “Shares”.</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6"/>
          <w:szCs w:val="16"/>
          <w:color w:val="auto"/>
        </w:rPr>
        <w:t>1. The Company represents and warrants to, and agrees with, each of the Underwriters that:</w:t>
      </w:r>
    </w:p>
    <w:p>
      <w:pPr>
        <w:spacing w:after="0" w:line="100" w:lineRule="exact"/>
        <w:rPr>
          <w:sz w:val="20"/>
          <w:szCs w:val="20"/>
          <w:color w:val="auto"/>
        </w:rPr>
      </w:pPr>
    </w:p>
    <w:p>
      <w:pPr>
        <w:ind w:left="1" w:right="220" w:hanging="1"/>
        <w:spacing w:after="0" w:line="301" w:lineRule="auto"/>
        <w:tabs>
          <w:tab w:leader="none" w:pos="216"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 registration statement on Form S-1 (File No. 333-[•])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w:t>
      </w:r>
    </w:p>
    <w:p>
      <w:pPr>
        <w:sectPr>
          <w:pgSz w:w="11900" w:h="16838" w:orient="portrait"/>
          <w:cols w:equalWidth="0" w:num="1">
            <w:col w:w="9641"/>
          </w:cols>
          <w:pgMar w:left="1119" w:top="123" w:right="1139" w:bottom="1440" w:gutter="0" w:footer="0" w:header="0"/>
        </w:sectPr>
      </w:pPr>
    </w:p>
    <w:bookmarkStart w:id="279" w:name="page280"/>
    <w:bookmarkEnd w:id="279"/>
    <w:p>
      <w:pPr>
        <w:ind w:left="1" w:right="20"/>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244" w:lineRule="exact"/>
        <w:rPr>
          <w:sz w:val="20"/>
          <w:szCs w:val="20"/>
          <w:color w:val="auto"/>
        </w:rPr>
      </w:pPr>
    </w:p>
    <w:p>
      <w:pPr>
        <w:ind w:left="1" w:right="20" w:hanging="1"/>
        <w:spacing w:after="0" w:line="271" w:lineRule="auto"/>
        <w:tabs>
          <w:tab w:leader="none" w:pos="224"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representation and warranty shall not apply to any statements or omissions made in reliance upon and in conformity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 Information (as defined in Section 9(b) of this Agreement);</w:t>
      </w:r>
    </w:p>
    <w:p>
      <w:pPr>
        <w:spacing w:after="0" w:line="61" w:lineRule="exact"/>
        <w:rPr>
          <w:rFonts w:ascii="Arial" w:cs="Arial" w:eastAsia="Arial" w:hAnsi="Arial"/>
          <w:sz w:val="15"/>
          <w:szCs w:val="15"/>
          <w:color w:val="auto"/>
        </w:rPr>
      </w:pPr>
    </w:p>
    <w:p>
      <w:pPr>
        <w:ind w:left="1" w:hanging="1"/>
        <w:spacing w:after="0" w:line="288" w:lineRule="auto"/>
        <w:tabs>
          <w:tab w:leader="none" w:pos="216" w:val="left"/>
        </w:tabs>
        <w:numPr>
          <w:ilvl w:val="0"/>
          <w:numId w:val="143"/>
        </w:numPr>
        <w:rPr>
          <w:rFonts w:ascii="Arial" w:cs="Arial" w:eastAsia="Arial" w:hAnsi="Arial"/>
          <w:sz w:val="14"/>
          <w:szCs w:val="14"/>
          <w:color w:val="auto"/>
        </w:rPr>
      </w:pPr>
      <w:r>
        <w:rPr>
          <w:rFonts w:ascii="Arial" w:cs="Arial" w:eastAsia="Arial" w:hAnsi="Arial"/>
          <w:sz w:val="14"/>
          <w:szCs w:val="14"/>
          <w:color w:val="auto"/>
        </w:rPr>
        <w:t>For the purposes of this Agreement, the “Applicable Time” is [•:••] [a.m./p.m.] (New York City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641"/>
          </w:cols>
          <w:pgMar w:left="1119" w:top="257" w:right="1139" w:bottom="1440" w:gutter="0" w:footer="0" w:header="0"/>
        </w:sectPr>
      </w:pPr>
    </w:p>
    <w:bookmarkStart w:id="280" w:name="page281"/>
    <w:bookmarkEnd w:id="280"/>
    <w:p>
      <w:pPr>
        <w:ind w:left="1" w:right="200" w:hanging="1"/>
        <w:spacing w:after="0" w:line="268" w:lineRule="auto"/>
        <w:tabs>
          <w:tab w:leader="none" w:pos="224"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No documents were filed with the Commission since the Commission’s close of business on the business day immediately prior to the date of this Agreement and prior to the execution of this Agreement, except as set forth on Schedule II(b) hereto;</w:t>
      </w:r>
    </w:p>
    <w:p>
      <w:pPr>
        <w:spacing w:after="0" w:line="62" w:lineRule="exact"/>
        <w:rPr>
          <w:rFonts w:ascii="Arial" w:cs="Arial" w:eastAsia="Arial" w:hAnsi="Arial"/>
          <w:sz w:val="16"/>
          <w:szCs w:val="16"/>
          <w:color w:val="auto"/>
        </w:rPr>
      </w:pPr>
    </w:p>
    <w:p>
      <w:pPr>
        <w:ind w:left="1" w:right="100" w:hanging="1"/>
        <w:spacing w:after="0" w:line="293" w:lineRule="auto"/>
        <w:tabs>
          <w:tab w:leader="none" w:pos="216"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Registration Statement conforms, and the Prospectus and any further amendments or supplements to the Registration Statement and the Prospectus will conform, in all material respects to the applicable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50" w:lineRule="exact"/>
        <w:rPr>
          <w:rFonts w:ascii="Arial" w:cs="Arial" w:eastAsia="Arial" w:hAnsi="Arial"/>
          <w:sz w:val="14"/>
          <w:szCs w:val="14"/>
          <w:color w:val="auto"/>
        </w:rPr>
      </w:pPr>
    </w:p>
    <w:p>
      <w:pPr>
        <w:ind w:left="201" w:hanging="201"/>
        <w:spacing w:after="0"/>
        <w:tabs>
          <w:tab w:leader="none" w:pos="20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since the date of the latest audited financial statements included in the Pricing Prospectus,</w:t>
      </w:r>
    </w:p>
    <w:p>
      <w:pPr>
        <w:spacing w:after="0" w:line="39" w:lineRule="exact"/>
        <w:rPr>
          <w:sz w:val="20"/>
          <w:szCs w:val="20"/>
          <w:color w:val="auto"/>
        </w:rPr>
      </w:pPr>
    </w:p>
    <w:p>
      <w:pPr>
        <w:ind w:left="1" w:hanging="1"/>
        <w:spacing w:after="0" w:line="284" w:lineRule="auto"/>
        <w:tabs>
          <w:tab w:leader="none" w:pos="189" w:val="left"/>
        </w:tabs>
        <w:numPr>
          <w:ilvl w:val="0"/>
          <w:numId w:val="145"/>
        </w:numPr>
        <w:rPr>
          <w:rFonts w:ascii="Arial" w:cs="Arial" w:eastAsia="Arial" w:hAnsi="Arial"/>
          <w:sz w:val="14"/>
          <w:szCs w:val="14"/>
          <w:color w:val="auto"/>
        </w:rPr>
      </w:pPr>
      <w:r>
        <w:rPr>
          <w:rFonts w:ascii="Arial" w:cs="Arial" w:eastAsia="Arial" w:hAnsi="Arial"/>
          <w:sz w:val="14"/>
          <w:szCs w:val="14"/>
          <w:color w:val="auto"/>
        </w:rPr>
        <w:t>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Registration Statement, the Pricing Disclosure Package, the Pricing Prospectus and the Prospectus; and, since the respective dates as of which information is given in the Registration Statement and the Pricing Prospectus, there has not been (x) any change in the capital stock of the Company (other than as a result of (i) the grant, vesting, exercise or settlement (including any “net” or “cashless” exercises or settlements) of stock options or other equity incentives or the award, if any, of stock options or other equity incentives in the ordinary course of business, in each case pursuant to the Company’s equity incentive plans that are described in the Registration Statement, the Pricing Disclosure Package, the Pricing Prospectus and the Prospectus (collectively, the “Company Stock Plans”), or (ii) the repurchase of shares of capital stock pursuant to agreements providing for an option to repurchase from service providers, or a right of refusal on behalf of the Company pursuant to the Company’s repurchase rights or the issuance, if any, of stock upon conversion or exchange of Company securities as described in the Registration Statement, the Pricing Disclosure Package, the Pricing Prospectus and the Prospectus) or any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(i) the business, general affairs, management, consolidated financial position, consolidated stockholders’ equity or consolidated results of operations of the Company and its subsidiaries, taken as a whole, except as set forth or contemplated in the Registration Statement, the Pricing Disclosure Package, the Pricing Prospectus and the Prospectus, or (ii) the ability of the Company to perform its obligations under this Agreement, including the issuance and sale of the Shares, or to consummate the transactions contemplated in the Registration Statement, the Pricing Disclosure Package, the Pricing Prospectus and the Prospectus;</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9621"/>
          </w:cols>
          <w:pgMar w:left="1119" w:top="257" w:right="1159" w:bottom="1440" w:gutter="0" w:footer="0" w:header="0"/>
        </w:sectPr>
      </w:pPr>
    </w:p>
    <w:bookmarkStart w:id="281" w:name="page282"/>
    <w:bookmarkEnd w:id="281"/>
    <w:p>
      <w:pPr>
        <w:ind w:left="1" w:right="20" w:hanging="1"/>
        <w:spacing w:after="0" w:line="273" w:lineRule="auto"/>
        <w:tabs>
          <w:tab w:leader="none" w:pos="224" w:val="left"/>
        </w:tabs>
        <w:numPr>
          <w:ilvl w:val="0"/>
          <w:numId w:val="1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Neither the Company nor any of its subsidiaries own any real property and, except as would not be expected to have a Material Adverse Effect, the Company and its subsidiaries have good and marketable title to all personal property (other than with respect to Intellectual Property (as defined below) which is addressed exclusively in subsection (z)) owned by them; and any real property and buildings held under lease by the Company or any of its subsidiaries are held by them under valid, subsisting and enforceable leases with such exceptions as are not material and do not materially interfere with the use made and proposed to be made of such property and buildings by the Company and its subsidiaries;</w:t>
      </w:r>
    </w:p>
    <w:p>
      <w:pPr>
        <w:spacing w:after="0" w:line="59" w:lineRule="exact"/>
        <w:rPr>
          <w:rFonts w:ascii="Arial" w:cs="Arial" w:eastAsia="Arial" w:hAnsi="Arial"/>
          <w:sz w:val="15"/>
          <w:szCs w:val="15"/>
          <w:color w:val="auto"/>
        </w:rPr>
      </w:pPr>
    </w:p>
    <w:p>
      <w:pPr>
        <w:ind w:left="1" w:hanging="1"/>
        <w:spacing w:after="0" w:line="289" w:lineRule="auto"/>
        <w:tabs>
          <w:tab w:leader="none" w:pos="22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Company has been (i) duly incorporated and is validly existing as a corporation and in good standing under the laws of the State of Delaware, with power and authority (corporate and other) to own and/or lease its properties and conduct its business as described in the Registration Statement, the Pricing Disclosure Package, the Pricing Prospectus and the Prospectus, and (ii) duly qualified as a foreign corporation or other business organization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duly incorporated or organized and is validly existing as a corporation or other business organization in good standing under the laws of its jurisdiction of incorporation, formation or organization, to the extent the concept of “good standing” is applicable under the laws of such jurisdiction, except where the failure to be so qualified or in good standing would not, individually or in the aggregate, reasonably be expected to have a Material Adverse Effect;</w:t>
      </w:r>
    </w:p>
    <w:p>
      <w:pPr>
        <w:spacing w:after="0" w:line="52" w:lineRule="exact"/>
        <w:rPr>
          <w:rFonts w:ascii="Arial" w:cs="Arial" w:eastAsia="Arial" w:hAnsi="Arial"/>
          <w:sz w:val="14"/>
          <w:szCs w:val="14"/>
          <w:color w:val="auto"/>
        </w:rPr>
      </w:pPr>
    </w:p>
    <w:p>
      <w:pPr>
        <w:ind w:left="1" w:right="20" w:hanging="1"/>
        <w:spacing w:after="0" w:line="291" w:lineRule="auto"/>
        <w:tabs>
          <w:tab w:leader="none" w:pos="189"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Company has an authorized capitalization as set forth in the Registration Statement, the Pricing Disclosure Package, the Pricing Prospectus and the Prospectus and all of the outstanding shares of capital stock of the Company have been duly and validly authorized and issued and are fully paid and non-assessable and conform in all material respects to the description of the capital stock of the Company contained in the Registration Statement, Pricing Disclosure Package, the Pricing Prospectus and the Prospectus; and all of the issued shares of capital stock and equity interests of each subsidiary of the Company have been duly and validly authorized and issued, are fully paid and non-assessable and (except, in the case of any foreign subsidiary, for directors’ qualifying shares) are owned directly or indirectly by the Company, free and clear of all liens, encumbrances, equities or claims, except for such liens or encumbrances described in the Pricing Prospectus and the Prospectus;</w:t>
      </w:r>
    </w:p>
    <w:p>
      <w:pPr>
        <w:spacing w:after="0" w:line="52" w:lineRule="exact"/>
        <w:rPr>
          <w:rFonts w:ascii="Arial" w:cs="Arial" w:eastAsia="Arial" w:hAnsi="Arial"/>
          <w:sz w:val="14"/>
          <w:szCs w:val="14"/>
          <w:color w:val="auto"/>
        </w:rPr>
      </w:pPr>
    </w:p>
    <w:p>
      <w:pPr>
        <w:ind w:left="1" w:right="220" w:hanging="1"/>
        <w:spacing w:after="0" w:line="276" w:lineRule="auto"/>
        <w:tabs>
          <w:tab w:leader="none" w:pos="189" w:val="left"/>
        </w:tabs>
        <w:numPr>
          <w:ilvl w:val="0"/>
          <w:numId w:val="146"/>
        </w:numPr>
        <w:rPr>
          <w:rFonts w:ascii="Arial" w:cs="Arial" w:eastAsia="Arial" w:hAnsi="Arial"/>
          <w:sz w:val="15"/>
          <w:szCs w:val="15"/>
          <w:color w:val="auto"/>
        </w:rPr>
      </w:pPr>
      <w:r>
        <w:rPr>
          <w:rFonts w:ascii="Arial" w:cs="Arial" w:eastAsia="Arial" w:hAnsi="Arial"/>
          <w:sz w:val="15"/>
          <w:szCs w:val="15"/>
          <w:color w:val="auto"/>
        </w:rPr>
        <w:t>The Shares have been duly and validly authorized and, when issued and delivered against payment therefor as provided herein, will be duly and validly issued and fully paid and non-assessable and will conform in all material respects to the description of the Stock contained in the Registration Statement, Pricing Disclosure Package, Pricing Prospectus and the Prospectus; and the issuance of the Shares is not subject to any preemptive, registration or similar rights, in each case, other than rights which have been validly waived or complied with;</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9621"/>
          </w:cols>
          <w:pgMar w:left="1119" w:top="257" w:right="1159" w:bottom="1440" w:gutter="0" w:footer="0" w:header="0"/>
        </w:sectPr>
      </w:pPr>
    </w:p>
    <w:bookmarkStart w:id="282" w:name="page283"/>
    <w:bookmarkEnd w:id="282"/>
    <w:p>
      <w:pPr>
        <w:ind w:left="1" w:hanging="1"/>
        <w:spacing w:after="0" w:line="285" w:lineRule="auto"/>
        <w:tabs>
          <w:tab w:leader="none" w:pos="224" w:val="left"/>
        </w:tabs>
        <w:numPr>
          <w:ilvl w:val="0"/>
          <w:numId w:val="14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Company and its subsidiaries, (A) are in compliance with all applicable laws, rules, regulations, and regulatory capital requirements or court decrees relating to the business of lending, money transmission, finance (including consumer finance), loan brokering, loan servicing, consumer protection or other regulations applicable to the business of the Company as currently conducted or contemplated to be conducted, including, but not limited to, rules and regulations promulgated by the Consumer Financial Protection Bureau, the Equal Credit Opportunity Act, the Truth in Lending Act, the Fair Debt Collection Practices Act, the Fair Credit Reporting Act, the Consumer Financial Protection Act, the Servicemembers Civil Relief Act, the Electronic Funds Transfer Act, the Electronic Signatures in Global and National Commerce Act, the Telephone Consumer Protection Act, the Uniform Electronic Transactions Act, the Gramm-Leach-Bliley Act, the Military Lending Act, Section 5 of the Federal Trade Commission Act, the Credit Practices Rule, the Bankruptcy Code, the Dodd-Frank Wall Street Reform and Consumer Protection Act, state laws, fair lending or other applicable laws relating to discrimination (including, without limitation, anti-redlining, equal credit opportunity and fair credit reporting), truth-in-lending, or consumer credit (such applicable laws, rules and regulations, the “Regulatory Laws”), (B) have received all federal and state permits, licenses and other approvals required of them under applicable Regulatory Laws to conduct their respective businesses, (C) are in compliance with all terms and conditions of any such permit, license or approval and (D) have implemented the services they provide to their bank partners in a manner that is designed to enable such bank partners to comply with applicable laws (solely with respect to their operations relating to the lending platform of the Company), and, to the Company’s knowledge, the Company and its subsidiaries have not provided services to any bank partner in a manner that has resulted in such bank partner’s violation of applicable law due to any act or omission of the Company or any of its subsidiaries; and, other than as set forth in the Pricing Prospectus, the Company is not aware of any material changes proposed or contemplated to be made to any of the Regulatory Laws, except to the extent such failures under (A), (B), (C) or (D) would not, individually or in the aggregate, reasonably be expected to have a Material Adverse Effect;</w:t>
      </w:r>
    </w:p>
    <w:p>
      <w:pPr>
        <w:spacing w:after="0" w:line="61" w:lineRule="exact"/>
        <w:rPr>
          <w:rFonts w:ascii="Arial" w:cs="Arial" w:eastAsia="Arial" w:hAnsi="Arial"/>
          <w:sz w:val="14"/>
          <w:szCs w:val="14"/>
          <w:color w:val="auto"/>
        </w:rPr>
      </w:pPr>
    </w:p>
    <w:p>
      <w:pPr>
        <w:ind w:left="1" w:right="40" w:hanging="1"/>
        <w:spacing w:after="0" w:line="276" w:lineRule="auto"/>
        <w:tabs>
          <w:tab w:leader="none" w:pos="189" w:val="left"/>
        </w:tabs>
        <w:numPr>
          <w:ilvl w:val="0"/>
          <w:numId w:val="147"/>
        </w:numPr>
        <w:rPr>
          <w:rFonts w:ascii="Arial" w:cs="Arial" w:eastAsia="Arial" w:hAnsi="Arial"/>
          <w:sz w:val="15"/>
          <w:szCs w:val="15"/>
          <w:color w:val="auto"/>
        </w:rPr>
      </w:pPr>
      <w:r>
        <w:rPr>
          <w:rFonts w:ascii="Arial" w:cs="Arial" w:eastAsia="Arial" w:hAnsi="Arial"/>
          <w:sz w:val="15"/>
          <w:szCs w:val="15"/>
          <w:color w:val="auto"/>
        </w:rPr>
        <w:t>None of the Company or its subsidiaries is subject to any order or action, and to the Company’s knowledge none has been threatened with any action by any federal or state regulatory authority concerning its compliance with applicable Regulatory Laws (including, but not limited to, the failure to obtain any permit, license or approval, or to comply with the terms thereof), other than any such orders or actions or threatened orders or actions that would not, individually or in the aggregate, reasonably be expected to have a Material Adverse Effect;</w:t>
      </w:r>
    </w:p>
    <w:p>
      <w:pPr>
        <w:spacing w:after="0" w:line="58" w:lineRule="exact"/>
        <w:rPr>
          <w:rFonts w:ascii="Arial" w:cs="Arial" w:eastAsia="Arial" w:hAnsi="Arial"/>
          <w:sz w:val="15"/>
          <w:szCs w:val="15"/>
          <w:color w:val="auto"/>
        </w:rPr>
      </w:pPr>
    </w:p>
    <w:p>
      <w:pPr>
        <w:ind w:left="261" w:hanging="261"/>
        <w:spacing w:after="0"/>
        <w:tabs>
          <w:tab w:leader="none" w:pos="261"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Other than as set forth in the Pricing Prospectus, there are no legal or governmental proceedings pending to which the Company or any of its</w:t>
      </w:r>
    </w:p>
    <w:p>
      <w:pPr>
        <w:spacing w:after="0" w:line="27" w:lineRule="exact"/>
        <w:rPr>
          <w:rFonts w:ascii="Arial" w:cs="Arial" w:eastAsia="Arial" w:hAnsi="Arial"/>
          <w:sz w:val="15"/>
          <w:szCs w:val="15"/>
          <w:color w:val="auto"/>
        </w:rPr>
      </w:pPr>
    </w:p>
    <w:p>
      <w:pPr>
        <w:ind w:left="1" w:right="60"/>
        <w:spacing w:after="0" w:line="249" w:lineRule="auto"/>
        <w:rPr>
          <w:rFonts w:ascii="Arial" w:cs="Arial" w:eastAsia="Arial" w:hAnsi="Arial"/>
          <w:sz w:val="15"/>
          <w:szCs w:val="15"/>
          <w:color w:val="auto"/>
        </w:rPr>
      </w:pPr>
      <w:r>
        <w:rPr>
          <w:rFonts w:ascii="Arial" w:cs="Arial" w:eastAsia="Arial" w:hAnsi="Arial"/>
          <w:sz w:val="16"/>
          <w:szCs w:val="16"/>
          <w:color w:val="auto"/>
        </w:rPr>
        <w:t>subsidiaries or, to the Company’s knowledge, any officer or director of the Company, is a party or of which any property or assets of the Company or any of its subsidiaries or, to the Company’s knowledge, any officer or director of the Company, is the subject, under the Regulatory Laws or otherwise, which if determined adversely to the Company or any of its subsidiaries (or such officer or director), would individually or in the aggregate, reasonably be expected to have a Material Adverse Effect;</w:t>
      </w:r>
    </w:p>
    <w:p>
      <w:pPr>
        <w:spacing w:after="0" w:line="76" w:lineRule="exact"/>
        <w:rPr>
          <w:rFonts w:ascii="Arial" w:cs="Arial" w:eastAsia="Arial" w:hAnsi="Arial"/>
          <w:sz w:val="15"/>
          <w:szCs w:val="15"/>
          <w:color w:val="auto"/>
        </w:rPr>
      </w:pPr>
    </w:p>
    <w:p>
      <w:pPr>
        <w:ind w:left="1" w:right="240" w:hanging="1"/>
        <w:spacing w:after="0" w:line="253" w:lineRule="auto"/>
        <w:tabs>
          <w:tab w:leader="none" w:pos="22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issue and sale of the Shares to be sold by the Company and the execution, delivery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621"/>
          </w:cols>
          <w:pgMar w:left="1119" w:top="257" w:right="1159" w:bottom="1440" w:gutter="0" w:footer="0" w:header="0"/>
        </w:sectPr>
      </w:pPr>
    </w:p>
    <w:bookmarkStart w:id="283" w:name="page284"/>
    <w:bookmarkEnd w:id="283"/>
    <w:p>
      <w:pPr>
        <w:ind w:left="1" w:right="20"/>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of the Shares to be sold by the Company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on a stock exchange and such consents, approvals, authorizations, orders, registrations or qualifications as may be required under state securities or Blue Sky laws in connection with the purchase and distribution of the Shares by the Underwriters;</w:t>
      </w:r>
    </w:p>
    <w:p>
      <w:pPr>
        <w:spacing w:after="0" w:line="55" w:lineRule="exact"/>
        <w:rPr>
          <w:sz w:val="20"/>
          <w:szCs w:val="20"/>
          <w:color w:val="auto"/>
        </w:rPr>
      </w:pPr>
    </w:p>
    <w:p>
      <w:pPr>
        <w:ind w:left="1" w:hanging="1"/>
        <w:spacing w:after="0" w:line="271" w:lineRule="auto"/>
        <w:tabs>
          <w:tab w:leader="none" w:pos="224" w:val="left"/>
        </w:tabs>
        <w:numPr>
          <w:ilvl w:val="0"/>
          <w:numId w:val="148"/>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(A) in violation of its certificate of incorporation or bylaws or other organizational document, as applicable, (B) in violation or, as relevant, default of any statute or any judgment, order, rule or regulation of any court or governmental agency or body having jurisdiction over the Company or any of its subsidiaries or any of their properties, or (C)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(B) and (C), for such violations or defaults as would not, individually or in the aggregate, have a Material Adverse Effect;</w:t>
      </w:r>
    </w:p>
    <w:p>
      <w:pPr>
        <w:spacing w:after="0" w:line="61" w:lineRule="exact"/>
        <w:rPr>
          <w:rFonts w:ascii="Arial" w:cs="Arial" w:eastAsia="Arial" w:hAnsi="Arial"/>
          <w:sz w:val="15"/>
          <w:szCs w:val="15"/>
          <w:color w:val="auto"/>
        </w:rPr>
      </w:pPr>
    </w:p>
    <w:p>
      <w:pPr>
        <w:ind w:left="1" w:right="140" w:hanging="1"/>
        <w:spacing w:after="0" w:line="301" w:lineRule="auto"/>
        <w:tabs>
          <w:tab w:leader="none" w:pos="224"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statements set forth in the Registration Statement, the Pricing Disclosure Packet, the Pricing Prospectus and the Prospectus under the caption “Business – Government Regulation”, “Description of Capital Stock”, insofar as they purport to constitute a summary of the terms of the Stock, under the caption “Material U.S. Federal Income Tax Consequences to Non-U.S. Holders of Our Common Stock”, and under the caption “Underwriting”, insofar as they purport to describe the provisions of the laws and documents referred to therein, are accurate, complete and fair in all material respects;</w:t>
      </w:r>
    </w:p>
    <w:p>
      <w:pPr>
        <w:spacing w:after="0" w:line="43" w:lineRule="exact"/>
        <w:rPr>
          <w:rFonts w:ascii="Arial" w:cs="Arial" w:eastAsia="Arial" w:hAnsi="Arial"/>
          <w:sz w:val="14"/>
          <w:szCs w:val="14"/>
          <w:color w:val="auto"/>
        </w:rPr>
      </w:pPr>
    </w:p>
    <w:p>
      <w:pPr>
        <w:ind w:left="221" w:hanging="221"/>
        <w:spacing w:after="0"/>
        <w:tabs>
          <w:tab w:leader="none" w:pos="221" w:val="left"/>
        </w:tabs>
        <w:numPr>
          <w:ilvl w:val="0"/>
          <w:numId w:val="148"/>
        </w:numPr>
        <w:rPr>
          <w:rFonts w:ascii="Arial" w:cs="Arial" w:eastAsia="Arial" w:hAnsi="Arial"/>
          <w:sz w:val="14"/>
          <w:szCs w:val="14"/>
          <w:color w:val="auto"/>
        </w:rPr>
      </w:pPr>
      <w:r>
        <w:rPr>
          <w:rFonts w:ascii="Arial" w:cs="Arial" w:eastAsia="Arial" w:hAnsi="Arial"/>
          <w:sz w:val="14"/>
          <w:szCs w:val="14"/>
          <w:color w:val="auto"/>
        </w:rPr>
        <w:t>Neither the Company nor any of its subsidiaries is, or after giving effect to the offering and sale of the Shares and the application of the proceeds</w:t>
      </w:r>
    </w:p>
    <w:p>
      <w:pPr>
        <w:spacing w:after="0" w:line="39" w:lineRule="exact"/>
        <w:rPr>
          <w:rFonts w:ascii="Arial" w:cs="Arial" w:eastAsia="Arial" w:hAnsi="Arial"/>
          <w:sz w:val="14"/>
          <w:szCs w:val="14"/>
          <w:color w:val="auto"/>
        </w:rPr>
      </w:pPr>
    </w:p>
    <w:p>
      <w:pPr>
        <w:ind w:left="1" w:right="60"/>
        <w:spacing w:after="0" w:line="250" w:lineRule="auto"/>
        <w:rPr>
          <w:rFonts w:ascii="Arial" w:cs="Arial" w:eastAsia="Arial" w:hAnsi="Arial"/>
          <w:sz w:val="14"/>
          <w:szCs w:val="14"/>
          <w:color w:val="auto"/>
        </w:rPr>
      </w:pPr>
      <w:r>
        <w:rPr>
          <w:rFonts w:ascii="Arial" w:cs="Arial" w:eastAsia="Arial" w:hAnsi="Arial"/>
          <w:sz w:val="16"/>
          <w:szCs w:val="16"/>
          <w:color w:val="auto"/>
        </w:rPr>
        <w:t>thereof as described in the Registration Statement, Pricing Disclosure Package, the Pricing Prospectus and the Prospectus, neither the Company nor any of its subsidiaries will be required to register as an “investment company” under the Investment Company Act of 1940, as amended (the “Investment Company Act”), and the rules and regulations thereunder;</w:t>
      </w:r>
    </w:p>
    <w:p>
      <w:pPr>
        <w:spacing w:after="0" w:line="76" w:lineRule="exact"/>
        <w:rPr>
          <w:rFonts w:ascii="Arial" w:cs="Arial" w:eastAsia="Arial" w:hAnsi="Arial"/>
          <w:sz w:val="14"/>
          <w:szCs w:val="14"/>
          <w:color w:val="auto"/>
        </w:rPr>
      </w:pPr>
    </w:p>
    <w:p>
      <w:pPr>
        <w:ind w:left="1" w:right="100" w:hanging="1"/>
        <w:spacing w:after="0" w:line="268" w:lineRule="auto"/>
        <w:tabs>
          <w:tab w:leader="none" w:pos="19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an “investment adviser,” as such term is defined in the Investment Advisers Act and the rules and regulations thereunder;</w:t>
      </w:r>
    </w:p>
    <w:p>
      <w:pPr>
        <w:spacing w:after="0" w:line="62" w:lineRule="exact"/>
        <w:rPr>
          <w:rFonts w:ascii="Arial" w:cs="Arial" w:eastAsia="Arial" w:hAnsi="Arial"/>
          <w:sz w:val="16"/>
          <w:szCs w:val="16"/>
          <w:color w:val="auto"/>
        </w:rPr>
      </w:pPr>
    </w:p>
    <w:p>
      <w:pPr>
        <w:ind w:left="1" w:right="60" w:hanging="1"/>
        <w:spacing w:after="0" w:line="257" w:lineRule="auto"/>
        <w:tabs>
          <w:tab w:leader="none" w:pos="207"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9641"/>
          </w:cols>
          <w:pgMar w:left="1119" w:top="257" w:right="1139" w:bottom="1440" w:gutter="0" w:footer="0" w:header="0"/>
        </w:sectPr>
      </w:pPr>
    </w:p>
    <w:bookmarkStart w:id="284" w:name="page285"/>
    <w:bookmarkEnd w:id="284"/>
    <w:p>
      <w:pPr>
        <w:ind w:left="1" w:right="360" w:hanging="1"/>
        <w:spacing w:after="0" w:line="268" w:lineRule="auto"/>
        <w:tabs>
          <w:tab w:leader="none" w:pos="189" w:val="left"/>
        </w:tabs>
        <w:numPr>
          <w:ilvl w:val="0"/>
          <w:numId w:val="1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Deloitte &amp; Touche LLP, which has certified certain financial statements of the Company and its subsidiaries, is an independent registered public accounting firm as required by the Act and the rules and regulations of the Commission thereunder;</w:t>
      </w:r>
    </w:p>
    <w:p>
      <w:pPr>
        <w:spacing w:after="0" w:line="62" w:lineRule="exact"/>
        <w:rPr>
          <w:rFonts w:ascii="Arial" w:cs="Arial" w:eastAsia="Arial" w:hAnsi="Arial"/>
          <w:sz w:val="16"/>
          <w:szCs w:val="16"/>
          <w:color w:val="auto"/>
        </w:rPr>
      </w:pPr>
    </w:p>
    <w:p>
      <w:pPr>
        <w:ind w:left="1" w:right="100" w:hanging="1"/>
        <w:spacing w:after="0" w:line="290" w:lineRule="auto"/>
        <w:tabs>
          <w:tab w:leader="none" w:pos="22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Company maintains a system of internal control over financial reporting (as such term is defined in Rule 13a-15(f) under the Securities Exchange Act of 1934, as amended (the “Exchange Act”)) that (i) complies with the requirements of the Exchange Act applicable to the Company, and</w:t>
      </w:r>
    </w:p>
    <w:p>
      <w:pPr>
        <w:ind w:left="1" w:hanging="1"/>
        <w:spacing w:after="0" w:line="265" w:lineRule="auto"/>
        <w:tabs>
          <w:tab w:leader="none" w:pos="233" w:val="left"/>
        </w:tabs>
        <w:numPr>
          <w:ilvl w:val="0"/>
          <w:numId w:val="150"/>
        </w:numPr>
        <w:rPr>
          <w:rFonts w:ascii="Arial" w:cs="Arial" w:eastAsia="Arial" w:hAnsi="Arial"/>
          <w:sz w:val="15"/>
          <w:szCs w:val="15"/>
          <w:color w:val="auto"/>
        </w:rPr>
      </w:pPr>
      <w:r>
        <w:rPr>
          <w:rFonts w:ascii="Arial" w:cs="Arial" w:eastAsia="Arial" w:hAnsi="Arial"/>
          <w:sz w:val="15"/>
          <w:szCs w:val="15"/>
          <w:color w:val="auto"/>
        </w:rPr>
        <w:t>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 (it being understood that this subsection shall not require the Company to comply with Section 404 of the Sarbanes-Oxley Act of 2002, as amended, as of an earlier date than it would otherwise be required to so comply under applicable law);</w:t>
      </w:r>
    </w:p>
    <w:p>
      <w:pPr>
        <w:spacing w:after="0" w:line="71" w:lineRule="exact"/>
        <w:rPr>
          <w:rFonts w:ascii="Arial" w:cs="Arial" w:eastAsia="Arial" w:hAnsi="Arial"/>
          <w:sz w:val="15"/>
          <w:szCs w:val="15"/>
          <w:color w:val="auto"/>
        </w:rPr>
      </w:pPr>
    </w:p>
    <w:p>
      <w:pPr>
        <w:ind w:left="1" w:right="100" w:hanging="1"/>
        <w:spacing w:after="0" w:line="282" w:lineRule="auto"/>
        <w:tabs>
          <w:tab w:leader="none" w:pos="22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Since the date of the latest audited financial statements included in the Registration Statement, Pricing Disclosure Package, the Pricing Prospectus and the Prospectus, there has been no change in the Company’s internal control over financial reporting that has materially and adversely affected, or is reasonably likely to materially and adversely affect, the Company’s internal control over financial reporting;</w:t>
      </w:r>
    </w:p>
    <w:p>
      <w:pPr>
        <w:spacing w:after="0" w:line="54" w:lineRule="exact"/>
        <w:rPr>
          <w:rFonts w:ascii="Arial" w:cs="Arial" w:eastAsia="Arial" w:hAnsi="Arial"/>
          <w:sz w:val="15"/>
          <w:szCs w:val="15"/>
          <w:color w:val="auto"/>
        </w:rPr>
      </w:pPr>
    </w:p>
    <w:p>
      <w:pPr>
        <w:jc w:val="both"/>
        <w:ind w:left="1" w:right="140" w:hanging="1"/>
        <w:spacing w:after="0" w:line="276" w:lineRule="auto"/>
        <w:tabs>
          <w:tab w:leader="none" w:pos="259"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 Company maintains disclosure controls and procedures (as such term is defined in Rule 13a-15(e) under the Exchange Act) that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58" w:lineRule="exact"/>
        <w:rPr>
          <w:rFonts w:ascii="Arial" w:cs="Arial" w:eastAsia="Arial" w:hAnsi="Arial"/>
          <w:sz w:val="15"/>
          <w:szCs w:val="15"/>
          <w:color w:val="auto"/>
        </w:rPr>
      </w:pPr>
    </w:p>
    <w:p>
      <w:pPr>
        <w:ind w:left="221" w:hanging="221"/>
        <w:spacing w:after="0"/>
        <w:tabs>
          <w:tab w:leader="none" w:pos="22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w:t>
      </w:r>
    </w:p>
    <w:p>
      <w:pPr>
        <w:spacing w:after="0" w:line="99" w:lineRule="exact"/>
        <w:rPr>
          <w:rFonts w:ascii="Arial" w:cs="Arial" w:eastAsia="Arial" w:hAnsi="Arial"/>
          <w:sz w:val="16"/>
          <w:szCs w:val="16"/>
          <w:color w:val="auto"/>
        </w:rPr>
      </w:pPr>
    </w:p>
    <w:p>
      <w:pPr>
        <w:ind w:left="1" w:right="360" w:hanging="1"/>
        <w:spacing w:after="0" w:line="302" w:lineRule="auto"/>
        <w:tabs>
          <w:tab w:leader="none" w:pos="22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There are no persons with registration rights or other similar rights to have any of securities registered pursuant to the Registration Statement or otherwise registered by the Company under the Act except as have been validly waived or complied with;</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9641"/>
          </w:cols>
          <w:pgMar w:left="1119" w:top="257" w:right="1139" w:bottom="1440" w:gutter="0" w:footer="0" w:header="0"/>
        </w:sectPr>
      </w:pPr>
    </w:p>
    <w:bookmarkStart w:id="285" w:name="page286"/>
    <w:bookmarkEnd w:id="285"/>
    <w:p>
      <w:pPr>
        <w:ind w:left="1" w:right="60" w:hanging="1"/>
        <w:spacing w:after="0" w:line="290" w:lineRule="auto"/>
        <w:tabs>
          <w:tab w:leader="none" w:pos="216" w:val="left"/>
        </w:tabs>
        <w:numPr>
          <w:ilvl w:val="0"/>
          <w:numId w:val="15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 The Company and its subsidiaries own, possess or have licensed adequate rights to use all: patents (together with any reissues, continuations, continuations-in-part, divisions, renewals, extensions, counterparts and reexaminations thereof), patent applications (including provisional applications) and inventions; trademarks, service marks, trade names, logos, Internet domain names and other indicia of origin and all registrations and applications therefor; rights in published and unpublished works of authorship, whether copyrightable or not (including software, website content and related documentation), and copyrights and all registrations and applications therefor; trade secrets, know-how and other confidential or proprietary information, (“Trade Secrets”) and other technology and intellectual property rights, (collectively, “Intellectual Property”), used in or necessary for the conduct of their respective businesses as currently conducted by the Company or any of its subsidiaries (the “Company Intellectual Property”), except where the failure to have any of the foregoing would not reasonably be expected to have a Material Adverse Effect.</w:t>
      </w:r>
    </w:p>
    <w:p>
      <w:pPr>
        <w:spacing w:after="0" w:line="52" w:lineRule="exact"/>
        <w:rPr>
          <w:sz w:val="20"/>
          <w:szCs w:val="20"/>
          <w:color w:val="auto"/>
        </w:rPr>
      </w:pPr>
    </w:p>
    <w:p>
      <w:pPr>
        <w:ind w:left="1" w:hanging="1"/>
        <w:spacing w:after="0" w:line="283" w:lineRule="auto"/>
        <w:tabs>
          <w:tab w:leader="none" w:pos="233" w:val="left"/>
        </w:tabs>
        <w:numPr>
          <w:ilvl w:val="0"/>
          <w:numId w:val="153"/>
        </w:numPr>
        <w:rPr>
          <w:rFonts w:ascii="Arial" w:cs="Arial" w:eastAsia="Arial" w:hAnsi="Arial"/>
          <w:sz w:val="14"/>
          <w:szCs w:val="14"/>
          <w:color w:val="auto"/>
        </w:rPr>
      </w:pPr>
      <w:r>
        <w:rPr>
          <w:rFonts w:ascii="Arial" w:cs="Arial" w:eastAsia="Arial" w:hAnsi="Arial"/>
          <w:sz w:val="14"/>
          <w:szCs w:val="14"/>
          <w:color w:val="auto"/>
        </w:rPr>
        <w:t>Except as described in the Registration Statement, the Pricing Prospectus and the Prospectus, to the knowledge of the Company, the conduct of the Company’s and its subsidiaries’ respective businesses has not violated, infringed, or misappropriated any Intellectual Property rights of others in any material respect. Except as described in any of the Registration Statement, the Pricing Prospectus and the Prospectus, the Company and its subsidiaries have not received any written notice of any claim of infringement or misappropriation of any such rights of others. To the knowledge of the Company, there are no third parties who have or will be able to establish ownership rights or rights to use any material Company Intellectual Property that is owned by the Company or any of its subsidiaries, except for (A) any retained rights of the owners of Intellectual Property that is licensed to the Company or any of its subsidiaries and (B) the non-exclusive rights of customers and strategic and channel partners to use the Company Intellectual Property, under which the Company or its subsidiaries have granted licenses to such customers and partners, in the ordinary course. Except as described in any of the Registration Statement, the Pricing Prospectus, and the Prospectus, there is no pending, or to the Company’s knowledge, threatened action, suit, proceeding or claim by others: (i) challenging the Company’s rights or any of its subsidiaries’ rights in or to any Company Intellectual Property;</w:t>
      </w:r>
    </w:p>
    <w:p>
      <w:pPr>
        <w:spacing w:after="0" w:line="5" w:lineRule="exact"/>
        <w:rPr>
          <w:rFonts w:ascii="Arial" w:cs="Arial" w:eastAsia="Arial" w:hAnsi="Arial"/>
          <w:sz w:val="14"/>
          <w:szCs w:val="14"/>
          <w:color w:val="auto"/>
        </w:rPr>
      </w:pPr>
    </w:p>
    <w:p>
      <w:pPr>
        <w:ind w:left="1" w:right="20" w:hanging="1"/>
        <w:spacing w:after="0" w:line="292" w:lineRule="auto"/>
        <w:tabs>
          <w:tab w:leader="none" w:pos="233" w:val="left"/>
        </w:tabs>
        <w:numPr>
          <w:ilvl w:val="0"/>
          <w:numId w:val="154"/>
        </w:numPr>
        <w:rPr>
          <w:rFonts w:ascii="Arial" w:cs="Arial" w:eastAsia="Arial" w:hAnsi="Arial"/>
          <w:sz w:val="14"/>
          <w:szCs w:val="14"/>
          <w:color w:val="auto"/>
        </w:rPr>
      </w:pPr>
      <w:r>
        <w:rPr>
          <w:rFonts w:ascii="Arial" w:cs="Arial" w:eastAsia="Arial" w:hAnsi="Arial"/>
          <w:sz w:val="14"/>
          <w:szCs w:val="14"/>
          <w:color w:val="auto"/>
        </w:rPr>
        <w:t>challenging the validity, enforceability, scope, registration, or ownership of any Company Intellectual Property that is owned by the Company or any of its subsidiaries (with the exception of routine office actions in connection with applications for the registration or issuance of such Intellectual Property), or (iii) that the Company or any of its subsidiaries infringes or misappropriates any Intellectual Property or other proprietary rights of others. Except as described in any of the Registration Statement, the Pricing Prospectus, and the Prospectus, there is no pending or threatened action, suit, proceeding or claim by the Company or any of its subsidiaries that a third party infringes or misappropriates any of the Company Intellectual Property;</w:t>
      </w:r>
    </w:p>
    <w:p>
      <w:pPr>
        <w:spacing w:after="0" w:line="50" w:lineRule="exact"/>
        <w:rPr>
          <w:rFonts w:ascii="Arial" w:cs="Arial" w:eastAsia="Arial" w:hAnsi="Arial"/>
          <w:sz w:val="14"/>
          <w:szCs w:val="14"/>
          <w:color w:val="auto"/>
        </w:rPr>
      </w:pPr>
    </w:p>
    <w:p>
      <w:pPr>
        <w:ind w:left="1" w:right="20" w:hanging="1"/>
        <w:spacing w:after="0" w:line="268" w:lineRule="auto"/>
        <w:tabs>
          <w:tab w:leader="none" w:pos="277"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Company and its subsidiaries have taken commercially reasonable steps to secure interests in the Company Intellectual Property developed by their employees, consultants, agents and contractors in the course of their service to the Company, including the execution of valid Intellectual Property assignment and non-disclosure agreements for the benefit of the Company and its subsidiaries by such employees, consultants, agents and contractors. There are no outstanding options, licenses or binding agreements of any kind relating to the Company Intellectual Property owned by the Company or any of its subsidiaries that are required to be described in the Registration Statement, the Pricing Prospectus and the Prospectus and are not so described. The Company and its subsidiaries are not a party to or bound by any options, licenses or binding agreements with respect to any Intellectual Property of any other person or entity that are required to be set forth in the Registration Statement and the Prospectus and are not so described. Except as described in any of the Registration Statement, the Pricing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641"/>
          </w:cols>
          <w:pgMar w:left="1119" w:top="257" w:right="1139" w:bottom="1440" w:gutter="0" w:footer="0" w:header="0"/>
        </w:sectPr>
      </w:pPr>
    </w:p>
    <w:bookmarkStart w:id="286" w:name="page287"/>
    <w:bookmarkEnd w:id="286"/>
    <w:p>
      <w:pPr>
        <w:ind w:left="1" w:right="60"/>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Prospectus, and the Prospectus, no government funding, facilities or resources of a university, college, other educational institution or research center or funding from third parties was used in the development of any material Intellectual Property that is owned or purported to be owned by the Company or any of its subsidiaries. The Company and its subsidiaries have taken reasonable steps in accordance with normal industry practice to maintain the confidentiality of all material Trade Secrets used in, held for use in or necessary for the conduct of the businesses of the Company or any of its subsidiaries;</w:t>
      </w:r>
    </w:p>
    <w:p>
      <w:pPr>
        <w:spacing w:after="0" w:line="75" w:lineRule="exact"/>
        <w:rPr>
          <w:sz w:val="20"/>
          <w:szCs w:val="20"/>
          <w:color w:val="auto"/>
        </w:rPr>
      </w:pPr>
    </w:p>
    <w:p>
      <w:pPr>
        <w:ind w:left="1" w:right="240" w:hanging="1"/>
        <w:spacing w:after="0" w:line="287" w:lineRule="auto"/>
        <w:tabs>
          <w:tab w:leader="none" w:pos="268"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To the Company’s knowledge, the Company and its subsidiaries have used all software (including source code) that is distributed under a “free,” “open source,” or similar licensing model or under a license which, by its terms, (A) does not prohibit licensees of such software from licensing or otherwise distributing such software in source code form, (B) does not prohibit licensees of such software from making modifications thereof, and</w:t>
      </w:r>
    </w:p>
    <w:p>
      <w:pPr>
        <w:spacing w:after="0" w:line="1" w:lineRule="exact"/>
        <w:rPr>
          <w:rFonts w:ascii="Arial" w:cs="Arial" w:eastAsia="Arial" w:hAnsi="Arial"/>
          <w:sz w:val="14"/>
          <w:szCs w:val="14"/>
          <w:color w:val="auto"/>
        </w:rPr>
      </w:pPr>
    </w:p>
    <w:p>
      <w:pPr>
        <w:ind w:left="1" w:right="40"/>
        <w:spacing w:after="0" w:line="282" w:lineRule="auto"/>
        <w:rPr>
          <w:rFonts w:ascii="Arial" w:cs="Arial" w:eastAsia="Arial" w:hAnsi="Arial"/>
          <w:sz w:val="14"/>
          <w:szCs w:val="14"/>
          <w:color w:val="auto"/>
        </w:rPr>
      </w:pPr>
      <w:r>
        <w:rPr>
          <w:rFonts w:ascii="Arial" w:cs="Arial" w:eastAsia="Arial" w:hAnsi="Arial"/>
          <w:sz w:val="14"/>
          <w:szCs w:val="14"/>
          <w:color w:val="auto"/>
        </w:rPr>
        <w:t>(C) does not require a royalty or other payment for the licensing or other distribution, or the modification, of such software (other than a reasonable charge to compensate the provider for the cost of providing a copy thereof), including under the GNU General Public License, GNU Lesser General Public License, GNU Affero General Public License, New BSD License, MIT License, Common Public License and other licenses approved as Open Source licenses under the Open Source Definition of the Open Source Initiative located online at http://opensource.org/osd (“Open Source Materials”), in compliance in all material respects with all license terms applicable to such Open Source Materials. Except as described in any of the Registration Statement, the Pricing Prospectus, and the Prospectus, to the knowledge of the Company, neither the Company nor any of its subsidiaries has used or distributed any Open Source Materials in a manner that requires or has required (i) the Company or any of its subsidiaries to permit reverse engineering of any products or services of the Company or any of its subsidiaries, or any software code or other technology owned by the Company or any of its subsidiaries, or (ii) any products or services of the Company or any of its subsidiaries, or any software code or other technology owned by the Company or any of its subsidiaries, to be (A) disclosed or distributed in source code form, (B) licensed for the purpose of making derivative works, or</w:t>
      </w:r>
    </w:p>
    <w:p>
      <w:pPr>
        <w:ind w:left="1"/>
        <w:spacing w:after="0"/>
        <w:rPr>
          <w:rFonts w:ascii="Arial" w:cs="Arial" w:eastAsia="Arial" w:hAnsi="Arial"/>
          <w:sz w:val="14"/>
          <w:szCs w:val="14"/>
          <w:color w:val="auto"/>
        </w:rPr>
      </w:pPr>
      <w:r>
        <w:rPr>
          <w:rFonts w:ascii="Arial" w:cs="Arial" w:eastAsia="Arial" w:hAnsi="Arial"/>
          <w:sz w:val="16"/>
          <w:szCs w:val="16"/>
          <w:color w:val="auto"/>
        </w:rPr>
        <w:t>(C) redistributed at no charge or minimal charge.</w:t>
      </w:r>
    </w:p>
    <w:p>
      <w:pPr>
        <w:spacing w:after="0" w:line="89" w:lineRule="exact"/>
        <w:rPr>
          <w:sz w:val="20"/>
          <w:szCs w:val="20"/>
          <w:color w:val="auto"/>
        </w:rPr>
      </w:pPr>
    </w:p>
    <w:p>
      <w:pPr>
        <w:ind w:left="1" w:hanging="1"/>
        <w:spacing w:after="0" w:line="284" w:lineRule="auto"/>
        <w:tabs>
          <w:tab w:leader="none" w:pos="286"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 the Company and its subsidiaries have (A) operated and currently operate their respective businesses in a manner compliant in all material respects with all applicable foreign, federal, state and local laws and regulations, all contractual obligations and all Company policies (internal and posted), in each case, related to privacy and data security applicable to the Company’s, and its subsidiaries’, collection, use, handling, transfer, transmission, storage, disclosure and/or disposal of the data of their respective customers, employees and other third parties (the “Privacy and Data Security Requirements”) and (B) maintain, monitor and have been and are in material compliance with, applicable administrative, technical and physical safeguards and policies and procedures designed to ensure compliance with Privacy and Data Security Requirements in all material respects and</w:t>
      </w:r>
    </w:p>
    <w:p>
      <w:pPr>
        <w:spacing w:after="0" w:line="3" w:lineRule="exact"/>
        <w:rPr>
          <w:rFonts w:ascii="Arial" w:cs="Arial" w:eastAsia="Arial" w:hAnsi="Arial"/>
          <w:sz w:val="14"/>
          <w:szCs w:val="14"/>
          <w:color w:val="auto"/>
        </w:rPr>
      </w:pPr>
    </w:p>
    <w:p>
      <w:pPr>
        <w:ind w:left="1" w:right="60" w:hanging="1"/>
        <w:spacing w:after="0" w:line="248" w:lineRule="auto"/>
        <w:tabs>
          <w:tab w:leader="none" w:pos="23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described in the Registration Statement, Pricing Disclosure Package, the Pricing Prospectus and the Prospectus, there has been no material loss or material unauthorized access, use, modification or breach of security of customer, employee or third party data or personal information maintained by or on behalf of the Company and its subsidiaries (each, a “Data Breach”), and neither the Company nor any of its subsidiaries has notified, nor has the current intention to notify, any customer, governmental entity or the media of any such event with regard to any material Data Breach;</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9641"/>
          </w:cols>
          <w:pgMar w:left="1119" w:top="258" w:right="1139" w:bottom="1440" w:gutter="0" w:footer="0" w:header="0"/>
        </w:sectPr>
      </w:pPr>
    </w:p>
    <w:bookmarkStart w:id="287" w:name="page288"/>
    <w:bookmarkEnd w:id="287"/>
    <w:p>
      <w:pPr>
        <w:ind w:left="1" w:right="60" w:hanging="1"/>
        <w:spacing w:after="0" w:line="291" w:lineRule="auto"/>
        <w:tabs>
          <w:tab w:leader="none" w:pos="303" w:val="left"/>
        </w:tabs>
        <w:numPr>
          <w:ilvl w:val="0"/>
          <w:numId w:val="15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Company and its subsidiaries’ information technology assets and equipment, computers, systems, networks, hardware, software, websites, applications, and databases (collectively, “IT Systems”) (i) are reasonably adequate for and operate and perform in all material respects as required in connection with the operation of the business of the Company and its subsidiaries as currently conducted, and (ii) are free and clear of all material bugs, errors, defects, Trojan horses, time bombs, malware and other corruptants. The Company and its subsidiaries have implemented and maintained commercially reasonable controls, policies, procedures, and safeguards designed to maintain and protect their material confidential information and the integrity, continuous operation, redundancy and security of all IT Systems, and to the knowledge of the Company, there have been no breaches, violations, outages or unauthorized uses of or accesses to such IT Systems, except for those that have been remedied without material cost or liability.</w:t>
      </w:r>
    </w:p>
    <w:p>
      <w:pPr>
        <w:spacing w:after="0" w:line="52" w:lineRule="exact"/>
        <w:rPr>
          <w:rFonts w:ascii="Arial" w:cs="Arial" w:eastAsia="Arial" w:hAnsi="Arial"/>
          <w:sz w:val="14"/>
          <w:szCs w:val="14"/>
          <w:color w:val="auto"/>
        </w:rPr>
      </w:pPr>
    </w:p>
    <w:p>
      <w:pPr>
        <w:ind w:left="1" w:hanging="1"/>
        <w:spacing w:after="0" w:line="286" w:lineRule="auto"/>
        <w:tabs>
          <w:tab w:leader="none" w:pos="286"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 Neither the Company nor any of its subsidiaries nor, any director, or officer thereof, nor, to the knowledge of the Company, any employee, agent, affiliate or other person while “associated with” (as that term is defined in the Bribery Act 2010 of the United Kingdom) or acting on behalf of the Company or any of its subsidiaries has (A) made, offered, promised or authorized any unlawful contribution, gift, entertainment or other unlawful expense or taken any act in furtherance thereof; (B) made, offered, promised or authorized any direct or indirect unlawful payment to any foreign or domestic government official, employee or agent, including those acting on behalf of any government instrumentality such as government-owned or controlled entities, or of a public international organization, or any person acting in an official capacity for or on behalf of any of the foregoing, or any political party or party official or candidate for political office; or (C) violated or is in violation of any provision of the Foreign Corrupt Practices Act of 1977, as amended, the Bribery Act 2010 of the United Kingdom or any other applicable anti-bribery or anti-corruption law (hereinafter, the “Anti-Bribery and Anti-Corruption Laws”). The Company, its subsidiaries and its controlled affiliates have conducted their businesses in compliance with, and have instituted and maintain policies and procedures reasonably designed to promote and achieve compliance with the Anti-Bribery and Anti-Corruption Laws and with the representations and warranties contained herein. Neither the Company nor its subsidiaries will use, directly or indirectly, the proceeds of the offering of the Shares hereunder in furtherance of an offer, payment, promise to pay, or authorization of the payment or giving of money, or anything else of value, to any person in violation of the Anti-Bribery and Anti-Corruption Laws;</w:t>
      </w:r>
    </w:p>
    <w:p>
      <w:pPr>
        <w:spacing w:after="0" w:line="60" w:lineRule="exact"/>
        <w:rPr>
          <w:rFonts w:ascii="Arial" w:cs="Arial" w:eastAsia="Arial" w:hAnsi="Arial"/>
          <w:sz w:val="14"/>
          <w:szCs w:val="14"/>
          <w:color w:val="auto"/>
        </w:rPr>
      </w:pPr>
    </w:p>
    <w:p>
      <w:pPr>
        <w:ind w:left="1" w:right="20" w:hanging="1"/>
        <w:spacing w:after="0" w:line="269" w:lineRule="auto"/>
        <w:tabs>
          <w:tab w:leader="none" w:pos="303" w:val="left"/>
        </w:tabs>
        <w:numPr>
          <w:ilvl w:val="0"/>
          <w:numId w:val="158"/>
        </w:numPr>
        <w:rPr>
          <w:rFonts w:ascii="Arial" w:cs="Arial" w:eastAsia="Arial" w:hAnsi="Arial"/>
          <w:sz w:val="15"/>
          <w:szCs w:val="15"/>
          <w:color w:val="auto"/>
        </w:rPr>
      </w:pPr>
      <w:r>
        <w:rPr>
          <w:rFonts w:ascii="Arial" w:cs="Arial" w:eastAsia="Arial" w:hAnsi="Arial"/>
          <w:sz w:val="15"/>
          <w:szCs w:val="15"/>
          <w:color w:val="auto"/>
        </w:rPr>
        <w:t>The operations of the Company and its subsidiaries, and to the knowledge of the Company, its bank partners (solely with respect to their operations relating to their loan program with the Company),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641"/>
          </w:cols>
          <w:pgMar w:left="1119" w:top="257" w:right="1139" w:bottom="1440" w:gutter="0" w:footer="0" w:header="0"/>
        </w:sectPr>
      </w:pPr>
    </w:p>
    <w:bookmarkStart w:id="288" w:name="page289"/>
    <w:bookmarkEnd w:id="288"/>
    <w:p>
      <w:pPr>
        <w:ind w:left="1" w:right="280" w:hanging="1"/>
        <w:spacing w:after="0" w:line="290" w:lineRule="auto"/>
        <w:tabs>
          <w:tab w:leader="none" w:pos="286" w:val="left"/>
        </w:tabs>
        <w:numPr>
          <w:ilvl w:val="0"/>
          <w:numId w:val="1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Neither the Company nor any of its subsidiaries nor any director or officer thereof nor, to the knowledge of the Company, any employee, agent, affiliate or representative of the Company or any of its subsidiaries is, or is owned or controlled by one or more individuals or entities that is,</w:t>
      </w:r>
    </w:p>
    <w:p>
      <w:pPr>
        <w:ind w:left="1" w:hanging="1"/>
        <w:spacing w:after="0" w:line="265" w:lineRule="auto"/>
        <w:tabs>
          <w:tab w:leader="none" w:pos="189" w:val="left"/>
        </w:tabs>
        <w:numPr>
          <w:ilvl w:val="0"/>
          <w:numId w:val="160"/>
        </w:numPr>
        <w:rPr>
          <w:rFonts w:ascii="Arial" w:cs="Arial" w:eastAsia="Arial" w:hAnsi="Arial"/>
          <w:sz w:val="15"/>
          <w:szCs w:val="15"/>
          <w:color w:val="auto"/>
        </w:rPr>
      </w:pPr>
      <w:r>
        <w:rPr>
          <w:rFonts w:ascii="Arial" w:cs="Arial" w:eastAsia="Arial" w:hAnsi="Arial"/>
          <w:sz w:val="15"/>
          <w:szCs w:val="15"/>
          <w:color w:val="auto"/>
        </w:rPr>
        <w:t>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the United Nations Security Council, or other relevant sanctions authority in a country (collectively, “Sanctions”), nor (ii) located, organized or resident in a country or territory that is the subject or the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 (A) to fund or facilitate any activities of or business with any person, or in any country or territory, that, at the time of such funding, is the subject or the target of Sanctions or (B)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and will not knowingly engage in, any dealings or transactions with any individual or entity, or in any country or territory, that at the time of the dealing or transaction is or was the subject of or the target of Sanctions or with any Sanctioned Country, respectively;</w:t>
      </w:r>
    </w:p>
    <w:p>
      <w:pPr>
        <w:spacing w:after="0" w:line="68" w:lineRule="exact"/>
        <w:rPr>
          <w:rFonts w:ascii="Arial" w:cs="Arial" w:eastAsia="Arial" w:hAnsi="Arial"/>
          <w:sz w:val="15"/>
          <w:szCs w:val="15"/>
          <w:color w:val="auto"/>
        </w:rPr>
      </w:pPr>
    </w:p>
    <w:p>
      <w:pPr>
        <w:ind w:left="1" w:hanging="1"/>
        <w:spacing w:after="0" w:line="287" w:lineRule="auto"/>
        <w:tabs>
          <w:tab w:leader="none" w:pos="24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financial statements included in the Registration Statement, Pricing Disclosure Package, the Pricing Prospectus and the Prospectus, together with the related schedules and notes, present fairly in all material respects the financial position of the Company and its subsidiaries at the dates indicated therein and the statement of operations, stockholders’ equity and cash flows of the Company and its subsidiaries for the periods specified; said financial statements have been prepared in conformity with U.S. generally accepted accounting principles (“GAAP”) applied on a consistent basis throughout the periods involved. The supporting schedules, if any, present fairly in accordance with GAAP the information required to be stated therein. The selected financial data and the summary financial information included in the Registration Statement, the Pricing Prospectus and the Prospectus present fairly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w:t>
      </w:r>
    </w:p>
    <w:p>
      <w:pPr>
        <w:spacing w:after="0" w:line="58" w:lineRule="exact"/>
        <w:rPr>
          <w:rFonts w:ascii="Arial" w:cs="Arial" w:eastAsia="Arial" w:hAnsi="Arial"/>
          <w:sz w:val="14"/>
          <w:szCs w:val="14"/>
          <w:color w:val="auto"/>
        </w:rPr>
      </w:pPr>
    </w:p>
    <w:p>
      <w:pPr>
        <w:jc w:val="both"/>
        <w:ind w:left="1" w:hanging="1"/>
        <w:spacing w:after="0" w:line="257" w:lineRule="auto"/>
        <w:tabs>
          <w:tab w:leader="none" w:pos="30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statistical, industry-related and market-related data included in the Pricing Prospectus and the Prospectus are based on or derived from sources that the Company believes, after reasonable inquiry, to be reliable and accurate and, to the extent required, the Company has obtained the consent to the use of such data from such sources;</w:t>
      </w:r>
    </w:p>
    <w:p>
      <w:pPr>
        <w:spacing w:after="0" w:line="71" w:lineRule="exact"/>
        <w:rPr>
          <w:rFonts w:ascii="Arial" w:cs="Arial" w:eastAsia="Arial" w:hAnsi="Arial"/>
          <w:sz w:val="16"/>
          <w:szCs w:val="16"/>
          <w:color w:val="auto"/>
        </w:rPr>
      </w:pPr>
    </w:p>
    <w:p>
      <w:pPr>
        <w:ind w:left="1" w:right="240" w:hanging="1"/>
        <w:spacing w:after="0" w:line="311" w:lineRule="auto"/>
        <w:tabs>
          <w:tab w:leader="none" w:pos="303"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Company and each of its subsidiaries have filed all material federal, state, local and foreign income and franchise tax returns required to be filed through the date hereof, subject to permitted extensions, and have paid all taxes due thereon. No material tax deficiency has been determined adversely to the Company or any of its subsidiaries and the Company does not have any knowledge of any tax deficiencies;</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601"/>
          </w:cols>
          <w:pgMar w:left="1119" w:top="257" w:right="1179" w:bottom="1440" w:gutter="0" w:footer="0" w:header="0"/>
        </w:sectPr>
      </w:pPr>
    </w:p>
    <w:bookmarkStart w:id="289" w:name="page290"/>
    <w:bookmarkEnd w:id="289"/>
    <w:p>
      <w:pPr>
        <w:ind w:left="1" w:right="180" w:hanging="1"/>
        <w:spacing w:after="0" w:line="340" w:lineRule="auto"/>
        <w:tabs>
          <w:tab w:leader="none" w:pos="233" w:val="left"/>
        </w:tabs>
        <w:numPr>
          <w:ilvl w:val="0"/>
          <w:numId w:val="16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From the time of the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16" w:lineRule="exact"/>
        <w:rPr>
          <w:rFonts w:ascii="Arial" w:cs="Arial" w:eastAsia="Arial" w:hAnsi="Arial"/>
          <w:sz w:val="14"/>
          <w:szCs w:val="14"/>
          <w:color w:val="auto"/>
        </w:rPr>
      </w:pPr>
    </w:p>
    <w:p>
      <w:pPr>
        <w:ind w:left="241" w:hanging="241"/>
        <w:spacing w:after="0"/>
        <w:tabs>
          <w:tab w:leader="none" w:pos="24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Nothing has come to the attention of the Company that has caused it to believe that the forward-looking statements (within the meaning of</w:t>
      </w:r>
    </w:p>
    <w:p>
      <w:pPr>
        <w:spacing w:after="0" w:line="28" w:lineRule="exact"/>
        <w:rPr>
          <w:sz w:val="20"/>
          <w:szCs w:val="20"/>
          <w:color w:val="auto"/>
        </w:rPr>
      </w:pPr>
    </w:p>
    <w:p>
      <w:pPr>
        <w:ind w:left="1" w:right="100"/>
        <w:spacing w:after="0" w:line="286" w:lineRule="auto"/>
        <w:rPr>
          <w:sz w:val="20"/>
          <w:szCs w:val="20"/>
          <w:color w:val="auto"/>
        </w:rPr>
      </w:pPr>
      <w:r>
        <w:rPr>
          <w:rFonts w:ascii="Arial" w:cs="Arial" w:eastAsia="Arial" w:hAnsi="Arial"/>
          <w:sz w:val="15"/>
          <w:szCs w:val="15"/>
          <w:color w:val="auto"/>
        </w:rPr>
        <w:t>Section 27A of the Securities Act and Section 21E of the Exchange Act) included in any of the Registration Statement, the Pricing Disclosure Package, the Pricing Prospectus or the Prospectus have been made other than on a reasonable basis and in good faith; and</w:t>
      </w:r>
    </w:p>
    <w:p>
      <w:pPr>
        <w:spacing w:after="0" w:line="51" w:lineRule="exact"/>
        <w:rPr>
          <w:sz w:val="20"/>
          <w:szCs w:val="20"/>
          <w:color w:val="auto"/>
        </w:rPr>
      </w:pPr>
    </w:p>
    <w:p>
      <w:pPr>
        <w:ind w:left="301" w:hanging="301"/>
        <w:spacing w:after="0"/>
        <w:tabs>
          <w:tab w:leader="none" w:pos="301"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Company and its subsidiaries has not and, to its knowledge, no one acting on its behalf has, other than as contemplated by this Agreement</w:t>
      </w:r>
    </w:p>
    <w:p>
      <w:pPr>
        <w:spacing w:after="0" w:line="39" w:lineRule="exact"/>
        <w:rPr>
          <w:rFonts w:ascii="Arial" w:cs="Arial" w:eastAsia="Arial" w:hAnsi="Arial"/>
          <w:sz w:val="14"/>
          <w:szCs w:val="14"/>
          <w:color w:val="auto"/>
        </w:rPr>
      </w:pPr>
    </w:p>
    <w:p>
      <w:pPr>
        <w:ind w:left="1" w:right="180" w:hanging="1"/>
        <w:spacing w:after="0" w:line="253" w:lineRule="auto"/>
        <w:tabs>
          <w:tab w:leader="none" w:pos="18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taken, directly or indirectly, any action which was designed to or which has constituted or which might reasonably be expected to cause or result in the manipulation of the price of any security of the Company to facilitate the sale of the Shares.</w:t>
      </w:r>
    </w:p>
    <w:p>
      <w:pPr>
        <w:spacing w:after="0" w:line="74" w:lineRule="exact"/>
        <w:rPr>
          <w:sz w:val="20"/>
          <w:szCs w:val="20"/>
          <w:color w:val="auto"/>
        </w:rPr>
      </w:pPr>
    </w:p>
    <w:p>
      <w:pPr>
        <w:ind w:left="1" w:hanging="1"/>
        <w:spacing w:after="0" w:line="288" w:lineRule="auto"/>
        <w:tabs>
          <w:tab w:leader="none" w:pos="15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Subject to the terms and conditions herein set forth, (a) the Company agrees to sell to each of the Underwriters, and each of the Underwriters agrees, severally and not jointly, to purchase from the Company at a purchase price per share of [$•], the number of Firm Shares as set forth opposite the name of such Underwriter in Schedule I hereto and (b) in the event and to the extent that the Underwriters shall exercise the election to purchase Optional Shares as provided below, the Company agrees to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55" w:lineRule="exact"/>
        <w:rPr>
          <w:sz w:val="20"/>
          <w:szCs w:val="20"/>
          <w:color w:val="auto"/>
        </w:rPr>
      </w:pPr>
    </w:p>
    <w:p>
      <w:pPr>
        <w:ind w:left="1"/>
        <w:spacing w:after="0" w:line="268" w:lineRule="auto"/>
        <w:rPr>
          <w:sz w:val="20"/>
          <w:szCs w:val="20"/>
          <w:color w:val="auto"/>
        </w:rPr>
      </w:pPr>
      <w:r>
        <w:rPr>
          <w:rFonts w:ascii="Arial" w:cs="Arial" w:eastAsia="Arial" w:hAnsi="Arial"/>
          <w:sz w:val="15"/>
          <w:szCs w:val="15"/>
          <w:color w:val="auto"/>
        </w:rPr>
        <w:t>The Company hereby grants to the Underwriters the right to purchase at their election up to an aggregate of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641"/>
          </w:cols>
          <w:pgMar w:left="1119" w:top="257" w:right="1139" w:bottom="1440" w:gutter="0" w:footer="0" w:header="0"/>
        </w:sectPr>
      </w:pPr>
    </w:p>
    <w:bookmarkStart w:id="290" w:name="page291"/>
    <w:bookmarkEnd w:id="290"/>
    <w:p>
      <w:pPr>
        <w:ind w:left="1" w:right="260" w:hanging="1"/>
        <w:spacing w:after="0" w:line="268" w:lineRule="auto"/>
        <w:tabs>
          <w:tab w:leader="none" w:pos="159"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Upon the authorization by the Representatives of the release of the Firm Shares, the several Underwriters propose to offer the Firm Shares for sale upon the terms and conditions set forth in the Pricing Prospectus and the Prospectus.</w:t>
      </w:r>
    </w:p>
    <w:p>
      <w:pPr>
        <w:spacing w:after="0" w:line="62" w:lineRule="exact"/>
        <w:rPr>
          <w:rFonts w:ascii="Arial" w:cs="Arial" w:eastAsia="Arial" w:hAnsi="Arial"/>
          <w:sz w:val="16"/>
          <w:szCs w:val="16"/>
          <w:color w:val="auto"/>
        </w:rPr>
      </w:pPr>
    </w:p>
    <w:p>
      <w:pPr>
        <w:ind w:left="1" w:hanging="1"/>
        <w:spacing w:after="0" w:line="266" w:lineRule="auto"/>
        <w:tabs>
          <w:tab w:leader="none" w:pos="159" w:val="left"/>
        </w:tabs>
        <w:numPr>
          <w:ilvl w:val="0"/>
          <w:numId w:val="166"/>
        </w:numPr>
        <w:rPr>
          <w:rFonts w:ascii="Arial" w:cs="Arial" w:eastAsia="Arial" w:hAnsi="Arial"/>
          <w:sz w:val="15"/>
          <w:szCs w:val="15"/>
          <w:color w:val="auto"/>
        </w:rPr>
      </w:pPr>
      <w:r>
        <w:rPr>
          <w:rFonts w:ascii="Arial" w:cs="Arial" w:eastAsia="Arial" w:hAnsi="Arial"/>
          <w:sz w:val="15"/>
          <w:szCs w:val="15"/>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March [•], 2021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69" w:lineRule="exact"/>
        <w:rPr>
          <w:sz w:val="20"/>
          <w:szCs w:val="20"/>
          <w:color w:val="auto"/>
        </w:rPr>
      </w:pPr>
    </w:p>
    <w:p>
      <w:pPr>
        <w:ind w:left="1" w:right="20" w:hanging="1"/>
        <w:spacing w:after="0" w:line="249" w:lineRule="auto"/>
        <w:tabs>
          <w:tab w:leader="none" w:pos="22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Sullivan &amp; Cromwell LLP, 1870 Embarcadero Road, Palo Alto, California 94303 (the “Closing Location”), and the Shares will be delivered at the Designated Office, all at such Time of Delivery. A meeting will be held at the Closing Location at [•:••]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6"/>
          <w:szCs w:val="16"/>
          <w:color w:val="auto"/>
        </w:rPr>
        <w:t>5. The Company agrees with each of the Underwriters:</w:t>
      </w:r>
    </w:p>
    <w:p>
      <w:pPr>
        <w:spacing w:after="0" w:line="100" w:lineRule="exact"/>
        <w:rPr>
          <w:sz w:val="20"/>
          <w:szCs w:val="20"/>
          <w:color w:val="auto"/>
        </w:rPr>
      </w:pPr>
    </w:p>
    <w:p>
      <w:pPr>
        <w:ind w:left="1" w:right="40" w:hanging="1"/>
        <w:spacing w:after="0" w:line="253" w:lineRule="auto"/>
        <w:tabs>
          <w:tab w:leader="none" w:pos="21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Representatives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641"/>
          </w:cols>
          <w:pgMar w:left="1119" w:top="257" w:right="1139" w:bottom="1440" w:gutter="0" w:footer="0" w:header="0"/>
        </w:sectPr>
      </w:pPr>
    </w:p>
    <w:bookmarkStart w:id="291" w:name="page292"/>
    <w:bookmarkEnd w:id="291"/>
    <w:p>
      <w:pPr>
        <w:ind w:left="1" w:right="4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file promptly all materials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68" w:lineRule="exact"/>
        <w:rPr>
          <w:sz w:val="20"/>
          <w:szCs w:val="20"/>
          <w:color w:val="auto"/>
        </w:rPr>
      </w:pPr>
    </w:p>
    <w:p>
      <w:pPr>
        <w:ind w:left="1" w:right="80" w:hanging="1"/>
        <w:spacing w:after="0" w:line="296" w:lineRule="auto"/>
        <w:tabs>
          <w:tab w:leader="none" w:pos="224" w:val="left"/>
        </w:tabs>
        <w:numPr>
          <w:ilvl w:val="0"/>
          <w:numId w:val="169"/>
        </w:numPr>
        <w:rPr>
          <w:rFonts w:ascii="Arial" w:cs="Arial" w:eastAsia="Arial" w:hAnsi="Arial"/>
          <w:sz w:val="14"/>
          <w:szCs w:val="14"/>
          <w:color w:val="auto"/>
        </w:rPr>
      </w:pPr>
      <w:r>
        <w:rPr>
          <w:rFonts w:ascii="Arial" w:cs="Arial" w:eastAsia="Arial" w:hAnsi="Arial"/>
          <w:sz w:val="14"/>
          <w:szCs w:val="14"/>
          <w:color w:val="auto"/>
        </w:rPr>
        <w:t>Promptly from time to time to take such action as the Representatives may reasonably request to qualify the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or subject itself to taxation in any such jurisdiction in which it was not otherwise subject to taxation;</w:t>
      </w:r>
    </w:p>
    <w:p>
      <w:pPr>
        <w:spacing w:after="0" w:line="47" w:lineRule="exact"/>
        <w:rPr>
          <w:rFonts w:ascii="Arial" w:cs="Arial" w:eastAsia="Arial" w:hAnsi="Arial"/>
          <w:sz w:val="14"/>
          <w:szCs w:val="14"/>
          <w:color w:val="auto"/>
        </w:rPr>
      </w:pPr>
    </w:p>
    <w:p>
      <w:pPr>
        <w:ind w:left="1" w:hanging="1"/>
        <w:spacing w:after="0" w:line="286" w:lineRule="auto"/>
        <w:tabs>
          <w:tab w:leader="none" w:pos="216" w:val="left"/>
        </w:tabs>
        <w:numPr>
          <w:ilvl w:val="0"/>
          <w:numId w:val="169"/>
        </w:numPr>
        <w:rPr>
          <w:rFonts w:ascii="Arial" w:cs="Arial" w:eastAsia="Arial" w:hAnsi="Arial"/>
          <w:sz w:val="14"/>
          <w:szCs w:val="14"/>
          <w:color w:val="auto"/>
        </w:rPr>
      </w:pPr>
      <w:r>
        <w:rPr>
          <w:rFonts w:ascii="Arial" w:cs="Arial" w:eastAsia="Arial" w:hAnsi="Arial"/>
          <w:sz w:val="14"/>
          <w:szCs w:val="14"/>
          <w:color w:val="auto"/>
        </w:rPr>
        <w:t>Prior to 10:00 a.m., New York City time, on the New York Business Day next succeeding the date of this Agreement (or such later time as may be agreed to by the Company and the Representatives) and from time to time, to furnish the Underwriters with written and electronic copies of the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the Representative and upon the Representatives’ request to prepare and furnish without charge to each Underwriter and to any dealer in securities (whose name and address the Representatives shall furnish to the Company) as many written and electronic copies as the Representatives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the Representatives’ request but at the expense of such Underwriter, to prepare and deliver to such Underwriter as many written and electronic copies as the Representatives may request of an amended or supplemented Prospectus complying with Section 10(a)(3) of the Act;</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641"/>
          </w:cols>
          <w:pgMar w:left="1119" w:top="257" w:right="1139" w:bottom="1440" w:gutter="0" w:footer="0" w:header="0"/>
        </w:sectPr>
      </w:pPr>
    </w:p>
    <w:bookmarkStart w:id="292" w:name="page293"/>
    <w:bookmarkEnd w:id="292"/>
    <w:p>
      <w:pPr>
        <w:ind w:left="1" w:right="120" w:hanging="1"/>
        <w:spacing w:after="0" w:line="301" w:lineRule="auto"/>
        <w:tabs>
          <w:tab w:leader="none" w:pos="224" w:val="left"/>
        </w:tabs>
        <w:numPr>
          <w:ilvl w:val="0"/>
          <w:numId w:val="17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43" w:lineRule="exact"/>
        <w:rPr>
          <w:rFonts w:ascii="Arial" w:cs="Arial" w:eastAsia="Arial" w:hAnsi="Arial"/>
          <w:sz w:val="14"/>
          <w:szCs w:val="14"/>
          <w:color w:val="auto"/>
        </w:rPr>
      </w:pPr>
    </w:p>
    <w:p>
      <w:pPr>
        <w:ind w:left="1" w:hanging="1"/>
        <w:spacing w:after="0" w:line="282" w:lineRule="auto"/>
        <w:tabs>
          <w:tab w:leader="none" w:pos="21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During the period beginning from the date hereof and continuing to and including the date 90 days after the date of the Prospectus (the “Lock-Up Period”), not to (i) offer, sell, contract to sell, pledge, grant any option to purchase, lend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hedging,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Representatives’ prior written consent: provided, however, that the foregoing restrictions shall not apply to: (A) Shares to be sold hereunder, (B) the issuance of stock options, restricted stock, or restricted stock units in accordance with the Company’s equity plans that are outstanding as of the date of this Agreement and described in the Registration Statement, the Pricing Disclosure Package, the Pricing Prospectus and the Prospectus and the form of award agreement thereunder, (C) the issuance by the Company of shares of common stock upon the exercise (including net exercise) of options, the conversion or exchange of convertible or exchangeable securities or the settlement of restricted stock units (including net settlement) outstanding as of the date of this Agreement and described in the Registration Statement, the Pricing Disclosure Package, the Pricing Prospectus and the Prospectus, (D) the repurchase of any shares of Stock pursuant to agreements providing for an option to repurchase or a right of first refusal on behalf of the Company pursuant to the Company’s repurchase rights that are described in the Registration Statement, the Pricing Disclosure Package, the Pricing Prospectus and the Prospectus, (E) the issuance by the Company of shares of Stock or securities convertible into, exchangeable for or that represent the right to receive shares of Stock in connection with (1) the acquisition by the Company or any of its subsidiaries of the securities, business, technology, property or other assets of another person or entity or pursuant to an employee benefit plan assumed by the Company in connection with such acquisition, and the issuance of any such securities pursuant to any such agreement, or</w:t>
      </w:r>
    </w:p>
    <w:p>
      <w:pPr>
        <w:spacing w:after="0" w:line="12" w:lineRule="exact"/>
        <w:rPr>
          <w:rFonts w:ascii="Arial" w:cs="Arial" w:eastAsia="Arial" w:hAnsi="Arial"/>
          <w:sz w:val="14"/>
          <w:szCs w:val="14"/>
          <w:color w:val="auto"/>
        </w:rPr>
      </w:pPr>
    </w:p>
    <w:p>
      <w:pPr>
        <w:ind w:left="1" w:right="140"/>
        <w:spacing w:after="0" w:line="248" w:lineRule="auto"/>
        <w:rPr>
          <w:rFonts w:ascii="Arial" w:cs="Arial" w:eastAsia="Arial" w:hAnsi="Arial"/>
          <w:sz w:val="14"/>
          <w:szCs w:val="14"/>
          <w:color w:val="auto"/>
        </w:rPr>
      </w:pPr>
      <w:r>
        <w:rPr>
          <w:rFonts w:ascii="Arial" w:cs="Arial" w:eastAsia="Arial" w:hAnsi="Arial"/>
          <w:sz w:val="16"/>
          <w:szCs w:val="16"/>
          <w:color w:val="auto"/>
        </w:rPr>
        <w:t>(2) the Company’s joint ventures, commercial relationships and other strategic transactions, (F) the filing of any registration statement on Form S-8 relating to securities granted or to be granted pursuant to the Company Stock Plans or any assumed employee benefit plan contemplated by clause (E); provided, that the aggregate number of shares of Stock that the Company may sell or issue or agree to sell or issue pursuant to clause (E) shall not exceed 10% of the total number of shares of Stock outstanding immediately following the offering of the Shares contemplated by this Agreement; and provided, further, that in the case of clauses (B), (C) and</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641"/>
          </w:cols>
          <w:pgMar w:left="1119" w:top="257" w:right="1139" w:bottom="1440" w:gutter="0" w:footer="0" w:header="0"/>
        </w:sectPr>
      </w:pPr>
    </w:p>
    <w:bookmarkStart w:id="293" w:name="page294"/>
    <w:bookmarkEnd w:id="293"/>
    <w:p>
      <w:pPr>
        <w:ind w:left="1" w:right="60"/>
        <w:spacing w:after="0" w:line="29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 the Company shall (a) cause each recipient of such securities that is a member of the Company’s board of directors, an executive officer or a beneficial holder of 1.0% of the fully-diluted capital stock of the Company to execute and deliver to the Representatives, on or prior to the issuance of such securities, a lock-up letter substantially to the effect set forth in Annex II hereto to the extent not already executed and delivered by such recipients as of the date hereof and (b) enter stop transfer instructions with the Company’s transfer agent and registrar on such securities with respect to all recipients of such securities, which the Company agrees it will not waive or amend without the prior written consent of the Representatives;</w:t>
      </w:r>
    </w:p>
    <w:p>
      <w:pPr>
        <w:spacing w:after="0" w:line="48" w:lineRule="exact"/>
        <w:rPr>
          <w:sz w:val="20"/>
          <w:szCs w:val="20"/>
          <w:color w:val="auto"/>
        </w:rPr>
      </w:pPr>
    </w:p>
    <w:p>
      <w:pPr>
        <w:ind w:left="1" w:right="60" w:hanging="1"/>
        <w:spacing w:after="0" w:line="269" w:lineRule="auto"/>
        <w:tabs>
          <w:tab w:leader="none" w:pos="198" w:val="left"/>
        </w:tabs>
        <w:numPr>
          <w:ilvl w:val="0"/>
          <w:numId w:val="171"/>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however, that the Company may satisfy the requirements of this Section 5(f) by filing such information through EDGAR;</w:t>
      </w:r>
    </w:p>
    <w:p>
      <w:pPr>
        <w:spacing w:after="0" w:line="65" w:lineRule="exact"/>
        <w:rPr>
          <w:rFonts w:ascii="Arial" w:cs="Arial" w:eastAsia="Arial" w:hAnsi="Arial"/>
          <w:sz w:val="15"/>
          <w:szCs w:val="15"/>
          <w:color w:val="auto"/>
        </w:rPr>
      </w:pPr>
    </w:p>
    <w:p>
      <w:pPr>
        <w:ind w:left="1" w:hanging="1"/>
        <w:spacing w:after="0" w:line="268" w:lineRule="auto"/>
        <w:tabs>
          <w:tab w:leader="none" w:pos="224" w:val="left"/>
        </w:tabs>
        <w:numPr>
          <w:ilvl w:val="0"/>
          <w:numId w:val="171"/>
        </w:numPr>
        <w:rPr>
          <w:rFonts w:ascii="Arial" w:cs="Arial" w:eastAsia="Arial" w:hAnsi="Arial"/>
          <w:sz w:val="15"/>
          <w:szCs w:val="15"/>
          <w:color w:val="auto"/>
        </w:rPr>
      </w:pPr>
      <w:r>
        <w:rPr>
          <w:rFonts w:ascii="Arial" w:cs="Arial" w:eastAsia="Arial" w:hAnsi="Arial"/>
          <w:sz w:val="15"/>
          <w:szCs w:val="15"/>
          <w:color w:val="auto"/>
        </w:rPr>
        <w:t>During a period of three years from the effective date of the Registration Statement, so long as the Company is subject to the reporting requirements of either Section 13 or Section 15(d) of the Exchange Act, to furnish to the Representatives copies of all reports or other communications (financial or other) furnished to stockholders, and to deliver to the Representatives as soon as they are available, copies of any reports and financial statements furnished to or filed with the Commission or any national securities exchange on which any class of securities of the Company is listed; and such additional information concerning the business and financial condition of the Company as the Representatives may from time to time reasonably request (such financial statements to be on a consolidated basis to the extent the accounts of the Company and its subsidiaries are consolidated in reports furnished to its stockholders generally or to the Commission), provided, that no reports, documents or other information need to be furnished pursuant to this subsection (g) to the extent that they are available on EDGAR or the provision of which would require disclosure by the Company under Regulation FD;</w:t>
      </w:r>
    </w:p>
    <w:p>
      <w:pPr>
        <w:spacing w:after="0" w:line="64" w:lineRule="exact"/>
        <w:rPr>
          <w:rFonts w:ascii="Arial" w:cs="Arial" w:eastAsia="Arial" w:hAnsi="Arial"/>
          <w:sz w:val="15"/>
          <w:szCs w:val="15"/>
          <w:color w:val="auto"/>
        </w:rPr>
      </w:pPr>
    </w:p>
    <w:p>
      <w:pPr>
        <w:ind w:left="1" w:right="40" w:hanging="1"/>
        <w:spacing w:after="0" w:line="268" w:lineRule="auto"/>
        <w:tabs>
          <w:tab w:leader="none" w:pos="22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use the net proceeds received by it from the sale of the Shares pursuant to this Agreement in the manner specified in the Pricing Prospectus under the caption “Use of Proceeds”;</w:t>
      </w:r>
    </w:p>
    <w:p>
      <w:pPr>
        <w:spacing w:after="0" w:line="62" w:lineRule="exact"/>
        <w:rPr>
          <w:rFonts w:ascii="Arial" w:cs="Arial" w:eastAsia="Arial" w:hAnsi="Arial"/>
          <w:sz w:val="16"/>
          <w:szCs w:val="16"/>
          <w:color w:val="auto"/>
        </w:rPr>
      </w:pPr>
    </w:p>
    <w:p>
      <w:pPr>
        <w:ind w:left="181" w:hanging="181"/>
        <w:spacing w:after="0"/>
        <w:tabs>
          <w:tab w:leader="none" w:pos="181"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To use its best efforts to list for trading, subject to official notice of issuance, the Shares on the Nasdaq Global Select Market (the “Exchange”);</w:t>
      </w:r>
    </w:p>
    <w:p>
      <w:pPr>
        <w:spacing w:after="0" w:line="111" w:lineRule="exact"/>
        <w:rPr>
          <w:rFonts w:ascii="Arial" w:cs="Arial" w:eastAsia="Arial" w:hAnsi="Arial"/>
          <w:sz w:val="15"/>
          <w:szCs w:val="15"/>
          <w:color w:val="auto"/>
        </w:rPr>
      </w:pPr>
    </w:p>
    <w:p>
      <w:pPr>
        <w:ind w:left="181" w:hanging="181"/>
        <w:spacing w:after="0"/>
        <w:tabs>
          <w:tab w:leader="none" w:pos="181"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To file with the Commission such information on Form 10-Q or Form 10-K as may be required by Rule 463 under the Act;</w:t>
      </w:r>
    </w:p>
    <w:p>
      <w:pPr>
        <w:spacing w:after="0" w:line="99" w:lineRule="exact"/>
        <w:rPr>
          <w:rFonts w:ascii="Arial" w:cs="Arial" w:eastAsia="Arial" w:hAnsi="Arial"/>
          <w:sz w:val="16"/>
          <w:szCs w:val="16"/>
          <w:color w:val="auto"/>
        </w:rPr>
      </w:pPr>
    </w:p>
    <w:p>
      <w:pPr>
        <w:ind w:left="1" w:right="120" w:hanging="1"/>
        <w:spacing w:after="0" w:line="287" w:lineRule="auto"/>
        <w:tabs>
          <w:tab w:leader="none" w:pos="224" w:val="left"/>
        </w:tabs>
        <w:numPr>
          <w:ilvl w:val="0"/>
          <w:numId w:val="171"/>
        </w:numPr>
        <w:rPr>
          <w:rFonts w:ascii="Arial" w:cs="Arial" w:eastAsia="Arial" w:hAnsi="Arial"/>
          <w:sz w:val="14"/>
          <w:szCs w:val="14"/>
          <w:color w:val="auto"/>
        </w:rPr>
      </w:pPr>
      <w:r>
        <w:rPr>
          <w:rFonts w:ascii="Arial" w:cs="Arial" w:eastAsia="Arial" w:hAnsi="Arial"/>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w:t>
      </w:r>
    </w:p>
    <w:p>
      <w:pPr>
        <w:spacing w:after="0" w:line="1" w:lineRule="exact"/>
        <w:rPr>
          <w:rFonts w:ascii="Arial" w:cs="Arial" w:eastAsia="Arial" w:hAnsi="Arial"/>
          <w:sz w:val="14"/>
          <w:szCs w:val="14"/>
          <w:color w:val="auto"/>
        </w:rPr>
      </w:pPr>
    </w:p>
    <w:p>
      <w:pPr>
        <w:ind w:left="221" w:hanging="221"/>
        <w:spacing w:after="0"/>
        <w:tabs>
          <w:tab w:leader="none" w:pos="22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of the Commission’s Informal and Other Procedures (16 C.F.R. 202.3a);</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641"/>
          </w:cols>
          <w:pgMar w:left="1119" w:top="257" w:right="1139" w:bottom="1440" w:gutter="0" w:footer="0" w:header="0"/>
        </w:sectPr>
      </w:pPr>
    </w:p>
    <w:bookmarkStart w:id="294" w:name="page295"/>
    <w:bookmarkEnd w:id="294"/>
    <w:p>
      <w:pPr>
        <w:ind w:left="1" w:right="20" w:hanging="1"/>
        <w:spacing w:after="0" w:line="253" w:lineRule="auto"/>
        <w:tabs>
          <w:tab w:leader="none" w:pos="189" w:val="left"/>
        </w:tabs>
        <w:numPr>
          <w:ilvl w:val="0"/>
          <w:numId w:val="1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Upon request of any Underwriter, to furnish, or cause to be furnished, to such Underwriter an electronic version of the Company’s trademarks, service 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 and</w:t>
      </w:r>
    </w:p>
    <w:p>
      <w:pPr>
        <w:spacing w:after="0" w:line="75" w:lineRule="exact"/>
        <w:rPr>
          <w:rFonts w:ascii="Arial" w:cs="Arial" w:eastAsia="Arial" w:hAnsi="Arial"/>
          <w:sz w:val="16"/>
          <w:szCs w:val="16"/>
          <w:color w:val="auto"/>
        </w:rPr>
      </w:pPr>
    </w:p>
    <w:p>
      <w:pPr>
        <w:ind w:left="1" w:hanging="1"/>
        <w:spacing w:after="0" w:line="268" w:lineRule="auto"/>
        <w:tabs>
          <w:tab w:leader="none" w:pos="26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To promptly notify the Representatives if the Company ceases to be an Emerging Growth Company at any time prior to the later of (i) completion of the distribution of the Shares within the meaning of the Act and (ii) the completion of the Company’s Lock-Up Period.</w:t>
      </w:r>
    </w:p>
    <w:p>
      <w:pPr>
        <w:spacing w:after="0" w:line="62" w:lineRule="exact"/>
        <w:rPr>
          <w:sz w:val="20"/>
          <w:szCs w:val="20"/>
          <w:color w:val="auto"/>
        </w:rPr>
      </w:pPr>
    </w:p>
    <w:p>
      <w:pPr>
        <w:ind w:left="1" w:right="40" w:hanging="1"/>
        <w:spacing w:after="0" w:line="252" w:lineRule="auto"/>
        <w:tabs>
          <w:tab w:leader="none" w:pos="1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any such free writing prospectus the use of which has been consented to by the Company and the Representatives is listed on Schedule II(a) hereto;</w:t>
      </w:r>
    </w:p>
    <w:p>
      <w:pPr>
        <w:spacing w:after="0" w:line="75" w:lineRule="exact"/>
        <w:rPr>
          <w:sz w:val="20"/>
          <w:szCs w:val="20"/>
          <w:color w:val="auto"/>
        </w:rPr>
      </w:pPr>
    </w:p>
    <w:p>
      <w:pPr>
        <w:ind w:left="1" w:right="80" w:hanging="1"/>
        <w:spacing w:after="0" w:line="311" w:lineRule="auto"/>
        <w:tabs>
          <w:tab w:leader="none" w:pos="22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roadshow;</w:t>
      </w:r>
    </w:p>
    <w:p>
      <w:pPr>
        <w:spacing w:after="0" w:line="36" w:lineRule="exact"/>
        <w:rPr>
          <w:rFonts w:ascii="Arial" w:cs="Arial" w:eastAsia="Arial" w:hAnsi="Arial"/>
          <w:sz w:val="14"/>
          <w:szCs w:val="14"/>
          <w:color w:val="auto"/>
        </w:rPr>
      </w:pPr>
    </w:p>
    <w:p>
      <w:pPr>
        <w:ind w:left="1" w:hanging="1"/>
        <w:spacing w:after="0" w:line="268" w:lineRule="auto"/>
        <w:tabs>
          <w:tab w:leader="none" w:pos="216"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covenant shall not apply to any statements or omissions in an Issuer Free Writing Prospectus made in reliance upon and in conformity with the Underwriter Information;</w:t>
      </w:r>
    </w:p>
    <w:p>
      <w:pPr>
        <w:spacing w:after="0" w:line="67" w:lineRule="exact"/>
        <w:rPr>
          <w:rFonts w:ascii="Arial" w:cs="Arial" w:eastAsia="Arial" w:hAnsi="Arial"/>
          <w:sz w:val="15"/>
          <w:szCs w:val="15"/>
          <w:color w:val="auto"/>
        </w:rPr>
      </w:pPr>
    </w:p>
    <w:p>
      <w:pPr>
        <w:ind w:left="1" w:right="300" w:hanging="1"/>
        <w:spacing w:after="0" w:line="253" w:lineRule="auto"/>
        <w:tabs>
          <w:tab w:leader="none" w:pos="22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41"/>
          </w:cols>
          <w:pgMar w:left="1119" w:top="257" w:right="1139" w:bottom="1440" w:gutter="0" w:footer="0" w:header="0"/>
        </w:sectPr>
      </w:pPr>
    </w:p>
    <w:bookmarkStart w:id="295" w:name="page296"/>
    <w:bookmarkEnd w:id="295"/>
    <w:p>
      <w:pPr>
        <w:ind w:left="1" w:right="140"/>
        <w:spacing w:after="0" w:line="28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w:t>
      </w:r>
    </w:p>
    <w:p>
      <w:pPr>
        <w:spacing w:after="0" w:line="54" w:lineRule="exact"/>
        <w:rPr>
          <w:sz w:val="20"/>
          <w:szCs w:val="20"/>
          <w:color w:val="auto"/>
        </w:rPr>
      </w:pPr>
    </w:p>
    <w:p>
      <w:pPr>
        <w:ind w:left="1" w:right="260" w:hanging="1"/>
        <w:spacing w:after="0" w:line="257" w:lineRule="auto"/>
        <w:tabs>
          <w:tab w:leader="none" w:pos="21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71" w:lineRule="exact"/>
        <w:rPr>
          <w:sz w:val="20"/>
          <w:szCs w:val="20"/>
          <w:color w:val="auto"/>
        </w:rPr>
      </w:pPr>
    </w:p>
    <w:p>
      <w:pPr>
        <w:ind w:left="1" w:right="60" w:hanging="1"/>
        <w:spacing w:after="0" w:line="283" w:lineRule="auto"/>
        <w:tabs>
          <w:tab w:leader="none" w:pos="159"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Company covenants and agrees with the several Underwriters that (a)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fees and disbursements of counsel for the Underwriters in connection with such qualification and in connection with the Blue Sky survey (iv) all fees and expenses in connection with listing the Shares on the Exchange; (v) the filing fees incident to, and the reasonable fees and disbursements of counsel for the Underwriters in connection with, any required review by FINRA of the terms of the sale of the Shares, provided, however, that the amounts payable by the Company for the fees and disbursements of counsel to the Underwriters pursuant to subsections (a)(iii) and (a)(v) shall not exceed [$35,000] in the aggregate; and (b) the Company will pay or cause to be paid:</w:t>
      </w:r>
    </w:p>
    <w:p>
      <w:pPr>
        <w:spacing w:after="0" w:line="3" w:lineRule="exact"/>
        <w:rPr>
          <w:rFonts w:ascii="Arial" w:cs="Arial" w:eastAsia="Arial" w:hAnsi="Arial"/>
          <w:sz w:val="14"/>
          <w:szCs w:val="14"/>
          <w:color w:val="auto"/>
        </w:rPr>
      </w:pPr>
    </w:p>
    <w:p>
      <w:pPr>
        <w:ind w:left="1"/>
        <w:spacing w:after="0" w:line="266" w:lineRule="auto"/>
        <w:rPr>
          <w:rFonts w:ascii="Arial" w:cs="Arial" w:eastAsia="Arial" w:hAnsi="Arial"/>
          <w:sz w:val="14"/>
          <w:szCs w:val="14"/>
          <w:color w:val="auto"/>
        </w:rPr>
      </w:pPr>
      <w:r>
        <w:rPr>
          <w:rFonts w:ascii="Arial" w:cs="Arial" w:eastAsia="Arial" w:hAnsi="Arial"/>
          <w:sz w:val="15"/>
          <w:szCs w:val="15"/>
          <w:color w:val="auto"/>
        </w:rPr>
        <w:t>(i) the cost of preparing stock certificates, if applicable; (ii) the cost and charges of any transfer agent or registrar; (iii) the expenses of the Company relating to any “roadshow” undertaken in connection with the marketing of the offering of the Shares; provided, however that the Company shall only pay 50% of the cost of any aircraft or other transportation chartered in connection therewith (the remaining 50% of the cost of such aircraft or other transportation to be paid by the Underwriters), and the Underwriters will pay all of lodging expenses incurred by them in connection with any “roadshow” and (iv)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67" w:lineRule="exact"/>
        <w:rPr>
          <w:rFonts w:ascii="Arial" w:cs="Arial" w:eastAsia="Arial" w:hAnsi="Arial"/>
          <w:sz w:val="14"/>
          <w:szCs w:val="14"/>
          <w:color w:val="auto"/>
        </w:rPr>
      </w:pPr>
    </w:p>
    <w:p>
      <w:pPr>
        <w:jc w:val="both"/>
        <w:ind w:left="1" w:right="200" w:hanging="1"/>
        <w:spacing w:after="0" w:line="253" w:lineRule="auto"/>
        <w:tabs>
          <w:tab w:leader="none" w:pos="15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1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601"/>
          </w:cols>
          <w:pgMar w:left="1119" w:top="257" w:right="1179" w:bottom="1440" w:gutter="0" w:footer="0" w:header="0"/>
        </w:sectPr>
      </w:pPr>
    </w:p>
    <w:bookmarkStart w:id="296" w:name="page297"/>
    <w:bookmarkEnd w:id="296"/>
    <w:p>
      <w:pPr>
        <w:ind w:left="1" w:hanging="1"/>
        <w:spacing w:after="0" w:line="268" w:lineRule="auto"/>
        <w:tabs>
          <w:tab w:leader="none" w:pos="216" w:val="left"/>
        </w:tabs>
        <w:numPr>
          <w:ilvl w:val="0"/>
          <w:numId w:val="1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the Representatives’ reasonable satisfaction;</w:t>
      </w:r>
    </w:p>
    <w:p>
      <w:pPr>
        <w:spacing w:after="0" w:line="64" w:lineRule="exact"/>
        <w:rPr>
          <w:rFonts w:ascii="Arial" w:cs="Arial" w:eastAsia="Arial" w:hAnsi="Arial"/>
          <w:sz w:val="15"/>
          <w:szCs w:val="15"/>
          <w:color w:val="auto"/>
        </w:rPr>
      </w:pPr>
    </w:p>
    <w:p>
      <w:pPr>
        <w:ind w:left="1" w:right="60" w:hanging="1"/>
        <w:spacing w:after="0" w:line="311" w:lineRule="auto"/>
        <w:tabs>
          <w:tab w:leader="none" w:pos="224" w:val="left"/>
        </w:tabs>
        <w:numPr>
          <w:ilvl w:val="0"/>
          <w:numId w:val="178"/>
        </w:numPr>
        <w:rPr>
          <w:rFonts w:ascii="Arial" w:cs="Arial" w:eastAsia="Arial" w:hAnsi="Arial"/>
          <w:sz w:val="14"/>
          <w:szCs w:val="14"/>
          <w:color w:val="auto"/>
        </w:rPr>
      </w:pPr>
      <w:r>
        <w:rPr>
          <w:rFonts w:ascii="Arial" w:cs="Arial" w:eastAsia="Arial" w:hAnsi="Arial"/>
          <w:sz w:val="14"/>
          <w:szCs w:val="14"/>
          <w:color w:val="auto"/>
        </w:rPr>
        <w:t>Sullivan &amp; Cromwell LLP, counsel for the Underwriters, shall have furnished to the Representatives such written opinion or opinions dated such Time of Delivery, in form and substance satisfactory to the Representatives, with respect to such matters as the Representatives may reasonably request, and such counsel shall have received such papers and information as they may reasonably request to enable them to pass upon such matters;</w:t>
      </w:r>
    </w:p>
    <w:p>
      <w:pPr>
        <w:spacing w:after="0" w:line="36" w:lineRule="exact"/>
        <w:rPr>
          <w:rFonts w:ascii="Arial" w:cs="Arial" w:eastAsia="Arial" w:hAnsi="Arial"/>
          <w:sz w:val="14"/>
          <w:szCs w:val="14"/>
          <w:color w:val="auto"/>
        </w:rPr>
      </w:pPr>
    </w:p>
    <w:p>
      <w:pPr>
        <w:ind w:left="1" w:right="240" w:hanging="1"/>
        <w:spacing w:after="0" w:line="257" w:lineRule="auto"/>
        <w:tabs>
          <w:tab w:leader="none" w:pos="21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Wilson Sonsini Goodrich &amp; Rosati, Professional Corporation, counsel for the Company, shall have furnished to the Representatives their written opinion (a form of such opinion is attached as Annex I(a)(i) hereto) and a letter (a form of such letter is attached as Annex I(a)(ii) hereto), dated as of such Time of Delivery, in form and substance satisfactory to the Representatives;</w:t>
      </w:r>
    </w:p>
    <w:p>
      <w:pPr>
        <w:spacing w:after="0" w:line="71" w:lineRule="exact"/>
        <w:rPr>
          <w:rFonts w:ascii="Arial" w:cs="Arial" w:eastAsia="Arial" w:hAnsi="Arial"/>
          <w:sz w:val="16"/>
          <w:szCs w:val="16"/>
          <w:color w:val="auto"/>
        </w:rPr>
      </w:pPr>
    </w:p>
    <w:p>
      <w:pPr>
        <w:ind w:left="1" w:right="460" w:hanging="1"/>
        <w:spacing w:after="0" w:line="302" w:lineRule="auto"/>
        <w:tabs>
          <w:tab w:leader="none" w:pos="224" w:val="left"/>
        </w:tabs>
        <w:numPr>
          <w:ilvl w:val="0"/>
          <w:numId w:val="178"/>
        </w:numPr>
        <w:rPr>
          <w:rFonts w:ascii="Arial" w:cs="Arial" w:eastAsia="Arial" w:hAnsi="Arial"/>
          <w:sz w:val="15"/>
          <w:szCs w:val="15"/>
          <w:color w:val="auto"/>
        </w:rPr>
      </w:pPr>
      <w:r>
        <w:rPr>
          <w:rFonts w:ascii="Arial" w:cs="Arial" w:eastAsia="Arial" w:hAnsi="Arial"/>
          <w:sz w:val="15"/>
          <w:szCs w:val="15"/>
          <w:color w:val="auto"/>
        </w:rPr>
        <w:t>Buckley LLP, regulatory counsel for the Company, shall have furnished to the Representatives their written opinion (a form of such opinion is attached as Annex I(b) hereto), dated as of such Time of Delivery, in form and substance satisfactory to the Representatives;</w:t>
      </w:r>
    </w:p>
    <w:p>
      <w:pPr>
        <w:spacing w:after="0" w:line="38" w:lineRule="exact"/>
        <w:rPr>
          <w:rFonts w:ascii="Arial" w:cs="Arial" w:eastAsia="Arial" w:hAnsi="Arial"/>
          <w:sz w:val="15"/>
          <w:szCs w:val="15"/>
          <w:color w:val="auto"/>
        </w:rPr>
      </w:pPr>
    </w:p>
    <w:p>
      <w:pPr>
        <w:jc w:val="both"/>
        <w:ind w:left="1" w:right="20" w:hanging="1"/>
        <w:spacing w:after="0" w:line="253" w:lineRule="auto"/>
        <w:tabs>
          <w:tab w:leader="none" w:pos="21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Deloitte &amp; Touche LLP shall have furnished to the Representatives a letter or letters, dated the respective dates of delivery thereof, in form and substance satisfactory to the Representatives;</w:t>
      </w:r>
    </w:p>
    <w:p>
      <w:pPr>
        <w:spacing w:after="0" w:line="75" w:lineRule="exact"/>
        <w:rPr>
          <w:rFonts w:ascii="Arial" w:cs="Arial" w:eastAsia="Arial" w:hAnsi="Arial"/>
          <w:sz w:val="16"/>
          <w:szCs w:val="16"/>
          <w:color w:val="auto"/>
        </w:rPr>
      </w:pPr>
    </w:p>
    <w:p>
      <w:pPr>
        <w:ind w:left="1" w:right="100" w:hanging="1"/>
        <w:spacing w:after="0" w:line="269" w:lineRule="auto"/>
        <w:tabs>
          <w:tab w:leader="none" w:pos="198"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 Neither the Company nor any of its subsidiaries shall have sustained since the date of the latest audited financial statements included in the Registration Statement, the Pricing Disclosure Package, Pricing Prospectus and the Prospectus any loss or interference with its business from fire, explosion, flood or other calamity, whether or not covered by insurance, or from any labor dispute or court or governmental action, order or decree, otherwise than as set forth or contemplated in the Pricing Disclosure Package, Pricing Prospectus and the Prospectus, and (ii) since the respective dates as of which information is given in the Pricing Prospectus and the Prospectus there shall not have been any change in the capital stock (other than, as described in the Registration Statement, the Pricing Disclosure Package, the Pricing Prospectus and the Prospectus, as a result of (i) the grant, vesting, exercise or settlement (including any “net” or</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641"/>
          </w:cols>
          <w:pgMar w:left="1119" w:top="257" w:right="1139" w:bottom="1440" w:gutter="0" w:footer="0" w:header="0"/>
        </w:sectPr>
      </w:pPr>
    </w:p>
    <w:bookmarkStart w:id="297" w:name="page298"/>
    <w:bookmarkEnd w:id="297"/>
    <w:p>
      <w:pPr>
        <w:ind w:left="1"/>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“cashless” exercises or settlements) of stock options or other equity incentives or the award, if any, of stock options or other equity incentives in the ordinary course of business, in each case pursuant to the Company Stock Plans, or (ii) the repurchase of shares of capital stock pursuant to agreements providing for an option to repurchase from service providers, or a right of refusal on behalf of the Company pursuant to the Company’s repurchase rights or the issuance, if any, of stock upon conversion or exchange of Company securities) or the long-term debt of the Company or any of its subsidiaries or any change or effect, or any development involving a prospective change or effect, in or affecting (x) the business, general affairs, management, consolidated financial position, consolidated stockholders’ equity or consolidated results of operations of the Company and its subsidiaries, taken as a whole, except as set forth or contemplated in the Pricing Prospectus and the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the Representatives’ judgment so material and adverse as to make it impracticable or inadvisable to proceed with the public offering or the delivery of the Shares being delivered at such Time of Delivery on the terms and in the manner contemplated in the Pricing Disclosure Package, Pricing Prospectus and the Prospectus;</w:t>
      </w:r>
    </w:p>
    <w:p>
      <w:pPr>
        <w:spacing w:after="0" w:line="58" w:lineRule="exact"/>
        <w:rPr>
          <w:sz w:val="20"/>
          <w:szCs w:val="20"/>
          <w:color w:val="auto"/>
        </w:rPr>
      </w:pPr>
    </w:p>
    <w:p>
      <w:pPr>
        <w:ind w:left="1" w:hanging="1"/>
        <w:spacing w:after="0" w:line="252" w:lineRule="auto"/>
        <w:tabs>
          <w:tab w:leader="none" w:pos="2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On or after the Applicable Time (i) no downgrading shall have occurred in the rating accorded the Company’s debt securities by any “nationally recognized statistical rating organization”, as that term is defined by the Commission for purposes of Rule 436(g)(2) under the Exchange Act, and (ii) no such organization shall have publicly announced that it has under surveillance or review, with possible negative implications, its rating of any of the Company’s debt securities; provided, that, for the avoidance of doubt, this Section 8(g) shall not apply to any debt securities underlying the Company’s sponsored asset-backed securitization transactions;</w:t>
      </w:r>
    </w:p>
    <w:p>
      <w:pPr>
        <w:spacing w:after="0" w:line="74" w:lineRule="exact"/>
        <w:rPr>
          <w:rFonts w:ascii="Arial" w:cs="Arial" w:eastAsia="Arial" w:hAnsi="Arial"/>
          <w:sz w:val="16"/>
          <w:szCs w:val="16"/>
          <w:color w:val="auto"/>
        </w:rPr>
      </w:pPr>
    </w:p>
    <w:p>
      <w:pPr>
        <w:ind w:left="1" w:right="20" w:hanging="1"/>
        <w:spacing w:after="0" w:line="268" w:lineRule="auto"/>
        <w:tabs>
          <w:tab w:leader="none" w:pos="224" w:val="left"/>
        </w:tabs>
        <w:numPr>
          <w:ilvl w:val="0"/>
          <w:numId w:val="179"/>
        </w:numPr>
        <w:rPr>
          <w:rFonts w:ascii="Arial" w:cs="Arial" w:eastAsia="Arial" w:hAnsi="Arial"/>
          <w:sz w:val="15"/>
          <w:szCs w:val="15"/>
          <w:color w:val="auto"/>
        </w:rPr>
      </w:pPr>
      <w:r>
        <w:rPr>
          <w:rFonts w:ascii="Arial" w:cs="Arial" w:eastAsia="Arial" w:hAnsi="Arial"/>
          <w:sz w:val="15"/>
          <w:szCs w:val="15"/>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or California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Representatives’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67" w:lineRule="exact"/>
        <w:rPr>
          <w:rFonts w:ascii="Arial" w:cs="Arial" w:eastAsia="Arial" w:hAnsi="Arial"/>
          <w:sz w:val="15"/>
          <w:szCs w:val="15"/>
          <w:color w:val="auto"/>
        </w:rPr>
      </w:pPr>
    </w:p>
    <w:p>
      <w:pPr>
        <w:ind w:left="181" w:hanging="181"/>
        <w:spacing w:after="0"/>
        <w:tabs>
          <w:tab w:leader="none" w:pos="18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Shares to be sold at such Time of Delivery shall have been duly listed, subject to notice of issuance, on the Exchange;</w:t>
      </w:r>
    </w:p>
    <w:p>
      <w:pPr>
        <w:spacing w:after="0" w:line="99" w:lineRule="exact"/>
        <w:rPr>
          <w:rFonts w:ascii="Arial" w:cs="Arial" w:eastAsia="Arial" w:hAnsi="Arial"/>
          <w:sz w:val="16"/>
          <w:szCs w:val="16"/>
          <w:color w:val="auto"/>
        </w:rPr>
      </w:pPr>
    </w:p>
    <w:p>
      <w:pPr>
        <w:ind w:left="1" w:right="60" w:hanging="1"/>
        <w:spacing w:after="0" w:line="257" w:lineRule="auto"/>
        <w:tabs>
          <w:tab w:leader="none" w:pos="18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shall have obtained and delivered to the Underwriters executed copies of an agreement from (i) each member of the Company’s board of directors and (ii) each executive officer of the Company, substantially to the effect set forth in Annex II hereto in form and substance satisfactory to the Representatives;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641"/>
          </w:cols>
          <w:pgMar w:left="1119" w:top="257" w:right="1139" w:bottom="1440" w:gutter="0" w:footer="0" w:header="0"/>
        </w:sectPr>
      </w:pPr>
    </w:p>
    <w:bookmarkStart w:id="298" w:name="page299"/>
    <w:bookmarkEnd w:id="298"/>
    <w:p>
      <w:pPr>
        <w:ind w:left="1" w:right="520" w:hanging="1"/>
        <w:spacing w:after="0" w:line="268" w:lineRule="auto"/>
        <w:tabs>
          <w:tab w:leader="none" w:pos="224" w:val="left"/>
        </w:tabs>
        <w:numPr>
          <w:ilvl w:val="0"/>
          <w:numId w:val="1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shall have complied with the provisions of Section 5(c) hereof with respect to the furnishing of prospectuses on the New York Business Day next succeeding the date of this Agreement;</w:t>
      </w:r>
    </w:p>
    <w:p>
      <w:pPr>
        <w:spacing w:after="0" w:line="62" w:lineRule="exact"/>
        <w:rPr>
          <w:rFonts w:ascii="Arial" w:cs="Arial" w:eastAsia="Arial" w:hAnsi="Arial"/>
          <w:sz w:val="16"/>
          <w:szCs w:val="16"/>
          <w:color w:val="auto"/>
        </w:rPr>
      </w:pPr>
    </w:p>
    <w:p>
      <w:pPr>
        <w:ind w:left="1" w:hanging="1"/>
        <w:spacing w:after="0" w:line="252" w:lineRule="auto"/>
        <w:tabs>
          <w:tab w:leader="none" w:pos="189"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at such Time of Delivery certificates of officers of the Company satisfactory to the Representatives as to the accuracy of the representations and warranties of the Company, herein at and as of such Time of Delivery, as to the performance by the Company of all of its respective obligations hereunder to be performed at or prior to such Time of Delivery, as to the matters set forth in subsections (a) and (f) of this Section and as to such other matters as the Representatives and the Company may agree prior to the date hereof; and</w:t>
      </w:r>
    </w:p>
    <w:p>
      <w:pPr>
        <w:spacing w:after="0" w:line="74" w:lineRule="exact"/>
        <w:rPr>
          <w:rFonts w:ascii="Arial" w:cs="Arial" w:eastAsia="Arial" w:hAnsi="Arial"/>
          <w:sz w:val="16"/>
          <w:szCs w:val="16"/>
          <w:color w:val="auto"/>
        </w:rPr>
      </w:pPr>
    </w:p>
    <w:p>
      <w:pPr>
        <w:ind w:left="1" w:right="100" w:hanging="1"/>
        <w:spacing w:after="0" w:line="253" w:lineRule="auto"/>
        <w:tabs>
          <w:tab w:leader="none" w:pos="26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shall have furnished or caused to be furnished to the Representatives on the date of the Prospectus at a time prior to the execution of this Agreement and at such Time of Delivery a certificate of the Chief Financial Officer of the Company as to the accuracy of certain financial information included in the Registration Statement, any Preliminary Prospectus, the Pricing Prospectus and the Prospectus, in form and substance satisfactory to the Representatives.</w:t>
      </w:r>
    </w:p>
    <w:p>
      <w:pPr>
        <w:spacing w:after="0" w:line="76" w:lineRule="exact"/>
        <w:rPr>
          <w:sz w:val="20"/>
          <w:szCs w:val="20"/>
          <w:color w:val="auto"/>
        </w:rPr>
      </w:pPr>
    </w:p>
    <w:p>
      <w:pPr>
        <w:ind w:left="1" w:hanging="1"/>
        <w:spacing w:after="0" w:line="287" w:lineRule="auto"/>
        <w:tabs>
          <w:tab w:leader="none" w:pos="159" w:val="left"/>
        </w:tabs>
        <w:numPr>
          <w:ilvl w:val="0"/>
          <w:numId w:val="181"/>
        </w:numPr>
        <w:rPr>
          <w:rFonts w:ascii="Arial" w:cs="Arial" w:eastAsia="Arial" w:hAnsi="Arial"/>
          <w:sz w:val="14"/>
          <w:szCs w:val="14"/>
          <w:color w:val="auto"/>
        </w:rPr>
      </w:pPr>
      <w:r>
        <w:rPr>
          <w:rFonts w:ascii="Arial" w:cs="Arial" w:eastAsia="Arial" w:hAnsi="Arial"/>
          <w:sz w:val="14"/>
          <w:szCs w:val="14"/>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prepared or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“roadshow” or any Testing-the-Waters Communication, in reliance upon and in conformity with the Underwriter Information.</w:t>
      </w:r>
    </w:p>
    <w:p>
      <w:pPr>
        <w:spacing w:after="0" w:line="55" w:lineRule="exact"/>
        <w:rPr>
          <w:sz w:val="20"/>
          <w:szCs w:val="20"/>
          <w:color w:val="auto"/>
        </w:rPr>
      </w:pPr>
    </w:p>
    <w:p>
      <w:pPr>
        <w:ind w:left="1" w:hanging="1"/>
        <w:spacing w:after="0" w:line="293" w:lineRule="auto"/>
        <w:tabs>
          <w:tab w:leader="none" w:pos="224" w:val="left"/>
        </w:tabs>
        <w:numPr>
          <w:ilvl w:val="0"/>
          <w:numId w:val="182"/>
        </w:numPr>
        <w:rPr>
          <w:rFonts w:ascii="Arial" w:cs="Arial" w:eastAsia="Arial" w:hAnsi="Arial"/>
          <w:sz w:val="14"/>
          <w:szCs w:val="14"/>
          <w:color w:val="auto"/>
        </w:rPr>
      </w:pPr>
      <w:r>
        <w:rPr>
          <w:rFonts w:ascii="Arial" w:cs="Arial" w:eastAsia="Arial" w:hAnsi="Arial"/>
          <w:sz w:val="14"/>
          <w:szCs w:val="14"/>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621"/>
          </w:cols>
          <w:pgMar w:left="1119" w:top="257" w:right="1159" w:bottom="1440" w:gutter="0" w:footer="0" w:header="0"/>
        </w:sectPr>
      </w:pPr>
    </w:p>
    <w:bookmarkStart w:id="299" w:name="page300"/>
    <w:bookmarkEnd w:id="299"/>
    <w:p>
      <w:pPr>
        <w:ind w:left="1" w:right="2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sixth paragraph under the caption “Underwriting”, and the information contained in the [tenth, eleventh and twelfth] paragraphs under the caption “Underwriting”.</w:t>
      </w:r>
    </w:p>
    <w:p>
      <w:pPr>
        <w:spacing w:after="0" w:line="53" w:lineRule="exact"/>
        <w:rPr>
          <w:sz w:val="20"/>
          <w:szCs w:val="20"/>
          <w:color w:val="auto"/>
        </w:rPr>
      </w:pPr>
    </w:p>
    <w:p>
      <w:pPr>
        <w:ind w:left="1" w:hanging="1"/>
        <w:spacing w:after="0" w:line="265" w:lineRule="auto"/>
        <w:tabs>
          <w:tab w:leader="none" w:pos="216" w:val="left"/>
        </w:tabs>
        <w:numPr>
          <w:ilvl w:val="0"/>
          <w:numId w:val="183"/>
        </w:numPr>
        <w:rPr>
          <w:rFonts w:ascii="Arial" w:cs="Arial" w:eastAsia="Arial" w:hAnsi="Arial"/>
          <w:sz w:val="15"/>
          <w:szCs w:val="15"/>
          <w:color w:val="auto"/>
        </w:rPr>
      </w:pPr>
      <w:r>
        <w:rPr>
          <w:rFonts w:ascii="Arial" w:cs="Arial" w:eastAsia="Arial" w:hAnsi="Arial"/>
          <w:sz w:val="15"/>
          <w:szCs w:val="15"/>
          <w:color w:val="auto"/>
        </w:rPr>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73" w:lineRule="exact"/>
        <w:rPr>
          <w:rFonts w:ascii="Arial" w:cs="Arial" w:eastAsia="Arial" w:hAnsi="Arial"/>
          <w:sz w:val="15"/>
          <w:szCs w:val="15"/>
          <w:color w:val="auto"/>
        </w:rPr>
      </w:pPr>
    </w:p>
    <w:p>
      <w:pPr>
        <w:ind w:left="1" w:hanging="1"/>
        <w:spacing w:after="0" w:line="253" w:lineRule="auto"/>
        <w:tabs>
          <w:tab w:leader="none" w:pos="22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41"/>
          </w:cols>
          <w:pgMar w:left="1119" w:top="257" w:right="1139" w:bottom="1440" w:gutter="0" w:footer="0" w:header="0"/>
        </w:sectPr>
      </w:pPr>
    </w:p>
    <w:bookmarkStart w:id="300" w:name="page301"/>
    <w:bookmarkEnd w:id="300"/>
    <w:p>
      <w:pPr>
        <w:ind w:left="1"/>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54" w:lineRule="exact"/>
        <w:rPr>
          <w:sz w:val="20"/>
          <w:szCs w:val="20"/>
          <w:color w:val="auto"/>
        </w:rPr>
      </w:pPr>
    </w:p>
    <w:p>
      <w:pPr>
        <w:ind w:left="1" w:right="40" w:hanging="1"/>
        <w:spacing w:after="0" w:line="296" w:lineRule="auto"/>
        <w:tabs>
          <w:tab w:leader="none" w:pos="216"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48" w:lineRule="exact"/>
        <w:rPr>
          <w:sz w:val="20"/>
          <w:szCs w:val="20"/>
          <w:color w:val="auto"/>
        </w:rPr>
      </w:pPr>
    </w:p>
    <w:p>
      <w:pPr>
        <w:ind w:left="1" w:right="160" w:hanging="1"/>
        <w:spacing w:after="0" w:line="253" w:lineRule="auto"/>
        <w:tabs>
          <w:tab w:leader="none" w:pos="23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the Representatives may in the Representatives’ discretion arrange for the Representatives or another party or other parties to purchase such Shares on the terms contained herein. If within thirty-six hours after such default by any Underwriter the Representatives do not arrange for the purchase of such Shares, then the</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641"/>
          </w:cols>
          <w:pgMar w:left="1119" w:top="257" w:right="1139" w:bottom="1440" w:gutter="0" w:footer="0" w:header="0"/>
        </w:sectPr>
      </w:pPr>
    </w:p>
    <w:bookmarkStart w:id="301" w:name="page302"/>
    <w:bookmarkEnd w:id="301"/>
    <w:p>
      <w:pPr>
        <w:ind w:left="1"/>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Company shall be entitled to a further period of thirty-six hours within which to procure another party or other parties satisfactory to the Representatives to purchase such Shares on such terms. In the event that, within the respective prescribed periods, the Representatives notify the Company that the Representatives have so arranged for the purchase of such Shares, or the Company notifies the Representatives that it has so arranged for the purchase of such Shares, the Representatives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Representatives’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52" w:lineRule="exact"/>
        <w:rPr>
          <w:sz w:val="20"/>
          <w:szCs w:val="20"/>
          <w:color w:val="auto"/>
        </w:rPr>
      </w:pPr>
    </w:p>
    <w:p>
      <w:pPr>
        <w:ind w:left="1" w:right="260" w:hanging="1"/>
        <w:spacing w:after="0" w:line="269" w:lineRule="auto"/>
        <w:tabs>
          <w:tab w:leader="none" w:pos="224"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If, after giving effect to any arrangements for the purchase of the Shares of a defaulting Underwriter or Underwriters by the Representatives,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65" w:lineRule="exact"/>
        <w:rPr>
          <w:rFonts w:ascii="Arial" w:cs="Arial" w:eastAsia="Arial" w:hAnsi="Arial"/>
          <w:sz w:val="15"/>
          <w:szCs w:val="15"/>
          <w:color w:val="auto"/>
        </w:rPr>
      </w:pPr>
    </w:p>
    <w:p>
      <w:pPr>
        <w:ind w:left="221" w:hanging="221"/>
        <w:spacing w:after="0"/>
        <w:tabs>
          <w:tab w:leader="none" w:pos="221" w:val="left"/>
        </w:tabs>
        <w:numPr>
          <w:ilvl w:val="0"/>
          <w:numId w:val="186"/>
        </w:numPr>
        <w:rPr>
          <w:rFonts w:ascii="Arial" w:cs="Arial" w:eastAsia="Arial" w:hAnsi="Arial"/>
          <w:sz w:val="14"/>
          <w:szCs w:val="14"/>
          <w:color w:val="auto"/>
        </w:rPr>
      </w:pPr>
      <w:r>
        <w:rPr>
          <w:rFonts w:ascii="Arial" w:cs="Arial" w:eastAsia="Arial" w:hAnsi="Arial"/>
          <w:sz w:val="14"/>
          <w:szCs w:val="14"/>
          <w:color w:val="auto"/>
        </w:rPr>
        <w:t>If, after giving effect to any arrangements for the purchase of the Shares of a defaulting Underwriter or Underwriters by the Representatives, the</w:t>
      </w:r>
    </w:p>
    <w:p>
      <w:pPr>
        <w:spacing w:after="0" w:line="39" w:lineRule="exact"/>
        <w:rPr>
          <w:rFonts w:ascii="Arial" w:cs="Arial" w:eastAsia="Arial" w:hAnsi="Arial"/>
          <w:sz w:val="14"/>
          <w:szCs w:val="14"/>
          <w:color w:val="auto"/>
        </w:rPr>
      </w:pPr>
    </w:p>
    <w:p>
      <w:pPr>
        <w:ind w:left="1" w:right="60"/>
        <w:spacing w:after="0" w:line="267" w:lineRule="auto"/>
        <w:rPr>
          <w:rFonts w:ascii="Arial" w:cs="Arial" w:eastAsia="Arial" w:hAnsi="Arial"/>
          <w:sz w:val="14"/>
          <w:szCs w:val="14"/>
          <w:color w:val="auto"/>
        </w:rPr>
      </w:pPr>
      <w:r>
        <w:rPr>
          <w:rFonts w:ascii="Arial" w:cs="Arial" w:eastAsia="Arial" w:hAnsi="Arial"/>
          <w:sz w:val="15"/>
          <w:szCs w:val="15"/>
          <w:color w:val="auto"/>
        </w:rPr>
        <w:t>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65" w:lineRule="exact"/>
        <w:rPr>
          <w:sz w:val="20"/>
          <w:szCs w:val="20"/>
          <w:color w:val="auto"/>
        </w:rPr>
      </w:pPr>
    </w:p>
    <w:p>
      <w:pPr>
        <w:ind w:left="1" w:hanging="1"/>
        <w:spacing w:after="0" w:line="301" w:lineRule="auto"/>
        <w:tabs>
          <w:tab w:leader="none" w:pos="232"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41"/>
          </w:cols>
          <w:pgMar w:left="1119" w:top="258" w:right="1139" w:bottom="1440" w:gutter="0" w:footer="0" w:header="0"/>
        </w:sectPr>
      </w:pPr>
    </w:p>
    <w:bookmarkStart w:id="302" w:name="page303"/>
    <w:bookmarkEnd w:id="302"/>
    <w:p>
      <w:pPr>
        <w:ind w:left="1" w:right="80" w:hanging="1"/>
        <w:spacing w:after="0" w:line="293" w:lineRule="auto"/>
        <w:tabs>
          <w:tab w:leader="none" w:pos="238" w:val="left"/>
        </w:tabs>
        <w:numPr>
          <w:ilvl w:val="0"/>
          <w:numId w:val="18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50" w:lineRule="exact"/>
        <w:rPr>
          <w:rFonts w:ascii="Arial" w:cs="Arial" w:eastAsia="Arial" w:hAnsi="Arial"/>
          <w:sz w:val="14"/>
          <w:szCs w:val="14"/>
          <w:color w:val="auto"/>
        </w:rPr>
      </w:pPr>
    </w:p>
    <w:p>
      <w:pPr>
        <w:ind w:left="1" w:right="180" w:hanging="1"/>
        <w:spacing w:after="0" w:line="302" w:lineRule="auto"/>
        <w:tabs>
          <w:tab w:leader="none" w:pos="23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34" w:lineRule="exact"/>
        <w:rPr>
          <w:sz w:val="20"/>
          <w:szCs w:val="20"/>
          <w:color w:val="auto"/>
        </w:rPr>
      </w:pPr>
    </w:p>
    <w:p>
      <w:pPr>
        <w:jc w:val="both"/>
        <w:ind w:left="1" w:firstLine="386"/>
        <w:spacing w:after="0" w:line="311" w:lineRule="auto"/>
        <w:rPr>
          <w:sz w:val="20"/>
          <w:szCs w:val="20"/>
          <w:color w:val="auto"/>
        </w:rPr>
      </w:pPr>
      <w:r>
        <w:rPr>
          <w:rFonts w:ascii="Arial" w:cs="Arial" w:eastAsia="Arial" w:hAnsi="Arial"/>
          <w:sz w:val="14"/>
          <w:szCs w:val="14"/>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1" w:lineRule="exact"/>
        <w:rPr>
          <w:sz w:val="20"/>
          <w:szCs w:val="20"/>
          <w:color w:val="auto"/>
        </w:rPr>
      </w:pPr>
    </w:p>
    <w:p>
      <w:pPr>
        <w:ind w:left="1" w:firstLine="386"/>
        <w:spacing w:after="0" w:line="266" w:lineRule="auto"/>
        <w:rPr>
          <w:sz w:val="20"/>
          <w:szCs w:val="20"/>
          <w:color w:val="auto"/>
        </w:rPr>
      </w:pPr>
      <w:r>
        <w:rPr>
          <w:rFonts w:ascii="Arial" w:cs="Arial" w:eastAsia="Arial" w:hAnsi="Arial"/>
          <w:sz w:val="15"/>
          <w:szCs w:val="15"/>
          <w:color w:val="auto"/>
        </w:rPr>
        <w:t>All statements, requests, notices and agreements hereunder shall be in writing, and if to the Underwriters shall be delivered or sent by mail, telex or facsimile transmission to each of the Representatives in care of (a) Goldman Sachs &amp; Co. LLC, 200 West Street, New York, New York 10282-2198, Attention: Registration Department; (b) BofA Securities, Inc., One Bryant Park, New York, New York 10036, Attention: Syndicate Department, facsimile number: 1-646-855-3073, with a copy to ECM Legal, facsimile number: 1-212-230-8730; and (c) Citigroup Global Markets Inc., 388 Greenwich Street, New York, New York 10013, Attention: General Counsel, facsimile number: 1-646-291-1469; if to the Company shall be delivered or sent by mail, telex or facsimile transmission to the address of the Company set forth on the cover of the Registration Statement, Attention: Legal Department;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on request; provided further that notices under subsection 5(e) shall be in writing, and if to the Underwriters shall be delivered or sent by mail, telex or facsimile transmission to the Representatives as the Representatives at (i) Goldman Sachs &amp; Co. LLC, 200 West Street, New York, New York 10282, Attention: Control Room; BofA Securities, Inc., One Bryant Park, New York, New York 10036, Attention: Syndicate Department, facsimile number: 1-646-855-3073, with a copy to ECM Legal, facsimile number: 1-212-230-8730 ; and (c) Citigroup Global Markets Inc., 388 Greenwich Street, New York, New York 10013, Attention General Counsel, facsimile number: 1-646-291-1469. Any such statements, requests, notices or agreements shall take effect upon receipt thereof.</w:t>
      </w:r>
    </w:p>
    <w:p>
      <w:pPr>
        <w:spacing w:after="0" w:line="67" w:lineRule="exact"/>
        <w:rPr>
          <w:sz w:val="20"/>
          <w:szCs w:val="20"/>
          <w:color w:val="auto"/>
        </w:rPr>
      </w:pPr>
    </w:p>
    <w:p>
      <w:pPr>
        <w:ind w:left="1" w:hanging="1"/>
        <w:spacing w:after="0" w:line="276" w:lineRule="auto"/>
        <w:tabs>
          <w:tab w:leader="none" w:pos="238"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This Agreement shall be binding upon, and inure solely to the benefit of, the Underwriters and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41"/>
          </w:cols>
          <w:pgMar w:left="1119" w:top="257" w:right="1139" w:bottom="1440" w:gutter="0" w:footer="0" w:header="0"/>
        </w:sectPr>
      </w:pPr>
    </w:p>
    <w:bookmarkStart w:id="303" w:name="page304"/>
    <w:bookmarkEnd w:id="303"/>
    <w:p>
      <w:pPr>
        <w:ind w:left="1" w:right="480" w:hanging="1"/>
        <w:spacing w:after="0" w:line="268" w:lineRule="auto"/>
        <w:tabs>
          <w:tab w:leader="none" w:pos="238"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Time shall be of the essence of this Agreement. As used herein, the term “business day” shall mean any day when the Commission’s office in Washington, D.C. is open for business.</w:t>
      </w:r>
    </w:p>
    <w:p>
      <w:pPr>
        <w:spacing w:after="0" w:line="62" w:lineRule="exact"/>
        <w:rPr>
          <w:rFonts w:ascii="Arial" w:cs="Arial" w:eastAsia="Arial" w:hAnsi="Arial"/>
          <w:sz w:val="16"/>
          <w:szCs w:val="16"/>
          <w:color w:val="auto"/>
        </w:rPr>
      </w:pPr>
    </w:p>
    <w:p>
      <w:pPr>
        <w:ind w:left="1" w:right="20" w:hanging="1"/>
        <w:spacing w:after="0" w:line="290" w:lineRule="auto"/>
        <w:tabs>
          <w:tab w:leader="none" w:pos="238"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52" w:lineRule="exact"/>
        <w:rPr>
          <w:rFonts w:ascii="Arial" w:cs="Arial" w:eastAsia="Arial" w:hAnsi="Arial"/>
          <w:sz w:val="14"/>
          <w:szCs w:val="14"/>
          <w:color w:val="auto"/>
        </w:rPr>
      </w:pPr>
    </w:p>
    <w:p>
      <w:pPr>
        <w:ind w:left="1" w:right="40" w:hanging="1"/>
        <w:spacing w:after="0" w:line="268" w:lineRule="auto"/>
        <w:tabs>
          <w:tab w:leader="none" w:pos="23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This Agreement supersedes all prior agreements and understandings (whether written or oral) between the Company and the Underwriters, or any of them, with respect to the subject matter hereof.</w:t>
      </w:r>
    </w:p>
    <w:p>
      <w:pPr>
        <w:spacing w:after="0" w:line="62" w:lineRule="exact"/>
        <w:rPr>
          <w:rFonts w:ascii="Arial" w:cs="Arial" w:eastAsia="Arial" w:hAnsi="Arial"/>
          <w:sz w:val="16"/>
          <w:szCs w:val="16"/>
          <w:color w:val="auto"/>
        </w:rPr>
      </w:pPr>
    </w:p>
    <w:p>
      <w:pPr>
        <w:ind w:left="1" w:right="60" w:hanging="1"/>
        <w:spacing w:after="0" w:line="251" w:lineRule="auto"/>
        <w:tabs>
          <w:tab w:leader="none" w:pos="23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75" w:lineRule="exact"/>
        <w:rPr>
          <w:rFonts w:ascii="Arial" w:cs="Arial" w:eastAsia="Arial" w:hAnsi="Arial"/>
          <w:sz w:val="16"/>
          <w:szCs w:val="16"/>
          <w:color w:val="auto"/>
        </w:rPr>
      </w:pPr>
    </w:p>
    <w:p>
      <w:pPr>
        <w:ind w:left="1" w:right="100" w:hanging="1"/>
        <w:spacing w:after="0" w:line="268" w:lineRule="auto"/>
        <w:tabs>
          <w:tab w:leader="none" w:pos="23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62" w:lineRule="exact"/>
        <w:rPr>
          <w:rFonts w:ascii="Arial" w:cs="Arial" w:eastAsia="Arial" w:hAnsi="Arial"/>
          <w:sz w:val="16"/>
          <w:szCs w:val="16"/>
          <w:color w:val="auto"/>
        </w:rPr>
      </w:pPr>
    </w:p>
    <w:p>
      <w:pPr>
        <w:ind w:left="1" w:hanging="1"/>
        <w:spacing w:after="0" w:line="290" w:lineRule="auto"/>
        <w:tabs>
          <w:tab w:leader="none" w:pos="238"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This Agreement may be executed by any one or more of the parties hereto in any number of counterparts, each of which shall be deemed to be an original, but all such counterparts shall together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641"/>
          </w:cols>
          <w:pgMar w:left="1119" w:top="257" w:right="1139" w:bottom="1440" w:gutter="0" w:footer="0" w:header="0"/>
        </w:sectPr>
      </w:pPr>
    </w:p>
    <w:bookmarkStart w:id="304" w:name="page305"/>
    <w:bookmarkEnd w:id="304"/>
    <w:p>
      <w:pPr>
        <w:ind w:left="1" w:right="100" w:hanging="1"/>
        <w:spacing w:after="0" w:line="273" w:lineRule="auto"/>
        <w:tabs>
          <w:tab w:leader="none" w:pos="238" w:val="left"/>
        </w:tabs>
        <w:numPr>
          <w:ilvl w:val="0"/>
          <w:numId w:val="1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59" w:lineRule="exact"/>
        <w:rPr>
          <w:rFonts w:ascii="Arial" w:cs="Arial" w:eastAsia="Arial" w:hAnsi="Arial"/>
          <w:sz w:val="15"/>
          <w:szCs w:val="15"/>
          <w:color w:val="auto"/>
        </w:rPr>
      </w:pPr>
    </w:p>
    <w:p>
      <w:pPr>
        <w:ind w:left="241" w:hanging="241"/>
        <w:spacing w:after="0"/>
        <w:tabs>
          <w:tab w:leader="none" w:pos="24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Recognition of the U.S. Special Resolution Regimes.</w:t>
      </w:r>
    </w:p>
    <w:p>
      <w:pPr>
        <w:spacing w:after="0" w:line="100" w:lineRule="exact"/>
        <w:rPr>
          <w:sz w:val="20"/>
          <w:szCs w:val="20"/>
          <w:color w:val="auto"/>
        </w:rPr>
      </w:pPr>
    </w:p>
    <w:p>
      <w:pPr>
        <w:ind w:left="1" w:hanging="1"/>
        <w:spacing w:after="0" w:line="253" w:lineRule="auto"/>
        <w:tabs>
          <w:tab w:leader="none" w:pos="216"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5" w:lineRule="exact"/>
        <w:rPr>
          <w:rFonts w:ascii="Arial" w:cs="Arial" w:eastAsia="Arial" w:hAnsi="Arial"/>
          <w:sz w:val="16"/>
          <w:szCs w:val="16"/>
          <w:color w:val="auto"/>
        </w:rPr>
      </w:pPr>
    </w:p>
    <w:p>
      <w:pPr>
        <w:ind w:left="1" w:right="80" w:hanging="1"/>
        <w:spacing w:after="0" w:line="253" w:lineRule="auto"/>
        <w:tabs>
          <w:tab w:leader="none" w:pos="22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5" w:lineRule="exact"/>
        <w:rPr>
          <w:rFonts w:ascii="Arial" w:cs="Arial" w:eastAsia="Arial" w:hAnsi="Arial"/>
          <w:sz w:val="16"/>
          <w:szCs w:val="16"/>
          <w:color w:val="auto"/>
        </w:rPr>
      </w:pPr>
    </w:p>
    <w:p>
      <w:pPr>
        <w:ind w:left="221" w:hanging="221"/>
        <w:spacing w:after="0"/>
        <w:tabs>
          <w:tab w:leader="none" w:pos="22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As used in this section:</w:t>
      </w:r>
    </w:p>
    <w:p>
      <w:pPr>
        <w:spacing w:after="0" w:line="100" w:lineRule="exact"/>
        <w:rPr>
          <w:sz w:val="20"/>
          <w:szCs w:val="20"/>
          <w:color w:val="auto"/>
        </w:rPr>
      </w:pPr>
    </w:p>
    <w:p>
      <w:pPr>
        <w:ind w:left="861"/>
        <w:spacing w:after="0"/>
        <w:rPr>
          <w:sz w:val="20"/>
          <w:szCs w:val="20"/>
          <w:color w:val="auto"/>
        </w:rPr>
      </w:pPr>
      <w:r>
        <w:rPr>
          <w:rFonts w:ascii="Arial" w:cs="Arial" w:eastAsia="Arial" w:hAnsi="Arial"/>
          <w:sz w:val="14"/>
          <w:szCs w:val="14"/>
          <w:color w:val="auto"/>
        </w:rPr>
        <w:t>“BHC Act Affiliate” has the meaning assigned to the term “affiliate” in, and shall be interpreted in accordance with, 12 U.S.C. § 1841(k).</w:t>
      </w:r>
    </w:p>
    <w:p>
      <w:pPr>
        <w:spacing w:after="0" w:line="123" w:lineRule="exact"/>
        <w:rPr>
          <w:sz w:val="20"/>
          <w:szCs w:val="20"/>
          <w:color w:val="auto"/>
        </w:rPr>
      </w:pPr>
    </w:p>
    <w:p>
      <w:pPr>
        <w:ind w:left="861"/>
        <w:spacing w:after="0"/>
        <w:rPr>
          <w:sz w:val="20"/>
          <w:szCs w:val="20"/>
          <w:color w:val="auto"/>
        </w:rPr>
      </w:pPr>
      <w:r>
        <w:rPr>
          <w:rFonts w:ascii="Arial" w:cs="Arial" w:eastAsia="Arial" w:hAnsi="Arial"/>
          <w:sz w:val="16"/>
          <w:szCs w:val="16"/>
          <w:color w:val="auto"/>
        </w:rPr>
        <w:t>“Covered Entity” means any of the following:</w:t>
      </w:r>
    </w:p>
    <w:p>
      <w:pPr>
        <w:spacing w:after="0" w:line="100" w:lineRule="exact"/>
        <w:rPr>
          <w:sz w:val="20"/>
          <w:szCs w:val="20"/>
          <w:color w:val="auto"/>
        </w:rPr>
      </w:pPr>
    </w:p>
    <w:p>
      <w:pPr>
        <w:ind w:left="1061" w:hanging="193"/>
        <w:spacing w:after="0"/>
        <w:tabs>
          <w:tab w:leader="none" w:pos="106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“covered entity” as that term is defined in, and interpreted in accordance with, 12 C.F.R. § 252.82(b);</w:t>
      </w:r>
    </w:p>
    <w:p>
      <w:pPr>
        <w:spacing w:after="0" w:line="99" w:lineRule="exact"/>
        <w:rPr>
          <w:rFonts w:ascii="Arial" w:cs="Arial" w:eastAsia="Arial" w:hAnsi="Arial"/>
          <w:sz w:val="16"/>
          <w:szCs w:val="16"/>
          <w:color w:val="auto"/>
        </w:rPr>
      </w:pPr>
    </w:p>
    <w:p>
      <w:pPr>
        <w:ind w:left="1101" w:hanging="233"/>
        <w:spacing w:after="0"/>
        <w:tabs>
          <w:tab w:leader="none" w:pos="110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“covered bank” as that term is defined in, and interpreted in accordance with, 12 C.F.R. § 47.3(b); or</w:t>
      </w:r>
    </w:p>
    <w:p>
      <w:pPr>
        <w:spacing w:after="0" w:line="99" w:lineRule="exact"/>
        <w:rPr>
          <w:rFonts w:ascii="Arial" w:cs="Arial" w:eastAsia="Arial" w:hAnsi="Arial"/>
          <w:sz w:val="16"/>
          <w:szCs w:val="16"/>
          <w:color w:val="auto"/>
        </w:rPr>
      </w:pPr>
    </w:p>
    <w:p>
      <w:pPr>
        <w:ind w:left="1141" w:hanging="273"/>
        <w:spacing w:after="0"/>
        <w:tabs>
          <w:tab w:leader="none" w:pos="114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 “covered FSI” as that term is defined in, and interpreted in accordance with, 12 C.F.R. § 382.2(b).</w:t>
      </w:r>
    </w:p>
    <w:p>
      <w:pPr>
        <w:spacing w:after="0" w:line="100" w:lineRule="exact"/>
        <w:rPr>
          <w:sz w:val="20"/>
          <w:szCs w:val="20"/>
          <w:color w:val="auto"/>
        </w:rPr>
      </w:pPr>
    </w:p>
    <w:p>
      <w:pPr>
        <w:ind w:left="861"/>
        <w:spacing w:after="0"/>
        <w:rPr>
          <w:sz w:val="20"/>
          <w:szCs w:val="20"/>
          <w:color w:val="auto"/>
        </w:rPr>
      </w:pPr>
      <w:r>
        <w:rPr>
          <w:rFonts w:ascii="Arial" w:cs="Arial" w:eastAsia="Arial" w:hAnsi="Arial"/>
          <w:sz w:val="14"/>
          <w:szCs w:val="14"/>
          <w:color w:val="auto"/>
        </w:rPr>
        <w:t>“Default Right” has the meaning assigned to that term in, and shall be interpreted in accordance with, 12 C.F.R. §§ 252.81, 47.2 or 382.1,</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6"/>
          <w:szCs w:val="16"/>
          <w:color w:val="auto"/>
        </w:rPr>
        <w:t>as applicable.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641"/>
          </w:cols>
          <w:pgMar w:left="1119" w:top="257" w:right="1139" w:bottom="1440" w:gutter="0" w:footer="0" w:header="0"/>
        </w:sectPr>
      </w:pPr>
    </w:p>
    <w:bookmarkStart w:id="305" w:name="page306"/>
    <w:bookmarkEnd w:id="305"/>
    <w:p>
      <w:pPr>
        <w:ind w:right="160" w:firstLine="869"/>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If the foregoing is in accordance with the Representatives’ understanding, please indicate the Representatives’ acceptance of this letter by signing in the space provided below, and upon the acceptance hereof by the Representatives, on behalf of each of the Underwriters, this letter and such acceptance hereof shall constitute a binding agreement among each of the Underwriters and the Company. It is understood that the Representatives’ acceptance of this letter on behalf of each of the Underwriters is pursuant to the authority set forth in a form of Agreement among Underwriters, the form of which shall be submitted to the Company for examination upon request, but without warranty on the Representatives’ part as to the authority of the signers thereof.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[Signature Page Follows]</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580"/>
          </w:cols>
          <w:pgMar w:left="1120" w:top="257" w:right="1199" w:bottom="1440" w:gutter="0" w:footer="0" w:header="0"/>
        </w:sectPr>
      </w:pPr>
    </w:p>
    <w:bookmarkStart w:id="306" w:name="page307"/>
    <w:bookmarkEnd w:id="306"/>
    <w:p>
      <w:pPr>
        <w:ind w:left="5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Very truly yours,</w:t>
      </w:r>
    </w:p>
    <w:p>
      <w:pPr>
        <w:spacing w:after="0" w:line="19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Upstart Holdings, Inc.</w:t>
      </w:r>
    </w:p>
    <w:p>
      <w:pPr>
        <w:spacing w:after="0" w:line="19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11430</wp:posOffset>
            </wp:positionV>
            <wp:extent cx="224536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Name: David Girouard</w:t>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4"/>
          <w:szCs w:val="14"/>
          <w:color w:val="auto"/>
        </w:rPr>
        <w:t>Title: Chief Executive Officer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[Company Signature Page to Purchase Agreement]</w:t>
      </w:r>
    </w:p>
    <w:p>
      <w:pPr>
        <w:sectPr>
          <w:pgSz w:w="11900" w:h="16838" w:orient="portrait"/>
          <w:cols w:equalWidth="0" w:num="1">
            <w:col w:w="9019"/>
          </w:cols>
          <w:pgMar w:left="1440" w:top="257" w:right="1440" w:bottom="1440" w:gutter="0" w:footer="0" w:header="0"/>
        </w:sectPr>
      </w:pPr>
    </w:p>
    <w:bookmarkStart w:id="307" w:name="page308"/>
    <w:bookmarkEnd w:id="3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Accepted as of the date hereof:</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11430</wp:posOffset>
            </wp:positionV>
            <wp:extent cx="224536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BofA Securities,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11430</wp:posOffset>
            </wp:positionV>
            <wp:extent cx="224536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11430</wp:posOffset>
            </wp:positionV>
            <wp:extent cx="224536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2245360" cy="762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Name: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Title: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On behalf of each of the Underwriters</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[Underwriters Signature Page to Purchase Agreement]</w:t>
      </w:r>
    </w:p>
    <w:p>
      <w:pPr>
        <w:sectPr>
          <w:pgSz w:w="11900" w:h="16838" w:orient="portrait"/>
          <w:cols w:equalWidth="0" w:num="1">
            <w:col w:w="9339"/>
          </w:cols>
          <w:pgMar w:left="1120" w:top="257"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SCHEDULE I</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Number of</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3"/>
                <w:szCs w:val="13"/>
                <w:color w:val="auto"/>
                <w:w w:val="87"/>
              </w:rPr>
              <w:t>Optional Shares to</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color w:val="auto"/>
                <w:w w:val="90"/>
              </w:rPr>
              <w:t>Total Number of</w:t>
            </w:r>
          </w:p>
        </w:tc>
        <w:tc>
          <w:tcPr>
            <w:tcW w:w="7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3"/>
                <w:szCs w:val="13"/>
                <w:color w:val="auto"/>
                <w:w w:val="86"/>
              </w:rPr>
              <w:t>be Purchased if</w:t>
            </w:r>
          </w:p>
        </w:tc>
        <w:tc>
          <w:tcPr>
            <w:tcW w:w="0" w:type="dxa"/>
            <w:vAlign w:val="bottom"/>
          </w:tcPr>
          <w:p>
            <w:pPr>
              <w:spacing w:after="0"/>
              <w:rPr>
                <w:sz w:val="1"/>
                <w:szCs w:val="1"/>
                <w:color w:val="auto"/>
              </w:rPr>
            </w:pPr>
          </w:p>
        </w:tc>
      </w:tr>
      <w:tr>
        <w:trPr>
          <w:trHeight w:val="130"/>
        </w:trPr>
        <w:tc>
          <w:tcPr>
            <w:tcW w:w="620" w:type="dxa"/>
            <w:vAlign w:val="bottom"/>
            <w:vMerge w:val="restart"/>
          </w:tcPr>
          <w:p>
            <w:pPr>
              <w:spacing w:after="0"/>
              <w:rPr>
                <w:sz w:val="20"/>
                <w:szCs w:val="20"/>
                <w:color w:val="auto"/>
              </w:rPr>
            </w:pPr>
            <w:r>
              <w:rPr>
                <w:rFonts w:ascii="Arial" w:cs="Arial" w:eastAsia="Arial" w:hAnsi="Arial"/>
                <w:sz w:val="13"/>
                <w:szCs w:val="13"/>
                <w:color w:val="auto"/>
                <w:w w:val="89"/>
              </w:rPr>
              <w:t>Underwriter</w:t>
            </w:r>
          </w:p>
        </w:tc>
        <w:tc>
          <w:tcPr>
            <w:tcW w:w="2720" w:type="dxa"/>
            <w:vAlign w:val="bottom"/>
            <w:vMerge w:val="restart"/>
          </w:tcPr>
          <w:p>
            <w:pPr>
              <w:spacing w:after="0"/>
              <w:rPr>
                <w:sz w:val="11"/>
                <w:szCs w:val="11"/>
                <w:color w:val="auto"/>
              </w:rPr>
            </w:pPr>
          </w:p>
        </w:tc>
        <w:tc>
          <w:tcPr>
            <w:tcW w:w="368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color w:val="auto"/>
                <w:w w:val="85"/>
              </w:rPr>
              <w:t>Firm Shares to be</w:t>
            </w:r>
          </w:p>
        </w:tc>
        <w:tc>
          <w:tcPr>
            <w:tcW w:w="78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3"/>
                <w:szCs w:val="13"/>
                <w:color w:val="auto"/>
                <w:w w:val="91"/>
              </w:rPr>
              <w:t>Maximum Option</w:t>
            </w:r>
          </w:p>
        </w:tc>
        <w:tc>
          <w:tcPr>
            <w:tcW w:w="0" w:type="dxa"/>
            <w:vAlign w:val="bottom"/>
          </w:tcPr>
          <w:p>
            <w:pPr>
              <w:spacing w:after="0"/>
              <w:rPr>
                <w:sz w:val="1"/>
                <w:szCs w:val="1"/>
                <w:color w:val="auto"/>
              </w:rPr>
            </w:pPr>
          </w:p>
        </w:tc>
      </w:tr>
      <w:tr>
        <w:trPr>
          <w:trHeight w:val="154"/>
        </w:trPr>
        <w:tc>
          <w:tcPr>
            <w:tcW w:w="620" w:type="dxa"/>
            <w:vAlign w:val="bottom"/>
            <w:tcBorders>
              <w:bottom w:val="single" w:sz="8" w:color="auto"/>
            </w:tcBorders>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900" w:type="dxa"/>
            <w:vAlign w:val="bottom"/>
          </w:tcPr>
          <w:p>
            <w:pPr>
              <w:jc w:val="center"/>
              <w:spacing w:after="0" w:line="134" w:lineRule="exact"/>
              <w:rPr>
                <w:sz w:val="20"/>
                <w:szCs w:val="20"/>
                <w:color w:val="auto"/>
              </w:rPr>
            </w:pPr>
            <w:r>
              <w:rPr>
                <w:rFonts w:ascii="Arial" w:cs="Arial" w:eastAsia="Arial" w:hAnsi="Arial"/>
                <w:sz w:val="13"/>
                <w:szCs w:val="13"/>
                <w:color w:val="auto"/>
                <w:w w:val="83"/>
              </w:rPr>
              <w:t>Purchased</w:t>
            </w:r>
          </w:p>
        </w:tc>
        <w:tc>
          <w:tcPr>
            <w:tcW w:w="780" w:type="dxa"/>
            <w:vAlign w:val="bottom"/>
          </w:tcPr>
          <w:p>
            <w:pPr>
              <w:spacing w:after="0"/>
              <w:rPr>
                <w:sz w:val="13"/>
                <w:szCs w:val="13"/>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3"/>
                <w:szCs w:val="13"/>
                <w:color w:val="auto"/>
                <w:w w:val="87"/>
              </w:rPr>
              <w:t>Exercised</w:t>
            </w:r>
          </w:p>
        </w:tc>
        <w:tc>
          <w:tcPr>
            <w:tcW w:w="0" w:type="dxa"/>
            <w:vAlign w:val="bottom"/>
          </w:tcPr>
          <w:p>
            <w:pPr>
              <w:spacing w:after="0"/>
              <w:rPr>
                <w:sz w:val="1"/>
                <w:szCs w:val="1"/>
                <w:color w:val="auto"/>
              </w:rPr>
            </w:pPr>
          </w:p>
        </w:tc>
      </w:tr>
      <w:tr>
        <w:trPr>
          <w:trHeight w:val="173"/>
        </w:trPr>
        <w:tc>
          <w:tcPr>
            <w:tcW w:w="334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6"/>
                <w:szCs w:val="16"/>
                <w:color w:val="auto"/>
              </w:rPr>
              <w:t>Goldman Sachs &amp; Co. LLC</w:t>
            </w:r>
          </w:p>
        </w:tc>
        <w:tc>
          <w:tcPr>
            <w:tcW w:w="36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BofA Securities, Inc.</w:t>
            </w:r>
          </w:p>
        </w:tc>
        <w:tc>
          <w:tcPr>
            <w:tcW w:w="36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Citigroup Global Markets Inc.</w:t>
            </w:r>
          </w:p>
        </w:tc>
        <w:tc>
          <w:tcPr>
            <w:tcW w:w="36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Jefferies LLC</w:t>
            </w:r>
          </w:p>
        </w:tc>
        <w:tc>
          <w:tcPr>
            <w:tcW w:w="36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Barclays Capital Inc.</w:t>
            </w:r>
          </w:p>
        </w:tc>
        <w:tc>
          <w:tcPr>
            <w:tcW w:w="368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JMP Securities LLC</w:t>
            </w:r>
          </w:p>
        </w:tc>
        <w:tc>
          <w:tcPr>
            <w:tcW w:w="36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Piper Sandler &amp; Co.</w:t>
            </w:r>
          </w:p>
        </w:tc>
        <w:tc>
          <w:tcPr>
            <w:tcW w:w="368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340" w:type="dxa"/>
            <w:vAlign w:val="bottom"/>
            <w:gridSpan w:val="2"/>
          </w:tcPr>
          <w:p>
            <w:pPr>
              <w:spacing w:after="0"/>
              <w:rPr>
                <w:sz w:val="20"/>
                <w:szCs w:val="20"/>
                <w:color w:val="auto"/>
              </w:rPr>
            </w:pPr>
            <w:r>
              <w:rPr>
                <w:rFonts w:ascii="Arial" w:cs="Arial" w:eastAsia="Arial" w:hAnsi="Arial"/>
                <w:sz w:val="16"/>
                <w:szCs w:val="16"/>
                <w:color w:val="auto"/>
              </w:rPr>
              <w:t>Total</w:t>
            </w:r>
          </w:p>
        </w:tc>
        <w:tc>
          <w:tcPr>
            <w:tcW w:w="36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80" w:type="dxa"/>
            <w:vAlign w:val="bottom"/>
            <w:vMerge w:val="restart"/>
          </w:tcPr>
          <w:p>
            <w:pPr>
              <w:jc w:val="right"/>
              <w:ind w:right="2081"/>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20" w:top="252" w:right="1139" w:bottom="1440" w:gutter="0" w:footer="0" w:header="0"/>
        </w:sectPr>
      </w:pPr>
    </w:p>
    <w:bookmarkStart w:id="309" w:name="page310"/>
    <w:bookmarkEnd w:id="309"/>
    <w:p>
      <w:pPr>
        <w:jc w:val="center"/>
        <w:ind w:right="-32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SCHEDULE II</w:t>
      </w:r>
    </w:p>
    <w:p>
      <w:pPr>
        <w:spacing w:after="0" w:line="116" w:lineRule="exact"/>
        <w:rPr>
          <w:sz w:val="20"/>
          <w:szCs w:val="20"/>
          <w:color w:val="auto"/>
        </w:rPr>
      </w:pPr>
    </w:p>
    <w:p>
      <w:pPr>
        <w:ind w:left="861" w:right="3899" w:hanging="861"/>
        <w:spacing w:after="0" w:line="377" w:lineRule="auto"/>
        <w:tabs>
          <w:tab w:leader="none" w:pos="37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Issuer Free Writing Prospectuses not included in the Pricing Disclosure Package Electronic Roadshow dated [•]</w:t>
      </w:r>
    </w:p>
    <w:p>
      <w:pPr>
        <w:spacing w:after="0" w:line="1" w:lineRule="exact"/>
        <w:rPr>
          <w:rFonts w:ascii="Arial" w:cs="Arial" w:eastAsia="Arial" w:hAnsi="Arial"/>
          <w:sz w:val="16"/>
          <w:szCs w:val="16"/>
          <w:color w:val="auto"/>
        </w:rPr>
      </w:pPr>
    </w:p>
    <w:p>
      <w:pPr>
        <w:ind w:left="381" w:hanging="381"/>
        <w:spacing w:after="0"/>
        <w:tabs>
          <w:tab w:leader="none" w:pos="381"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Additional documents incorporated by reference</w:t>
      </w:r>
    </w:p>
    <w:p>
      <w:pPr>
        <w:spacing w:after="0" w:line="100" w:lineRule="exact"/>
        <w:rPr>
          <w:sz w:val="20"/>
          <w:szCs w:val="20"/>
          <w:color w:val="auto"/>
        </w:rPr>
      </w:pPr>
    </w:p>
    <w:p>
      <w:pPr>
        <w:ind w:left="861"/>
        <w:spacing w:after="0"/>
        <w:rPr>
          <w:sz w:val="20"/>
          <w:szCs w:val="20"/>
          <w:color w:val="auto"/>
        </w:rPr>
      </w:pPr>
      <w:r>
        <w:rPr>
          <w:rFonts w:ascii="Arial" w:cs="Arial" w:eastAsia="Arial" w:hAnsi="Arial"/>
          <w:sz w:val="16"/>
          <w:szCs w:val="16"/>
          <w:color w:val="auto"/>
        </w:rPr>
        <w:t>[•]</w:t>
      </w:r>
    </w:p>
    <w:p>
      <w:pPr>
        <w:spacing w:after="0" w:line="112" w:lineRule="exact"/>
        <w:rPr>
          <w:sz w:val="20"/>
          <w:szCs w:val="20"/>
          <w:color w:val="auto"/>
        </w:rPr>
      </w:pPr>
    </w:p>
    <w:p>
      <w:pPr>
        <w:ind w:left="861" w:right="3179" w:hanging="861"/>
        <w:spacing w:after="0" w:line="394" w:lineRule="auto"/>
        <w:tabs>
          <w:tab w:leader="none" w:pos="371" w:val="left"/>
        </w:tabs>
        <w:numPr>
          <w:ilvl w:val="0"/>
          <w:numId w:val="195"/>
        </w:numPr>
        <w:rPr>
          <w:rFonts w:ascii="Arial" w:cs="Arial" w:eastAsia="Arial" w:hAnsi="Arial"/>
          <w:sz w:val="15"/>
          <w:szCs w:val="15"/>
          <w:color w:val="auto"/>
        </w:rPr>
      </w:pPr>
      <w:r>
        <w:rPr>
          <w:rFonts w:ascii="Arial" w:cs="Arial" w:eastAsia="Arial" w:hAnsi="Arial"/>
          <w:sz w:val="15"/>
          <w:szCs w:val="15"/>
          <w:color w:val="auto"/>
        </w:rPr>
        <w:t>Information other than the Pricing Prospectus that comprise the Pricing Disclosure Package The public offering price per share for the Shares is $ [•]</w:t>
      </w:r>
    </w:p>
    <w:p>
      <w:pPr>
        <w:spacing w:after="0" w:line="1" w:lineRule="exact"/>
        <w:rPr>
          <w:rFonts w:ascii="Arial" w:cs="Arial" w:eastAsia="Arial" w:hAnsi="Arial"/>
          <w:sz w:val="15"/>
          <w:szCs w:val="15"/>
          <w:color w:val="auto"/>
        </w:rPr>
      </w:pPr>
    </w:p>
    <w:p>
      <w:pPr>
        <w:ind w:left="861"/>
        <w:spacing w:after="0"/>
        <w:rPr>
          <w:rFonts w:ascii="Arial" w:cs="Arial" w:eastAsia="Arial" w:hAnsi="Arial"/>
          <w:sz w:val="15"/>
          <w:szCs w:val="15"/>
          <w:color w:val="auto"/>
        </w:rPr>
      </w:pPr>
      <w:r>
        <w:rPr>
          <w:rFonts w:ascii="Arial" w:cs="Arial" w:eastAsia="Arial" w:hAnsi="Arial"/>
          <w:sz w:val="16"/>
          <w:szCs w:val="16"/>
          <w:color w:val="auto"/>
        </w:rPr>
        <w:t>The number of Shares purchased by the Underwriters is [•].</w:t>
      </w:r>
    </w:p>
    <w:p>
      <w:pPr>
        <w:spacing w:after="0" w:line="111" w:lineRule="exact"/>
        <w:rPr>
          <w:rFonts w:ascii="Arial" w:cs="Arial" w:eastAsia="Arial" w:hAnsi="Arial"/>
          <w:sz w:val="15"/>
          <w:szCs w:val="15"/>
          <w:color w:val="auto"/>
        </w:rPr>
      </w:pPr>
    </w:p>
    <w:p>
      <w:pPr>
        <w:ind w:left="381" w:hanging="381"/>
        <w:spacing w:after="0"/>
        <w:tabs>
          <w:tab w:leader="none" w:pos="38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Written Testing-the-Waters Communications</w:t>
      </w:r>
    </w:p>
    <w:p>
      <w:pPr>
        <w:spacing w:after="0" w:line="100" w:lineRule="exact"/>
        <w:rPr>
          <w:sz w:val="20"/>
          <w:szCs w:val="20"/>
          <w:color w:val="auto"/>
        </w:rPr>
      </w:pPr>
    </w:p>
    <w:p>
      <w:pPr>
        <w:ind w:left="861"/>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340"/>
          </w:cols>
          <w:pgMar w:left="1119" w:top="253" w:right="1440" w:bottom="1440" w:gutter="0" w:footer="0" w:header="0"/>
        </w:sectPr>
      </w:pPr>
    </w:p>
    <w:bookmarkStart w:id="310" w:name="page311"/>
    <w:bookmarkEnd w:id="31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ANNEX II</w:t>
      </w:r>
    </w:p>
    <w:p>
      <w:pPr>
        <w:spacing w:after="0" w:line="194"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FORM OF LOCK-UP AGREEMENT</w:t>
      </w:r>
    </w:p>
    <w:p>
      <w:pPr>
        <w:sectPr>
          <w:pgSz w:w="11900" w:h="16838" w:orient="portrait"/>
          <w:cols w:equalWidth="0" w:num="1">
            <w:col w:w="9320"/>
          </w:cols>
          <w:pgMar w:left="1440" w:top="253" w:right="1139" w:bottom="1440" w:gutter="0" w:footer="0" w:header="0"/>
        </w:sectPr>
      </w:pPr>
    </w:p>
    <w:bookmarkStart w:id="311" w:name="page312"/>
    <w:bookmarkEnd w:id="311"/>
    <w:p>
      <w:pPr>
        <w:ind w:left="8920"/>
        <w:spacing w:after="0"/>
        <w:rPr>
          <w:sz w:val="20"/>
          <w:szCs w:val="20"/>
          <w:color w:val="auto"/>
        </w:rPr>
      </w:pPr>
      <w:r>
        <w:rPr>
          <w:rFonts w:ascii="Arial" w:cs="Arial" w:eastAsia="Arial" w:hAnsi="Arial"/>
          <w:sz w:val="14"/>
          <w:szCs w:val="14"/>
          <w:b w:val="1"/>
          <w:bCs w:val="1"/>
          <w:color w:val="auto"/>
        </w:rPr>
        <w:t>Exhibit 5.1</w:t>
      </w:r>
    </w:p>
    <w:p>
      <w:pPr>
        <w:spacing w:after="0" w:line="24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961390" cy="3606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961390" cy="360680"/>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6"/>
          <w:szCs w:val="16"/>
          <w:color w:val="auto"/>
        </w:rPr>
        <w:t>Professional Corporation</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650 Page Mill Road</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Palo Alto, California 94304-1050</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O: 650.493.9300</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F: 650.493.6811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April 6,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Upstart Holdings,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2950 S. Delaware Street, Suite 300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Mateo, California 94403</w:t>
      </w:r>
    </w:p>
    <w:p>
      <w:pPr>
        <w:spacing w:after="0" w:line="20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4"/>
          <w:szCs w:val="14"/>
          <w:b w:val="1"/>
          <w:bCs w:val="1"/>
          <w:u w:val="single" w:color="auto"/>
          <w:color w:val="auto"/>
        </w:rPr>
        <w:t>Registration Statement on Form S-1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opinion is furnished to you in connection with the Registration Statement on Form S-1 (Registration No. 333-), as amended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filed by Upstart Holdings,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with the Securities and Exchange Commission in connection with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registration under the Securities Act of 1933, as amended, of up to 2,000,000 shares (including up to 300,000 shares issuable upon exercise of an option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granted to the underwriters by the Company) of the Company’s common stock, $0.0001 par value per share (the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to be issued and sold by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Company. We understand that the Shares are to be sold by the Company to the underwriters for resale to the public as described in the Registration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Statement and pursuant to an underwriting agreement, substantially in the form filed as an exhibit to the Registration Statement, to be entered into 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and among the Company and the underwriters (the “</w:t>
      </w:r>
      <w:r>
        <w:rPr>
          <w:rFonts w:ascii="Arial" w:cs="Arial" w:eastAsia="Arial" w:hAnsi="Arial"/>
          <w:sz w:val="16"/>
          <w:szCs w:val="16"/>
          <w:b w:val="1"/>
          <w:bCs w:val="1"/>
          <w:i w:val="1"/>
          <w:iCs w:val="1"/>
          <w:color w:val="auto"/>
        </w:rPr>
        <w:t>Underwriting Agreement</w:t>
      </w:r>
      <w:r>
        <w:rPr>
          <w:rFonts w:ascii="Arial" w:cs="Arial" w:eastAsia="Arial" w:hAnsi="Arial"/>
          <w:sz w:val="16"/>
          <w:szCs w:val="16"/>
          <w:color w:val="auto"/>
        </w:rPr>
        <w:t>”).</w:t>
      </w:r>
    </w:p>
    <w:p>
      <w:pPr>
        <w:spacing w:after="0" w:line="183" w:lineRule="exact"/>
        <w:rPr>
          <w:sz w:val="20"/>
          <w:szCs w:val="20"/>
          <w:color w:val="auto"/>
        </w:rPr>
      </w:pPr>
    </w:p>
    <w:p>
      <w:pPr>
        <w:ind w:right="120" w:firstLine="386"/>
        <w:spacing w:after="0" w:line="273" w:lineRule="auto"/>
        <w:rPr>
          <w:sz w:val="20"/>
          <w:szCs w:val="20"/>
          <w:color w:val="auto"/>
        </w:rPr>
      </w:pPr>
      <w:r>
        <w:rPr>
          <w:rFonts w:ascii="Arial" w:cs="Arial" w:eastAsia="Arial" w:hAnsi="Arial"/>
          <w:sz w:val="15"/>
          <w:szCs w:val="15"/>
          <w:color w:val="auto"/>
        </w:rPr>
        <w:t>We are acting as counsel for the Company in connection with the sale of the Shares.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54"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We express no opinion herein as to the laws of any state or jurisdiction other than the General Corporation Law of the State of Delaware</w:t>
      </w:r>
    </w:p>
    <w:p>
      <w:pPr>
        <w:spacing w:after="0" w:line="28"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(including the statutory provisions and all applicable judicial decisions interpreting those laws) and the federal laws of the United States of America.</w:t>
      </w:r>
    </w:p>
    <w:p>
      <w:pPr>
        <w:spacing w:after="0" w:line="206" w:lineRule="exact"/>
        <w:rPr>
          <w:sz w:val="20"/>
          <w:szCs w:val="20"/>
          <w:color w:val="auto"/>
        </w:rPr>
      </w:pPr>
    </w:p>
    <w:p>
      <w:pPr>
        <w:jc w:val="both"/>
        <w:ind w:right="200" w:firstLine="386"/>
        <w:spacing w:after="0" w:line="340" w:lineRule="auto"/>
        <w:rPr>
          <w:sz w:val="20"/>
          <w:szCs w:val="20"/>
          <w:color w:val="auto"/>
        </w:rPr>
      </w:pPr>
      <w:r>
        <w:rPr>
          <w:rFonts w:ascii="Arial" w:cs="Arial" w:eastAsia="Arial" w:hAnsi="Arial"/>
          <w:sz w:val="14"/>
          <w:szCs w:val="14"/>
          <w:color w:val="auto"/>
        </w:rPr>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12" w:lineRule="exact"/>
        <w:rPr>
          <w:sz w:val="20"/>
          <w:szCs w:val="20"/>
          <w:color w:val="auto"/>
        </w:rPr>
      </w:pPr>
    </w:p>
    <w:p>
      <w:pPr>
        <w:ind w:right="220" w:firstLine="386"/>
        <w:spacing w:after="0" w:line="268" w:lineRule="auto"/>
        <w:rPr>
          <w:sz w:val="20"/>
          <w:szCs w:val="20"/>
          <w:color w:val="auto"/>
        </w:rPr>
      </w:pPr>
      <w:r>
        <w:rPr>
          <w:rFonts w:ascii="Arial" w:cs="Arial" w:eastAsia="Arial" w:hAnsi="Arial"/>
          <w:sz w:val="16"/>
          <w:szCs w:val="16"/>
          <w:color w:val="auto"/>
        </w:rPr>
        <w:t>We consent to the use of this opinion as an exhibit to the Registration Statement, and we consent to the reference of our name under the caption “Validity of Common Stock” in the prospectus forming part of the Registration Statement.</w:t>
      </w:r>
    </w:p>
    <w:p>
      <w:pPr>
        <w:spacing w:after="0" w:line="15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WILSON SONSINI GOODRICH &amp; ROSATI</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Professional Corporation</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/s/ Wilson Sonsini Goodrich &amp; Rosati, P.C.</w:t>
      </w:r>
    </w:p>
    <w:p>
      <w:pPr>
        <w:spacing w:after="0" w:line="182" w:lineRule="exact"/>
        <w:rPr>
          <w:sz w:val="20"/>
          <w:szCs w:val="20"/>
          <w:color w:val="auto"/>
        </w:rPr>
      </w:pPr>
    </w:p>
    <w:p>
      <w:pPr>
        <w:jc w:val="center"/>
        <w:spacing w:after="0"/>
        <w:tabs>
          <w:tab w:leader="none" w:pos="220" w:val="left"/>
          <w:tab w:leader="none" w:pos="240" w:val="left"/>
          <w:tab w:leader="none" w:pos="260" w:val="left"/>
          <w:tab w:leader="none" w:pos="240" w:val="left"/>
          <w:tab w:leader="none" w:pos="220" w:val="left"/>
          <w:tab w:leader="none" w:pos="220" w:val="left"/>
          <w:tab w:leader="none" w:pos="220" w:val="left"/>
          <w:tab w:leader="none" w:pos="220" w:val="left"/>
        </w:tabs>
        <w:rPr>
          <w:sz w:val="20"/>
          <w:szCs w:val="20"/>
          <w:color w:val="auto"/>
        </w:rPr>
      </w:pPr>
      <w:r>
        <w:rPr>
          <w:rFonts w:ascii="Arial" w:cs="Arial" w:eastAsia="Arial" w:hAnsi="Arial"/>
          <w:sz w:val="13"/>
          <w:szCs w:val="13"/>
          <w:color w:val="auto"/>
        </w:rPr>
        <w:t>AUSTIN</w:t>
      </w:r>
      <w:r>
        <w:rPr>
          <w:sz w:val="20"/>
          <w:szCs w:val="20"/>
          <w:color w:val="auto"/>
        </w:rPr>
        <w:tab/>
      </w: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HONG KONG</w:t>
      </w:r>
      <w:r>
        <w:rPr>
          <w:sz w:val="20"/>
          <w:szCs w:val="20"/>
          <w:color w:val="auto"/>
        </w:rPr>
        <w:tab/>
      </w: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LOS ANGELES</w:t>
      </w:r>
      <w:r>
        <w:rPr>
          <w:sz w:val="20"/>
          <w:szCs w:val="20"/>
          <w:color w:val="auto"/>
        </w:rPr>
        <w:tab/>
      </w:r>
      <w:r>
        <w:rPr>
          <w:rFonts w:ascii="Arial" w:cs="Arial" w:eastAsia="Arial" w:hAnsi="Arial"/>
          <w:sz w:val="13"/>
          <w:szCs w:val="13"/>
          <w:color w:val="auto"/>
        </w:rPr>
        <w:t>NEW YORK</w:t>
      </w:r>
      <w:r>
        <w:rPr>
          <w:sz w:val="20"/>
          <w:szCs w:val="20"/>
          <w:color w:val="auto"/>
        </w:rPr>
        <w:tab/>
      </w:r>
      <w:r>
        <w:rPr>
          <w:rFonts w:ascii="Arial" w:cs="Arial" w:eastAsia="Arial" w:hAnsi="Arial"/>
          <w:sz w:val="12"/>
          <w:szCs w:val="12"/>
          <w:color w:val="auto"/>
        </w:rPr>
        <w:t>PALO ALTO</w:t>
      </w:r>
    </w:p>
    <w:p>
      <w:pPr>
        <w:jc w:val="center"/>
        <w:spacing w:after="0"/>
        <w:tabs>
          <w:tab w:leader="none" w:pos="220" w:val="left"/>
          <w:tab w:leader="none" w:pos="220" w:val="left"/>
          <w:tab w:leader="none" w:pos="240" w:val="left"/>
          <w:tab w:leader="none" w:pos="220" w:val="left"/>
          <w:tab w:leader="none" w:pos="220" w:val="left"/>
        </w:tabs>
        <w:rPr>
          <w:sz w:val="20"/>
          <w:szCs w:val="20"/>
          <w:color w:val="auto"/>
        </w:rPr>
      </w:pPr>
      <w:r>
        <w:rPr>
          <w:rFonts w:ascii="Arial" w:cs="Arial" w:eastAsia="Arial" w:hAnsi="Arial"/>
          <w:sz w:val="13"/>
          <w:szCs w:val="13"/>
          <w:color w:val="auto"/>
        </w:rPr>
        <w:t>SAN DIEGO</w:t>
      </w:r>
      <w:r>
        <w:rPr>
          <w:sz w:val="20"/>
          <w:szCs w:val="20"/>
          <w:color w:val="auto"/>
        </w:rPr>
        <w:tab/>
      </w:r>
      <w:r>
        <w:rPr>
          <w:rFonts w:ascii="Arial" w:cs="Arial" w:eastAsia="Arial" w:hAnsi="Arial"/>
          <w:sz w:val="13"/>
          <w:szCs w:val="13"/>
          <w:color w:val="auto"/>
        </w:rPr>
        <w:t>SAN FRANCISCO</w:t>
      </w:r>
      <w:r>
        <w:rPr>
          <w:sz w:val="20"/>
          <w:szCs w:val="20"/>
          <w:color w:val="auto"/>
        </w:rPr>
        <w:tab/>
      </w:r>
      <w:r>
        <w:rPr>
          <w:rFonts w:ascii="Arial" w:cs="Arial" w:eastAsia="Arial" w:hAnsi="Arial"/>
          <w:sz w:val="13"/>
          <w:szCs w:val="13"/>
          <w:color w:val="auto"/>
        </w:rPr>
        <w:t>SEATTLE</w:t>
      </w:r>
      <w:r>
        <w:rPr>
          <w:sz w:val="20"/>
          <w:szCs w:val="20"/>
          <w:color w:val="auto"/>
        </w:rPr>
        <w:tab/>
      </w:r>
      <w:r>
        <w:rPr>
          <w:rFonts w:ascii="Arial" w:cs="Arial" w:eastAsia="Arial" w:hAnsi="Arial"/>
          <w:sz w:val="13"/>
          <w:szCs w:val="13"/>
          <w:color w:val="auto"/>
        </w:rPr>
        <w:t>SHANGHAI</w:t>
      </w:r>
      <w:r>
        <w:rPr>
          <w:sz w:val="20"/>
          <w:szCs w:val="20"/>
          <w:color w:val="auto"/>
        </w:rPr>
        <w:tab/>
      </w:r>
      <w:r>
        <w:rPr>
          <w:rFonts w:ascii="Arial" w:cs="Arial" w:eastAsia="Arial" w:hAnsi="Arial"/>
          <w:sz w:val="13"/>
          <w:szCs w:val="13"/>
          <w:color w:val="auto"/>
        </w:rPr>
        <w:t>WASHINGTON, DC</w:t>
      </w:r>
      <w:r>
        <w:rPr>
          <w:sz w:val="20"/>
          <w:szCs w:val="20"/>
          <w:color w:val="auto"/>
        </w:rPr>
        <w:tab/>
      </w:r>
      <w:r>
        <w:rPr>
          <w:rFonts w:ascii="Arial" w:cs="Arial" w:eastAsia="Arial" w:hAnsi="Arial"/>
          <w:sz w:val="12"/>
          <w:szCs w:val="12"/>
          <w:color w:val="auto"/>
        </w:rPr>
        <w:t>WILMINGTON, DE</w:t>
      </w:r>
    </w:p>
    <w:p>
      <w:pPr>
        <w:sectPr>
          <w:pgSz w:w="11900" w:h="16838" w:orient="portrait"/>
          <w:cols w:equalWidth="0" w:num="1">
            <w:col w:w="9640"/>
          </w:cols>
          <w:pgMar w:left="1120" w:top="123" w:right="11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6"/>
          <w:szCs w:val="16"/>
          <w:b w:val="1"/>
          <w:bCs w:val="1"/>
          <w:color w:val="auto"/>
        </w:rPr>
        <w:t>Exhibit 21.1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20" w:type="dxa"/>
            <w:vAlign w:val="bottom"/>
          </w:tcPr>
          <w:p>
            <w:pPr>
              <w:spacing w:after="0"/>
              <w:rPr>
                <w:sz w:val="17"/>
                <w:szCs w:val="17"/>
                <w:color w:val="auto"/>
              </w:rPr>
            </w:pPr>
          </w:p>
        </w:tc>
        <w:tc>
          <w:tcPr>
            <w:tcW w:w="6720" w:type="dxa"/>
            <w:vAlign w:val="bottom"/>
          </w:tcPr>
          <w:p>
            <w:pPr>
              <w:ind w:left="500"/>
              <w:spacing w:after="0"/>
              <w:rPr>
                <w:sz w:val="20"/>
                <w:szCs w:val="20"/>
                <w:color w:val="auto"/>
              </w:rPr>
            </w:pPr>
            <w:r>
              <w:rPr>
                <w:rFonts w:ascii="Arial" w:cs="Arial" w:eastAsia="Arial" w:hAnsi="Arial"/>
                <w:sz w:val="16"/>
                <w:szCs w:val="16"/>
                <w:b w:val="1"/>
                <w:bCs w:val="1"/>
                <w:color w:val="auto"/>
              </w:rPr>
              <w:t>SUBSIDIARIES OF THE REGISTRANT</w:t>
            </w:r>
          </w:p>
        </w:tc>
      </w:tr>
      <w:tr>
        <w:trPr>
          <w:trHeight w:val="403"/>
        </w:trPr>
        <w:tc>
          <w:tcPr>
            <w:tcW w:w="2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Subsidiary</w:t>
            </w:r>
          </w:p>
        </w:tc>
        <w:tc>
          <w:tcPr>
            <w:tcW w:w="6720" w:type="dxa"/>
            <w:vAlign w:val="bottom"/>
            <w:tcBorders>
              <w:bottom w:val="single" w:sz="8" w:color="auto"/>
            </w:tcBorders>
          </w:tcPr>
          <w:p>
            <w:pPr>
              <w:ind w:left="2100"/>
              <w:spacing w:after="0"/>
              <w:rPr>
                <w:sz w:val="20"/>
                <w:szCs w:val="20"/>
                <w:color w:val="auto"/>
              </w:rPr>
            </w:pPr>
            <w:r>
              <w:rPr>
                <w:rFonts w:ascii="Arial" w:cs="Arial" w:eastAsia="Arial" w:hAnsi="Arial"/>
                <w:sz w:val="16"/>
                <w:szCs w:val="16"/>
                <w:b w:val="1"/>
                <w:bCs w:val="1"/>
                <w:color w:val="auto"/>
              </w:rPr>
              <w:t>Jurisdiction of Incorporation</w:t>
            </w:r>
          </w:p>
        </w:tc>
      </w:tr>
      <w:tr>
        <w:trPr>
          <w:trHeight w:val="169"/>
        </w:trPr>
        <w:tc>
          <w:tcPr>
            <w:tcW w:w="2920" w:type="dxa"/>
            <w:vAlign w:val="bottom"/>
          </w:tcPr>
          <w:p>
            <w:pPr>
              <w:spacing w:after="0" w:line="169" w:lineRule="exact"/>
              <w:rPr>
                <w:sz w:val="20"/>
                <w:szCs w:val="20"/>
                <w:color w:val="auto"/>
              </w:rPr>
            </w:pPr>
            <w:r>
              <w:rPr>
                <w:rFonts w:ascii="Arial" w:cs="Arial" w:eastAsia="Arial" w:hAnsi="Arial"/>
                <w:sz w:val="16"/>
                <w:szCs w:val="16"/>
                <w:color w:val="auto"/>
              </w:rPr>
              <w:t>Upstart Network, Inc.</w:t>
            </w:r>
          </w:p>
        </w:tc>
        <w:tc>
          <w:tcPr>
            <w:tcW w:w="6720" w:type="dxa"/>
            <w:vAlign w:val="bottom"/>
          </w:tcPr>
          <w:p>
            <w:pPr>
              <w:ind w:left="2100"/>
              <w:spacing w:after="0" w:line="169" w:lineRule="exact"/>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Funds GP,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Network Trust</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Loan Trust</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Loan Trust 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I,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2017-1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2017-1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II,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2017-2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2017-2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2018-1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2018-1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2018-2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2018-2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2019-1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2019-1</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Securitization Trust 2019-2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Funding Grantor Trust 2019-2</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2017-1,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2017-2,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2018-1,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2018-2,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2019-1,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Upstart RR Funding 2019-2,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AMG Acquisition Corp.</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r>
        <w:trPr>
          <w:trHeight w:val="200"/>
        </w:trPr>
        <w:tc>
          <w:tcPr>
            <w:tcW w:w="2920" w:type="dxa"/>
            <w:vAlign w:val="bottom"/>
          </w:tcPr>
          <w:p>
            <w:pPr>
              <w:spacing w:after="0"/>
              <w:rPr>
                <w:sz w:val="20"/>
                <w:szCs w:val="20"/>
                <w:color w:val="auto"/>
              </w:rPr>
            </w:pPr>
            <w:r>
              <w:rPr>
                <w:rFonts w:ascii="Arial" w:cs="Arial" w:eastAsia="Arial" w:hAnsi="Arial"/>
                <w:sz w:val="16"/>
                <w:szCs w:val="16"/>
                <w:color w:val="auto"/>
              </w:rPr>
              <w:t>AMG Acquisition Sub, LLC</w:t>
            </w:r>
          </w:p>
        </w:tc>
        <w:tc>
          <w:tcPr>
            <w:tcW w:w="6720" w:type="dxa"/>
            <w:vAlign w:val="bottom"/>
          </w:tcPr>
          <w:p>
            <w:pPr>
              <w:ind w:left="210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9640"/>
          </w:cols>
          <w:pgMar w:left="1120" w:top="122" w:right="11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8" w:lineRule="exact"/>
        <w:rPr>
          <w:sz w:val="20"/>
          <w:szCs w:val="20"/>
          <w:color w:val="auto"/>
        </w:rPr>
      </w:pPr>
    </w:p>
    <w:p>
      <w:pPr>
        <w:ind w:right="380"/>
        <w:spacing w:after="0" w:line="302" w:lineRule="auto"/>
        <w:rPr>
          <w:sz w:val="20"/>
          <w:szCs w:val="20"/>
          <w:color w:val="auto"/>
        </w:rPr>
      </w:pPr>
      <w:r>
        <w:rPr>
          <w:rFonts w:ascii="Arial" w:cs="Arial" w:eastAsia="Arial" w:hAnsi="Arial"/>
          <w:sz w:val="15"/>
          <w:szCs w:val="15"/>
          <w:color w:val="auto"/>
        </w:rPr>
        <w:t>We consent to the use in this Registration Statement on Form S-1 of our report dated March 18, 2021 relating to the financial statements of Upstart Holdings, Inc. We also consent to the reference to us under the heading “Experts” in such Registration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April 6, 2021</w:t>
      </w:r>
    </w:p>
    <w:sectPr>
      <w:pgSz w:w="11900" w:h="16838" w:orient="portrait"/>
      <w:cols w:equalWidth="0" w:num="1">
        <w:col w:w="9640"/>
      </w:cols>
      <w:pgMar w:left="1120" w:top="12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decimal"/>
      <w:start w:val="1"/>
    </w:lvl>
  </w:abstractNum>
  <w:abstractNum w:abstractNumId="1">
    <w:nsid w:val="6AA78F7F"/>
    <w:multiLevelType w:val="hybridMultilevel"/>
    <w:lvl w:ilvl="0">
      <w:lvlJc w:val="left"/>
      <w:lvlText w:val="(%1)"/>
      <w:numFmt w:val="decimal"/>
      <w:start w:val="1"/>
    </w:lvl>
  </w:abstractNum>
  <w:abstractNum w:abstractNumId="2">
    <w:nsid w:val="7672BD23"/>
    <w:multiLevelType w:val="hybridMultilevel"/>
    <w:lvl w:ilvl="0">
      <w:lvlJc w:val="left"/>
      <w:lvlText w:val="1"/>
      <w:numFmt w:val="bullet"/>
      <w:start w:val="1"/>
    </w:lvl>
  </w:abstractNum>
  <w:abstractNum w:abstractNumId="3">
    <w:nsid w:val="6FC75AF8"/>
    <w:multiLevelType w:val="hybridMultilevel"/>
    <w:lvl w:ilvl="0">
      <w:lvlJc w:val="left"/>
      <w:lvlText w:val="2"/>
      <w:numFmt w:val="bullet"/>
      <w:start w:val="1"/>
    </w:lvl>
  </w:abstractNum>
  <w:abstractNum w:abstractNumId="4">
    <w:nsid w:val="6A5F7029"/>
    <w:multiLevelType w:val="hybridMultilevel"/>
    <w:lvl w:ilvl="0">
      <w:lvlJc w:val="left"/>
      <w:lvlText w:val="3"/>
      <w:numFmt w:val="bullet"/>
      <w:start w:val="1"/>
    </w:lvl>
  </w:abstractNum>
  <w:abstractNum w:abstractNumId="5">
    <w:nsid w:val="7D5E18F8"/>
    <w:multiLevelType w:val="hybridMultilevel"/>
    <w:lvl w:ilvl="0">
      <w:lvlJc w:val="left"/>
      <w:lvlText w:val="4"/>
      <w:numFmt w:val="bullet"/>
      <w:start w:val="1"/>
    </w:lvl>
  </w:abstractNum>
  <w:abstractNum w:abstractNumId="6">
    <w:nsid w:val="5F3534A4"/>
    <w:multiLevelType w:val="hybridMultilevel"/>
    <w:lvl w:ilvl="0">
      <w:lvlJc w:val="left"/>
      <w:lvlText w:val="5"/>
      <w:numFmt w:val="bullet"/>
      <w:start w:val="1"/>
    </w:lvl>
  </w:abstractNum>
  <w:abstractNum w:abstractNumId="7">
    <w:nsid w:val="73A1821B"/>
    <w:multiLevelType w:val="hybridMultilevel"/>
    <w:lvl w:ilvl="0">
      <w:lvlJc w:val="left"/>
      <w:lvlText w:val="6"/>
      <w:numFmt w:val="bullet"/>
      <w:start w:val="1"/>
    </w:lvl>
  </w:abstractNum>
  <w:abstractNum w:abstractNumId="8">
    <w:nsid w:val="7DE67713"/>
    <w:multiLevelType w:val="hybridMultilevel"/>
    <w:lvl w:ilvl="0">
      <w:lvlJc w:val="left"/>
      <w:lvlText w:val="7"/>
      <w:numFmt w:val="bullet"/>
      <w:start w:val="1"/>
    </w:lvl>
  </w:abstractNum>
  <w:abstractNum w:abstractNumId="9">
    <w:nsid w:val="555C55B5"/>
    <w:multiLevelType w:val="hybridMultilevel"/>
    <w:lvl w:ilvl="0">
      <w:lvlJc w:val="left"/>
      <w:lvlText w:val="8"/>
      <w:numFmt w:val="bullet"/>
      <w:start w:val="1"/>
    </w:lvl>
  </w:abstractNum>
  <w:abstractNum w:abstractNumId="10">
    <w:nsid w:val="3FA62ACA"/>
    <w:multiLevelType w:val="hybridMultilevel"/>
    <w:lvl w:ilvl="0">
      <w:lvlJc w:val="left"/>
      <w:lvlText w:val="9"/>
      <w:numFmt w:val="bullet"/>
      <w:start w:val="1"/>
    </w:lvl>
  </w:abstractNum>
  <w:abstractNum w:abstractNumId="11">
    <w:nsid w:val="14FCE74E"/>
    <w:multiLevelType w:val="hybridMultilevel"/>
    <w:lvl w:ilvl="0">
      <w:lvlJc w:val="left"/>
      <w:lvlText w:val="%1"/>
      <w:numFmt w:val="decimal"/>
      <w:start w:val="10"/>
    </w:lvl>
  </w:abstractNum>
  <w:abstractNum w:abstractNumId="12">
    <w:nsid w:val="6A3DD3E8"/>
    <w:multiLevelType w:val="hybridMultilevel"/>
    <w:lvl w:ilvl="0">
      <w:lvlJc w:val="left"/>
      <w:lvlText w:val="%1"/>
      <w:numFmt w:val="decimal"/>
      <w:start w:val="13"/>
    </w:lvl>
  </w:abstractNum>
  <w:abstractNum w:abstractNumId="13">
    <w:nsid w:val="71C91298"/>
    <w:multiLevelType w:val="hybridMultilevel"/>
    <w:lvl w:ilvl="0">
      <w:lvlJc w:val="left"/>
      <w:lvlText w:val="%1"/>
      <w:numFmt w:val="decimal"/>
      <w:start w:val="22"/>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1"/>
      <w:numFmt w:val="decimal"/>
      <w:start w:val="28"/>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1"/>
      <w:numFmt w:val="decimal"/>
      <w:start w:val="30"/>
    </w:lvl>
  </w:abstractNum>
  <w:abstractNum w:abstractNumId="18">
    <w:nsid w:val="1D545C4D"/>
    <w:multiLevelType w:val="hybridMultilevel"/>
    <w:lvl w:ilvl="0">
      <w:lvlJc w:val="left"/>
      <w:lvlText w:val="%1"/>
      <w:numFmt w:val="decimal"/>
      <w:start w:val="32"/>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1"/>
      <w:numFmt w:val="decimal"/>
      <w:start w:val="34"/>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lvl w:ilvl="1">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1)"/>
      <w:numFmt w:val="decimal"/>
      <w:start w:val="1"/>
    </w:lvl>
  </w:abstractNum>
  <w:abstractNum w:abstractNumId="26">
    <w:nsid w:val="53584BCB"/>
    <w:multiLevelType w:val="hybridMultilevel"/>
    <w:lvl w:ilvl="0">
      <w:lvlJc w:val="left"/>
      <w:lvlText w:val="(%1)"/>
      <w:numFmt w:val="decimal"/>
      <w:start w:val="2"/>
    </w:lvl>
  </w:abstractNum>
  <w:abstractNum w:abstractNumId="27">
    <w:nsid w:val="415E286C"/>
    <w:multiLevelType w:val="hybridMultilevel"/>
    <w:lvl w:ilvl="0">
      <w:lvlJc w:val="left"/>
      <w:lvlText w:val="(%1)"/>
      <w:numFmt w:val="decimal"/>
      <w:start w:val="1"/>
    </w:lvl>
  </w:abstractNum>
  <w:abstractNum w:abstractNumId="28">
    <w:nsid w:val="7C58FD05"/>
    <w:multiLevelType w:val="hybridMultilevel"/>
    <w:lvl w:ilvl="0">
      <w:lvlJc w:val="left"/>
      <w:lvlText w:val="(%1)"/>
      <w:numFmt w:val="decimal"/>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1)"/>
      <w:numFmt w:val="decimal"/>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lvl w:ilvl="1">
      <w:lvlJc w:val="left"/>
      <w:lvlText w:val="•"/>
      <w:numFmt w:val="bullet"/>
      <w:start w:val="1"/>
    </w:lvl>
  </w:abstractNum>
  <w:abstractNum w:abstractNumId="49">
    <w:nsid w:val="5B25ACE2"/>
    <w:multiLevelType w:val="hybridMultilevel"/>
    <w:lvl w:ilvl="0">
      <w:lvlJc w:val="left"/>
      <w:lvlText w:val="(%1)"/>
      <w:numFmt w:val="decimal"/>
      <w:start w:val="1"/>
    </w:lvl>
  </w:abstractNum>
  <w:abstractNum w:abstractNumId="50">
    <w:nsid w:val="175DFCF0"/>
    <w:multiLevelType w:val="hybridMultilevel"/>
    <w:lvl w:ilvl="0">
      <w:lvlJc w:val="left"/>
      <w:lvlText w:val="(%1)"/>
      <w:numFmt w:val="decimal"/>
      <w:start w:val="2"/>
    </w:lvl>
  </w:abstractNum>
  <w:abstractNum w:abstractNumId="51">
    <w:nsid w:val="4F97E3E4"/>
    <w:multiLevelType w:val="hybridMultilevel"/>
    <w:lvl w:ilvl="0">
      <w:lvlJc w:val="left"/>
      <w:lvlText w:val="(%1)"/>
      <w:numFmt w:val="decimal"/>
      <w:start w:val="1"/>
    </w:lvl>
  </w:abstractNum>
  <w:abstractNum w:abstractNumId="52">
    <w:nsid w:val="53B0A9E"/>
    <w:multiLevelType w:val="hybridMultilevel"/>
    <w:lvl w:ilvl="0">
      <w:lvlJc w:val="left"/>
      <w:lvlText w:val="(%1)"/>
      <w:numFmt w:val="decimal"/>
      <w:start w:val="1"/>
    </w:lvl>
  </w:abstractNum>
  <w:abstractNum w:abstractNumId="53">
    <w:nsid w:val="34FD6B4F"/>
    <w:multiLevelType w:val="hybridMultilevel"/>
    <w:lvl w:ilvl="0">
      <w:lvlJc w:val="left"/>
      <w:lvlText w:val="(%1)"/>
      <w:numFmt w:val="decimal"/>
      <w:start w:val="1"/>
    </w:lvl>
  </w:abstractNum>
  <w:abstractNum w:abstractNumId="54">
    <w:nsid w:val="5915FF32"/>
    <w:multiLevelType w:val="hybridMultilevel"/>
    <w:lvl w:ilvl="0">
      <w:lvlJc w:val="left"/>
      <w:lvlText w:val="(%1)"/>
      <w:numFmt w:val="decimal"/>
      <w:start w:val="1"/>
    </w:lvl>
  </w:abstractNum>
  <w:abstractNum w:abstractNumId="55">
    <w:nsid w:val="56438D15"/>
    <w:multiLevelType w:val="hybridMultilevel"/>
    <w:lvl w:ilvl="0">
      <w:lvlJc w:val="left"/>
      <w:lvlText w:val="(%1)"/>
      <w:numFmt w:val="decimal"/>
      <w:start w:val="1"/>
    </w:lvl>
  </w:abstractNum>
  <w:abstractNum w:abstractNumId="56">
    <w:nsid w:val="519E3149"/>
    <w:multiLevelType w:val="hybridMultilevel"/>
    <w:lvl w:ilvl="0">
      <w:lvlJc w:val="left"/>
      <w:lvlText w:val="(%1)"/>
      <w:numFmt w:val="decimal"/>
      <w:start w:val="1"/>
    </w:lvl>
  </w:abstractNum>
  <w:abstractNum w:abstractNumId="57">
    <w:nsid w:val="2C6E4AFD"/>
    <w:multiLevelType w:val="hybridMultilevel"/>
    <w:lvl w:ilvl="0">
      <w:lvlJc w:val="left"/>
      <w:lvlText w:val="(%1)"/>
      <w:numFmt w:val="decimal"/>
      <w:start w:val="1"/>
    </w:lvl>
  </w:abstractNum>
  <w:abstractNum w:abstractNumId="58">
    <w:nsid w:val="17A1B582"/>
    <w:multiLevelType w:val="hybridMultilevel"/>
    <w:lvl w:ilvl="0">
      <w:lvlJc w:val="left"/>
      <w:lvlText w:val="(%1)"/>
      <w:numFmt w:val="decimal"/>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1)"/>
      <w:numFmt w:val="decimal"/>
      <w:start w:val="1"/>
    </w:lvl>
  </w:abstractNum>
  <w:abstractNum w:abstractNumId="62">
    <w:nsid w:val="2A082C70"/>
    <w:multiLevelType w:val="hybridMultilevel"/>
    <w:lvl w:ilvl="0">
      <w:lvlJc w:val="left"/>
      <w:lvlText w:val="(%1)"/>
      <w:numFmt w:val="decimal"/>
      <w:start w:val="1"/>
    </w:lvl>
  </w:abstractNum>
  <w:abstractNum w:abstractNumId="63">
    <w:nsid w:val="5EC6AFD4"/>
    <w:multiLevelType w:val="hybridMultilevel"/>
    <w:lvl w:ilvl="0">
      <w:lvlJc w:val="left"/>
      <w:lvlText w:val="(%1)"/>
      <w:numFmt w:val="decimal"/>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1"/>
      <w:numFmt w:val="decimal"/>
      <w:start w:val="35"/>
    </w:lvl>
  </w:abstractNum>
  <w:abstractNum w:abstractNumId="67">
    <w:nsid w:val="5399C654"/>
    <w:multiLevelType w:val="hybridMultilevel"/>
    <w:lvl w:ilvl="0">
      <w:lvlJc w:val="left"/>
      <w:lvlText w:val="%1"/>
      <w:numFmt w:val="decimal"/>
      <w:start w:val="37"/>
    </w:lvl>
  </w:abstractNum>
  <w:abstractNum w:abstractNumId="68">
    <w:nsid w:val="20EE1348"/>
    <w:multiLevelType w:val="hybridMultilevel"/>
    <w:lvl w:ilvl="0">
      <w:lvlJc w:val="left"/>
      <w:lvlText w:val="%1"/>
      <w:numFmt w:val="decimal"/>
      <w:start w:val="43"/>
    </w:lvl>
  </w:abstractNum>
  <w:abstractNum w:abstractNumId="69">
    <w:nsid w:val="4427069A"/>
    <w:multiLevelType w:val="hybridMultilevel"/>
    <w:lvl w:ilvl="0">
      <w:lvlJc w:val="left"/>
      <w:lvlText w:val="%1"/>
      <w:numFmt w:val="decimal"/>
      <w:start w:val="49"/>
    </w:lvl>
  </w:abstractNum>
  <w:abstractNum w:abstractNumId="70">
    <w:nsid w:val="B37E80A"/>
    <w:multiLevelType w:val="hybridMultilevel"/>
    <w:lvl w:ilvl="0">
      <w:lvlJc w:val="left"/>
      <w:lvlText w:val="%1"/>
      <w:numFmt w:val="decimal"/>
      <w:start w:val="59"/>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1"/>
      <w:numFmt w:val="decimal"/>
      <w:start w:val="62"/>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1"/>
      <w:numFmt w:val="decimal"/>
      <w:start w:val="65"/>
    </w:lvl>
  </w:abstractNum>
  <w:abstractNum w:abstractNumId="76">
    <w:nsid w:val="2E48F044"/>
    <w:multiLevelType w:val="hybridMultilevel"/>
    <w:lvl w:ilvl="0">
      <w:lvlJc w:val="left"/>
      <w:lvlText w:val="%1"/>
      <w:numFmt w:val="decimal"/>
      <w:start w:val="68"/>
    </w:lvl>
  </w:abstractNum>
  <w:abstractNum w:abstractNumId="77">
    <w:nsid w:val="49D0FEAC"/>
    <w:multiLevelType w:val="hybridMultilevel"/>
    <w:lvl w:ilvl="0">
      <w:lvlJc w:val="left"/>
      <w:lvlText w:val="•"/>
      <w:numFmt w:val="bullet"/>
      <w:start w:val="1"/>
    </w:lvl>
  </w:abstractNum>
  <w:abstractNum w:abstractNumId="78">
    <w:nsid w:val="4BEE5A5B"/>
    <w:multiLevelType w:val="hybridMultilevel"/>
    <w:lvl w:ilvl="0">
      <w:lvlJc w:val="left"/>
      <w:lvlText w:val="%1"/>
      <w:numFmt w:val="decimal"/>
      <w:start w:val="69"/>
    </w:lvl>
  </w:abstractNum>
  <w:abstractNum w:abstractNumId="79">
    <w:nsid w:val="5551B9F3"/>
    <w:multiLevelType w:val="hybridMultilevel"/>
    <w:lvl w:ilvl="0">
      <w:lvlJc w:val="left"/>
      <w:lvlText w:val="•"/>
      <w:numFmt w:val="bullet"/>
      <w:start w:val="1"/>
    </w:lvl>
  </w:abstractNum>
  <w:abstractNum w:abstractNumId="80">
    <w:nsid w:val="24F6AB8E"/>
    <w:multiLevelType w:val="hybridMultilevel"/>
    <w:lvl w:ilvl="0">
      <w:lvlJc w:val="left"/>
      <w:lvlText w:val="•"/>
      <w:numFmt w:val="bullet"/>
      <w:start w:val="1"/>
    </w:lvl>
  </w:abstractNum>
  <w:abstractNum w:abstractNumId="81">
    <w:nsid w:val="634C574C"/>
    <w:multiLevelType w:val="hybridMultilevel"/>
    <w:lvl w:ilvl="0">
      <w:lvlJc w:val="left"/>
      <w:lvlText w:val="%1"/>
      <w:numFmt w:val="decimal"/>
      <w:start w:val="36"/>
    </w:lvl>
  </w:abstractNum>
  <w:abstractNum w:abstractNumId="82">
    <w:nsid w:val="24E99DD7"/>
    <w:multiLevelType w:val="hybridMultilevel"/>
    <w:lvl w:ilvl="0">
      <w:lvlJc w:val="left"/>
      <w:lvlText w:val="•"/>
      <w:numFmt w:val="bullet"/>
      <w:start w:val="1"/>
    </w:lvl>
  </w:abstractNum>
  <w:abstractNum w:abstractNumId="83">
    <w:nsid w:val="2A31B62D"/>
    <w:multiLevelType w:val="hybridMultilevel"/>
    <w:lvl w:ilvl="0">
      <w:lvlJc w:val="left"/>
      <w:lvlText w:val="•"/>
      <w:numFmt w:val="bullet"/>
      <w:start w:val="1"/>
    </w:lvl>
  </w:abstractNum>
  <w:abstractNum w:abstractNumId="84">
    <w:nsid w:val="1849C29B"/>
    <w:multiLevelType w:val="hybridMultilevel"/>
    <w:lvl w:ilvl="0">
      <w:lvlJc w:val="left"/>
      <w:lvlText w:val="%1"/>
      <w:numFmt w:val="decimal"/>
      <w:start w:val="71"/>
    </w:lvl>
  </w:abstractNum>
  <w:abstractNum w:abstractNumId="85">
    <w:nsid w:val="7DFF9D09"/>
    <w:multiLevelType w:val="hybridMultilevel"/>
    <w:lvl w:ilvl="0">
      <w:lvlJc w:val="left"/>
      <w:lvlText w:val="(%1)"/>
      <w:numFmt w:val="decimal"/>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1)"/>
      <w:numFmt w:val="decimal"/>
      <w:start w:val="1"/>
    </w:lvl>
  </w:abstractNum>
  <w:abstractNum w:abstractNumId="91">
    <w:nsid w:val="7AB49DAF"/>
    <w:multiLevelType w:val="hybridMultilevel"/>
    <w:lvl w:ilvl="0">
      <w:lvlJc w:val="left"/>
      <w:lvlText w:val="(%1)"/>
      <w:numFmt w:val="decimal"/>
      <w:start w:val="2"/>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1)"/>
      <w:numFmt w:val="decimal"/>
      <w:start w:val="1"/>
    </w:lvl>
  </w:abstractNum>
  <w:abstractNum w:abstractNumId="96">
    <w:nsid w:val="57C7D42D"/>
    <w:multiLevelType w:val="hybridMultilevel"/>
    <w:lvl w:ilvl="0">
      <w:lvlJc w:val="left"/>
      <w:lvlText w:val="(%1)"/>
      <w:numFmt w:val="decimal"/>
      <w:start w:val="1"/>
    </w:lvl>
  </w:abstractNum>
  <w:abstractNum w:abstractNumId="97">
    <w:nsid w:val="312167AD"/>
    <w:multiLevelType w:val="hybridMultilevel"/>
    <w:lvl w:ilvl="0">
      <w:lvlJc w:val="left"/>
      <w:lvlText w:val="(%1)"/>
      <w:numFmt w:val="decimal"/>
      <w:start w:val="16"/>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1)"/>
      <w:numFmt w:val="lowerRoman"/>
      <w:start w:val="10"/>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1)"/>
      <w:numFmt w:val="lowerRoman"/>
      <w:start w:val="2"/>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1)"/>
      <w:numFmt w:val="lowerLetter"/>
      <w:start w:val="3"/>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1)"/>
      <w:numFmt w:val="decimal"/>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1)"/>
      <w:numFmt w:val="decimal"/>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
      <w:numFmt w:val="bullet"/>
      <w:start w:val="1"/>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
      <w:numFmt w:val="bullet"/>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1)"/>
      <w:numFmt w:val="lowerLetter"/>
      <w:start w:val="1"/>
    </w:lvl>
  </w:abstractNum>
  <w:abstractNum w:abstractNumId="118">
    <w:nsid w:val="25413BEC"/>
    <w:multiLevelType w:val="hybridMultilevel"/>
    <w:lvl w:ilvl="0">
      <w:lvlJc w:val="left"/>
      <w:lvlText w:val="(%1)"/>
      <w:numFmt w:val="lowerLetter"/>
      <w:start w:val="1"/>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decimal"/>
      <w:start w:val="1"/>
    </w:lvl>
  </w:abstractNum>
  <w:abstractNum w:abstractNumId="121">
    <w:nsid w:val="5D205E20"/>
    <w:multiLevelType w:val="hybridMultilevel"/>
    <w:lvl w:ilvl="0">
      <w:lvlJc w:val="left"/>
      <w:lvlText w:val="(%1)"/>
      <w:numFmt w:val="lowerRoman"/>
      <w:start w:val="3"/>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1)"/>
      <w:numFmt w:val="decimal"/>
      <w:start w:val="1"/>
    </w:lvl>
  </w:abstractNum>
  <w:abstractNum w:abstractNumId="124">
    <w:nsid w:val="3F07ACC3"/>
    <w:multiLevelType w:val="hybridMultilevel"/>
    <w:lvl w:ilvl="0">
      <w:lvlJc w:val="left"/>
      <w:lvlText w:val="(%1)"/>
      <w:numFmt w:val="decimal"/>
      <w:start w:val="1"/>
    </w:lvl>
  </w:abstractNum>
  <w:abstractNum w:abstractNumId="125">
    <w:nsid w:val="6B47F63E"/>
    <w:multiLevelType w:val="hybridMultilevel"/>
    <w:lvl w:ilvl="0">
      <w:lvlJc w:val="left"/>
      <w:lvlText w:val="(%1)"/>
      <w:numFmt w:val="decimal"/>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1)"/>
      <w:numFmt w:val="decimal"/>
      <w:start w:val="1"/>
    </w:lvl>
  </w:abstractNum>
  <w:abstractNum w:abstractNumId="128">
    <w:nsid w:val="1C695DEC"/>
    <w:multiLevelType w:val="hybridMultilevel"/>
    <w:lvl w:ilvl="0">
      <w:lvlJc w:val="left"/>
      <w:lvlText w:val="(%1)"/>
      <w:numFmt w:val="decimal"/>
      <w:start w:val="1"/>
    </w:lvl>
  </w:abstractNum>
  <w:abstractNum w:abstractNumId="129">
    <w:nsid w:val="3FCFAED9"/>
    <w:multiLevelType w:val="hybridMultilevel"/>
    <w:lvl w:ilvl="0">
      <w:lvlJc w:val="left"/>
      <w:lvlText w:val="*"/>
      <w:numFmt w:val="bullet"/>
      <w:start w:val="1"/>
    </w:lvl>
  </w:abstractNum>
  <w:abstractNum w:abstractNumId="130">
    <w:nsid w:val="F856867"/>
    <w:multiLevelType w:val="hybridMultilevel"/>
    <w:lvl w:ilvl="0">
      <w:lvlJc w:val="left"/>
      <w:lvlText w:val="**"/>
      <w:numFmt w:val="bullet"/>
      <w:start w:val="1"/>
    </w:lvl>
  </w:abstractNum>
  <w:abstractNum w:abstractNumId="131">
    <w:nsid w:val="11B1CC33"/>
    <w:multiLevelType w:val="hybridMultilevel"/>
    <w:lvl w:ilvl="0">
      <w:lvlJc w:val="left"/>
      <w:lvlText w:val="%1."/>
      <w:numFmt w:val="decimal"/>
      <w:start w:val="6"/>
    </w:lvl>
  </w:abstractNum>
  <w:abstractNum w:abstractNumId="132">
    <w:nsid w:val="2E22FBB7"/>
    <w:multiLevelType w:val="hybridMultilevel"/>
    <w:lvl w:ilvl="0">
      <w:lvlJc w:val="left"/>
      <w:lvlText w:val="%1."/>
      <w:numFmt w:val="decimal"/>
      <w:start w:val="9"/>
    </w:lvl>
  </w:abstractNum>
  <w:abstractNum w:abstractNumId="133">
    <w:nsid w:val="29934699"/>
    <w:multiLevelType w:val="hybridMultilevel"/>
    <w:lvl w:ilvl="0">
      <w:lvlJc w:val="left"/>
      <w:lvlText w:val="%1."/>
      <w:numFmt w:val="decimal"/>
      <w:start w:val="12"/>
    </w:lvl>
  </w:abstractNum>
  <w:abstractNum w:abstractNumId="134">
    <w:nsid w:val="77485850"/>
    <w:multiLevelType w:val="hybridMultilevel"/>
    <w:lvl w:ilvl="0">
      <w:lvlJc w:val="left"/>
      <w:lvlText w:val="•"/>
      <w:numFmt w:val="bullet"/>
      <w:start w:val="1"/>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Letter"/>
      <w:start w:val="2"/>
    </w:lvl>
  </w:abstractNum>
  <w:abstractNum w:abstractNumId="137">
    <w:nsid w:val="6B1D2C14"/>
    <w:multiLevelType w:val="hybridMultilevel"/>
    <w:lvl w:ilvl="0">
      <w:lvlJc w:val="left"/>
      <w:lvlText w:val="(%1)"/>
      <w:numFmt w:val="decimal"/>
      <w:start w:val="1"/>
    </w:lvl>
  </w:abstractNum>
  <w:abstractNum w:abstractNumId="138">
    <w:nsid w:val="68B867D3"/>
    <w:multiLevelType w:val="hybridMultilevel"/>
    <w:lvl w:ilvl="0">
      <w:lvlJc w:val="left"/>
      <w:lvlText w:val="+"/>
      <w:numFmt w:val="bullet"/>
      <w:start w:val="1"/>
    </w:lvl>
  </w:abstractNum>
  <w:abstractNum w:abstractNumId="139">
    <w:nsid w:val="3F7F5DD9"/>
    <w:multiLevelType w:val="hybridMultilevel"/>
    <w:lvl w:ilvl="0">
      <w:lvlJc w:val="left"/>
      <w:lvlText w:val="^"/>
      <w:numFmt w:val="bullet"/>
      <w:start w:val="1"/>
    </w:lvl>
  </w:abstractNum>
  <w:abstractNum w:abstractNumId="140">
    <w:nsid w:val="2AE05A34"/>
    <w:multiLevelType w:val="hybridMultilevel"/>
    <w:lvl w:ilvl="0">
      <w:lvlJc w:val="left"/>
      <w:lvlText w:val="*"/>
      <w:numFmt w:val="bullet"/>
      <w:start w:val="1"/>
    </w:lvl>
  </w:abstractNum>
  <w:abstractNum w:abstractNumId="141">
    <w:nsid w:val="32794FF7"/>
    <w:multiLevelType w:val="hybridMultilevel"/>
    <w:lvl w:ilvl="0">
      <w:lvlJc w:val="left"/>
      <w:lvlText w:val="(%1)"/>
      <w:numFmt w:val="lowerLetter"/>
      <w:start w:val="1"/>
    </w:lvl>
  </w:abstractNum>
  <w:abstractNum w:abstractNumId="142">
    <w:nsid w:val="5454945E"/>
    <w:multiLevelType w:val="hybridMultilevel"/>
    <w:lvl w:ilvl="0">
      <w:lvlJc w:val="left"/>
      <w:lvlText w:val="(%1)"/>
      <w:numFmt w:val="lowerLetter"/>
      <w:start w:val="2"/>
    </w:lvl>
  </w:abstractNum>
  <w:abstractNum w:abstractNumId="143">
    <w:nsid w:val="4DEFDFA0"/>
    <w:multiLevelType w:val="hybridMultilevel"/>
    <w:lvl w:ilvl="0">
      <w:lvlJc w:val="left"/>
      <w:lvlText w:val="(%1)"/>
      <w:numFmt w:val="lowerLetter"/>
      <w:start w:val="4"/>
    </w:lvl>
  </w:abstractNum>
  <w:abstractNum w:abstractNumId="144">
    <w:nsid w:val="2123D5F2"/>
    <w:multiLevelType w:val="hybridMultilevel"/>
    <w:lvl w:ilvl="0">
      <w:lvlJc w:val="left"/>
      <w:lvlText w:val="(%1)"/>
      <w:numFmt w:val="lowerRoman"/>
      <w:start w:val="1"/>
    </w:lvl>
  </w:abstractNum>
  <w:abstractNum w:abstractNumId="145">
    <w:nsid w:val="135B8110"/>
    <w:multiLevelType w:val="hybridMultilevel"/>
    <w:lvl w:ilvl="0">
      <w:lvlJc w:val="left"/>
      <w:lvlText w:val="(%1)"/>
      <w:numFmt w:val="lowerLetter"/>
      <w:start w:val="7"/>
    </w:lvl>
  </w:abstractNum>
  <w:abstractNum w:abstractNumId="146">
    <w:nsid w:val="94927A8"/>
    <w:multiLevelType w:val="hybridMultilevel"/>
    <w:lvl w:ilvl="0">
      <w:lvlJc w:val="left"/>
      <w:lvlText w:val="(%1)"/>
      <w:numFmt w:val="lowerLetter"/>
      <w:start w:val="11"/>
    </w:lvl>
  </w:abstractNum>
  <w:abstractNum w:abstractNumId="147">
    <w:nsid w:val="DCDF8F6"/>
    <w:multiLevelType w:val="hybridMultilevel"/>
    <w:lvl w:ilvl="0">
      <w:lvlJc w:val="left"/>
      <w:lvlText w:val="(%1)"/>
      <w:numFmt w:val="lowerLetter"/>
      <w:start w:val="15"/>
    </w:lvl>
  </w:abstractNum>
  <w:abstractNum w:abstractNumId="148">
    <w:nsid w:val="52D7B105"/>
    <w:multiLevelType w:val="hybridMultilevel"/>
    <w:lvl w:ilvl="0">
      <w:lvlJc w:val="left"/>
      <w:lvlText w:val="(%1)"/>
      <w:numFmt w:val="lowerLetter"/>
      <w:start w:val="20"/>
    </w:lvl>
  </w:abstractNum>
  <w:abstractNum w:abstractNumId="149">
    <w:nsid w:val="2E8A6394"/>
    <w:multiLevelType w:val="hybridMultilevel"/>
    <w:lvl w:ilvl="0">
      <w:lvlJc w:val="left"/>
      <w:lvlText w:val="(%1)"/>
      <w:numFmt w:val="lowerLetter"/>
      <w:start w:val="35"/>
    </w:lvl>
  </w:abstractNum>
  <w:abstractNum w:abstractNumId="150">
    <w:nsid w:val="24E60401"/>
    <w:multiLevelType w:val="hybridMultilevel"/>
    <w:lvl w:ilvl="0">
      <w:lvlJc w:val="left"/>
      <w:lvlText w:val="(%1)"/>
      <w:numFmt w:val="lowerLetter"/>
      <w:start w:val="22"/>
    </w:lvl>
  </w:abstractNum>
  <w:abstractNum w:abstractNumId="151">
    <w:nsid w:val="2A6AD9BE"/>
    <w:multiLevelType w:val="hybridMultilevel"/>
    <w:lvl w:ilvl="0">
      <w:lvlJc w:val="left"/>
      <w:lvlText w:val="(%1)"/>
      <w:numFmt w:val="lowerLetter"/>
      <w:start w:val="26"/>
    </w:lvl>
  </w:abstractNum>
  <w:abstractNum w:abstractNumId="152">
    <w:nsid w:val="BAAC1B4"/>
    <w:multiLevelType w:val="hybridMultilevel"/>
    <w:lvl w:ilvl="0">
      <w:lvlJc w:val="left"/>
      <w:lvlText w:val="(%1)"/>
      <w:numFmt w:val="lowerRoman"/>
      <w:start w:val="2"/>
    </w:lvl>
  </w:abstractNum>
  <w:abstractNum w:abstractNumId="153">
    <w:nsid w:val="36B2ACBC"/>
    <w:multiLevelType w:val="hybridMultilevel"/>
    <w:lvl w:ilvl="0">
      <w:lvlJc w:val="left"/>
      <w:lvlText w:val="(%1)"/>
      <w:numFmt w:val="lowerRoman"/>
      <w:start w:val="2"/>
    </w:lvl>
  </w:abstractNum>
  <w:abstractNum w:abstractNumId="154">
    <w:nsid w:val="779D8544"/>
    <w:multiLevelType w:val="hybridMultilevel"/>
    <w:lvl w:ilvl="0">
      <w:lvlJc w:val="left"/>
      <w:lvlText w:val="(%1)"/>
      <w:numFmt w:val="lowerRoman"/>
      <w:start w:val="4"/>
    </w:lvl>
  </w:abstractNum>
  <w:abstractNum w:abstractNumId="155">
    <w:nsid w:val="4AB26E78"/>
    <w:multiLevelType w:val="hybridMultilevel"/>
    <w:lvl w:ilvl="0">
      <w:lvlJc w:val="left"/>
      <w:lvlText w:val="(%1)"/>
      <w:numFmt w:val="lowerLetter"/>
      <w:start w:val="27"/>
    </w:lvl>
  </w:abstractNum>
  <w:abstractNum w:abstractNumId="156">
    <w:nsid w:val="21FAA2FA"/>
    <w:multiLevelType w:val="hybridMultilevel"/>
    <w:lvl w:ilvl="0">
      <w:lvlJc w:val="left"/>
      <w:lvlText w:val="(%1)"/>
      <w:numFmt w:val="lowerLetter"/>
      <w:start w:val="35"/>
    </w:lvl>
  </w:abstractNum>
  <w:abstractNum w:abstractNumId="157">
    <w:nsid w:val="5451CF49"/>
    <w:multiLevelType w:val="hybridMultilevel"/>
    <w:lvl w:ilvl="0">
      <w:lvlJc w:val="left"/>
      <w:lvlText w:val="(%1)"/>
      <w:numFmt w:val="lowerLetter"/>
      <w:start w:val="28"/>
    </w:lvl>
  </w:abstractNum>
  <w:abstractNum w:abstractNumId="158">
    <w:nsid w:val="6181EF69"/>
    <w:multiLevelType w:val="hybridMultilevel"/>
    <w:lvl w:ilvl="0">
      <w:lvlJc w:val="left"/>
      <w:lvlText w:val="(%1)"/>
      <w:numFmt w:val="lowerLetter"/>
      <w:start w:val="31"/>
    </w:lvl>
  </w:abstractNum>
  <w:abstractNum w:abstractNumId="159">
    <w:nsid w:val="3E6400E6"/>
    <w:multiLevelType w:val="hybridMultilevel"/>
    <w:lvl w:ilvl="0">
      <w:lvlJc w:val="left"/>
      <w:lvlText w:val="(%1)"/>
      <w:numFmt w:val="lowerLetter"/>
      <w:start w:val="9"/>
    </w:lvl>
  </w:abstractNum>
  <w:abstractNum w:abstractNumId="160">
    <w:nsid w:val="14217E23"/>
    <w:multiLevelType w:val="hybridMultilevel"/>
    <w:lvl w:ilvl="0">
      <w:lvlJc w:val="left"/>
      <w:lvlText w:val="(%1)"/>
      <w:numFmt w:val="lowerLetter"/>
      <w:start w:val="32"/>
    </w:lvl>
  </w:abstractNum>
  <w:abstractNum w:abstractNumId="161">
    <w:nsid w:val="710757D0"/>
    <w:multiLevelType w:val="hybridMultilevel"/>
    <w:lvl w:ilvl="0">
      <w:lvlJc w:val="left"/>
      <w:lvlText w:val="(%1)"/>
      <w:numFmt w:val="lowerLetter"/>
      <w:start w:val="35"/>
    </w:lvl>
  </w:abstractNum>
  <w:abstractNum w:abstractNumId="162">
    <w:nsid w:val="5015CD1A"/>
    <w:multiLevelType w:val="hybridMultilevel"/>
    <w:lvl w:ilvl="0">
      <w:lvlJc w:val="left"/>
      <w:lvlText w:val="(%1)"/>
      <w:numFmt w:val="lowerLetter"/>
      <w:start w:val="37"/>
    </w:lvl>
  </w:abstractNum>
  <w:abstractNum w:abstractNumId="163">
    <w:nsid w:val="424479DA"/>
    <w:multiLevelType w:val="hybridMultilevel"/>
    <w:lvl w:ilvl="0">
      <w:lvlJc w:val="left"/>
      <w:lvlText w:val="(%1)"/>
      <w:numFmt w:val="lowerLetter"/>
      <w:start w:val="9"/>
    </w:lvl>
  </w:abstractNum>
  <w:abstractNum w:abstractNumId="164">
    <w:nsid w:val="1A9A9E69"/>
    <w:multiLevelType w:val="hybridMultilevel"/>
    <w:lvl w:ilvl="0">
      <w:lvlJc w:val="left"/>
      <w:lvlText w:val="%1."/>
      <w:numFmt w:val="decimal"/>
      <w:start w:val="2"/>
    </w:lvl>
  </w:abstractNum>
  <w:abstractNum w:abstractNumId="165">
    <w:nsid w:val="475E256A"/>
    <w:multiLevelType w:val="hybridMultilevel"/>
    <w:lvl w:ilvl="0">
      <w:lvlJc w:val="left"/>
      <w:lvlText w:val="%1."/>
      <w:numFmt w:val="decimal"/>
      <w:start w:val="3"/>
    </w:lvl>
  </w:abstractNum>
  <w:abstractNum w:abstractNumId="166">
    <w:nsid w:val="368DB37E"/>
    <w:multiLevelType w:val="hybridMultilevel"/>
    <w:lvl w:ilvl="0">
      <w:lvlJc w:val="left"/>
      <w:lvlText w:val="(%1)"/>
      <w:numFmt w:val="lowerLetter"/>
      <w:start w:val="2"/>
    </w:lvl>
  </w:abstractNum>
  <w:abstractNum w:abstractNumId="167">
    <w:nsid w:val="6A3B714C"/>
    <w:multiLevelType w:val="hybridMultilevel"/>
    <w:lvl w:ilvl="0">
      <w:lvlJc w:val="left"/>
      <w:lvlText w:val="(%1)"/>
      <w:numFmt w:val="lowerLetter"/>
      <w:start w:val="1"/>
    </w:lvl>
  </w:abstractNum>
  <w:abstractNum w:abstractNumId="168">
    <w:nsid w:val="327B517E"/>
    <w:multiLevelType w:val="hybridMultilevel"/>
    <w:lvl w:ilvl="0">
      <w:lvlJc w:val="left"/>
      <w:lvlText w:val="(%1)"/>
      <w:numFmt w:val="lowerLetter"/>
      <w:start w:val="2"/>
    </w:lvl>
  </w:abstractNum>
  <w:abstractNum w:abstractNumId="169">
    <w:nsid w:val="1F461B51"/>
    <w:multiLevelType w:val="hybridMultilevel"/>
    <w:lvl w:ilvl="0">
      <w:lvlJc w:val="left"/>
      <w:lvlText w:val="(%1)"/>
      <w:numFmt w:val="lowerLetter"/>
      <w:start w:val="4"/>
    </w:lvl>
  </w:abstractNum>
  <w:abstractNum w:abstractNumId="170">
    <w:nsid w:val="29BACF25"/>
    <w:multiLevelType w:val="hybridMultilevel"/>
    <w:lvl w:ilvl="0">
      <w:lvlJc w:val="left"/>
      <w:lvlText w:val="(%1)"/>
      <w:numFmt w:val="lowerLetter"/>
      <w:start w:val="6"/>
    </w:lvl>
  </w:abstractNum>
  <w:abstractNum w:abstractNumId="171">
    <w:nsid w:val="5D5BABB3"/>
    <w:multiLevelType w:val="hybridMultilevel"/>
    <w:lvl w:ilvl="0">
      <w:lvlJc w:val="left"/>
      <w:lvlText w:val="(%1)"/>
      <w:numFmt w:val="lowerLetter"/>
      <w:start w:val="3"/>
    </w:lvl>
  </w:abstractNum>
  <w:abstractNum w:abstractNumId="172">
    <w:nsid w:val="51BF6B48"/>
    <w:multiLevelType w:val="hybridMultilevel"/>
    <w:lvl w:ilvl="0">
      <w:lvlJc w:val="left"/>
      <w:lvlText w:val="(%1)"/>
      <w:numFmt w:val="lowerLetter"/>
      <w:start w:val="12"/>
    </w:lvl>
  </w:abstractNum>
  <w:abstractNum w:abstractNumId="173">
    <w:nsid w:val="7E0F6384"/>
    <w:multiLevelType w:val="hybridMultilevel"/>
    <w:lvl w:ilvl="0">
      <w:lvlJc w:val="left"/>
      <w:lvlText w:val="%1."/>
      <w:numFmt w:val="decimal"/>
      <w:start w:val="6"/>
    </w:lvl>
  </w:abstractNum>
  <w:abstractNum w:abstractNumId="174">
    <w:nsid w:val="2B4B8B53"/>
    <w:multiLevelType w:val="hybridMultilevel"/>
    <w:lvl w:ilvl="0">
      <w:lvlJc w:val="left"/>
      <w:lvlText w:val="(%1)"/>
      <w:numFmt w:val="lowerLetter"/>
      <w:start w:val="2"/>
    </w:lvl>
  </w:abstractNum>
  <w:abstractNum w:abstractNumId="175">
    <w:nsid w:val="72E3413A"/>
    <w:multiLevelType w:val="hybridMultilevel"/>
    <w:lvl w:ilvl="0">
      <w:lvlJc w:val="left"/>
      <w:lvlText w:val="(%1)"/>
      <w:numFmt w:val="lowerLetter"/>
      <w:start w:val="5"/>
    </w:lvl>
  </w:abstractNum>
  <w:abstractNum w:abstractNumId="176">
    <w:nsid w:val="116AE494"/>
    <w:multiLevelType w:val="hybridMultilevel"/>
    <w:lvl w:ilvl="0">
      <w:lvlJc w:val="left"/>
      <w:lvlText w:val="%1."/>
      <w:numFmt w:val="decimal"/>
      <w:start w:val="7"/>
    </w:lvl>
  </w:abstractNum>
  <w:abstractNum w:abstractNumId="177">
    <w:nsid w:val="3494B2FB"/>
    <w:multiLevelType w:val="hybridMultilevel"/>
    <w:lvl w:ilvl="0">
      <w:lvlJc w:val="left"/>
      <w:lvlText w:val="(%1)"/>
      <w:numFmt w:val="lowerLetter"/>
      <w:start w:val="1"/>
    </w:lvl>
  </w:abstractNum>
  <w:abstractNum w:abstractNumId="178">
    <w:nsid w:val="B13A31"/>
    <w:multiLevelType w:val="hybridMultilevel"/>
    <w:lvl w:ilvl="0">
      <w:lvlJc w:val="left"/>
      <w:lvlText w:val="(%1)"/>
      <w:numFmt w:val="lowerLetter"/>
      <w:start w:val="7"/>
    </w:lvl>
  </w:abstractNum>
  <w:abstractNum w:abstractNumId="179">
    <w:nsid w:val="64429599"/>
    <w:multiLevelType w:val="hybridMultilevel"/>
    <w:lvl w:ilvl="0">
      <w:lvlJc w:val="left"/>
      <w:lvlText w:val="(%1)"/>
      <w:numFmt w:val="lowerLetter"/>
      <w:start w:val="11"/>
    </w:lvl>
  </w:abstractNum>
  <w:abstractNum w:abstractNumId="180">
    <w:nsid w:val="631F1690"/>
    <w:multiLevelType w:val="hybridMultilevel"/>
    <w:lvl w:ilvl="0">
      <w:lvlJc w:val="left"/>
      <w:lvlText w:val="%1."/>
      <w:numFmt w:val="decimal"/>
      <w:start w:val="9"/>
    </w:lvl>
  </w:abstractNum>
  <w:abstractNum w:abstractNumId="181">
    <w:nsid w:val="25973E32"/>
    <w:multiLevelType w:val="hybridMultilevel"/>
    <w:lvl w:ilvl="0">
      <w:lvlJc w:val="left"/>
      <w:lvlText w:val="(%1)"/>
      <w:numFmt w:val="lowerLetter"/>
      <w:start w:val="2"/>
    </w:lvl>
  </w:abstractNum>
  <w:abstractNum w:abstractNumId="182">
    <w:nsid w:val="EAD6F57"/>
    <w:multiLevelType w:val="hybridMultilevel"/>
    <w:lvl w:ilvl="0">
      <w:lvlJc w:val="left"/>
      <w:lvlText w:val="(%1)"/>
      <w:numFmt w:val="lowerLetter"/>
      <w:start w:val="3"/>
    </w:lvl>
  </w:abstractNum>
  <w:abstractNum w:abstractNumId="183">
    <w:nsid w:val="6EC9D844"/>
    <w:multiLevelType w:val="hybridMultilevel"/>
    <w:lvl w:ilvl="0">
      <w:lvlJc w:val="left"/>
      <w:lvlText w:val="(%1)"/>
      <w:numFmt w:val="lowerLetter"/>
      <w:start w:val="5"/>
    </w:lvl>
  </w:abstractNum>
  <w:abstractNum w:abstractNumId="184">
    <w:nsid w:val="5C49EAEE"/>
    <w:multiLevelType w:val="hybridMultilevel"/>
    <w:lvl w:ilvl="0">
      <w:lvlJc w:val="left"/>
      <w:lvlText w:val="%1."/>
      <w:numFmt w:val="decimal"/>
      <w:start w:val="10"/>
    </w:lvl>
  </w:abstractNum>
  <w:abstractNum w:abstractNumId="185">
    <w:nsid w:val="64AF49B"/>
    <w:multiLevelType w:val="hybridMultilevel"/>
    <w:lvl w:ilvl="0">
      <w:lvlJc w:val="left"/>
      <w:lvlText w:val="(%1)"/>
      <w:numFmt w:val="lowerLetter"/>
      <w:start w:val="2"/>
    </w:lvl>
  </w:abstractNum>
  <w:abstractNum w:abstractNumId="186">
    <w:nsid w:val="397C46BC"/>
    <w:multiLevelType w:val="hybridMultilevel"/>
    <w:lvl w:ilvl="0">
      <w:lvlJc w:val="left"/>
      <w:lvlText w:val="%1."/>
      <w:numFmt w:val="decimal"/>
      <w:start w:val="11"/>
    </w:lvl>
  </w:abstractNum>
  <w:abstractNum w:abstractNumId="187">
    <w:nsid w:val="7E448DE9"/>
    <w:multiLevelType w:val="hybridMultilevel"/>
    <w:lvl w:ilvl="0">
      <w:lvlJc w:val="left"/>
      <w:lvlText w:val="%1."/>
      <w:numFmt w:val="decimal"/>
      <w:start w:val="12"/>
    </w:lvl>
  </w:abstractNum>
  <w:abstractNum w:abstractNumId="188">
    <w:nsid w:val="5A9CC3E5"/>
    <w:multiLevelType w:val="hybridMultilevel"/>
    <w:lvl w:ilvl="0">
      <w:lvlJc w:val="left"/>
      <w:lvlText w:val="%1."/>
      <w:numFmt w:val="decimal"/>
      <w:start w:val="14"/>
    </w:lvl>
  </w:abstractNum>
  <w:abstractNum w:abstractNumId="189">
    <w:nsid w:val="1AFE3625"/>
    <w:multiLevelType w:val="hybridMultilevel"/>
    <w:lvl w:ilvl="0">
      <w:lvlJc w:val="left"/>
      <w:lvlText w:val="%1."/>
      <w:numFmt w:val="decimal"/>
      <w:start w:val="15"/>
    </w:lvl>
  </w:abstractNum>
  <w:abstractNum w:abstractNumId="190">
    <w:nsid w:val="3CA88ECF"/>
    <w:multiLevelType w:val="hybridMultilevel"/>
    <w:lvl w:ilvl="0">
      <w:lvlJc w:val="left"/>
      <w:lvlText w:val="%1."/>
      <w:numFmt w:val="decimal"/>
      <w:start w:val="21"/>
    </w:lvl>
  </w:abstractNum>
  <w:abstractNum w:abstractNumId="191">
    <w:nsid w:val="6EBE4208"/>
    <w:multiLevelType w:val="hybridMultilevel"/>
    <w:lvl w:ilvl="0">
      <w:lvlJc w:val="left"/>
      <w:lvlText w:val="(%1)"/>
      <w:numFmt w:val="lowerLetter"/>
      <w:start w:val="1"/>
    </w:lvl>
  </w:abstractNum>
  <w:abstractNum w:abstractNumId="192">
    <w:nsid w:val="C058DF5"/>
    <w:multiLevelType w:val="hybridMultilevel"/>
    <w:lvl w:ilvl="0">
      <w:lvlJc w:val="left"/>
      <w:lvlText w:val="(%1)"/>
      <w:numFmt w:val="lowerRoman"/>
      <w:start w:val="1"/>
    </w:lvl>
  </w:abstractNum>
  <w:abstractNum w:abstractNumId="193">
    <w:nsid w:val="CBE5BE9"/>
    <w:multiLevelType w:val="hybridMultilevel"/>
    <w:lvl w:ilvl="0">
      <w:lvlJc w:val="left"/>
      <w:lvlText w:val="(%1)"/>
      <w:numFmt w:val="lowerLetter"/>
      <w:start w:val="1"/>
    </w:lvl>
  </w:abstractNum>
  <w:abstractNum w:abstractNumId="194">
    <w:nsid w:val="3102BBE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jpeg"/><Relationship Id="rId355" Type="http://schemas.openxmlformats.org/officeDocument/2006/relationships/hyperlink" Target="http://www.sec.gov/Archives/edgar/data/1647639/000119312520309971/d867925dex31.htm" TargetMode="External"/><Relationship Id="rId356" Type="http://schemas.openxmlformats.org/officeDocument/2006/relationships/hyperlink" Target="http://www.sec.gov/Archives/edgar/data/1647639/000119312520309971/d867925dex32.htm" TargetMode="External"/><Relationship Id="rId357" Type="http://schemas.openxmlformats.org/officeDocument/2006/relationships/hyperlink" Target="http://www.sec.gov/Archives/edgar/data/1647639/000119312520309971/d867925dex41.htm" TargetMode="External"/><Relationship Id="rId358" Type="http://schemas.openxmlformats.org/officeDocument/2006/relationships/hyperlink" Target="http://www.sec.gov/Archives/edgar/data/0001647639/000119312520288095/d867925dex42.htm" TargetMode="External"/><Relationship Id="rId359" Type="http://schemas.openxmlformats.org/officeDocument/2006/relationships/hyperlink" Target="http://www.sec.gov/Archives/edgar/data/0001647639/000119312520309971/d867925dex44.htm" TargetMode="External"/><Relationship Id="rId360" Type="http://schemas.openxmlformats.org/officeDocument/2006/relationships/hyperlink" Target="http://www.sec.gov/Archives/edgar/data/1647639/000119312520309971/d867925dex101.htm" TargetMode="External"/><Relationship Id="rId361" Type="http://schemas.openxmlformats.org/officeDocument/2006/relationships/hyperlink" Target="http://www.sec.gov/Archives/edgar/data/0001647639/000119312520309971/d867925dex102.htm" TargetMode="External"/><Relationship Id="rId362" Type="http://schemas.openxmlformats.org/officeDocument/2006/relationships/hyperlink" Target="http://www.sec.gov/Archives/edgar/data/0001647639/000119312520288095/d867925dex103.htm" TargetMode="External"/><Relationship Id="rId363" Type="http://schemas.openxmlformats.org/officeDocument/2006/relationships/hyperlink" Target="http://www.sec.gov/Archives/edgar/data/0001647639/000119312520309971/d867925dex104.htm" TargetMode="External"/><Relationship Id="rId364" Type="http://schemas.openxmlformats.org/officeDocument/2006/relationships/hyperlink" Target="http://www.sec.gov/Archives/edgar/data/0001647639/000119312520309971/d867925dex105.htm" TargetMode="External"/><Relationship Id="rId365" Type="http://schemas.openxmlformats.org/officeDocument/2006/relationships/hyperlink" Target="http://www.sec.gov/Archives/edgar/data/1647639/000119312520309971/d867925dex106.htm" TargetMode="External"/><Relationship Id="rId366" Type="http://schemas.openxmlformats.org/officeDocument/2006/relationships/hyperlink" Target="http://www.sec.gov/Archives/edgar/data/0001647639/000119312520309971/d867925dex107.htm" TargetMode="External"/><Relationship Id="rId367" Type="http://schemas.openxmlformats.org/officeDocument/2006/relationships/hyperlink" Target="http://www.sec.gov/Archives/edgar/data/0001647639/000119312520288095/d867925dex108.htm" TargetMode="External"/><Relationship Id="rId371" Type="http://schemas.openxmlformats.org/officeDocument/2006/relationships/hyperlink" Target="http://www.sec.gov/Archives/edgar/data/0001647639/000119312520309971/d867925dex109.htm" TargetMode="External"/><Relationship Id="rId372" Type="http://schemas.openxmlformats.org/officeDocument/2006/relationships/hyperlink" Target="http://www.sec.gov/Archives/edgar/data/0001647639/000119312520288095/d867925dex1010.htm" TargetMode="External"/><Relationship Id="rId373" Type="http://schemas.openxmlformats.org/officeDocument/2006/relationships/hyperlink" Target="http://www.sec.gov/Archives/edgar/data/0001647639/000119312520288095/d867925dex1011.htm" TargetMode="External"/><Relationship Id="rId374" Type="http://schemas.openxmlformats.org/officeDocument/2006/relationships/hyperlink" Target="http://www.sec.gov/Archives/edgar/data/0001647639/000119312520309971/d867925dex1013.htm" TargetMode="External"/><Relationship Id="rId375" Type="http://schemas.openxmlformats.org/officeDocument/2006/relationships/hyperlink" Target="http://www.sec.gov/Archives/edgar/data/0001647639/000119312520309971/d867925dex1014.htm" TargetMode="External"/><Relationship Id="rId376" Type="http://schemas.openxmlformats.org/officeDocument/2006/relationships/hyperlink" Target="http://www.sec.gov/Archives/edgar/data/0001647639/000119312520288095/d867925dex1015.htm" TargetMode="External"/><Relationship Id="rId377" Type="http://schemas.openxmlformats.org/officeDocument/2006/relationships/hyperlink" Target="http://www.sec.gov/Archives/edgar/data/1647639/000119312520311387/d867925dex1016.htm" TargetMode="External"/><Relationship Id="rId378" Type="http://schemas.openxmlformats.org/officeDocument/2006/relationships/hyperlink" Target="http://www.sec.gov/Archives/edgar/data/1647639/000119312520311387/d867925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2021-04-06T16:28:02Z</dcterms:created>
  <dcterms:modified xsi:type="dcterms:W3CDTF">2021-04-06T16:28:02Z</dcterms:modified>
</cp:coreProperties>
</file>