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FORM 10-Q</w:t>
      </w:r>
    </w:p>
    <w:tbl>
      <w:tblPr>
        <w:tblW w:w="9914" w:type="dxa"/>
        <w:jc w:val="center"/>
        <w:tblInd w:w="0" w:type="dxa"/>
        <w:tblLayout w:type="fixed"/>
        <w:tblCellMar>
          <w:top w:w="28" w:type="dxa"/>
          <w:left w:w="28" w:type="dxa"/>
          <w:bottom w:w="28" w:type="dxa"/>
          <w:right w:w="28" w:type="dxa"/>
        </w:tblCellMar>
      </w:tblPr>
      <w:tblGrid>
        <w:gridCol w:w="353"/>
        <w:gridCol w:w="309"/>
        <w:gridCol w:w="312"/>
        <w:gridCol w:w="2619"/>
        <w:gridCol w:w="2619"/>
        <w:gridCol w:w="3702"/>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(Mark One)</w:t>
            </w:r>
          </w:p>
        </w:tc>
        <w:tc>
          <w:tcPr>
            <w:tcW w:w="8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QUARTERLY REPORT PURSUANT TO SECTION 13 OR 15(d) OF THE SECURITIES EXCHANGE ACT OF 1934</w:t>
            </w:r>
          </w:p>
        </w:tc>
      </w:tr>
      <w:tr>
        <w:trPr/>
        <w:tc>
          <w:tcPr>
            <w:tcW w:w="991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For the quarterly period ended June 30, 2026</w:t>
            </w:r>
          </w:p>
        </w:tc>
      </w:tr>
      <w:tr>
        <w:trPr/>
        <w:tc>
          <w:tcPr>
            <w:tcW w:w="991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OR</w:t>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TRANSITION REPORT PURSUANT TO SECTION 13 OR 15(d) OF THE SECURITIES EXCHANGE ACT OF 1934</w:t>
            </w:r>
          </w:p>
        </w:tc>
      </w:tr>
    </w:tbl>
    <w:p>
      <w:pPr>
        <w:pStyle w:val="TextBody"/>
        <w:bidi w:val="0"/>
        <w:spacing w:lineRule="auto" w:line="276" w:before="0" w:after="0"/>
        <w:jc w:val="center"/>
        <w:rPr/>
      </w:pPr>
      <w:r>
        <w:rPr>
          <w:rFonts w:ascii="Times New Roman;serif" w:hAnsi="Times New Roman;serif"/>
          <w:b/>
          <w:color w:val="000000"/>
          <w:sz w:val="18"/>
        </w:rPr>
        <w:t>For the transition period from</w:t>
      </w:r>
      <w:r>
        <w:rPr>
          <w:rFonts w:ascii="Times New Roman;serif" w:hAnsi="Times New Roman;serif"/>
          <w:b/>
          <w:color w:val="000000"/>
          <w:sz w:val="18"/>
          <w:u w:val="single"/>
        </w:rPr>
        <w:t>_________</w:t>
      </w:r>
      <w:r>
        <w:rPr>
          <w:rFonts w:ascii="Times New Roman;serif" w:hAnsi="Times New Roman;serif"/>
          <w:b/>
          <w:color w:val="000000"/>
          <w:sz w:val="18"/>
        </w:rPr>
        <w:t>to</w:t>
      </w:r>
      <w:r>
        <w:rPr>
          <w:color w:val="000000"/>
          <w:u w:val="single"/>
        </w:rPr>
        <w:t xml:space="preserve"> </w:t>
      </w:r>
      <w:r>
        <w:rPr>
          <w:rFonts w:ascii="Times New Roman;serif" w:hAnsi="Times New Roman;serif"/>
          <w:b/>
          <w:color w:val="000000"/>
          <w:sz w:val="18"/>
          <w:u w:val="single"/>
        </w:rPr>
        <w:t>________</w:t>
      </w:r>
    </w:p>
    <w:p>
      <w:pPr>
        <w:pStyle w:val="TextBody"/>
        <w:bidi w:val="0"/>
        <w:spacing w:lineRule="auto" w:line="417" w:before="0" w:after="120"/>
        <w:jc w:val="center"/>
        <w:rPr>
          <w:rFonts w:ascii="Times New Roman;serif" w:hAnsi="Times New Roman;serif"/>
          <w:b/>
          <w:color w:val="000000"/>
          <w:sz w:val="18"/>
        </w:rPr>
      </w:pPr>
      <w:r>
        <w:rPr>
          <w:rFonts w:ascii="Times New Roman;serif" w:hAnsi="Times New Roman;serif"/>
          <w:b/>
          <w:color w:val="000000"/>
          <w:sz w:val="18"/>
        </w:rPr>
        <w:t>Commission File Number: 001-39797</w:t>
      </w:r>
    </w:p>
    <w:p>
      <w:pPr>
        <w:pStyle w:val="TextBody"/>
        <w:bidi w:val="0"/>
        <w:spacing w:lineRule="auto" w:line="417" w:before="0" w:after="0"/>
        <w:jc w:val="center"/>
        <w:rPr/>
      </w:pPr>
      <w:r>
        <w:rPr/>
        <w:drawing>
          <wp:inline distT="0" distB="0" distL="0" distR="0">
            <wp:extent cx="200025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361950"/>
                    </a:xfrm>
                    <a:prstGeom prst="rect">
                      <a:avLst/>
                    </a:prstGeom>
                  </pic:spPr>
                </pic:pic>
              </a:graphicData>
            </a:graphic>
          </wp:inline>
        </w:drawing>
      </w:r>
      <w:bookmarkStart w:id="0" w:name="i-1"/>
      <w:bookmarkEnd w:id="0"/>
      <w:r>
        <w:rPr>
          <w:color w:val="000000"/>
        </w:rPr>
        <w:t xml:space="preserve"> </w:t>
      </w:r>
    </w:p>
    <w:p>
      <w:pPr>
        <w:pStyle w:val="TextBody"/>
        <w:bidi w:val="0"/>
        <w:spacing w:lineRule="auto" w:line="288" w:before="40" w:after="283"/>
        <w:jc w:val="center"/>
        <w:rPr>
          <w:rFonts w:ascii="Times New Roman;serif" w:hAnsi="Times New Roman;serif"/>
          <w:b/>
          <w:color w:val="000000"/>
          <w:sz w:val="34"/>
        </w:rPr>
      </w:pPr>
      <w:r>
        <w:rPr>
          <w:rFonts w:ascii="Times New Roman;serif" w:hAnsi="Times New Roman;serif"/>
          <w:b/>
          <w:color w:val="000000"/>
          <w:sz w:val="34"/>
        </w:rPr>
        <w:t>Upstart Holdings, Inc.</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w:t>
      </w:r>
    </w:p>
    <w:p>
      <w:pPr>
        <w:pStyle w:val="TextBody"/>
        <w:bidi w:val="0"/>
        <w:spacing w:before="0" w:after="0"/>
        <w:jc w:val="center"/>
        <w:rPr/>
      </w:pPr>
      <w:r>
        <w:rPr/>
      </w:r>
    </w:p>
    <w:tbl>
      <w:tblPr>
        <w:tblW w:w="4016" w:type="dxa"/>
        <w:jc w:val="center"/>
        <w:tblInd w:w="0" w:type="dxa"/>
        <w:tblLayout w:type="fixed"/>
        <w:tblCellMar>
          <w:top w:w="28" w:type="dxa"/>
          <w:left w:w="28" w:type="dxa"/>
          <w:bottom w:w="28" w:type="dxa"/>
          <w:right w:w="28" w:type="dxa"/>
        </w:tblCellMar>
      </w:tblPr>
      <w:tblGrid>
        <w:gridCol w:w="809"/>
        <w:gridCol w:w="711"/>
        <w:gridCol w:w="715"/>
        <w:gridCol w:w="109"/>
        <w:gridCol w:w="109"/>
        <w:gridCol w:w="109"/>
        <w:gridCol w:w="425"/>
        <w:gridCol w:w="425"/>
        <w:gridCol w:w="60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46-4332431</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tbl>
      <w:tblPr>
        <w:tblW w:w="4278" w:type="dxa"/>
        <w:jc w:val="center"/>
        <w:tblInd w:w="0" w:type="dxa"/>
        <w:tblLayout w:type="fixed"/>
        <w:tblCellMar>
          <w:top w:w="28" w:type="dxa"/>
          <w:left w:w="28" w:type="dxa"/>
          <w:bottom w:w="28" w:type="dxa"/>
          <w:right w:w="28" w:type="dxa"/>
        </w:tblCellMar>
      </w:tblPr>
      <w:tblGrid>
        <w:gridCol w:w="314"/>
        <w:gridCol w:w="275"/>
        <w:gridCol w:w="275"/>
        <w:gridCol w:w="275"/>
        <w:gridCol w:w="275"/>
        <w:gridCol w:w="275"/>
        <w:gridCol w:w="275"/>
        <w:gridCol w:w="275"/>
        <w:gridCol w:w="275"/>
        <w:gridCol w:w="275"/>
        <w:gridCol w:w="275"/>
        <w:gridCol w:w="275"/>
        <w:gridCol w:w="275"/>
        <w:gridCol w:w="275"/>
        <w:gridCol w:w="389"/>
      </w:tblGrid>
      <w:tr>
        <w:trPr/>
        <w:tc>
          <w:tcPr>
            <w:tcW w:w="31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42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Upstart Holdings, Inc.</w:t>
            </w:r>
          </w:p>
        </w:tc>
      </w:tr>
      <w:tr>
        <w:trPr/>
        <w:tc>
          <w:tcPr>
            <w:tcW w:w="427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220 Park Road, Suite 500</w:t>
            </w:r>
          </w:p>
        </w:tc>
      </w:tr>
      <w:tr>
        <w:trPr/>
        <w:tc>
          <w:tcPr>
            <w:tcW w:w="427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Burlingame, CA 94010</w:t>
            </w:r>
          </w:p>
        </w:tc>
      </w:tr>
      <w:tr>
        <w:trPr/>
        <w:tc>
          <w:tcPr>
            <w:tcW w:w="42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tc>
      </w:tr>
      <w:tr>
        <w:trPr/>
        <w:tc>
          <w:tcPr>
            <w:tcW w:w="427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(833) 212-2461</w:t>
            </w:r>
          </w:p>
        </w:tc>
      </w:tr>
      <w:tr>
        <w:trPr/>
        <w:tc>
          <w:tcPr>
            <w:tcW w:w="42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r>
    </w:tbl>
    <w:p>
      <w:pPr>
        <w:pStyle w:val="TextBody"/>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7754" w:type="dxa"/>
        <w:jc w:val="center"/>
        <w:tblInd w:w="0" w:type="dxa"/>
        <w:tblLayout w:type="fixed"/>
        <w:tblCellMar>
          <w:top w:w="28" w:type="dxa"/>
          <w:left w:w="28" w:type="dxa"/>
          <w:bottom w:w="28" w:type="dxa"/>
          <w:right w:w="28" w:type="dxa"/>
        </w:tblCellMar>
      </w:tblPr>
      <w:tblGrid>
        <w:gridCol w:w="1174"/>
        <w:gridCol w:w="1025"/>
        <w:gridCol w:w="1041"/>
        <w:gridCol w:w="414"/>
        <w:gridCol w:w="414"/>
        <w:gridCol w:w="416"/>
        <w:gridCol w:w="958"/>
        <w:gridCol w:w="958"/>
        <w:gridCol w:w="1354"/>
      </w:tblGrid>
      <w:tr>
        <w:trPr/>
        <w:tc>
          <w:tcPr>
            <w:tcW w:w="11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Title of each class: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Trading Symbol</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Name of each exchange on which registered:</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UPST</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Nasdaq Global Select Market </w:t>
            </w:r>
          </w:p>
        </w:tc>
      </w:tr>
    </w:tbl>
    <w:p>
      <w:pPr>
        <w:pStyle w:val="TextBody"/>
        <w:bidi w:val="0"/>
        <w:spacing w:lineRule="auto" w:line="288" w:before="120" w:after="283"/>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No ☐</w:t>
      </w:r>
    </w:p>
    <w:p>
      <w:pPr>
        <w:pStyle w:val="TextBody"/>
        <w:bidi w:val="0"/>
        <w:spacing w:lineRule="auto" w:line="288" w:before="120" w:after="283"/>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No ☐</w:t>
      </w:r>
    </w:p>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419"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84"/>
        <w:gridCol w:w="684"/>
        <w:gridCol w:w="68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pPr>
      <w:r>
        <w:rPr>
          <w:rFonts w:ascii="Times New Roman;serif" w:hAnsi="Times New Roman;serif"/>
          <w:b w:val="false"/>
          <w:color w:val="000000"/>
          <w:sz w:val="16"/>
          <w:shd w:fill="FFFFFF" w:val="clear"/>
        </w:rPr>
        <w:t xml:space="preserve">Indicate by check mark whether the registrant is a shell company (as defined in Rule 12b-2 of the </w:t>
      </w:r>
      <w:r>
        <w:rPr>
          <w:rFonts w:ascii="Times New Roman;serif" w:hAnsi="Times New Roman;serif"/>
          <w:b w:val="false"/>
          <w:color w:val="000000"/>
          <w:sz w:val="16"/>
        </w:rPr>
        <w:t>Exchange Act</w:t>
      </w:r>
      <w:r>
        <w:rPr>
          <w:rFonts w:ascii="Times New Roman;serif" w:hAnsi="Times New Roman;serif"/>
          <w:b w:val="false"/>
          <w:color w:val="000000"/>
          <w:sz w:val="16"/>
          <w:shd w:fill="FFFFFF" w:val="clear"/>
        </w:rPr>
        <w:t>). Yes ☐ No ☒</w:t>
      </w:r>
    </w:p>
    <w:p>
      <w:pPr>
        <w:pStyle w:val="TextBody"/>
        <w:bidi w:val="0"/>
        <w:spacing w:lineRule="auto" w:line="288" w:before="120" w:after="283"/>
        <w:jc w:val="left"/>
        <w:rPr>
          <w:rFonts w:ascii="Times New Roman;serif" w:hAnsi="Times New Roman;serif"/>
          <w:b w:val="false"/>
          <w:color w:val="000000"/>
          <w:sz w:val="16"/>
        </w:rPr>
      </w:pPr>
      <w:r>
        <w:rPr>
          <w:rFonts w:ascii="Times New Roman;serif" w:hAnsi="Times New Roman;serif"/>
          <w:b w:val="false"/>
          <w:color w:val="000000"/>
          <w:sz w:val="16"/>
        </w:rPr>
        <w:t>As of July 28, 2026 there were 97,313,046 shares of the registrant’s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823"/>
        <w:gridCol w:w="724"/>
        <w:gridCol w:w="724"/>
        <w:gridCol w:w="2448"/>
        <w:gridCol w:w="2447"/>
        <w:gridCol w:w="2464"/>
        <w:gridCol w:w="167"/>
        <w:gridCol w:w="167"/>
        <w:gridCol w:w="241"/>
      </w:tblGrid>
      <w:tr>
        <w:trPr/>
        <w:tc>
          <w:tcPr>
            <w:tcW w:w="82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9630" w:type="dxa"/>
            <w:gridSpan w:val="6"/>
            <w:tcBorders/>
            <w:tcMar>
              <w:top w:w="0" w:type="dxa"/>
              <w:left w:w="0" w:type="dxa"/>
              <w:bottom w:w="0" w:type="dxa"/>
              <w:right w:w="0" w:type="dxa"/>
            </w:tcMar>
            <w:vAlign w:val="center"/>
          </w:tcPr>
          <w:p>
            <w:pPr>
              <w:pStyle w:val="TableContents"/>
              <w:bidi w:val="0"/>
              <w:spacing w:lineRule="auto" w:line="276" w:before="0" w:after="100"/>
              <w:jc w:val="left"/>
              <w:rPr/>
            </w:pPr>
            <w:hyperlink w:anchor="i4e4556f17bf94cb38bcb851dbc6bbb82_1278">
              <w:r>
                <w:rPr>
                  <w:rStyle w:val="InternetLink"/>
                  <w:rFonts w:ascii="Times New Roman;serif" w:hAnsi="Times New Roman;serif"/>
                  <w:b w:val="false"/>
                  <w:color w:val="0000FF"/>
                  <w:sz w:val="20"/>
                  <w:u w:val="single"/>
                </w:rPr>
                <w:t>Glossary of Terms and Acronyms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1278">
              <w:r>
                <w:rPr>
                  <w:rStyle w:val="InternetLink"/>
                  <w:rFonts w:ascii="Times New Roman;serif" w:hAnsi="Times New Roman;serif"/>
                  <w:b w:val="false"/>
                  <w:strike w:val="false"/>
                  <w:dstrike w:val="false"/>
                  <w:color w:val="000000"/>
                  <w:sz w:val="20"/>
                  <w:u w:val="none"/>
                  <w:effect w:val="none"/>
                </w:rPr>
                <w:t>4</w:t>
              </w:r>
            </w:hyperlink>
          </w:p>
        </w:tc>
      </w:tr>
      <w:tr>
        <w:trPr/>
        <w:tc>
          <w:tcPr>
            <w:tcW w:w="9630" w:type="dxa"/>
            <w:gridSpan w:val="6"/>
            <w:tcBorders/>
            <w:tcMar>
              <w:top w:w="0" w:type="dxa"/>
              <w:left w:w="0" w:type="dxa"/>
              <w:bottom w:w="0" w:type="dxa"/>
              <w:right w:w="0" w:type="dxa"/>
            </w:tcMar>
            <w:vAlign w:val="center"/>
          </w:tcPr>
          <w:p>
            <w:pPr>
              <w:pStyle w:val="TableContents"/>
              <w:bidi w:val="0"/>
              <w:spacing w:lineRule="auto" w:line="276" w:before="0" w:after="0"/>
              <w:jc w:val="left"/>
              <w:rPr/>
            </w:pPr>
            <w:hyperlink w:anchor="i4e4556f17bf94cb38bcb851dbc6bbb82_10">
              <w:r>
                <w:rPr>
                  <w:rStyle w:val="InternetLink"/>
                  <w:rFonts w:ascii="Times New Roman;serif" w:hAnsi="Times New Roman;serif"/>
                  <w:b w:val="false"/>
                  <w:color w:val="0000FF"/>
                  <w:sz w:val="20"/>
                  <w:u w:val="single"/>
                </w:rPr>
                <w:t>Special Note Regarding Forward-Looking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10">
              <w:r>
                <w:rPr>
                  <w:rStyle w:val="InternetLink"/>
                  <w:rFonts w:ascii="Times New Roman;serif" w:hAnsi="Times New Roman;serif"/>
                  <w:b w:val="false"/>
                  <w:strike w:val="false"/>
                  <w:dstrike w:val="false"/>
                  <w:color w:val="000000"/>
                  <w:sz w:val="20"/>
                  <w:u w:val="none"/>
                  <w:effect w:val="none"/>
                </w:rPr>
                <w:t>5</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13">
              <w:r>
                <w:rPr>
                  <w:rStyle w:val="InternetLink"/>
                  <w:rFonts w:ascii="Times New Roman;serif" w:hAnsi="Times New Roman;serif"/>
                  <w:b/>
                  <w:color w:val="0000FF"/>
                  <w:sz w:val="20"/>
                  <w:u w:val="single"/>
                </w:rPr>
                <w:t>PART I. FINANCIAL INFORMATION</w:t>
              </w:r>
            </w:hyperlink>
          </w:p>
        </w:tc>
        <w:tc>
          <w:tcPr>
            <w:tcW w:w="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262">
              <w:r>
                <w:rPr>
                  <w:rStyle w:val="InternetLink"/>
                  <w:rFonts w:ascii="Times New Roman;serif" w:hAnsi="Times New Roman;serif"/>
                  <w:b w:val="false"/>
                  <w:strike w:val="false"/>
                  <w:dstrike w:val="false"/>
                  <w:color w:val="000000"/>
                  <w:sz w:val="20"/>
                  <w:u w:val="none"/>
                  <w:effect w:val="none"/>
                </w:rPr>
                <w:t xml:space="preserve">Item 1. </w:t>
              </w:r>
            </w:hyperlink>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19">
              <w:r>
                <w:rPr>
                  <w:rStyle w:val="InternetLink"/>
                  <w:rFonts w:ascii="Times New Roman;serif" w:hAnsi="Times New Roman;serif"/>
                  <w:b w:val="false"/>
                  <w:color w:val="0000FF"/>
                  <w:sz w:val="20"/>
                  <w:u w:val="single"/>
                </w:rPr>
                <w:t>Financial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19">
              <w:r>
                <w:rPr>
                  <w:rStyle w:val="InternetLink"/>
                  <w:rFonts w:ascii="Times New Roman;serif" w:hAnsi="Times New Roman;serif"/>
                  <w:b w:val="false"/>
                  <w:strike w:val="false"/>
                  <w:dstrike w:val="false"/>
                  <w:color w:val="000000"/>
                  <w:sz w:val="20"/>
                  <w:u w:val="none"/>
                  <w:effect w:val="none"/>
                </w:rPr>
                <w:t>8</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19">
              <w:r>
                <w:rPr>
                  <w:rStyle w:val="InternetLink"/>
                  <w:rFonts w:ascii="Times New Roman;serif" w:hAnsi="Times New Roman;serif"/>
                  <w:b w:val="false"/>
                  <w:color w:val="0000FF"/>
                  <w:sz w:val="20"/>
                  <w:u w:val="single"/>
                </w:rPr>
                <w:t>Condensed Consolidated Balance Sheets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19">
              <w:r>
                <w:rPr>
                  <w:rStyle w:val="InternetLink"/>
                  <w:rFonts w:ascii="Times New Roman;serif" w:hAnsi="Times New Roman;serif"/>
                  <w:b w:val="false"/>
                  <w:strike w:val="false"/>
                  <w:dstrike w:val="false"/>
                  <w:color w:val="000000"/>
                  <w:sz w:val="20"/>
                  <w:u w:val="none"/>
                  <w:effect w:val="none"/>
                </w:rPr>
                <w:t>8</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22">
              <w:r>
                <w:rPr>
                  <w:rStyle w:val="InternetLink"/>
                  <w:rFonts w:ascii="Times New Roman;serif" w:hAnsi="Times New Roman;serif"/>
                  <w:b w:val="false"/>
                  <w:color w:val="0000FF"/>
                  <w:sz w:val="20"/>
                  <w:u w:val="single"/>
                </w:rPr>
                <w:t>Condensed Consolidated Statements of Operations and Comprehensive Income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22">
              <w:r>
                <w:rPr>
                  <w:rStyle w:val="InternetLink"/>
                  <w:rFonts w:ascii="Times New Roman;serif" w:hAnsi="Times New Roman;serif"/>
                  <w:b w:val="false"/>
                  <w:strike w:val="false"/>
                  <w:dstrike w:val="false"/>
                  <w:color w:val="000000"/>
                  <w:sz w:val="20"/>
                  <w:u w:val="none"/>
                  <w:effect w:val="none"/>
                </w:rPr>
                <w:t>10</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25">
              <w:r>
                <w:rPr>
                  <w:rStyle w:val="InternetLink"/>
                  <w:rFonts w:ascii="Times New Roman;serif" w:hAnsi="Times New Roman;serif"/>
                  <w:b w:val="false"/>
                  <w:color w:val="0000FF"/>
                  <w:sz w:val="20"/>
                  <w:u w:val="single"/>
                </w:rPr>
                <w:t>Condensed Consolidated Statements of Stockholders’ Equity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25">
              <w:r>
                <w:rPr>
                  <w:rStyle w:val="InternetLink"/>
                  <w:rFonts w:ascii="Times New Roman;serif" w:hAnsi="Times New Roman;serif"/>
                  <w:b w:val="false"/>
                  <w:strike w:val="false"/>
                  <w:dstrike w:val="false"/>
                  <w:color w:val="000000"/>
                  <w:sz w:val="20"/>
                  <w:u w:val="none"/>
                  <w:effect w:val="none"/>
                </w:rPr>
                <w:t>11</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28">
              <w:r>
                <w:rPr>
                  <w:rStyle w:val="InternetLink"/>
                  <w:rFonts w:ascii="Times New Roman;serif" w:hAnsi="Times New Roman;serif"/>
                  <w:b w:val="false"/>
                  <w:color w:val="0000FF"/>
                  <w:sz w:val="20"/>
                  <w:u w:val="single"/>
                </w:rPr>
                <w:t>Condensed Consolidated Statements of Cash Flows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28">
              <w:r>
                <w:rPr>
                  <w:rStyle w:val="InternetLink"/>
                  <w:rFonts w:ascii="Times New Roman;serif" w:hAnsi="Times New Roman;serif"/>
                  <w:b w:val="false"/>
                  <w:strike w:val="false"/>
                  <w:dstrike w:val="false"/>
                  <w:color w:val="000000"/>
                  <w:sz w:val="20"/>
                  <w:u w:val="none"/>
                  <w:effect w:val="none"/>
                </w:rPr>
                <w:t>13</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31">
              <w:r>
                <w:rPr>
                  <w:rStyle w:val="InternetLink"/>
                  <w:rFonts w:ascii="Times New Roman;serif" w:hAnsi="Times New Roman;serif"/>
                  <w:b w:val="false"/>
                  <w:color w:val="0000FF"/>
                  <w:sz w:val="20"/>
                  <w:u w:val="single"/>
                </w:rPr>
                <w:t>Notes to the Condensed Consolidated Financial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31">
              <w:r>
                <w:rPr>
                  <w:rStyle w:val="InternetLink"/>
                  <w:rFonts w:ascii="Times New Roman;serif" w:hAnsi="Times New Roman;serif"/>
                  <w:b w:val="false"/>
                  <w:strike w:val="false"/>
                  <w:dstrike w:val="false"/>
                  <w:color w:val="000000"/>
                  <w:sz w:val="20"/>
                  <w:u w:val="none"/>
                  <w:effect w:val="none"/>
                </w:rPr>
                <w:t>15</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e4556f17bf94cb38bcb851dbc6bbb82_34">
              <w:r>
                <w:rPr>
                  <w:rStyle w:val="InternetLink"/>
                  <w:rFonts w:ascii="Times New Roman;serif" w:hAnsi="Times New Roman;serif"/>
                  <w:b w:val="false"/>
                  <w:color w:val="000080"/>
                  <w:sz w:val="20"/>
                  <w:u w:val="single"/>
                </w:rPr>
                <w:t xml:space="preserve">Note 1. </w:t>
              </w:r>
            </w:hyperlink>
            <w:hyperlink w:anchor="i4e4556f17bf94cb38bcb851dbc6bbb82_34">
              <w:r>
                <w:rPr>
                  <w:rStyle w:val="InternetLink"/>
                  <w:rFonts w:ascii="Times New Roman;serif" w:hAnsi="Times New Roman;serif"/>
                  <w:b w:val="false"/>
                  <w:color w:val="000080"/>
                  <w:sz w:val="20"/>
                  <w:u w:val="single"/>
                </w:rPr>
                <w:t>Description of Business and Significant Accounting Policies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34">
              <w:r>
                <w:rPr>
                  <w:rStyle w:val="InternetLink"/>
                  <w:rFonts w:ascii="Times New Roman;serif" w:hAnsi="Times New Roman;serif"/>
                  <w:b w:val="false"/>
                  <w:strike w:val="false"/>
                  <w:dstrike w:val="false"/>
                  <w:color w:val="000000"/>
                  <w:sz w:val="20"/>
                  <w:u w:val="none"/>
                  <w:effect w:val="none"/>
                </w:rPr>
                <w:t>15</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e4556f17bf94cb38bcb851dbc6bbb82_40">
              <w:r>
                <w:rPr>
                  <w:rStyle w:val="InternetLink"/>
                  <w:rFonts w:ascii="Times New Roman;serif" w:hAnsi="Times New Roman;serif"/>
                  <w:b w:val="false"/>
                  <w:color w:val="000080"/>
                  <w:sz w:val="20"/>
                  <w:u w:val="single"/>
                </w:rPr>
                <w:t xml:space="preserve">Note 2. </w:t>
              </w:r>
            </w:hyperlink>
            <w:hyperlink w:anchor="i4e4556f17bf94cb38bcb851dbc6bbb82_40">
              <w:r>
                <w:rPr>
                  <w:rStyle w:val="InternetLink"/>
                  <w:rFonts w:ascii="Times New Roman;serif" w:hAnsi="Times New Roman;serif"/>
                  <w:b w:val="false"/>
                  <w:color w:val="000080"/>
                  <w:sz w:val="20"/>
                  <w:u w:val="single"/>
                </w:rPr>
                <w:t>Revenue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40">
              <w:r>
                <w:rPr>
                  <w:rStyle w:val="InternetLink"/>
                  <w:rFonts w:ascii="Times New Roman;serif" w:hAnsi="Times New Roman;serif"/>
                  <w:b w:val="false"/>
                  <w:strike w:val="false"/>
                  <w:dstrike w:val="false"/>
                  <w:color w:val="000000"/>
                  <w:sz w:val="20"/>
                  <w:u w:val="none"/>
                  <w:effect w:val="none"/>
                </w:rPr>
                <w:t>16</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e4556f17bf94cb38bcb851dbc6bbb82_46">
              <w:r>
                <w:rPr>
                  <w:rStyle w:val="InternetLink"/>
                  <w:rFonts w:ascii="Times New Roman;serif" w:hAnsi="Times New Roman;serif"/>
                  <w:b w:val="false"/>
                  <w:color w:val="000080"/>
                  <w:sz w:val="20"/>
                  <w:u w:val="single"/>
                </w:rPr>
                <w:t xml:space="preserve">Note 3. </w:t>
              </w:r>
            </w:hyperlink>
            <w:hyperlink w:anchor="i4e4556f17bf94cb38bcb851dbc6bbb82_46">
              <w:r>
                <w:rPr>
                  <w:rStyle w:val="InternetLink"/>
                  <w:rFonts w:ascii="Times New Roman;serif" w:hAnsi="Times New Roman;serif"/>
                  <w:b w:val="false"/>
                  <w:color w:val="000080"/>
                  <w:sz w:val="20"/>
                  <w:u w:val="single"/>
                </w:rPr>
                <w:t>Variable Interest Entities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46">
              <w:r>
                <w:rPr>
                  <w:rStyle w:val="InternetLink"/>
                  <w:rFonts w:ascii="Times New Roman;serif" w:hAnsi="Times New Roman;serif"/>
                  <w:b w:val="false"/>
                  <w:strike w:val="false"/>
                  <w:dstrike w:val="false"/>
                  <w:color w:val="000000"/>
                  <w:sz w:val="20"/>
                  <w:u w:val="none"/>
                  <w:effect w:val="none"/>
                </w:rPr>
                <w:t>22</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e4556f17bf94cb38bcb851dbc6bbb82_49">
              <w:r>
                <w:rPr>
                  <w:rStyle w:val="InternetLink"/>
                  <w:rFonts w:ascii="Times New Roman;serif" w:hAnsi="Times New Roman;serif"/>
                  <w:b w:val="false"/>
                  <w:color w:val="000080"/>
                  <w:sz w:val="20"/>
                  <w:u w:val="single"/>
                </w:rPr>
                <w:t xml:space="preserve">Note 4. </w:t>
              </w:r>
            </w:hyperlink>
            <w:hyperlink w:anchor="i4e4556f17bf94cb38bcb851dbc6bbb82_49">
              <w:r>
                <w:rPr>
                  <w:rStyle w:val="InternetLink"/>
                  <w:rFonts w:ascii="Times New Roman;serif" w:hAnsi="Times New Roman;serif"/>
                  <w:b w:val="false"/>
                  <w:color w:val="000080"/>
                  <w:sz w:val="20"/>
                  <w:u w:val="single"/>
                </w:rPr>
                <w:t>Beneficial Interests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49">
              <w:r>
                <w:rPr>
                  <w:rStyle w:val="InternetLink"/>
                  <w:rFonts w:ascii="Times New Roman;serif" w:hAnsi="Times New Roman;serif"/>
                  <w:b w:val="false"/>
                  <w:strike w:val="false"/>
                  <w:dstrike w:val="false"/>
                  <w:color w:val="000000"/>
                  <w:sz w:val="20"/>
                  <w:u w:val="none"/>
                  <w:effect w:val="none"/>
                </w:rPr>
                <w:t>25</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e4556f17bf94cb38bcb851dbc6bbb82_52">
              <w:r>
                <w:rPr>
                  <w:rStyle w:val="InternetLink"/>
                  <w:rFonts w:ascii="Times New Roman;serif" w:hAnsi="Times New Roman;serif"/>
                  <w:b w:val="false"/>
                  <w:color w:val="000080"/>
                  <w:sz w:val="20"/>
                  <w:u w:val="single"/>
                </w:rPr>
                <w:t xml:space="preserve">Note 5. </w:t>
              </w:r>
            </w:hyperlink>
            <w:hyperlink w:anchor="i4e4556f17bf94cb38bcb851dbc6bbb82_52">
              <w:r>
                <w:rPr>
                  <w:rStyle w:val="InternetLink"/>
                  <w:rFonts w:ascii="Times New Roman;serif" w:hAnsi="Times New Roman;serif"/>
                  <w:b w:val="false"/>
                  <w:color w:val="000080"/>
                  <w:sz w:val="20"/>
                  <w:u w:val="single"/>
                </w:rPr>
                <w:t>Fair Value Measurement</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52">
              <w:r>
                <w:rPr>
                  <w:rStyle w:val="InternetLink"/>
                  <w:rFonts w:ascii="Times New Roman;serif" w:hAnsi="Times New Roman;serif"/>
                  <w:b w:val="false"/>
                  <w:strike w:val="false"/>
                  <w:dstrike w:val="false"/>
                  <w:color w:val="000000"/>
                  <w:sz w:val="20"/>
                  <w:u w:val="none"/>
                  <w:effect w:val="none"/>
                </w:rPr>
                <w:t>27</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e4556f17bf94cb38bcb851dbc6bbb82_73">
              <w:r>
                <w:rPr>
                  <w:rStyle w:val="InternetLink"/>
                  <w:rFonts w:ascii="Times New Roman;serif" w:hAnsi="Times New Roman;serif"/>
                  <w:b w:val="false"/>
                  <w:color w:val="000080"/>
                  <w:sz w:val="20"/>
                  <w:u w:val="single"/>
                </w:rPr>
                <w:t xml:space="preserve">Note 6. </w:t>
              </w:r>
            </w:hyperlink>
            <w:hyperlink w:anchor="i4e4556f17bf94cb38bcb851dbc6bbb82_73">
              <w:r>
                <w:rPr>
                  <w:rStyle w:val="InternetLink"/>
                  <w:rFonts w:ascii="Times New Roman;serif" w:hAnsi="Times New Roman;serif"/>
                  <w:b w:val="false"/>
                  <w:color w:val="000080"/>
                  <w:sz w:val="20"/>
                  <w:u w:val="single"/>
                </w:rPr>
                <w:t>Goodwill and Intangible Assets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73">
              <w:r>
                <w:rPr>
                  <w:rStyle w:val="InternetLink"/>
                  <w:rFonts w:ascii="Times New Roman;serif" w:hAnsi="Times New Roman;serif"/>
                  <w:b w:val="false"/>
                  <w:strike w:val="false"/>
                  <w:dstrike w:val="false"/>
                  <w:color w:val="000000"/>
                  <w:sz w:val="20"/>
                  <w:u w:val="none"/>
                  <w:effect w:val="none"/>
                </w:rPr>
                <w:t>43</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e4556f17bf94cb38bcb851dbc6bbb82_76">
              <w:r>
                <w:rPr>
                  <w:rStyle w:val="InternetLink"/>
                  <w:rFonts w:ascii="Times New Roman;serif" w:hAnsi="Times New Roman;serif"/>
                  <w:b w:val="false"/>
                  <w:color w:val="000080"/>
                  <w:sz w:val="20"/>
                  <w:u w:val="single"/>
                </w:rPr>
                <w:t xml:space="preserve">Note 7. </w:t>
              </w:r>
            </w:hyperlink>
            <w:hyperlink w:anchor="i4e4556f17bf94cb38bcb851dbc6bbb82_76">
              <w:r>
                <w:rPr>
                  <w:rStyle w:val="InternetLink"/>
                  <w:rFonts w:ascii="Times New Roman;serif" w:hAnsi="Times New Roman;serif"/>
                  <w:b w:val="false"/>
                  <w:color w:val="000080"/>
                  <w:sz w:val="20"/>
                  <w:u w:val="single"/>
                </w:rPr>
                <w:t>Balance Sheet Components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76">
              <w:r>
                <w:rPr>
                  <w:rStyle w:val="InternetLink"/>
                  <w:rFonts w:ascii="Times New Roman;serif" w:hAnsi="Times New Roman;serif"/>
                  <w:b w:val="false"/>
                  <w:strike w:val="false"/>
                  <w:dstrike w:val="false"/>
                  <w:color w:val="000000"/>
                  <w:sz w:val="20"/>
                  <w:u w:val="none"/>
                  <w:effect w:val="none"/>
                </w:rPr>
                <w:t>44</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e4556f17bf94cb38bcb851dbc6bbb82_79">
              <w:r>
                <w:rPr>
                  <w:rStyle w:val="InternetLink"/>
                  <w:rFonts w:ascii="Times New Roman;serif" w:hAnsi="Times New Roman;serif"/>
                  <w:b w:val="false"/>
                  <w:color w:val="000080"/>
                  <w:sz w:val="20"/>
                  <w:u w:val="single"/>
                </w:rPr>
                <w:t xml:space="preserve">Note 8. </w:t>
              </w:r>
            </w:hyperlink>
            <w:hyperlink w:anchor="i4e4556f17bf94cb38bcb851dbc6bbb82_79">
              <w:r>
                <w:rPr>
                  <w:rStyle w:val="InternetLink"/>
                  <w:rFonts w:ascii="Times New Roman;serif" w:hAnsi="Times New Roman;serif"/>
                  <w:b w:val="false"/>
                  <w:color w:val="000080"/>
                  <w:sz w:val="20"/>
                  <w:u w:val="single"/>
                </w:rPr>
                <w:t>Borrowings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79">
              <w:r>
                <w:rPr>
                  <w:rStyle w:val="InternetLink"/>
                  <w:rFonts w:ascii="Times New Roman;serif" w:hAnsi="Times New Roman;serif"/>
                  <w:b w:val="false"/>
                  <w:strike w:val="false"/>
                  <w:dstrike w:val="false"/>
                  <w:color w:val="000000"/>
                  <w:sz w:val="20"/>
                  <w:u w:val="none"/>
                  <w:effect w:val="none"/>
                </w:rPr>
                <w:t>46</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e4556f17bf94cb38bcb851dbc6bbb82_100">
              <w:r>
                <w:rPr>
                  <w:rStyle w:val="InternetLink"/>
                  <w:rFonts w:ascii="Times New Roman;serif" w:hAnsi="Times New Roman;serif"/>
                  <w:b w:val="false"/>
                  <w:color w:val="000080"/>
                  <w:sz w:val="20"/>
                  <w:u w:val="single"/>
                </w:rPr>
                <w:t xml:space="preserve">Note 9. </w:t>
              </w:r>
            </w:hyperlink>
            <w:hyperlink w:anchor="i4e4556f17bf94cb38bcb851dbc6bbb82_100">
              <w:r>
                <w:rPr>
                  <w:rStyle w:val="InternetLink"/>
                  <w:rFonts w:ascii="Times New Roman;serif" w:hAnsi="Times New Roman;serif"/>
                  <w:b w:val="false"/>
                  <w:color w:val="000080"/>
                  <w:sz w:val="20"/>
                  <w:u w:val="single"/>
                </w:rPr>
                <w:t>Stockholders' Equity</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100">
              <w:r>
                <w:rPr>
                  <w:rStyle w:val="InternetLink"/>
                  <w:rFonts w:ascii="Times New Roman;serif" w:hAnsi="Times New Roman;serif"/>
                  <w:b w:val="false"/>
                  <w:strike w:val="false"/>
                  <w:dstrike w:val="false"/>
                  <w:color w:val="000000"/>
                  <w:sz w:val="20"/>
                  <w:u w:val="none"/>
                  <w:effect w:val="none"/>
                </w:rPr>
                <w:t>51</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e4556f17bf94cb38bcb851dbc6bbb82_124">
              <w:r>
                <w:rPr>
                  <w:rStyle w:val="InternetLink"/>
                  <w:rFonts w:ascii="Times New Roman;serif" w:hAnsi="Times New Roman;serif"/>
                  <w:b w:val="false"/>
                  <w:color w:val="000080"/>
                  <w:sz w:val="20"/>
                  <w:u w:val="single"/>
                </w:rPr>
                <w:t xml:space="preserve">Note 10. </w:t>
              </w:r>
            </w:hyperlink>
            <w:hyperlink w:anchor="i4e4556f17bf94cb38bcb851dbc6bbb82_124">
              <w:r>
                <w:rPr>
                  <w:rStyle w:val="InternetLink"/>
                  <w:rFonts w:ascii="Times New Roman;serif" w:hAnsi="Times New Roman;serif"/>
                  <w:b w:val="false"/>
                  <w:color w:val="000080"/>
                  <w:sz w:val="20"/>
                  <w:u w:val="single"/>
                </w:rPr>
                <w:t>Leases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124">
              <w:r>
                <w:rPr>
                  <w:rStyle w:val="InternetLink"/>
                  <w:rFonts w:ascii="Times New Roman;serif" w:hAnsi="Times New Roman;serif"/>
                  <w:b w:val="false"/>
                  <w:strike w:val="false"/>
                  <w:dstrike w:val="false"/>
                  <w:color w:val="000000"/>
                  <w:sz w:val="20"/>
                  <w:u w:val="none"/>
                  <w:effect w:val="none"/>
                </w:rPr>
                <w:t>55</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e4556f17bf94cb38bcb851dbc6bbb82_127">
              <w:r>
                <w:rPr>
                  <w:rStyle w:val="InternetLink"/>
                  <w:rFonts w:ascii="Times New Roman;serif" w:hAnsi="Times New Roman;serif"/>
                  <w:b w:val="false"/>
                  <w:color w:val="000080"/>
                  <w:sz w:val="20"/>
                  <w:u w:val="single"/>
                </w:rPr>
                <w:t xml:space="preserve">Note 11. </w:t>
              </w:r>
            </w:hyperlink>
            <w:hyperlink w:anchor="i4e4556f17bf94cb38bcb851dbc6bbb82_127">
              <w:r>
                <w:rPr>
                  <w:rStyle w:val="InternetLink"/>
                  <w:rFonts w:ascii="Times New Roman;serif" w:hAnsi="Times New Roman;serif"/>
                  <w:b w:val="false"/>
                  <w:color w:val="000080"/>
                  <w:sz w:val="20"/>
                  <w:u w:val="single"/>
                </w:rPr>
                <w:t>Commitments and Contingencies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127">
              <w:r>
                <w:rPr>
                  <w:rStyle w:val="InternetLink"/>
                  <w:rFonts w:ascii="Times New Roman;serif" w:hAnsi="Times New Roman;serif"/>
                  <w:b w:val="false"/>
                  <w:strike w:val="false"/>
                  <w:dstrike w:val="false"/>
                  <w:color w:val="000000"/>
                  <w:sz w:val="20"/>
                  <w:u w:val="none"/>
                  <w:effect w:val="none"/>
                </w:rPr>
                <w:t>56</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e4556f17bf94cb38bcb851dbc6bbb82_133">
              <w:r>
                <w:rPr>
                  <w:rStyle w:val="InternetLink"/>
                  <w:rFonts w:ascii="Times New Roman;serif" w:hAnsi="Times New Roman;serif"/>
                  <w:b w:val="false"/>
                  <w:color w:val="000080"/>
                  <w:sz w:val="20"/>
                  <w:u w:val="single"/>
                </w:rPr>
                <w:t xml:space="preserve">Note 12. </w:t>
              </w:r>
            </w:hyperlink>
            <w:hyperlink w:anchor="i4e4556f17bf94cb38bcb851dbc6bbb82_133">
              <w:r>
                <w:rPr>
                  <w:rStyle w:val="InternetLink"/>
                  <w:rFonts w:ascii="Times New Roman;serif" w:hAnsi="Times New Roman;serif"/>
                  <w:b w:val="false"/>
                  <w:color w:val="000080"/>
                  <w:sz w:val="20"/>
                  <w:u w:val="single"/>
                </w:rPr>
                <w:t>Income Taxes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133">
              <w:r>
                <w:rPr>
                  <w:rStyle w:val="InternetLink"/>
                  <w:rFonts w:ascii="Times New Roman;serif" w:hAnsi="Times New Roman;serif"/>
                  <w:b w:val="false"/>
                  <w:strike w:val="false"/>
                  <w:dstrike w:val="false"/>
                  <w:color w:val="000000"/>
                  <w:sz w:val="20"/>
                  <w:u w:val="none"/>
                  <w:effect w:val="none"/>
                </w:rPr>
                <w:t>60</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e4556f17bf94cb38bcb851dbc6bbb82_136">
              <w:r>
                <w:rPr>
                  <w:rStyle w:val="InternetLink"/>
                  <w:rFonts w:ascii="Times New Roman;serif" w:hAnsi="Times New Roman;serif"/>
                  <w:b w:val="false"/>
                  <w:color w:val="0000FF"/>
                  <w:sz w:val="20"/>
                  <w:u w:val="single"/>
                </w:rPr>
                <w:t>Note 13. Net Income Per Share</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136">
              <w:r>
                <w:rPr>
                  <w:rStyle w:val="InternetLink"/>
                  <w:rFonts w:ascii="Times New Roman;serif" w:hAnsi="Times New Roman;serif"/>
                  <w:b w:val="false"/>
                  <w:strike w:val="false"/>
                  <w:dstrike w:val="false"/>
                  <w:color w:val="000000"/>
                  <w:sz w:val="20"/>
                  <w:u w:val="none"/>
                  <w:effect w:val="none"/>
                </w:rPr>
                <w:t>60</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e4556f17bf94cb38bcb851dbc6bbb82_139">
              <w:r>
                <w:rPr>
                  <w:rStyle w:val="InternetLink"/>
                  <w:rFonts w:ascii="Times New Roman;serif" w:hAnsi="Times New Roman;serif"/>
                  <w:b w:val="false"/>
                  <w:color w:val="000080"/>
                  <w:sz w:val="20"/>
                  <w:u w:val="single"/>
                </w:rPr>
                <w:t xml:space="preserve">Note 14. </w:t>
              </w:r>
            </w:hyperlink>
            <w:hyperlink w:anchor="i4e4556f17bf94cb38bcb851dbc6bbb82_139">
              <w:r>
                <w:rPr>
                  <w:rStyle w:val="InternetLink"/>
                  <w:rFonts w:ascii="Times New Roman;serif" w:hAnsi="Times New Roman;serif"/>
                  <w:b w:val="false"/>
                  <w:color w:val="000080"/>
                  <w:sz w:val="20"/>
                  <w:u w:val="single"/>
                </w:rPr>
                <w:t>Segment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139">
              <w:r>
                <w:rPr>
                  <w:rStyle w:val="InternetLink"/>
                  <w:rFonts w:ascii="Times New Roman;serif" w:hAnsi="Times New Roman;serif"/>
                  <w:b w:val="false"/>
                  <w:strike w:val="false"/>
                  <w:dstrike w:val="false"/>
                  <w:color w:val="000000"/>
                  <w:sz w:val="20"/>
                  <w:u w:val="none"/>
                  <w:effect w:val="none"/>
                </w:rPr>
                <w:t>62</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lineRule="auto" w:line="288" w:before="0" w:after="100"/>
              <w:jc w:val="left"/>
              <w:rPr/>
            </w:pPr>
            <w:hyperlink w:anchor="i4e4556f17bf94cb38bcb851dbc6bbb82_145">
              <w:r>
                <w:rPr>
                  <w:rStyle w:val="InternetLink"/>
                  <w:rFonts w:ascii="Times New Roman;serif" w:hAnsi="Times New Roman;serif"/>
                  <w:b w:val="false"/>
                  <w:color w:val="000080"/>
                  <w:sz w:val="20"/>
                  <w:u w:val="single"/>
                </w:rPr>
                <w:t xml:space="preserve">Note 15. </w:t>
              </w:r>
            </w:hyperlink>
            <w:hyperlink w:anchor="i4e4556f17bf94cb38bcb851dbc6bbb82_145">
              <w:r>
                <w:rPr>
                  <w:rStyle w:val="InternetLink"/>
                  <w:rFonts w:ascii="Times New Roman;serif" w:hAnsi="Times New Roman;serif"/>
                  <w:b w:val="false"/>
                  <w:color w:val="000080"/>
                  <w:sz w:val="20"/>
                  <w:u w:val="single"/>
                </w:rPr>
                <w:t>Subsequent Events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145">
              <w:r>
                <w:rPr>
                  <w:rStyle w:val="InternetLink"/>
                  <w:rFonts w:ascii="Times New Roman;serif" w:hAnsi="Times New Roman;serif"/>
                  <w:b w:val="false"/>
                  <w:strike w:val="false"/>
                  <w:dstrike w:val="false"/>
                  <w:color w:val="000000"/>
                  <w:sz w:val="20"/>
                  <w:u w:val="none"/>
                  <w:effect w:val="none"/>
                </w:rPr>
                <w:t>64</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14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148">
              <w:r>
                <w:rPr>
                  <w:rStyle w:val="InternetLink"/>
                  <w:rFonts w:ascii="Times New Roman;serif" w:hAnsi="Times New Roman;serif"/>
                  <w:b w:val="false"/>
                  <w:strike w:val="false"/>
                  <w:dstrike w:val="false"/>
                  <w:color w:val="000000"/>
                  <w:sz w:val="20"/>
                  <w:u w:val="none"/>
                  <w:effect w:val="none"/>
                </w:rPr>
                <w:t>65</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3. </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187">
              <w:r>
                <w:rPr>
                  <w:rStyle w:val="InternetLink"/>
                  <w:rFonts w:ascii="Times New Roman;serif" w:hAnsi="Times New Roman;serif"/>
                  <w:b w:val="false"/>
                  <w:color w:val="0000FF"/>
                  <w:sz w:val="20"/>
                  <w:u w:val="single"/>
                </w:rPr>
                <w:t>Quantitative and Qualitative Disclosures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187">
              <w:r>
                <w:rPr>
                  <w:rStyle w:val="InternetLink"/>
                  <w:rFonts w:ascii="Times New Roman;serif" w:hAnsi="Times New Roman;serif"/>
                  <w:b w:val="false"/>
                  <w:strike w:val="false"/>
                  <w:dstrike w:val="false"/>
                  <w:color w:val="000000"/>
                  <w:sz w:val="20"/>
                  <w:u w:val="none"/>
                  <w:effect w:val="none"/>
                </w:rPr>
                <w:t>84</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4. </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190">
              <w:r>
                <w:rPr>
                  <w:rStyle w:val="InternetLink"/>
                  <w:rFonts w:ascii="Times New Roman;serif" w:hAnsi="Times New Roman;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190">
              <w:r>
                <w:rPr>
                  <w:rStyle w:val="InternetLink"/>
                  <w:rFonts w:ascii="Times New Roman;serif" w:hAnsi="Times New Roman;serif"/>
                  <w:b w:val="false"/>
                  <w:strike w:val="false"/>
                  <w:dstrike w:val="false"/>
                  <w:color w:val="000000"/>
                  <w:sz w:val="20"/>
                  <w:u w:val="none"/>
                  <w:effect w:val="none"/>
                </w:rPr>
                <w:t>87</w:t>
              </w:r>
            </w:hyperlink>
          </w:p>
        </w:tc>
      </w:tr>
      <w:tr>
        <w:trPr/>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193">
              <w:r>
                <w:rPr>
                  <w:rStyle w:val="InternetLink"/>
                  <w:rFonts w:ascii="Times New Roman;serif" w:hAnsi="Times New Roman;serif"/>
                  <w:b/>
                  <w:color w:val="0000FF"/>
                  <w:sz w:val="20"/>
                  <w:u w:val="single"/>
                </w:rPr>
                <w:t>PART II.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 </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196">
              <w:r>
                <w:rPr>
                  <w:rStyle w:val="InternetLink"/>
                  <w:rFonts w:ascii="Times New Roman;serif" w:hAnsi="Times New Roman;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196">
              <w:r>
                <w:rPr>
                  <w:rStyle w:val="InternetLink"/>
                  <w:rFonts w:ascii="Times New Roman;serif" w:hAnsi="Times New Roman;serif"/>
                  <w:b w:val="false"/>
                  <w:strike w:val="false"/>
                  <w:dstrike w:val="false"/>
                  <w:color w:val="000000"/>
                  <w:sz w:val="20"/>
                  <w:u w:val="none"/>
                  <w:effect w:val="none"/>
                </w:rPr>
                <w:t>88</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1A. </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199">
              <w:r>
                <w:rPr>
                  <w:rStyle w:val="InternetLink"/>
                  <w:rFonts w:ascii="Times New Roman;serif" w:hAnsi="Times New Roman;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199">
              <w:r>
                <w:rPr>
                  <w:rStyle w:val="InternetLink"/>
                  <w:rFonts w:ascii="Times New Roman;serif" w:hAnsi="Times New Roman;serif"/>
                  <w:b w:val="false"/>
                  <w:strike w:val="false"/>
                  <w:dstrike w:val="false"/>
                  <w:color w:val="000000"/>
                  <w:sz w:val="20"/>
                  <w:u w:val="none"/>
                  <w:effect w:val="none"/>
                </w:rPr>
                <w:t>89</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202">
              <w:r>
                <w:rPr>
                  <w:rStyle w:val="InternetLink"/>
                  <w:rFonts w:ascii="Times New Roman;serif" w:hAnsi="Times New Roman;serif"/>
                  <w:b w:val="false"/>
                  <w:color w:val="0000FF"/>
                  <w:sz w:val="20"/>
                  <w:u w:val="single"/>
                </w:rPr>
                <w:t>Unregistered Sales of Equity Securities and Use of Proceeds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202">
              <w:r>
                <w:rPr>
                  <w:rStyle w:val="InternetLink"/>
                  <w:rFonts w:ascii="Times New Roman;serif" w:hAnsi="Times New Roman;serif"/>
                  <w:b w:val="false"/>
                  <w:strike w:val="false"/>
                  <w:dstrike w:val="false"/>
                  <w:color w:val="000000"/>
                  <w:sz w:val="20"/>
                  <w:u w:val="none"/>
                  <w:effect w:val="none"/>
                </w:rPr>
                <w:t>120</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3. </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205">
              <w:r>
                <w:rPr>
                  <w:rStyle w:val="InternetLink"/>
                  <w:rFonts w:ascii="Times New Roman;serif" w:hAnsi="Times New Roman;serif"/>
                  <w:b w:val="false"/>
                  <w:color w:val="0000FF"/>
                  <w:sz w:val="20"/>
                  <w:u w:val="single"/>
                </w:rPr>
                <w:t>Defaults Upon Senior Securities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205">
              <w:r>
                <w:rPr>
                  <w:rStyle w:val="InternetLink"/>
                  <w:rFonts w:ascii="Times New Roman;serif" w:hAnsi="Times New Roman;serif"/>
                  <w:b w:val="false"/>
                  <w:strike w:val="false"/>
                  <w:dstrike w:val="false"/>
                  <w:color w:val="000000"/>
                  <w:sz w:val="20"/>
                  <w:u w:val="none"/>
                  <w:effect w:val="none"/>
                </w:rPr>
                <w:t>120</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4. </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208">
              <w:r>
                <w:rPr>
                  <w:rStyle w:val="InternetLink"/>
                  <w:rFonts w:ascii="Times New Roman;serif" w:hAnsi="Times New Roman;serif"/>
                  <w:b w:val="false"/>
                  <w:color w:val="0000FF"/>
                  <w:sz w:val="20"/>
                  <w:u w:val="single"/>
                </w:rPr>
                <w:t>Mine Safety Disclosures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208">
              <w:r>
                <w:rPr>
                  <w:rStyle w:val="InternetLink"/>
                  <w:rFonts w:ascii="Times New Roman;serif" w:hAnsi="Times New Roman;serif"/>
                  <w:b w:val="false"/>
                  <w:strike w:val="false"/>
                  <w:dstrike w:val="false"/>
                  <w:color w:val="000000"/>
                  <w:sz w:val="20"/>
                  <w:u w:val="none"/>
                  <w:effect w:val="none"/>
                </w:rPr>
                <w:t>120</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5. </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211">
              <w:r>
                <w:rPr>
                  <w:rStyle w:val="InternetLink"/>
                  <w:rFonts w:ascii="Times New Roman;serif" w:hAnsi="Times New Roman;serif"/>
                  <w:b w:val="false"/>
                  <w:color w:val="0000FF"/>
                  <w:sz w:val="20"/>
                  <w:u w:val="single"/>
                </w:rPr>
                <w:t>Other Information</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211">
              <w:r>
                <w:rPr>
                  <w:rStyle w:val="InternetLink"/>
                  <w:rFonts w:ascii="Times New Roman;serif" w:hAnsi="Times New Roman;serif"/>
                  <w:b w:val="false"/>
                  <w:strike w:val="false"/>
                  <w:dstrike w:val="false"/>
                  <w:color w:val="000000"/>
                  <w:sz w:val="20"/>
                  <w:u w:val="none"/>
                  <w:effect w:val="none"/>
                </w:rPr>
                <w:t>121</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6. </w:t>
            </w:r>
          </w:p>
        </w:tc>
        <w:tc>
          <w:tcPr>
            <w:tcW w:w="7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214">
              <w:r>
                <w:rPr>
                  <w:rStyle w:val="InternetLink"/>
                  <w:rFonts w:ascii="Times New Roman;serif" w:hAnsi="Times New Roman;serif"/>
                  <w:b w:val="false"/>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214">
              <w:r>
                <w:rPr>
                  <w:rStyle w:val="InternetLink"/>
                  <w:rFonts w:ascii="Times New Roman;serif" w:hAnsi="Times New Roman;serif"/>
                  <w:b w:val="false"/>
                  <w:strike w:val="false"/>
                  <w:dstrike w:val="false"/>
                  <w:color w:val="000000"/>
                  <w:sz w:val="20"/>
                  <w:u w:val="none"/>
                  <w:effect w:val="none"/>
                </w:rPr>
                <w:t>122</w:t>
              </w:r>
            </w:hyperlink>
          </w:p>
        </w:tc>
      </w:tr>
      <w:tr>
        <w:trPr/>
        <w:tc>
          <w:tcPr>
            <w:tcW w:w="22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e4556f17bf94cb38bcb851dbc6bbb82_217">
              <w:r>
                <w:rPr>
                  <w:rStyle w:val="InternetLink"/>
                  <w:rFonts w:ascii="Times New Roman;serif" w:hAnsi="Times New Roman;serif"/>
                  <w:b w:val="false"/>
                  <w:color w:val="0000FF"/>
                  <w:sz w:val="20"/>
                  <w:u w:val="single"/>
                </w:rPr>
                <w:t>Signatures</w:t>
              </w:r>
            </w:hyperlink>
          </w:p>
        </w:tc>
        <w:tc>
          <w:tcPr>
            <w:tcW w:w="7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e4556f17bf94cb38bcb851dbc6bbb82_217">
              <w:r>
                <w:rPr>
                  <w:rStyle w:val="InternetLink"/>
                  <w:rFonts w:ascii="Times New Roman;serif" w:hAnsi="Times New Roman;serif"/>
                  <w:b w:val="false"/>
                  <w:strike w:val="false"/>
                  <w:dstrike w:val="false"/>
                  <w:color w:val="000000"/>
                  <w:sz w:val="20"/>
                  <w:u w:val="none"/>
                  <w:effect w:val="none"/>
                </w:rPr>
                <w:t>123</w:t>
              </w:r>
            </w:hyperlink>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Glossary of Terms and Acronyms</w:t>
      </w:r>
    </w:p>
    <w:tbl>
      <w:tblPr>
        <w:tblW w:w="6375" w:type="dxa"/>
        <w:jc w:val="left"/>
        <w:tblInd w:w="0" w:type="dxa"/>
        <w:tblLayout w:type="fixed"/>
        <w:tblCellMar>
          <w:top w:w="28" w:type="dxa"/>
          <w:left w:w="28" w:type="dxa"/>
          <w:bottom w:w="28" w:type="dxa"/>
          <w:right w:w="28" w:type="dxa"/>
        </w:tblCellMar>
      </w:tblPr>
      <w:tblGrid>
        <w:gridCol w:w="721"/>
        <w:gridCol w:w="633"/>
        <w:gridCol w:w="633"/>
        <w:gridCol w:w="633"/>
        <w:gridCol w:w="633"/>
        <w:gridCol w:w="633"/>
        <w:gridCol w:w="633"/>
        <w:gridCol w:w="633"/>
        <w:gridCol w:w="633"/>
        <w:gridCol w:w="109"/>
        <w:gridCol w:w="109"/>
        <w:gridCol w:w="109"/>
        <w:gridCol w:w="109"/>
        <w:gridCol w:w="154"/>
      </w:tblGrid>
      <w:tr>
        <w:trPr/>
        <w:tc>
          <w:tcPr>
            <w:tcW w:w="72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5" w:type="dxa"/>
            <w:gridSpan w:val="9"/>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2026 Notes:</w:t>
            </w:r>
            <w:r>
              <w:rPr>
                <w:color w:val="000000"/>
              </w:rPr>
              <w:t xml:space="preserve"> </w:t>
            </w:r>
            <w:r>
              <w:rPr>
                <w:rFonts w:ascii="Times New Roman;serif" w:hAnsi="Times New Roman;serif"/>
                <w:b w:val="false"/>
                <w:color w:val="000000"/>
                <w:sz w:val="15"/>
              </w:rPr>
              <w:t>0.25% convertible senior notes due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2029 Notes:</w:t>
            </w:r>
            <w:r>
              <w:rPr>
                <w:color w:val="000000"/>
              </w:rPr>
              <w:t xml:space="preserve"> </w:t>
            </w:r>
            <w:r>
              <w:rPr>
                <w:rFonts w:ascii="Times New Roman;serif" w:hAnsi="Times New Roman;serif"/>
                <w:b w:val="false"/>
                <w:color w:val="000000"/>
                <w:sz w:val="15"/>
              </w:rPr>
              <w:t>2.00% convertible senior notes due 2029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2030 Notes:</w:t>
            </w:r>
            <w:r>
              <w:rPr>
                <w:color w:val="000000"/>
              </w:rPr>
              <w:t xml:space="preserve"> </w:t>
            </w:r>
            <w:r>
              <w:rPr>
                <w:rFonts w:ascii="Times New Roman;serif" w:hAnsi="Times New Roman;serif"/>
                <w:b w:val="false"/>
                <w:color w:val="000000"/>
                <w:sz w:val="15"/>
              </w:rPr>
              <w:t>1.00% convertible senior notes due 2030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2032 Notes:</w:t>
            </w:r>
            <w:r>
              <w:rPr>
                <w:color w:val="000000"/>
              </w:rPr>
              <w:t xml:space="preserve"> </w:t>
            </w:r>
            <w:r>
              <w:rPr>
                <w:rFonts w:ascii="Times New Roman;serif" w:hAnsi="Times New Roman;serif"/>
                <w:b w:val="false"/>
                <w:color w:val="000000"/>
                <w:sz w:val="15"/>
              </w:rPr>
              <w:t>0% convertible senior notes due 2032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2026 Capped Calls:</w:t>
            </w:r>
            <w:r>
              <w:rPr>
                <w:color w:val="000000"/>
              </w:rPr>
              <w:t xml:space="preserve"> </w:t>
            </w:r>
            <w:r>
              <w:rPr>
                <w:rFonts w:ascii="Times New Roman;serif" w:hAnsi="Times New Roman;serif"/>
                <w:b w:val="false"/>
                <w:color w:val="000000"/>
                <w:sz w:val="15"/>
              </w:rPr>
              <w:t>Capped call transactions entered into in connection with the 2026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2029 Capped Calls:</w:t>
            </w:r>
            <w:r>
              <w:rPr>
                <w:color w:val="000000"/>
              </w:rPr>
              <w:t xml:space="preserve"> </w:t>
            </w:r>
            <w:r>
              <w:rPr>
                <w:rFonts w:ascii="Times New Roman;serif" w:hAnsi="Times New Roman;serif"/>
                <w:b w:val="false"/>
                <w:color w:val="000000"/>
                <w:sz w:val="15"/>
              </w:rPr>
              <w:t>Capped call transactions entered into in connection with the 2029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2032 Capped Calls:</w:t>
            </w:r>
            <w:r>
              <w:rPr>
                <w:color w:val="000000"/>
              </w:rPr>
              <w:t xml:space="preserve"> </w:t>
            </w:r>
            <w:r>
              <w:rPr>
                <w:rFonts w:ascii="Times New Roman;serif" w:hAnsi="Times New Roman;serif"/>
                <w:b w:val="false"/>
                <w:color w:val="000000"/>
                <w:sz w:val="15"/>
              </w:rPr>
              <w:t>Capped call transactions entered into in connection with the 2032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AI:</w:t>
            </w:r>
            <w:r>
              <w:rPr>
                <w:color w:val="000000"/>
              </w:rPr>
              <w:t xml:space="preserve"> </w:t>
            </w:r>
            <w:r>
              <w:rPr>
                <w:rFonts w:ascii="Times New Roman;serif" w:hAnsi="Times New Roman;serif"/>
                <w:b w:val="false"/>
                <w:color w:val="000000"/>
                <w:sz w:val="15"/>
              </w:rPr>
              <w:t>Artificial Intelligence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ACH:</w:t>
            </w:r>
            <w:r>
              <w:rPr>
                <w:color w:val="000000"/>
              </w:rPr>
              <w:t xml:space="preserve"> </w:t>
            </w:r>
            <w:r>
              <w:rPr>
                <w:rFonts w:ascii="Times New Roman;serif" w:hAnsi="Times New Roman;serif"/>
                <w:b w:val="false"/>
                <w:color w:val="000000"/>
                <w:sz w:val="15"/>
              </w:rPr>
              <w:t>Automated Clearing House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ASC:</w:t>
            </w:r>
            <w:r>
              <w:rPr>
                <w:color w:val="000000"/>
              </w:rPr>
              <w:t xml:space="preserve"> </w:t>
            </w:r>
            <w:r>
              <w:rPr>
                <w:rFonts w:ascii="Times New Roman;serif" w:hAnsi="Times New Roman;serif"/>
                <w:b w:val="false"/>
                <w:color w:val="000000"/>
                <w:sz w:val="15"/>
              </w:rPr>
              <w:t>Accounting Standards Codification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ASU:</w:t>
            </w:r>
            <w:r>
              <w:rPr>
                <w:color w:val="000000"/>
              </w:rPr>
              <w:t xml:space="preserve"> </w:t>
            </w:r>
            <w:r>
              <w:rPr>
                <w:rFonts w:ascii="Times New Roman;serif" w:hAnsi="Times New Roman;serif"/>
                <w:b w:val="false"/>
                <w:color w:val="000000"/>
                <w:sz w:val="15"/>
              </w:rPr>
              <w:t>Accounting Standards Update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ATM Program:</w:t>
            </w:r>
            <w:r>
              <w:rPr>
                <w:color w:val="000000"/>
              </w:rPr>
              <w:t xml:space="preserve"> </w:t>
            </w:r>
            <w:r>
              <w:rPr>
                <w:rFonts w:ascii="Times New Roman;serif" w:hAnsi="Times New Roman;serif"/>
                <w:b w:val="false"/>
                <w:color w:val="000000"/>
                <w:sz w:val="15"/>
              </w:rPr>
              <w:t>At-the-Market offering program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AWS:</w:t>
            </w:r>
            <w:r>
              <w:rPr>
                <w:color w:val="000000"/>
              </w:rPr>
              <w:t xml:space="preserve"> </w:t>
            </w:r>
            <w:r>
              <w:rPr>
                <w:rFonts w:ascii="Times New Roman;serif" w:hAnsi="Times New Roman;serif"/>
                <w:b w:val="false"/>
                <w:color w:val="000000"/>
                <w:sz w:val="15"/>
              </w:rPr>
              <w:t>Amazon Web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CFPB:</w:t>
            </w:r>
            <w:r>
              <w:rPr>
                <w:color w:val="000000"/>
              </w:rPr>
              <w:t xml:space="preserve"> </w:t>
            </w:r>
            <w:r>
              <w:rPr>
                <w:rFonts w:ascii="Times New Roman;serif" w:hAnsi="Times New Roman;serif"/>
                <w:b w:val="false"/>
                <w:color w:val="000000"/>
                <w:sz w:val="15"/>
              </w:rPr>
              <w:t>Consumer Financial Protection Bureau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CODM:</w:t>
            </w:r>
            <w:r>
              <w:rPr>
                <w:color w:val="000000"/>
              </w:rPr>
              <w:t xml:space="preserve"> </w:t>
            </w:r>
            <w:r>
              <w:rPr>
                <w:rFonts w:ascii="Times New Roman;serif" w:hAnsi="Times New Roman;serif"/>
                <w:b w:val="false"/>
                <w:color w:val="000000"/>
                <w:sz w:val="15"/>
              </w:rPr>
              <w:t>Chief Operating Decision Maker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DCF:</w:t>
            </w:r>
            <w:r>
              <w:rPr>
                <w:color w:val="000000"/>
              </w:rPr>
              <w:t xml:space="preserve"> </w:t>
            </w:r>
            <w:r>
              <w:rPr>
                <w:rFonts w:ascii="Times New Roman;serif" w:hAnsi="Times New Roman;serif"/>
                <w:b w:val="false"/>
                <w:color w:val="000000"/>
                <w:sz w:val="15"/>
              </w:rPr>
              <w:t>Discounted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Exchange Act:</w:t>
            </w:r>
            <w:r>
              <w:rPr>
                <w:color w:val="000000"/>
              </w:rPr>
              <w:t xml:space="preserve"> </w:t>
            </w:r>
            <w:r>
              <w:rPr>
                <w:rFonts w:ascii="Times New Roman;serif" w:hAnsi="Times New Roman;serif"/>
                <w:b w:val="false"/>
                <w:color w:val="000000"/>
                <w:sz w:val="15"/>
              </w:rPr>
              <w:t>Securities Exchange Act of 1934, as amended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ESPP:</w:t>
            </w:r>
            <w:r>
              <w:rPr>
                <w:color w:val="000000"/>
              </w:rPr>
              <w:t xml:space="preserve"> </w:t>
            </w:r>
            <w:r>
              <w:rPr>
                <w:rFonts w:ascii="Times New Roman;serif" w:hAnsi="Times New Roman;serif"/>
                <w:b w:val="false"/>
                <w:color w:val="000000"/>
                <w:sz w:val="15"/>
              </w:rPr>
              <w:t>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FASB:</w:t>
            </w:r>
            <w:r>
              <w:rPr>
                <w:color w:val="000000"/>
              </w:rPr>
              <w:t xml:space="preserve"> </w:t>
            </w:r>
            <w:r>
              <w:rPr>
                <w:rFonts w:ascii="Times New Roman;serif" w:hAnsi="Times New Roman;serif"/>
                <w:b w:val="false"/>
                <w:color w:val="000000"/>
                <w:sz w:val="15"/>
              </w:rPr>
              <w:t>Financial Accounting Standards Board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FDIC:</w:t>
            </w:r>
            <w:r>
              <w:rPr>
                <w:color w:val="000000"/>
              </w:rPr>
              <w:t xml:space="preserve"> </w:t>
            </w:r>
            <w:r>
              <w:rPr>
                <w:rFonts w:ascii="Times New Roman;serif" w:hAnsi="Times New Roman;serif"/>
                <w:b w:val="false"/>
                <w:color w:val="000000"/>
                <w:sz w:val="15"/>
              </w:rPr>
              <w:t>Federal Deposit Insurance Corporation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FTC:</w:t>
            </w:r>
            <w:r>
              <w:rPr>
                <w:color w:val="000000"/>
              </w:rPr>
              <w:t xml:space="preserve"> </w:t>
            </w:r>
            <w:r>
              <w:rPr>
                <w:rFonts w:ascii="Times New Roman;serif" w:hAnsi="Times New Roman;serif"/>
                <w:b w:val="false"/>
                <w:color w:val="000000"/>
                <w:sz w:val="15"/>
              </w:rPr>
              <w:t>Federal Trade Commission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GAAP:</w:t>
            </w:r>
            <w:r>
              <w:rPr>
                <w:color w:val="000000"/>
              </w:rPr>
              <w:t xml:space="preserve"> </w:t>
            </w:r>
            <w:r>
              <w:rPr>
                <w:rFonts w:ascii="Times New Roman;serif" w:hAnsi="Times New Roman;serif"/>
                <w:b w:val="false"/>
                <w:color w:val="000000"/>
                <w:sz w:val="15"/>
              </w:rPr>
              <w:t>Generally Accepted Accounting Principles in the United States of America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HELOC:</w:t>
            </w:r>
            <w:r>
              <w:rPr>
                <w:color w:val="000000"/>
              </w:rPr>
              <w:t xml:space="preserve"> </w:t>
            </w:r>
            <w:r>
              <w:rPr>
                <w:rFonts w:ascii="Times New Roman;serif" w:hAnsi="Times New Roman;serif"/>
                <w:b w:val="false"/>
                <w:color w:val="000000"/>
                <w:sz w:val="15"/>
              </w:rPr>
              <w:t>Home Equity Line of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ISO:</w:t>
            </w:r>
            <w:r>
              <w:rPr>
                <w:color w:val="000000"/>
              </w:rPr>
              <w:t xml:space="preserve"> </w:t>
            </w:r>
            <w:r>
              <w:rPr>
                <w:rFonts w:ascii="Times New Roman;serif" w:hAnsi="Times New Roman;serif"/>
                <w:b w:val="false"/>
                <w:color w:val="000000"/>
                <w:sz w:val="15"/>
              </w:rPr>
              <w:t>Incentive Stock Option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IRS:</w:t>
            </w:r>
            <w:r>
              <w:rPr>
                <w:color w:val="000000"/>
              </w:rPr>
              <w:t xml:space="preserve"> </w:t>
            </w:r>
            <w:r>
              <w:rPr>
                <w:rFonts w:ascii="Times New Roman;serif" w:hAnsi="Times New Roman;serif"/>
                <w:b w:val="false"/>
                <w:color w:val="000000"/>
                <w:sz w:val="15"/>
              </w:rPr>
              <w:t>Internal Revenue Service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NOL:</w:t>
            </w:r>
            <w:r>
              <w:rPr>
                <w:color w:val="000000"/>
              </w:rPr>
              <w:t xml:space="preserve"> </w:t>
            </w:r>
            <w:r>
              <w:rPr>
                <w:rFonts w:ascii="Times New Roman;serif" w:hAnsi="Times New Roman;serif"/>
                <w:b w:val="false"/>
                <w:color w:val="000000"/>
                <w:sz w:val="15"/>
              </w:rPr>
              <w:t>Net Operating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NSO:</w:t>
            </w:r>
            <w:r>
              <w:rPr>
                <w:color w:val="000000"/>
              </w:rPr>
              <w:t xml:space="preserve"> </w:t>
            </w:r>
            <w:r>
              <w:rPr>
                <w:rFonts w:ascii="Times New Roman;serif" w:hAnsi="Times New Roman;serif"/>
                <w:b w:val="false"/>
                <w:color w:val="000000"/>
                <w:sz w:val="15"/>
              </w:rPr>
              <w:t>N</w:t>
            </w:r>
            <w:r>
              <w:rPr>
                <w:rFonts w:ascii="Times New Roman;serif" w:hAnsi="Times New Roman;serif"/>
                <w:b w:val="false"/>
                <w:color w:val="000000"/>
                <w:sz w:val="20"/>
              </w:rPr>
              <w:t>on-statutory Stock Option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OCC:</w:t>
            </w:r>
            <w:r>
              <w:rPr>
                <w:color w:val="000000"/>
              </w:rPr>
              <w:t xml:space="preserve"> </w:t>
            </w:r>
            <w:r>
              <w:rPr>
                <w:rFonts w:ascii="Times New Roman;serif" w:hAnsi="Times New Roman;serif"/>
                <w:b w:val="false"/>
                <w:color w:val="000000"/>
                <w:sz w:val="15"/>
              </w:rPr>
              <w:t>Office of the Comptroller of the Currency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PRSU:</w:t>
            </w:r>
            <w:r>
              <w:rPr>
                <w:color w:val="000000"/>
              </w:rPr>
              <w:t xml:space="preserve"> </w:t>
            </w:r>
            <w:r>
              <w:rPr>
                <w:rFonts w:ascii="Times New Roman;serif" w:hAnsi="Times New Roman;serif"/>
                <w:b w:val="false"/>
                <w:color w:val="000000"/>
                <w:sz w:val="15"/>
              </w:rPr>
              <w:t>Performance-based Restricted Stock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R&amp;D:</w:t>
            </w:r>
            <w:r>
              <w:rPr>
                <w:color w:val="000000"/>
              </w:rPr>
              <w:t xml:space="preserve"> </w:t>
            </w:r>
            <w:r>
              <w:rPr>
                <w:rFonts w:ascii="Times New Roman;serif" w:hAnsi="Times New Roman;serif"/>
                <w:b w:val="false"/>
                <w:color w:val="000000"/>
                <w:sz w:val="15"/>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R&amp;D Loans:</w:t>
            </w:r>
            <w:r>
              <w:rPr>
                <w:color w:val="000000"/>
              </w:rPr>
              <w:t xml:space="preserve"> </w:t>
            </w:r>
            <w:r>
              <w:rPr>
                <w:rFonts w:ascii="Times New Roman;serif" w:hAnsi="Times New Roman;serif"/>
                <w:b w:val="false"/>
                <w:color w:val="000000"/>
                <w:sz w:val="15"/>
              </w:rPr>
              <w:t>Loans held for research and development purposes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RSU:</w:t>
            </w:r>
            <w:r>
              <w:rPr>
                <w:color w:val="000000"/>
              </w:rPr>
              <w:t xml:space="preserve"> </w:t>
            </w:r>
            <w:r>
              <w:rPr>
                <w:rFonts w:ascii="Times New Roman;serif" w:hAnsi="Times New Roman;serif"/>
                <w:b w:val="false"/>
                <w:color w:val="000000"/>
                <w:sz w:val="15"/>
              </w:rPr>
              <w:t>Restricted Stock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SEC:</w:t>
            </w:r>
            <w:r>
              <w:rPr>
                <w:color w:val="000000"/>
              </w:rPr>
              <w:t xml:space="preserve"> </w:t>
            </w:r>
            <w:r>
              <w:rPr>
                <w:rFonts w:ascii="Times New Roman;serif" w:hAnsi="Times New Roman;serif"/>
                <w:b w:val="false"/>
                <w:color w:val="000000"/>
                <w:sz w:val="15"/>
              </w:rPr>
              <w:t>United States Securities and Exchange Commission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Securities Act:</w:t>
            </w:r>
            <w:r>
              <w:rPr>
                <w:color w:val="000000"/>
              </w:rPr>
              <w:t xml:space="preserve"> </w:t>
            </w:r>
            <w:r>
              <w:rPr>
                <w:rFonts w:ascii="Times New Roman;serif" w:hAnsi="Times New Roman;serif"/>
                <w:b w:val="false"/>
                <w:color w:val="000000"/>
                <w:sz w:val="15"/>
              </w:rPr>
              <w:t>Securities Act of 1933, as amended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SOFR:</w:t>
            </w:r>
            <w:r>
              <w:rPr>
                <w:color w:val="000000"/>
              </w:rPr>
              <w:t xml:space="preserve"> </w:t>
            </w:r>
            <w:r>
              <w:rPr>
                <w:rFonts w:ascii="Times New Roman;serif" w:hAnsi="Times New Roman;serif"/>
                <w:b w:val="false"/>
                <w:color w:val="000000"/>
                <w:sz w:val="15"/>
              </w:rPr>
              <w:t>Secured Overnight Financing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SPE:</w:t>
            </w:r>
            <w:r>
              <w:rPr>
                <w:color w:val="000000"/>
              </w:rPr>
              <w:t xml:space="preserve"> </w:t>
            </w:r>
            <w:r>
              <w:rPr>
                <w:rFonts w:ascii="Times New Roman;serif" w:hAnsi="Times New Roman;serif"/>
                <w:b w:val="false"/>
                <w:color w:val="000000"/>
                <w:sz w:val="15"/>
              </w:rPr>
              <w:t>Special Purpose Entity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UDAAP:</w:t>
            </w:r>
            <w:r>
              <w:rPr>
                <w:color w:val="000000"/>
              </w:rPr>
              <w:t xml:space="preserve"> </w:t>
            </w:r>
            <w:r>
              <w:rPr>
                <w:rFonts w:ascii="Times New Roman;serif" w:hAnsi="Times New Roman;serif"/>
                <w:b w:val="false"/>
                <w:color w:val="000000"/>
                <w:sz w:val="15"/>
              </w:rPr>
              <w:t>Unfair, Deceptive, or Abusive Acts or Practices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UMI:</w:t>
            </w:r>
            <w:r>
              <w:rPr>
                <w:color w:val="000000"/>
              </w:rPr>
              <w:t xml:space="preserve"> </w:t>
            </w:r>
            <w:r>
              <w:rPr>
                <w:rFonts w:ascii="Times New Roman;serif" w:hAnsi="Times New Roman;serif"/>
                <w:b w:val="false"/>
                <w:color w:val="000000"/>
                <w:sz w:val="15"/>
              </w:rPr>
              <w:t>Upstart Macro Index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785" w:type="dxa"/>
            <w:gridSpan w:val="9"/>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88" w:before="0" w:after="100"/>
              <w:jc w:val="left"/>
              <w:rPr/>
            </w:pPr>
            <w:r>
              <w:rPr>
                <w:rFonts w:ascii="Times New Roman;serif" w:hAnsi="Times New Roman;serif"/>
                <w:b/>
                <w:color w:val="000000"/>
                <w:sz w:val="15"/>
              </w:rPr>
              <w:t>VIE:</w:t>
            </w:r>
            <w:r>
              <w:rPr>
                <w:color w:val="000000"/>
              </w:rPr>
              <w:t xml:space="preserve"> </w:t>
            </w:r>
            <w:r>
              <w:rPr>
                <w:rFonts w:ascii="Times New Roman;serif" w:hAnsi="Times New Roman;serif"/>
                <w:b w:val="false"/>
                <w:color w:val="000000"/>
                <w:sz w:val="15"/>
              </w:rPr>
              <w:t>Variable Interest Entity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right w:val="single" w:sz="8" w:space="0" w:color="000000"/>
            </w:tcBorders>
            <w:shd w:fill="CCEEFF" w:val="clear"/>
            <w:tcMar>
              <w:top w:w="0" w:type="dxa"/>
              <w:lef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8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and Section 21E of the Exchange Act,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“would,”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future financial performance, including our expectations regarding our revenue, operating expenses, and our ability to determine reserves and achieve and sustain profitability;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improve the effectiveness and predictiveness of our AI models and our expectations that improvements in our AI models can lead to higher approval rates and lower interest rates;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increase the volume of loans facilitated through our AI lending marketplace;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successfully maintain a diversified and resilient loan funding strategy, including lending partnerships, whole loan sales, committed capital and other co-investment</w:t>
      </w:r>
      <w:r>
        <w:rPr>
          <w:color w:val="3051F2"/>
        </w:rPr>
        <w:t xml:space="preserve"> </w:t>
      </w:r>
      <w:r>
        <w:rPr>
          <w:rFonts w:ascii="Times New Roman;serif" w:hAnsi="Times New Roman;serif"/>
          <w:b w:val="false"/>
          <w:color w:val="000000"/>
          <w:sz w:val="20"/>
        </w:rPr>
        <w:t xml:space="preserve">arrangements, warehouse credit and risk retention financing facilities, and securitization transactions; </w:t>
      </w:r>
    </w:p>
    <w:p>
      <w:pPr>
        <w:pStyle w:val="TextBody"/>
        <w:bidi w:val="0"/>
        <w:spacing w:lineRule="auto" w:line="288" w:before="160" w:after="283"/>
        <w:ind w:left="0" w:right="0" w:hanging="360"/>
        <w:jc w:val="left"/>
        <w:rPr/>
      </w:pPr>
      <w:r>
        <w:rPr>
          <w:color w:val="000000"/>
        </w:rPr>
        <w:t>•</w:t>
      </w:r>
      <w:r>
        <w:rPr>
          <w:rFonts w:ascii="Times New Roman;serif" w:hAnsi="Times New Roman;serif"/>
          <w:b w:val="false"/>
          <w:color w:val="000000"/>
          <w:sz w:val="20"/>
        </w:rPr>
        <w:t>our expectations regarding the accuracy of, reliability of, and our accessibility to, loan applicant and borrower data and other third-party data;</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capital allocation plans, including expectations regarding funding loans through our balance sheet and allocations of cash and timing for any share repurchases and other investments;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maintain competitive interest rates offered to borrowers on our platform, while enabling our lending partners and institutional investors to achieve an adequate return over their cost of funding;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successfully maintain, protect, and promote our brand and protect our reputation from negative publicity;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increase the effectiveness of our marketing strategies, including our direct consumer marketing initiatives;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macroeconomic events, including inflation and related changes in interest rates and monetary policy;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the credit performance of Upstart-powered loans;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our application for a national bank charter, including its outcome, potential benefits, and potential delays or conditions;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impact of disruption in the banking industry, and any associated effects on our business and industry;</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expectations and management of future growth, including expanding the number of potential borrowers;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successfully adjust our proprietary AI models, products, and services, and provide up-to-date information to our lending partners, in a timely manner in response to changing macroeconomic conditions and fluctuations in the credit market;</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compliance with applicable local, state, and federal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comply with and successfully adapt to complex and evolving regulatory environments, including regulation of artificial intelligence and machine learning technology;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expectations regarding regulatory support of our approach to AI-based lending;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the success of our strategic investments and acquisitions, including the integration of acquired operations, products, technology, internal controls, and personnel;</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new and evolving markets and our ability to enter into new markets and introduce new products and services;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concerning relationships with third parties;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protect against increasingly sophisticated fraudulent borrowing and online theft;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service our loans and pursue collection of delinquent and defaulted loans;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successfully compete with companies that are currently in, or may in the future enter, the markets in which we operate;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effectively secure and maintain the confidentiality of the information received, accessed, stored, provided, and used across our systems;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successfully obtain and maintain corporate funding and liquidity to support continued growth and for general corporate purposes, which includes our ability to manage existing and future indebtedness;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attract, integrate, and retain qualified employees;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estimates, judgments, and expectations regarding key operating metrics, disclosure controls, and internal control over financial reporting and operations;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effectively manage and expand the capabilities of our operations teams, outsourcing relationships, and other business operations;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ability to manage security incidents and maintain our technology systems;</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our ability to maintain, protect, and enhance our intellectual property; and </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our expectations regarding outstanding litigation and regulatory investigations.</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caution you that the foregoing list may not contain all of the forward-looking statements made in this report.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and elsewhere in this report. Readers are urged to carefully review and consider the various disclosures made in this report and in other documents we file from time to time with the SEC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forward-looking statements as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terms the “Company,” “we,” “our,” “us,” and similar terms used herein refer collectively to Upstart Holdings, Inc., a Delaware corporation, and its consolidated subsidiaries, unless otherwise stated.</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website is located at www.upstart.com and our investor relations website at ir.upstart.com. Copies of our Annual Reports on Form 10-K, Quarterly Reports on Form 10-Q, Current Reports on Form 8-K and amendments to these reports filed or furnished pursuant to Section 13(a) or 15(d) of the Exchange Act, are available free of charge on our investor relations website as soon as reasonably practicable after they are electronically filed with, or furnished to, the SEC. The SEC also maintains a website that contains our SEC filings at www.sec.gov. The content of our websites and information that can be accessed through our websites is not incorporated by reference into this Quarterly Report on Form 10-Q or in any other report or document we file with the SEC, and any references to our websites are intended to be inactive textual references only.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announce material information to the public about us, our products and services and other matters through a variety of means, including SEC filings, press releases, public conference calls, webcasts, the investor relations (ir.upstart.com) and newsroom (upstart.com/news) sections of our website, our X (formerly known as Twitter) account @Upstart, and Paul Gu’s X account @paulxgu, in order to achieve broad, non-exclusionary distribution of information to the public and for complying with our disclosure obligations under Regulation FD.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635"/>
        <w:gridCol w:w="2129"/>
        <w:gridCol w:w="2148"/>
        <w:gridCol w:w="109"/>
        <w:gridCol w:w="109"/>
        <w:gridCol w:w="109"/>
        <w:gridCol w:w="211"/>
        <w:gridCol w:w="976"/>
        <w:gridCol w:w="109"/>
        <w:gridCol w:w="109"/>
        <w:gridCol w:w="109"/>
        <w:gridCol w:w="109"/>
        <w:gridCol w:w="211"/>
        <w:gridCol w:w="976"/>
        <w:gridCol w:w="156"/>
      </w:tblGrid>
      <w:tr>
        <w:trPr/>
        <w:tc>
          <w:tcPr>
            <w:tcW w:w="2635"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6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 (at fair value)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assets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of credit receivable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and residual certificates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assets (includes $41,166 and </w:t>
            </w:r>
            <w:r>
              <w:rPr>
                <w:rFonts w:ascii="Times New Roman;serif" w:hAnsi="Times New Roman;serif"/>
                <w:b w:val="false"/>
                <w:color w:val="000000"/>
                <w:sz w:val="20"/>
                <w:shd w:fill="FFFFFF" w:val="clear"/>
              </w:rPr>
              <w:t xml:space="preserve">$54,946 </w:t>
            </w:r>
            <w:r>
              <w:rPr>
                <w:rFonts w:ascii="Times New Roman;serif" w:hAnsi="Times New Roman;serif"/>
                <w:b w:val="false"/>
                <w:color w:val="000000"/>
                <w:sz w:val="20"/>
              </w:rPr>
              <w:t>at fair value as of December 31, 2025 and June 30, 2026,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assets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3,171,273 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investors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securitization note holders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 (includes $15,219 and $24,967 at fair value as of December 31, 2025 and June 30, 2026,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liabilities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2,175,990 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2,373,785 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700,000,000 shares authorized; 98,033,361 and 97,306,813 shares issued and outstanding as of December 31, 2025 and June 30, 2026,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797,488 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2,974,805 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3,171,273 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(1)Includes $53.8 million and</w:t>
      </w:r>
      <w:r>
        <w:rPr>
          <w:color w:val="000000"/>
          <w:shd w:fill="FFFFFF" w:val="clear"/>
        </w:rPr>
        <w:t xml:space="preserve"> </w:t>
      </w:r>
      <w:r>
        <w:rPr>
          <w:rFonts w:ascii="Times New Roman;serif" w:hAnsi="Times New Roman;serif"/>
          <w:b w:val="false"/>
          <w:color w:val="000000"/>
          <w:sz w:val="16"/>
          <w:shd w:fill="FFFFFF" w:val="clear"/>
        </w:rPr>
        <w:t xml:space="preserve">$36.3 million </w:t>
      </w:r>
      <w:r>
        <w:rPr>
          <w:rFonts w:ascii="Times New Roman;serif" w:hAnsi="Times New Roman;serif"/>
          <w:b w:val="false"/>
          <w:color w:val="000000"/>
          <w:sz w:val="16"/>
        </w:rPr>
        <w:t xml:space="preserve">of loans, at fair value, contributed as collateral for the consolidated securitization as of December 31, 2025 and June 30, 2026, respectively. Refer to </w:t>
      </w:r>
      <w:r>
        <w:rPr>
          <w:color w:val="000000"/>
        </w:rPr>
        <w:t>“</w:t>
      </w:r>
      <w:r>
        <w:rPr>
          <w:rFonts w:ascii="Times New Roman;serif" w:hAnsi="Times New Roman;serif"/>
          <w:b w:val="false"/>
          <w:i/>
          <w:color w:val="000000"/>
          <w:sz w:val="16"/>
        </w:rPr>
        <w:t>Note 5. Fair Value Measurement”</w:t>
      </w:r>
      <w:r>
        <w:rPr>
          <w:color w:val="000000"/>
        </w:rPr>
        <w:t xml:space="preserve"> </w:t>
      </w:r>
      <w:r>
        <w:rPr>
          <w:rFonts w:ascii="Times New Roman;serif" w:hAnsi="Times New Roman;serif"/>
          <w:b w:val="false"/>
          <w:color w:val="000000"/>
          <w:sz w:val="16"/>
        </w:rPr>
        <w:t>for details.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(2)The following table presents information on assets and liabilities related to VIEs that are consolidated by Upstart Holdings, Inc. at December 31, 2025 and June 30, 2026, respectively. The liabilities of each VIE can only be settled using the assets of the corresponding VIE and creditors of these entities do not have recourse to the general credit of Upstart Holdings, Inc. The assets and liabilities in the table below exclude intercompany balances that eliminate in consolidation.</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Upstart Holdings, Inc. </w: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(Continued)</w:t>
      </w:r>
    </w:p>
    <w:p>
      <w:pPr>
        <w:pStyle w:val="TextBody"/>
        <w:bidi w:val="0"/>
        <w:spacing w:lineRule="auto" w:line="276"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76"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98"/>
        <w:gridCol w:w="2254"/>
        <w:gridCol w:w="2273"/>
        <w:gridCol w:w="109"/>
        <w:gridCol w:w="109"/>
        <w:gridCol w:w="109"/>
        <w:gridCol w:w="227"/>
        <w:gridCol w:w="889"/>
        <w:gridCol w:w="116"/>
        <w:gridCol w:w="109"/>
        <w:gridCol w:w="109"/>
        <w:gridCol w:w="109"/>
        <w:gridCol w:w="211"/>
        <w:gridCol w:w="826"/>
        <w:gridCol w:w="157"/>
      </w:tblGrid>
      <w:tr>
        <w:trPr/>
        <w:tc>
          <w:tcPr>
            <w:tcW w:w="2598"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7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805,564 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 (includes $225 and $104 at fair value as of December 31, 2025 and June 30, 2026,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915,955 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885,485 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investors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securitization note holders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293,073 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748,511 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592,412 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0"/>
        <w:jc w:val="center"/>
        <w:rPr/>
      </w:pPr>
      <w:r>
        <w:rPr>
          <w:rFonts w:ascii="Times New Roman;serif" w:hAnsi="Times New Roman;serif"/>
          <w:b w:val="false"/>
          <w:color w:val="000000"/>
          <w:sz w:val="20"/>
        </w:rPr>
        <w:t>The accompanying notes are an integral part of these unaudited condensed consolidated financial statements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25"/>
        <w:gridCol w:w="966"/>
        <w:gridCol w:w="971"/>
        <w:gridCol w:w="109"/>
        <w:gridCol w:w="109"/>
        <w:gridCol w:w="109"/>
        <w:gridCol w:w="240"/>
        <w:gridCol w:w="946"/>
        <w:gridCol w:w="109"/>
        <w:gridCol w:w="109"/>
        <w:gridCol w:w="109"/>
        <w:gridCol w:w="109"/>
        <w:gridCol w:w="240"/>
        <w:gridCol w:w="946"/>
        <w:gridCol w:w="109"/>
        <w:gridCol w:w="109"/>
        <w:gridCol w:w="109"/>
        <w:gridCol w:w="109"/>
        <w:gridCol w:w="109"/>
        <w:gridCol w:w="240"/>
        <w:gridCol w:w="946"/>
        <w:gridCol w:w="109"/>
        <w:gridCol w:w="109"/>
        <w:gridCol w:w="109"/>
        <w:gridCol w:w="109"/>
        <w:gridCol w:w="240"/>
        <w:gridCol w:w="946"/>
        <w:gridCol w:w="155"/>
      </w:tblGrid>
      <w:tr>
        <w:trPr/>
        <w:tc>
          <w:tcPr>
            <w:tcW w:w="162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 and other adjustments, net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used in computing net income per share,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95,526,364 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96,573,751 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94,903,909 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96,736,956 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outstanding used in computing 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109,720,846 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103,177,583 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101,414,541 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w:t>
      </w:r>
    </w:p>
    <w:p>
      <w:pPr>
        <w:pStyle w:val="TextBody"/>
        <w:bidi w:val="0"/>
        <w:spacing w:lineRule="auto" w:line="288" w:before="0" w:after="0"/>
        <w:ind w:left="0" w:right="0" w:hanging="540"/>
        <w:jc w:val="left"/>
        <w:rPr/>
      </w:pPr>
      <w:r>
        <w:rPr>
          <w:rFonts w:ascii="Times New Roman;serif" w:hAnsi="Times New Roman;serif"/>
          <w:b w:val="false"/>
          <w:color w:val="000000"/>
          <w:sz w:val="16"/>
        </w:rPr>
        <w:t xml:space="preserve">(1)Balances for the three and six months ended June 30, 2025 and 2026 include amounts related to the consolidated securitization. Refer to </w:t>
      </w:r>
      <w:r>
        <w:rPr>
          <w:color w:val="000000"/>
        </w:rPr>
        <w:t>“</w:t>
      </w:r>
      <w:r>
        <w:rPr>
          <w:rFonts w:ascii="Times New Roman;serif" w:hAnsi="Times New Roman;serif"/>
          <w:b w:val="false"/>
          <w:i/>
          <w:color w:val="000000"/>
          <w:sz w:val="16"/>
        </w:rPr>
        <w:t>Note 2. Revenue”</w:t>
      </w:r>
      <w:r>
        <w:rPr>
          <w:color w:val="000000"/>
        </w:rPr>
        <w:t xml:space="preserve"> </w:t>
      </w:r>
      <w:r>
        <w:rPr>
          <w:rFonts w:ascii="Times New Roman;serif" w:hAnsi="Times New Roman;serif"/>
          <w:b w:val="false"/>
          <w:color w:val="000000"/>
          <w:sz w:val="16"/>
        </w:rPr>
        <w:t>for details.</w:t>
      </w:r>
    </w:p>
    <w:p>
      <w:pPr>
        <w:pStyle w:val="TextBody"/>
        <w:bidi w:val="0"/>
        <w:spacing w:lineRule="auto" w:line="288" w:before="0" w:after="0"/>
        <w:ind w:left="0" w:right="0" w:hanging="540"/>
        <w:jc w:val="left"/>
        <w:rPr/>
      </w:pPr>
      <w:r>
        <w:rPr>
          <w:rFonts w:ascii="Times New Roman;serif" w:hAnsi="Times New Roman;serif"/>
          <w:b w:val="false"/>
          <w:color w:val="000000"/>
          <w:sz w:val="16"/>
        </w:rPr>
        <w:t xml:space="preserve">(2)For the three and six months ended June 30, 2026, interest income and interest expense include dividend income earned on certain cash accounts and expense on convertible senior notes, respectively, which were previously included in other income, net. Refer to </w:t>
      </w:r>
      <w:r>
        <w:rPr>
          <w:color w:val="000000"/>
        </w:rPr>
        <w:t>“</w:t>
      </w:r>
      <w:r>
        <w:rPr>
          <w:rFonts w:ascii="Times New Roman;serif" w:hAnsi="Times New Roman;serif"/>
          <w:b w:val="false"/>
          <w:i/>
          <w:color w:val="000000"/>
          <w:sz w:val="16"/>
        </w:rPr>
        <w:t>Note 1. Description of Business and Significant Accounting Policies”</w:t>
      </w:r>
      <w:r>
        <w:rPr>
          <w:color w:val="000000"/>
        </w:rPr>
        <w:t xml:space="preserve"> </w:t>
      </w:r>
      <w:r>
        <w:rPr>
          <w:rFonts w:ascii="Times New Roman;serif" w:hAnsi="Times New Roman;serif"/>
          <w:b w:val="false"/>
          <w:color w:val="000000"/>
          <w:sz w:val="16"/>
        </w:rPr>
        <w:t>for details.</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591" w:type="dxa"/>
        <w:jc w:val="center"/>
        <w:tblInd w:w="0" w:type="dxa"/>
        <w:tblLayout w:type="fixed"/>
        <w:tblCellMar>
          <w:top w:w="28" w:type="dxa"/>
          <w:left w:w="28" w:type="dxa"/>
          <w:bottom w:w="28" w:type="dxa"/>
          <w:right w:w="28" w:type="dxa"/>
        </w:tblCellMar>
      </w:tblPr>
      <w:tblGrid>
        <w:gridCol w:w="636"/>
        <w:gridCol w:w="229"/>
        <w:gridCol w:w="231"/>
        <w:gridCol w:w="109"/>
        <w:gridCol w:w="109"/>
        <w:gridCol w:w="109"/>
        <w:gridCol w:w="118"/>
        <w:gridCol w:w="118"/>
        <w:gridCol w:w="118"/>
        <w:gridCol w:w="118"/>
        <w:gridCol w:w="488"/>
        <w:gridCol w:w="488"/>
        <w:gridCol w:w="211"/>
        <w:gridCol w:w="109"/>
        <w:gridCol w:w="109"/>
        <w:gridCol w:w="109"/>
        <w:gridCol w:w="280"/>
        <w:gridCol w:w="494"/>
        <w:gridCol w:w="157"/>
        <w:gridCol w:w="250"/>
        <w:gridCol w:w="250"/>
        <w:gridCol w:w="251"/>
        <w:gridCol w:w="196"/>
        <w:gridCol w:w="886"/>
        <w:gridCol w:w="109"/>
        <w:gridCol w:w="109"/>
        <w:gridCol w:w="109"/>
        <w:gridCol w:w="109"/>
        <w:gridCol w:w="196"/>
        <w:gridCol w:w="751"/>
        <w:gridCol w:w="109"/>
        <w:gridCol w:w="109"/>
        <w:gridCol w:w="109"/>
        <w:gridCol w:w="109"/>
        <w:gridCol w:w="1171"/>
        <w:gridCol w:w="109"/>
        <w:gridCol w:w="109"/>
        <w:gridCol w:w="109"/>
        <w:gridCol w:w="196"/>
        <w:gridCol w:w="751"/>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gridSpan w:val="2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2708" w:type="dxa"/>
            <w:gridSpan w:val="8"/>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c>
          <w:tcPr>
            <w:tcW w:w="142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95,071,582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1,090,236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(413,604)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676,642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282,825 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736,973 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96,091,343</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1,129,997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(407,997)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722,010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027" w:type="dxa"/>
        <w:jc w:val="center"/>
        <w:tblInd w:w="0" w:type="dxa"/>
        <w:tblLayout w:type="fixed"/>
        <w:tblCellMar>
          <w:top w:w="28" w:type="dxa"/>
          <w:left w:w="28" w:type="dxa"/>
          <w:bottom w:w="28" w:type="dxa"/>
          <w:right w:w="28" w:type="dxa"/>
        </w:tblCellMar>
      </w:tblPr>
      <w:tblGrid>
        <w:gridCol w:w="531"/>
        <w:gridCol w:w="282"/>
        <w:gridCol w:w="283"/>
        <w:gridCol w:w="109"/>
        <w:gridCol w:w="109"/>
        <w:gridCol w:w="109"/>
        <w:gridCol w:w="118"/>
        <w:gridCol w:w="118"/>
        <w:gridCol w:w="118"/>
        <w:gridCol w:w="118"/>
        <w:gridCol w:w="488"/>
        <w:gridCol w:w="488"/>
        <w:gridCol w:w="211"/>
        <w:gridCol w:w="109"/>
        <w:gridCol w:w="109"/>
        <w:gridCol w:w="109"/>
        <w:gridCol w:w="280"/>
        <w:gridCol w:w="494"/>
        <w:gridCol w:w="157"/>
        <w:gridCol w:w="250"/>
        <w:gridCol w:w="250"/>
        <w:gridCol w:w="251"/>
        <w:gridCol w:w="196"/>
        <w:gridCol w:w="886"/>
        <w:gridCol w:w="109"/>
        <w:gridCol w:w="109"/>
        <w:gridCol w:w="109"/>
        <w:gridCol w:w="109"/>
        <w:gridCol w:w="196"/>
        <w:gridCol w:w="751"/>
        <w:gridCol w:w="109"/>
        <w:gridCol w:w="109"/>
        <w:gridCol w:w="109"/>
        <w:gridCol w:w="109"/>
        <w:gridCol w:w="1171"/>
        <w:gridCol w:w="109"/>
        <w:gridCol w:w="109"/>
        <w:gridCol w:w="109"/>
        <w:gridCol w:w="196"/>
        <w:gridCol w:w="751"/>
        <w:gridCol w:w="109"/>
        <w:gridCol w:w="109"/>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93,469,721</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1,044,366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(411,157)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633,218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944,442 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1,526,427 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150,853 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96,091,343</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1,129,997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(407,997)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722,010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33"/>
        <w:gridCol w:w="350"/>
        <w:gridCol w:w="353"/>
        <w:gridCol w:w="109"/>
        <w:gridCol w:w="109"/>
        <w:gridCol w:w="125"/>
        <w:gridCol w:w="125"/>
        <w:gridCol w:w="125"/>
        <w:gridCol w:w="125"/>
        <w:gridCol w:w="488"/>
        <w:gridCol w:w="488"/>
        <w:gridCol w:w="211"/>
        <w:gridCol w:w="109"/>
        <w:gridCol w:w="109"/>
        <w:gridCol w:w="109"/>
        <w:gridCol w:w="320"/>
        <w:gridCol w:w="564"/>
        <w:gridCol w:w="179"/>
        <w:gridCol w:w="250"/>
        <w:gridCol w:w="250"/>
        <w:gridCol w:w="251"/>
        <w:gridCol w:w="204"/>
        <w:gridCol w:w="924"/>
        <w:gridCol w:w="113"/>
        <w:gridCol w:w="109"/>
        <w:gridCol w:w="109"/>
        <w:gridCol w:w="109"/>
        <w:gridCol w:w="237"/>
        <w:gridCol w:w="911"/>
        <w:gridCol w:w="133"/>
        <w:gridCol w:w="109"/>
        <w:gridCol w:w="109"/>
        <w:gridCol w:w="109"/>
        <w:gridCol w:w="196"/>
        <w:gridCol w:w="751"/>
        <w:gridCol w:w="109"/>
        <w:gridCol w:w="109"/>
        <w:gridCol w:w="109"/>
        <w:gridCol w:w="109"/>
        <w:gridCol w:w="164"/>
      </w:tblGrid>
      <w:tr>
        <w:trPr/>
        <w:tc>
          <w:tcPr>
            <w:tcW w:w="73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2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95,708,872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1,097,358</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(364,202)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733,166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854,166 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743,804 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97,306,813</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1,145,141</w:t>
            </w:r>
            <w:r>
              <w:rPr>
                <w:color w:val="000000"/>
              </w:rPr>
              <w:t>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(347,663)</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797,488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data)</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11"/>
        <w:gridCol w:w="474"/>
        <w:gridCol w:w="475"/>
        <w:gridCol w:w="109"/>
        <w:gridCol w:w="109"/>
        <w:gridCol w:w="130"/>
        <w:gridCol w:w="130"/>
        <w:gridCol w:w="130"/>
        <w:gridCol w:w="130"/>
        <w:gridCol w:w="488"/>
        <w:gridCol w:w="488"/>
        <w:gridCol w:w="211"/>
        <w:gridCol w:w="109"/>
        <w:gridCol w:w="109"/>
        <w:gridCol w:w="109"/>
        <w:gridCol w:w="346"/>
        <w:gridCol w:w="610"/>
        <w:gridCol w:w="194"/>
        <w:gridCol w:w="250"/>
        <w:gridCol w:w="250"/>
        <w:gridCol w:w="251"/>
        <w:gridCol w:w="210"/>
        <w:gridCol w:w="950"/>
        <w:gridCol w:w="116"/>
        <w:gridCol w:w="109"/>
        <w:gridCol w:w="109"/>
        <w:gridCol w:w="109"/>
        <w:gridCol w:w="251"/>
        <w:gridCol w:w="963"/>
        <w:gridCol w:w="141"/>
        <w:gridCol w:w="109"/>
        <w:gridCol w:w="109"/>
        <w:gridCol w:w="109"/>
        <w:gridCol w:w="196"/>
        <w:gridCol w:w="751"/>
        <w:gridCol w:w="160"/>
      </w:tblGrid>
      <w:tr>
        <w:trPr/>
        <w:tc>
          <w:tcPr>
            <w:tcW w:w="7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c>
          <w:tcPr>
            <w:tcW w:w="1434" w:type="dxa"/>
            <w:gridSpan w:val="6"/>
            <w:tcBorders/>
          </w:tcPr>
          <w:p>
            <w:pPr>
              <w:pStyle w:val="TableContents"/>
              <w:bidi w:val="0"/>
              <w:spacing w:before="0" w:after="283"/>
              <w:jc w:val="left"/>
              <w:rPr>
                <w:sz w:val="4"/>
                <w:szCs w:val="4"/>
              </w:rPr>
            </w:pPr>
            <w:r>
              <w:rPr>
                <w:sz w:val="4"/>
                <w:szCs w:val="4"/>
              </w:rPr>
            </w:r>
          </w:p>
        </w:tc>
      </w:tr>
      <w:tr>
        <w:trPr/>
        <w:tc>
          <w:tcPr>
            <w:tcW w:w="1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2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98,033,361</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1,156,361</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(357,556)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798,815</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942,851 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1,346,546 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related to net share settlement of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under ESPP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177,378 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(3,193,294)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(100,325)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97,306,813</w:t>
            </w:r>
            <w:r>
              <w:rPr>
                <w:color w:val="000000"/>
              </w:rPr>
              <w: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1,145,141</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(347,663)</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797,488</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87"/>
        <w:gridCol w:w="2270"/>
        <w:gridCol w:w="2287"/>
        <w:gridCol w:w="109"/>
        <w:gridCol w:w="109"/>
        <w:gridCol w:w="266"/>
        <w:gridCol w:w="782"/>
        <w:gridCol w:w="117"/>
        <w:gridCol w:w="117"/>
        <w:gridCol w:w="117"/>
        <w:gridCol w:w="117"/>
        <w:gridCol w:w="266"/>
        <w:gridCol w:w="782"/>
        <w:gridCol w:w="117"/>
        <w:gridCol w:w="162"/>
      </w:tblGrid>
      <w:tr>
        <w:trPr/>
        <w:tc>
          <w:tcPr>
            <w:tcW w:w="2587"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servicing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servicing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beneficial interest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beneficial interest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other financial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loan servicing rights,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premium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originations of loans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(3,969,799)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(6,049,875)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loans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3,723,733 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5,532,144 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loans held-for-sale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loans held by consolidated securitization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of beneficial interest liabilities,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beneficial interest assets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of beneficial interest assets (derivatives)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and right-of-use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(133,648)</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(269,929)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originations of loans held-for-investment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(377,940)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(617,215)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loans held-for-investment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435,726 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loans held-for-investment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received for notes receivable and repayments of residual certificates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settlements of beneficial interest assets (hybrid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beneficial interest assets (hybrid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line of credit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line of credit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1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76"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9065" w:type="dxa"/>
        <w:jc w:val="center"/>
        <w:tblInd w:w="0" w:type="dxa"/>
        <w:tblLayout w:type="fixed"/>
        <w:tblCellMar>
          <w:top w:w="28" w:type="dxa"/>
          <w:left w:w="28" w:type="dxa"/>
          <w:bottom w:w="28" w:type="dxa"/>
          <w:right w:w="28" w:type="dxa"/>
        </w:tblCellMar>
      </w:tblPr>
      <w:tblGrid>
        <w:gridCol w:w="2198"/>
        <w:gridCol w:w="1931"/>
        <w:gridCol w:w="1945"/>
        <w:gridCol w:w="109"/>
        <w:gridCol w:w="109"/>
        <w:gridCol w:w="211"/>
        <w:gridCol w:w="826"/>
        <w:gridCol w:w="109"/>
        <w:gridCol w:w="109"/>
        <w:gridCol w:w="109"/>
        <w:gridCol w:w="109"/>
        <w:gridCol w:w="211"/>
        <w:gridCol w:w="826"/>
        <w:gridCol w:w="109"/>
        <w:gridCol w:w="154"/>
      </w:tblGrid>
      <w:tr>
        <w:trPr/>
        <w:tc>
          <w:tcPr>
            <w:tcW w:w="2198"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issuance costs to third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borrowings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made on securitization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Payable to investors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related to stock-based award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Beneficial interests obtained in connection with loan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retained under unconsolidated securitization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line of credit receivable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720"/>
        <w:jc w:val="both"/>
        <w:rPr/>
      </w:pPr>
      <w:r>
        <w:rPr/>
      </w:r>
    </w:p>
    <w:p>
      <w:pPr>
        <w:pStyle w:val="TextBody"/>
        <w:bidi w:val="0"/>
        <w:spacing w:lineRule="auto" w:line="288" w:before="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presents cash, cash equivalents and restricted cash by category within the unaudited condensed consolidated balance sheets:</w:t>
      </w:r>
    </w:p>
    <w:tbl>
      <w:tblPr>
        <w:tblW w:w="7085" w:type="dxa"/>
        <w:jc w:val="center"/>
        <w:tblInd w:w="0" w:type="dxa"/>
        <w:tblLayout w:type="fixed"/>
        <w:tblCellMar>
          <w:top w:w="28" w:type="dxa"/>
          <w:left w:w="28" w:type="dxa"/>
          <w:bottom w:w="28" w:type="dxa"/>
          <w:right w:w="28" w:type="dxa"/>
        </w:tblCellMar>
      </w:tblPr>
      <w:tblGrid>
        <w:gridCol w:w="1429"/>
        <w:gridCol w:w="1254"/>
        <w:gridCol w:w="1261"/>
        <w:gridCol w:w="109"/>
        <w:gridCol w:w="109"/>
        <w:gridCol w:w="109"/>
        <w:gridCol w:w="211"/>
        <w:gridCol w:w="976"/>
        <w:gridCol w:w="109"/>
        <w:gridCol w:w="109"/>
        <w:gridCol w:w="109"/>
        <w:gridCol w:w="109"/>
        <w:gridCol w:w="211"/>
        <w:gridCol w:w="82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982,277 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shd w:fill="FFFFFF" w:val="clear"/>
        </w:rPr>
        <w:t xml:space="preserve">The accompanying notes are an integral part of these </w:t>
      </w:r>
      <w:r>
        <w:rPr>
          <w:rFonts w:ascii="Times New Roman;serif" w:hAnsi="Times New Roman;serif"/>
          <w:b w:val="false"/>
          <w:color w:val="000000"/>
          <w:sz w:val="20"/>
        </w:rPr>
        <w:t>unaudited condensed</w:t>
      </w:r>
      <w:r>
        <w:rPr>
          <w:color w:val="000000"/>
          <w:shd w:fill="FFFFFF" w:val="clear"/>
        </w:rPr>
        <w:t xml:space="preserve"> </w:t>
      </w:r>
      <w:r>
        <w:rPr>
          <w:rFonts w:ascii="Times New Roman;serif" w:hAnsi="Times New Roman;serif"/>
          <w:b w:val="false"/>
          <w:color w:val="000000"/>
          <w:sz w:val="20"/>
          <w:shd w:fill="FFFFFF" w:val="clear"/>
        </w:rPr>
        <w:t>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    Description of Business and Significant Accounting Policies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Description of Business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Upstart Holdings, Inc. and its subsidiaries (together “Upstart”, the “Company”, “management”, “we”, or “our”) apply AI models and cloud applications to the process of underwriting consumer credit to more accurately quantify the true risk of a loan. The Company helps originate credit by providing lending partners and auto dealers with access to a proprietary, cloud-based, AI lending marketplace and connects consumers with diverse sources of capital. The Company currently operates in the United States and is headquartered in Burlingame, California. The Company’s fiscal year ends on December 31. </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have been prepared on the same basis as the annual consolidated financial statements included in our Annual Report on Form 10-K. Certain prior period amounts have been reclassified where appropriate to conform to the current period presentation of such amounts. In the opinion of management, the accompanying condensed consolidated financial statements reflect all adjustments, which include only normal recurring adjustments, necessary to state fairly the Company’s financial position, results of operations, comprehensive income and cash flows for the periods presented, but are not necessarily indicative of the results of operations to be anticipated of any future annual or interim periods.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information and disclosures normally included in the financial statements prepared in accordance with GAAP have been omitted pursuant to rules and regulations of the SEC. Accordingly, the information included in this Quarterly Report on Form 10-Q should be read in conjunction with the consolidated financial statements and accompanying notes included in our Annual Report on Form 10-K for the year ended December 31, 2025.</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Reclassifications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elected to change its presentation of the notes receivable and residual certificates retained from unconsolidated securitization transactions. The notes receivable and residual certificates, previously presented within other assets, were reclassified to be separately presented on the condensed consolidated balance sheets. Comparative amounts have been reclassified to conform to the current period presentation.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revised its presentation of (i) interest expense and amortization of debt issuance costs related to its convertible senior notes and (ii) dividend income earned on certain cash accounts based on management’s updated assessment of the economics of capital deployed in support of the Company’s operations, including the related income and costs. In prior periods, these amounts were presented in other income,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this change:</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Expense on convertible notes previously included in other income, net are now presented within interest expense in total interest income, interest expense, and fair value adjustments, net in the condensed consolidated statements of operations and comprehensive income.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Dividend income earned on certain cash accounts previously included in other income, net is now presented within interest income in total interest income, interest expense, and fair value adjustments, net in the condensed consolidated statements of operations and comprehensive income.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change did not impact the Company’s net income, comprehensive income, or cash flows for any period. Comparative amounts have not been reclassified to conform to the current-period presentation.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the unaudited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and (iv) the evaluation for impairment of goodwill. The Company bases its estimates on various factors it believes to be reasonable under the circumstances. Actual results could differ from those estimates and such differences could affect the results of operations reported in future periods.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January 1, 2026, the Company adopted ASU 2024-04, </w:t>
      </w:r>
      <w:r>
        <w:rPr>
          <w:rFonts w:ascii="Times New Roman;serif" w:hAnsi="Times New Roman;serif"/>
          <w:b w:val="false"/>
          <w:i/>
          <w:color w:val="000000"/>
          <w:sz w:val="20"/>
        </w:rPr>
        <w:t>Debt—Debt with Conversion and Other Options (Subtopic 470-20): Induced Conversions of Convertible Debt Instruments.</w:t>
      </w:r>
      <w:r>
        <w:rPr>
          <w:color w:val="000000"/>
        </w:rPr>
        <w:t xml:space="preserve"> </w:t>
      </w:r>
      <w:r>
        <w:rPr>
          <w:rFonts w:ascii="Times New Roman;serif" w:hAnsi="Times New Roman;serif"/>
          <w:b w:val="false"/>
          <w:color w:val="000000"/>
          <w:sz w:val="20"/>
        </w:rPr>
        <w:t xml:space="preserve">The new guidance clarifies the requirements for determining whether certain settlements of convertible debt instruments should be accounted for as an induced conversion. The new standard is applied prospectively to future settlements of convertible debt and did not have an impact on the Company’s condensed consolidated financial statements or related disclosures. </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November 2024, the FASB issued ASU 2024-03 and subsequently ASU 2025-01,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The amendments in this update require disaggregated disclosures in the notes to the financial statements for certain expenses such as employee compensation, depreciation, and intangible asset amortization, which are commonly presented in aggregate. This ASU is effective for annual periods beginning after December 15, 2026 and interim periods beginning after December 15, 2027 with early adoption permitted. The Company is currently evaluating the impact of these amendments to its condensed consolidated financial statements and related disclosures.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Intangibles—Goodwill and Other—Internal-Use Software (Subtopic 350-40): Targeted Improvements to the Accounting for Internal-Use Software</w:t>
      </w:r>
      <w:r>
        <w:rPr>
          <w:rFonts w:ascii="Times New Roman;serif" w:hAnsi="Times New Roman;serif"/>
          <w:b w:val="false"/>
          <w:color w:val="000000"/>
          <w:sz w:val="20"/>
        </w:rPr>
        <w:t>. The amendments in this update remove references to software development project stages and introduce a “probable-to-complete” threshold to determine when software development costs should be capitalized. This ASU is effective for annual reporting periods beginning after December 15, 2027 with early adoption permitted. The Company is currently evaluating the impact of these amendments to its condensed consolidated financial statements and related disclosures.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The amendments in this update clarify the existing interim requirements including introducing a disclosure principle that entities should disclose material events since the end of the last annual reporting period. The amendments do not expand or reduce the current interim disclosure requirements. This ASU is effective for interim periods within annual reporting periods beginning after December 15, 2027 with early adoption permitted. The Company is currently evaluating the impact of these amendments on its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2.    Revenue</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Revenue from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disaggregates revenue from fees by type of service for the periods presented as follows: </w:t>
      </w:r>
    </w:p>
    <w:tbl>
      <w:tblPr>
        <w:tblW w:w="8412" w:type="dxa"/>
        <w:jc w:val="center"/>
        <w:tblInd w:w="0" w:type="dxa"/>
        <w:tblLayout w:type="fixed"/>
        <w:tblCellMar>
          <w:top w:w="28" w:type="dxa"/>
          <w:left w:w="28" w:type="dxa"/>
          <w:bottom w:w="28" w:type="dxa"/>
          <w:right w:w="28" w:type="dxa"/>
        </w:tblCellMar>
      </w:tblPr>
      <w:tblGrid>
        <w:gridCol w:w="895"/>
        <w:gridCol w:w="788"/>
        <w:gridCol w:w="792"/>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and referral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other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 sales fees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(1)Beginning in the second quarter of 2026, loan sales fees, which were previously included within servicing and other fees, net, are presented as a separate component of revenue from fees, net. Prior-period amounts have been reclassified to conform to the current-period presentation.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Platform and Referral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Platform and referral fees, net consists of (i) platform and referral fees received from lending partners, (ii) subscription fees received from auto dealerships, and (iii) origination fees received from borrowers on HELOCs, as described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Platform and referral fees. </w:t>
      </w:r>
      <w:r>
        <w:rPr>
          <w:rFonts w:ascii="Times New Roman;serif" w:hAnsi="Times New Roman;serif"/>
          <w:b w:val="false"/>
          <w:color w:val="000000"/>
          <w:sz w:val="20"/>
        </w:rPr>
        <w:t>The Company enters into contracts with its lending partner customers, to provide access to a cloud-based AI lending marketplace developed by the Company (the “Upstart platform”) to enable lending partners to originate unsecured personal and secured auto refinance loans. The Upstart platform includes a cloud-based application (through Upstart.com)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Lending partners can specify certain parameters of loans they are willing to originate. Under these contracts, lending partners can choose to use Upstart’s referral services, which allow them to access new borrowers through Upstart’s marketing channels.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After origination, Upstart-powered loans are either retained by lending partners, purchased by the Company for immediate resale to institutional investors under loan sale agreements, or purchased and held by the Company. For loans not retained by the lending partners, the Company pays the lending partners a one-time loan premium fee upon completion of the minimum contractual holding period and a monthly loan trailing fee based on the amount and timing of principal and interest payments made by the borrowers of the underlying loans. Both the loan premium fees and loan trailing fees are consideration payable to customers, which are our lending partners, and are recorded as a reduction to platform and referral fees, net, which is part of revenue from fees, net, in the condensed consolidated statements of operations and comprehensive income. The Company recognized an immaterial amount and $8.1 million of loan premium fees and loan trailing fees as contra-revenue within platform and referral fees, net during the three and six months ended June 30, 2025, respectively, and an immaterial amount and $11.2 million during the three and six months ended June 30, 2026,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December 31, 2025 and June 30, 2026, the Company recognized $5.8 million and $6.4 million of loan trailing fee liability, respectively, which is recorded at fair value and included within accrued expenses and other liabilities on the Company’s condensed consolidated balance sheets.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for additional information on changes in fair value associated with trailing fee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arrangements for platform and referral services typically consist of an obligation to provide one or both of these services to customers,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Platform and referral services are typically provided under a fixed or variable price per unit based on a percentage of the value of loans originated each period with certain lending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generally billed and paid on a monthly basis, or settled on a daily basis. As such, the Company’s contracts with customers do not include a significant financing component.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Subscription fees.</w:t>
      </w:r>
      <w:r>
        <w:rPr>
          <w:color w:val="000000"/>
        </w:rPr>
        <w:t xml:space="preserve"> </w:t>
      </w:r>
      <w:r>
        <w:rPr>
          <w:rFonts w:ascii="Times New Roman;serif" w:hAnsi="Times New Roman;serif"/>
          <w:b w:val="false"/>
          <w:color w:val="000000"/>
          <w:sz w:val="20"/>
        </w:rPr>
        <w:t>The Company enters into subscription agreements with auto dealerships to access Upstart Auto Finance software, a cloud-based solution that facilitates dealership operations and enables them to provide consumers with access to Upstart-powered auto loans. Subscription agreements generally have a contractual term of one to six months with evergreen monthly renewals. The Company bills these customers on a monthly basis. Subscription fees are recognized over the contract term as the performance obligation is satisfied, and are included within platform and referral fees, net in the condensed consolidated statements of operations and comprehensive income. Subscription fees were immaterial for the three and six months ended June 30, 2025 and 2026.</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Origination fees.</w:t>
      </w:r>
      <w:r>
        <w:rPr>
          <w:color w:val="000000"/>
        </w:rPr>
        <w:t xml:space="preserve"> </w:t>
      </w:r>
      <w:r>
        <w:rPr>
          <w:rFonts w:ascii="Times New Roman;serif" w:hAnsi="Times New Roman;serif"/>
          <w:b w:val="false"/>
          <w:color w:val="000000"/>
          <w:sz w:val="20"/>
        </w:rPr>
        <w:t>Origination fees are earned from borrowers on HELOCs originated by the Company. Origination fees were not material for the three and six months ended June 30, 2025, and were immaterial and $8.6 million for the three and six months ended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had $25.8 million and $28.3 million of accounts receivable, excluding those that are settled on a daily basis, that are included in other assets on the condensed consolidated balance sheets related to contracts with customers as of December 31, 2025 and June 30, 2026, respectively. The standard payment terms on accounts receivable are 30 days. The Company’s allowance for bad debt and bad debt expense were immaterial for the periods presented.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capitalizes incremental costs of obtaining a contract with a customer, which are certain sales commissions paid to employees in connection with the acquisition of lending partners. Capitalized costs are amortized over the expected period of benefit, which we have determined, based on an analysis, to be three years. The Company applies the practical expedient to expense costs to obtain contracts with customers if the amortization period is one year or less. As of both December 31, 2025 and June 30, 2026, the Company had an immaterial amount of contract costs capitalized within other assets on the condensed consolidated balance sheets. The Company amortized immaterial amounts of capitalized contracts costs to sales and marketing in the condensed consolidated statements of operations and comprehensive income for the periods presented.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Customers accounting for greater than 10% of total revenue were as follows:</w:t>
      </w:r>
    </w:p>
    <w:p>
      <w:pPr>
        <w:pStyle w:val="TextBody"/>
        <w:bidi w:val="0"/>
        <w:spacing w:before="0" w:after="0"/>
        <w:jc w:val="both"/>
        <w:rPr/>
      </w:pPr>
      <w:r>
        <w:rPr/>
      </w:r>
    </w:p>
    <w:tbl>
      <w:tblPr>
        <w:tblW w:w="6161" w:type="dxa"/>
        <w:jc w:val="left"/>
        <w:tblInd w:w="0" w:type="dxa"/>
        <w:tblLayout w:type="fixed"/>
        <w:tblCellMar>
          <w:top w:w="28" w:type="dxa"/>
          <w:left w:w="28" w:type="dxa"/>
          <w:bottom w:w="28" w:type="dxa"/>
          <w:right w:w="28" w:type="dxa"/>
        </w:tblCellMar>
      </w:tblPr>
      <w:tblGrid>
        <w:gridCol w:w="391"/>
        <w:gridCol w:w="344"/>
        <w:gridCol w:w="345"/>
        <w:gridCol w:w="268"/>
        <w:gridCol w:w="268"/>
        <w:gridCol w:w="270"/>
        <w:gridCol w:w="208"/>
        <w:gridCol w:w="208"/>
        <w:gridCol w:w="208"/>
        <w:gridCol w:w="268"/>
        <w:gridCol w:w="268"/>
        <w:gridCol w:w="270"/>
        <w:gridCol w:w="208"/>
        <w:gridCol w:w="208"/>
        <w:gridCol w:w="208"/>
        <w:gridCol w:w="109"/>
        <w:gridCol w:w="109"/>
        <w:gridCol w:w="109"/>
        <w:gridCol w:w="109"/>
        <w:gridCol w:w="109"/>
        <w:gridCol w:w="178"/>
        <w:gridCol w:w="178"/>
        <w:gridCol w:w="178"/>
        <w:gridCol w:w="178"/>
        <w:gridCol w:w="178"/>
        <w:gridCol w:w="178"/>
        <w:gridCol w:w="178"/>
        <w:gridCol w:w="178"/>
        <w:gridCol w:w="25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806"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806"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60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Less than 10%</w:t>
      </w:r>
    </w:p>
    <w:p>
      <w:pPr>
        <w:pStyle w:val="TextBody"/>
        <w:bidi w:val="0"/>
        <w:spacing w:before="0" w:after="0"/>
        <w:jc w:val="left"/>
        <w:rPr/>
      </w:pPr>
      <w:r>
        <w:rPr/>
      </w:r>
    </w:p>
    <w:p>
      <w:pPr>
        <w:pStyle w:val="TextBody"/>
        <w:bidi w:val="0"/>
        <w:spacing w:before="0" w:after="0"/>
        <w:ind w:left="0" w:right="0" w:hanging="54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Customers accounting for greater than 10% of accounts receivable were as follows:</w:t>
      </w:r>
    </w:p>
    <w:p>
      <w:pPr>
        <w:pStyle w:val="TextBody"/>
        <w:bidi w:val="0"/>
        <w:spacing w:before="0" w:after="0"/>
        <w:ind w:left="0" w:right="0" w:firstLine="720"/>
        <w:jc w:val="both"/>
        <w:rPr/>
      </w:pPr>
      <w:r>
        <w:rPr/>
      </w:r>
    </w:p>
    <w:tbl>
      <w:tblPr>
        <w:tblW w:w="3848"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419"/>
        <w:gridCol w:w="419"/>
        <w:gridCol w:w="421"/>
        <w:gridCol w:w="109"/>
        <w:gridCol w:w="109"/>
        <w:gridCol w:w="109"/>
        <w:gridCol w:w="250"/>
        <w:gridCol w:w="250"/>
        <w:gridCol w:w="35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 Less than 10%</w:t>
      </w:r>
    </w:p>
    <w:p>
      <w:pPr>
        <w:pStyle w:val="TextBody"/>
        <w:bidi w:val="0"/>
        <w:spacing w:before="0" w:after="0"/>
        <w:ind w:left="0" w:right="0" w:hanging="54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Servicing and Other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enters into contracts with lending partners and institutional investors, including securitization trusts and pass-through entities to provide loan servicing for the life of Upstart-powered loans. These services commence upon origination of these loans by lending partners and include collection, processing and reconciliations of payments received, institutional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charges lending partners and institutional investors for collection agency fees related to their outstanding loan portfolio. The Company either performs borrower collection activities in-house, or outsources to third-party collection agencies, including for loans that are charged off.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borrower fees inclusive of late payment fees and ACH fail fees. The total fees charged by collection agencies are recognized in the period incurred and reported as part of customer operations expenses.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Servicing and other fees, net also includes gains and losses on assets and liabilities recognized under loan servicing arrangements for loans retained by lending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 xml:space="preserve">for additional information on changes in fair value associated with servicing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servicing and other fees, net as part of revenue from fees, net in the Company’s condensed consolidated statements of operations and comprehensive income: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5"/>
        <w:gridCol w:w="1386"/>
        <w:gridCol w:w="1393"/>
        <w:gridCol w:w="109"/>
        <w:gridCol w:w="109"/>
        <w:gridCol w:w="109"/>
        <w:gridCol w:w="211"/>
        <w:gridCol w:w="721"/>
        <w:gridCol w:w="109"/>
        <w:gridCol w:w="109"/>
        <w:gridCol w:w="109"/>
        <w:gridCol w:w="109"/>
        <w:gridCol w:w="211"/>
        <w:gridCol w:w="721"/>
        <w:gridCol w:w="109"/>
        <w:gridCol w:w="109"/>
        <w:gridCol w:w="109"/>
        <w:gridCol w:w="109"/>
        <w:gridCol w:w="109"/>
        <w:gridCol w:w="109"/>
        <w:gridCol w:w="211"/>
        <w:gridCol w:w="721"/>
        <w:gridCol w:w="109"/>
        <w:gridCol w:w="109"/>
        <w:gridCol w:w="109"/>
        <w:gridCol w:w="109"/>
        <w:gridCol w:w="211"/>
        <w:gridCol w:w="826"/>
        <w:gridCol w:w="155"/>
      </w:tblGrid>
      <w:tr>
        <w:trPr/>
        <w:tc>
          <w:tcPr>
            <w:tcW w:w="158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Collection agency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servicing rights and fair value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servicing and other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Loan Sales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charges its third-party loan purchasers fees for facilitating certain forward-flow loan sales. These fees are recognized as part of the sales proceeds received from the transferee under ASC 860, </w:t>
      </w:r>
      <w:r>
        <w:rPr>
          <w:rFonts w:ascii="Times New Roman;serif" w:hAnsi="Times New Roman;serif"/>
          <w:b w:val="false"/>
          <w:i/>
          <w:color w:val="000000"/>
          <w:sz w:val="20"/>
        </w:rPr>
        <w:t xml:space="preserve">Transfers and Servicing, </w:t>
      </w:r>
      <w:r>
        <w:rPr>
          <w:rFonts w:ascii="Times New Roman;serif" w:hAnsi="Times New Roman;serif"/>
          <w:b w:val="false"/>
          <w:color w:val="000000"/>
          <w:sz w:val="20"/>
        </w:rPr>
        <w:t xml:space="preserve">and represent the difference between the net assets received and the par value of the loans sold.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Interest Income, Interest Expense, and Fair Value Adjustments,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Interest income, interest expense, and fair value adjustments, net is comprised of interest income, interest expense and net changes in the fair value of financial instruments held in the Company’s normal course of business at fair value, including loans, derivatives, beneficial interests, notes receivable and residual certificates, trailing fee liabilities, payable to securitization note holders, and line of credit receivable. For the three and six months ended June 30, 2026, interest income, interest expense, and fair value adjustments, net also includes coupon interest expense and amortization of debt issuance costs related to the Company’s convertible senior notes and dividend income earned on certain cash accounts, which were previously included in other income, net. Refer to </w:t>
      </w:r>
      <w:r>
        <w:rPr>
          <w:color w:val="000000"/>
        </w:rPr>
        <w:t>“</w:t>
      </w:r>
      <w:r>
        <w:rPr>
          <w:rFonts w:ascii="Times New Roman;serif" w:hAnsi="Times New Roman;serif"/>
          <w:b w:val="false"/>
          <w:i/>
          <w:color w:val="000000"/>
          <w:sz w:val="20"/>
        </w:rPr>
        <w:t>Note 1. Description of Business and Significant Accounting Policies”</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components of the interest income, interest expense, and fair value adjustments, net presented in the Company’s condensed consolidated statements of operations and comprehensive income: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47"/>
        <w:gridCol w:w="1372"/>
        <w:gridCol w:w="1345"/>
        <w:gridCol w:w="109"/>
        <w:gridCol w:w="109"/>
        <w:gridCol w:w="109"/>
        <w:gridCol w:w="211"/>
        <w:gridCol w:w="721"/>
        <w:gridCol w:w="109"/>
        <w:gridCol w:w="109"/>
        <w:gridCol w:w="109"/>
        <w:gridCol w:w="109"/>
        <w:gridCol w:w="211"/>
        <w:gridCol w:w="721"/>
        <w:gridCol w:w="109"/>
        <w:gridCol w:w="109"/>
        <w:gridCol w:w="109"/>
        <w:gridCol w:w="109"/>
        <w:gridCol w:w="109"/>
        <w:gridCol w:w="109"/>
        <w:gridCol w:w="211"/>
        <w:gridCol w:w="721"/>
        <w:gridCol w:w="109"/>
        <w:gridCol w:w="109"/>
        <w:gridCol w:w="109"/>
        <w:gridCol w:w="109"/>
        <w:gridCol w:w="211"/>
        <w:gridCol w:w="826"/>
        <w:gridCol w:w="155"/>
      </w:tblGrid>
      <w:tr>
        <w:trPr/>
        <w:tc>
          <w:tcPr>
            <w:tcW w:w="164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and other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Unrealized loss on loans, loan charge-offs, and other fair value adjustments, net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and realized gains (losses) on beneficial interests,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gain (loss) on sale of loans,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fair value and other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interest expense, and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(1)Includes interest income, interest expense and unrealized loss on loans, loan charge-offs, and other fair value adjustments, net, respectively, related to the consolidated securitization as follows:</w:t>
      </w:r>
    </w:p>
    <w:p>
      <w:pPr>
        <w:pStyle w:val="TextBody"/>
        <w:bidi w:val="0"/>
        <w:spacing w:before="0" w:after="0"/>
        <w:jc w:val="left"/>
        <w:rPr/>
      </w:pPr>
      <w:r>
        <w:rPr/>
      </w:r>
    </w:p>
    <w:p>
      <w:pPr>
        <w:pStyle w:val="TextBody"/>
        <w:bidi w:val="0"/>
        <w:spacing w:before="0" w:after="0"/>
        <w:ind w:left="0" w:right="0" w:hanging="720"/>
        <w:jc w:val="both"/>
        <w:rPr/>
      </w:pPr>
      <w:r>
        <w:rPr/>
      </w:r>
    </w:p>
    <w:tbl>
      <w:tblPr>
        <w:tblW w:w="10205" w:type="dxa"/>
        <w:jc w:val="left"/>
        <w:tblInd w:w="0" w:type="dxa"/>
        <w:tblLayout w:type="fixed"/>
        <w:tblCellMar>
          <w:top w:w="28" w:type="dxa"/>
          <w:left w:w="28" w:type="dxa"/>
          <w:bottom w:w="28" w:type="dxa"/>
          <w:right w:w="28" w:type="dxa"/>
        </w:tblCellMar>
      </w:tblPr>
      <w:tblGrid>
        <w:gridCol w:w="1771"/>
        <w:gridCol w:w="1557"/>
        <w:gridCol w:w="1561"/>
        <w:gridCol w:w="109"/>
        <w:gridCol w:w="109"/>
        <w:gridCol w:w="109"/>
        <w:gridCol w:w="211"/>
        <w:gridCol w:w="616"/>
        <w:gridCol w:w="109"/>
        <w:gridCol w:w="109"/>
        <w:gridCol w:w="109"/>
        <w:gridCol w:w="109"/>
        <w:gridCol w:w="211"/>
        <w:gridCol w:w="616"/>
        <w:gridCol w:w="109"/>
        <w:gridCol w:w="109"/>
        <w:gridCol w:w="109"/>
        <w:gridCol w:w="109"/>
        <w:gridCol w:w="109"/>
        <w:gridCol w:w="109"/>
        <w:gridCol w:w="211"/>
        <w:gridCol w:w="616"/>
        <w:gridCol w:w="109"/>
        <w:gridCol w:w="109"/>
        <w:gridCol w:w="109"/>
        <w:gridCol w:w="109"/>
        <w:gridCol w:w="211"/>
        <w:gridCol w:w="616"/>
        <w:gridCol w:w="155"/>
      </w:tblGrid>
      <w:tr>
        <w:trPr/>
        <w:tc>
          <w:tcPr>
            <w:tcW w:w="177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 related to 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loans, loan charge-offs, and other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is recognized based on the terms of the underlying agreements with borrowers for loans and line of credit receivable held on the Company’s condensed consolidated balance sheets and is earned over the life of a loan or a line of credit receivable.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includes accrued interest earned on outstanding loans and line of credit receivable but not collected. Generally, HELOCs that have reached a delinquency over 180 days and all other loans and line of credit receivable that have reached a delinquency over 120 days are charged off and do not accrue interest. The Company does not record an allowance for credit losses on accrued interest receivable. As of December 31, 2025 and June 30, 2026, the Company has recorded $10.2 million and $11.1 million, respectively of accrued interest income in loans on the condensed consolidated balance sheets. Accrued interest income on the line of credit receivable was immaterial as of both December 31, 2025 and June 30, 2026. For the three and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income included an immaterial amount and $7.9 million of dividend income earned on certain cash accounts,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expense is primarily related to interest recorded on the Company’s borrowings on warehouse credit facilities and interest expense related to the consolidated securitization. Interest expense includes accrued interest incurred but not paid. Interest expense also includes changes in fair value of the interest rate caps. Accrued interest expenses for the warehouses were immaterial as of both December 31, 2025 and June 30, 2026. For the three and six months ended June 30, 2026, interest expense included an immaterial amount and $10.1 million of coupon interest expense and amortization of debt issuance costs related to the Company’s convertible senior notes.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Fair Value and Other Adjustments,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Fair value and other adjustments, net include changes in fair value of financial instruments, other than loan servicing assets and liabilities and interest rate caps. These adjustments are recorded in the Company’s condensed consolidated statements of operations and comprehensive income and include both realized and unrealized changes to the value of related assets and liabilities.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Fair value and other adjustments, net also includes amounts received from borrowers for previously charged-off loans held on the Company’s condensed consolidated balance sheets. These amounts are recognized in the period when amounts are received. Amounts received from borrowers for previously charged-off loans were immaterial and $12.3 million for the three months ended June 30, 2025 and 2026 and $8.5 million and $17.3 million for the six months ended June 30, 2025 and 2026, respectively.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3.    Variable Interest Entities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Consolidated VIEs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consolidates VIEs in which the Company has a variable interest and is determined to be the primary beneficiary. This determination is based on whether the Company has a variable interest (or combination of variable interests) that provides the Company with both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 summary of financial assets and liabilities from the Company’s involvement with consolidated VIEs: </w:t>
      </w:r>
    </w:p>
    <w:p>
      <w:pPr>
        <w:pStyle w:val="TextBody"/>
        <w:bidi w:val="0"/>
        <w:spacing w:before="0" w:after="0"/>
        <w:ind w:left="0" w:right="0" w:firstLine="612"/>
        <w:jc w:val="both"/>
        <w:rPr/>
      </w:pPr>
      <w:r>
        <w:rPr/>
      </w:r>
    </w:p>
    <w:tbl>
      <w:tblPr>
        <w:tblW w:w="7223" w:type="dxa"/>
        <w:jc w:val="left"/>
        <w:tblInd w:w="0" w:type="dxa"/>
        <w:tblLayout w:type="fixed"/>
        <w:tblCellMar>
          <w:top w:w="28" w:type="dxa"/>
          <w:left w:w="28" w:type="dxa"/>
          <w:bottom w:w="28" w:type="dxa"/>
          <w:right w:w="28" w:type="dxa"/>
        </w:tblCellMar>
      </w:tblPr>
      <w:tblGrid>
        <w:gridCol w:w="1000"/>
        <w:gridCol w:w="879"/>
        <w:gridCol w:w="880"/>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warehouse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223" w:type="dxa"/>
        <w:jc w:val="left"/>
        <w:tblInd w:w="0" w:type="dxa"/>
        <w:tblLayout w:type="fixed"/>
        <w:tblCellMar>
          <w:top w:w="28" w:type="dxa"/>
          <w:left w:w="28" w:type="dxa"/>
          <w:bottom w:w="28" w:type="dxa"/>
          <w:right w:w="28" w:type="dxa"/>
        </w:tblCellMar>
      </w:tblPr>
      <w:tblGrid>
        <w:gridCol w:w="1000"/>
        <w:gridCol w:w="879"/>
        <w:gridCol w:w="880"/>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warehouse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consolidated VIEs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293,073 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Consolidated Securitization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6, 2023, the Company completed a private securitization securities offering (“UPST 2023-2”). As the retaining sponsor, the Company retained 5% vertical interests in the form of securitization notes and residual certificates. The Company also retained the remainder of the residual certificates issued as part of the transaction. The Company determined it was the primary beneficiary and consolidated the entities associated with UPST 2023-2.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loans held in the consolidated securitization trust are classified as held-for-sale and included in loans, at fair value, and the notes sold to third-party investors are recorded at fair value as payable to securitization note holders on the condensed consolidated balance sheets.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for additional information on determination of fair value of these assets and liabilities. The value of the residual certificates issued as part of the securitization and retained by the Company was eliminated as part of the consolidation.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Warehouse Entities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established various entities deemed to be VIEs to enter into warehouse credit facilities for the purpose of purchasing Upstart-powered loans. Refer to “</w:t>
      </w:r>
      <w:r>
        <w:rPr>
          <w:rFonts w:ascii="Times New Roman;serif" w:hAnsi="Times New Roman;serif"/>
          <w:b w:val="false"/>
          <w:i/>
          <w:color w:val="000000"/>
          <w:sz w:val="20"/>
        </w:rPr>
        <w:t>Note 8. Borrowings</w:t>
      </w:r>
      <w:r>
        <w:rPr>
          <w:color w:val="000000"/>
        </w:rPr>
        <w:t xml:space="preserve">” </w:t>
      </w:r>
      <w:r>
        <w:rPr>
          <w:rFonts w:ascii="Times New Roman;serif" w:hAnsi="Times New Roman;serif"/>
          <w:b w:val="false"/>
          <w:color w:val="000000"/>
          <w:sz w:val="20"/>
        </w:rPr>
        <w:t>for additional information. These entities are Delaware statutory trusts that are structured to be bankruptcy-remote, with third-party banks operating as trustees.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Other Consolidated VIEs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formed a number of VIEs for the purpose of holding Upstart-powered loans that are not pledged or eligible to be pledged to the Company’s warehouse credit facilities. In addition, the Company has formed consolidated VIEs for the purpose of holding restricted cash or loans as collateral in connection with committed capital and other co-investment arrangements.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Unconsolidated VIEs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transactions with unconsolidated VIEs include securitizations and sales of whole loans to VIEs, including loan sales under its committed capital and other co-investment arrangements. Refer to “</w:t>
      </w:r>
      <w:r>
        <w:rPr>
          <w:rFonts w:ascii="Times New Roman;serif" w:hAnsi="Times New Roman;serif"/>
          <w:b w:val="false"/>
          <w:i/>
          <w:color w:val="000000"/>
          <w:sz w:val="20"/>
        </w:rPr>
        <w:t>Note 4. Beneficial Interests</w:t>
      </w:r>
      <w:r>
        <w:rPr>
          <w:color w:val="000000"/>
        </w:rPr>
        <w:t xml:space="preserve">” </w:t>
      </w:r>
      <w:r>
        <w:rPr>
          <w:rFonts w:ascii="Times New Roman;serif" w:hAnsi="Times New Roman;serif"/>
          <w:b w:val="false"/>
          <w:color w:val="000000"/>
          <w:sz w:val="20"/>
        </w:rPr>
        <w:t>for additional information on unconsolidated VIEs related to committed capital and other co-investment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Securitizations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the Company continues to be involved with the unconsolidated VIEs in its role as the sponsor and the servicer of securitization transactions, the Company has determined that it is not the primary beneficiary of these entities. The Company’s unconsolidated VIEs include entities established as the issuers and grantor trusts for various securitization transactions.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exercised clean up calls related to a number of historical unconsolidated securitizations and subsequently liquidated the associated entities. As part of the clean up calls, the Company, as servicer, repurchased the remaining collateral and received the cash reserve amounts held by the related entities. The clean up calls had no material impact on the condensed consolidated financial statements of the Company.</w:t>
      </w:r>
    </w:p>
    <w:p>
      <w:pPr>
        <w:pStyle w:val="TextBody"/>
        <w:bidi w:val="0"/>
        <w:spacing w:before="0" w:after="0"/>
        <w:ind w:left="0" w:right="0" w:firstLine="619"/>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the aggregate value of assets and liabilities of unconsolidated VIEs associated with securitizations in which the Company holds a variable interest but is not the primary beneficiary: </w:t>
      </w:r>
    </w:p>
    <w:p>
      <w:pPr>
        <w:pStyle w:val="TextBody"/>
        <w:bidi w:val="0"/>
        <w:spacing w:before="0" w:after="0"/>
        <w:jc w:val="left"/>
        <w:rPr/>
      </w:pPr>
      <w:r>
        <w:rPr/>
      </w:r>
    </w:p>
    <w:tbl>
      <w:tblPr>
        <w:tblW w:w="9082" w:type="dxa"/>
        <w:jc w:val="left"/>
        <w:tblInd w:w="0" w:type="dxa"/>
        <w:tblLayout w:type="fixed"/>
        <w:tblCellMar>
          <w:top w:w="28" w:type="dxa"/>
          <w:left w:w="28" w:type="dxa"/>
          <w:bottom w:w="28" w:type="dxa"/>
          <w:right w:w="28" w:type="dxa"/>
        </w:tblCellMar>
      </w:tblPr>
      <w:tblGrid>
        <w:gridCol w:w="484"/>
        <w:gridCol w:w="425"/>
        <w:gridCol w:w="427"/>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478"/>
        <w:gridCol w:w="1873"/>
        <w:gridCol w:w="349"/>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Assets</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Exposure to Losses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101,670 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(1)Represents cash and the unpaid principal balance of loans held by the unconsolidated VIEs.</w:t>
      </w:r>
    </w:p>
    <w:tbl>
      <w:tblPr>
        <w:tblW w:w="9082" w:type="dxa"/>
        <w:jc w:val="left"/>
        <w:tblInd w:w="0" w:type="dxa"/>
        <w:tblLayout w:type="fixed"/>
        <w:tblCellMar>
          <w:top w:w="28" w:type="dxa"/>
          <w:left w:w="28" w:type="dxa"/>
          <w:bottom w:w="28" w:type="dxa"/>
          <w:right w:w="28" w:type="dxa"/>
        </w:tblCellMar>
      </w:tblPr>
      <w:tblGrid>
        <w:gridCol w:w="484"/>
        <w:gridCol w:w="425"/>
        <w:gridCol w:w="427"/>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478"/>
        <w:gridCol w:w="1873"/>
        <w:gridCol w:w="349"/>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Assets</w:t>
            </w:r>
            <w:r>
              <w:rPr>
                <w:rFonts w:ascii="Times New Roman;serif" w:hAnsi="Times New Roman;serif"/>
                <w:b w:val="false"/>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Exposure to Losses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745,466 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121,380 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left"/>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16"/>
        </w:rPr>
        <w:t>Represents cash and the unpaid principal balance of loans held by the unconsolidated VIEs.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maximum exposure to loss from its involvement with unconsolidated VIEs represents the value of securities retained and cash deposits made under the risk retention requirements for the related securitizations and estimates the loss that would be incurred under severe, hypothetical circumstances, for which the Company believes the possibility is remote. The carrying value of assets that relate to variable interests in unconsolidated VIEs consists of $97.4 million and $120.4 million of securitization notes and residual certificates that are carried at fair value and included in notes receivable and residual certificates (at fair value) on the condensed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balance sheets as of December 31, 2025 and June 30, 2026, respectively. The Company also had an immaterial amount of cash deposits held as reserve accounts for related securitizations, included in other assets on the condensed consolidated balance sheets as of both December 31, 2025 and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For securitization transactions where the Company is not the risk retaining sponsor, and servicing is the only form of continuing involvement, the Company would only experience a loss if it were required to repurchase a loan due to a breach in representations and warranties and is not able to collect all repayments, refer to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for further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investors and the securitization trusts have no direct recourse to the Company’s assets, and holders of the securities issued by the securitization trusts can look only to the assets of the securitization trusts that issued their securities for payment. The interests held by the Company and its affiliates are subject principally to the credit and prepayment risk stemming from the underlying unsecured personal whole loans.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 xml:space="preserve">4.    Beneficial Interests </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Beneficial interests are associated with committed capital and other co-investment arrangements with third-parties, in which the Company puts certain amounts of assets at risk. The risk is subject to a dollar cap, which represents the Company’s maximum exposure to losses in each particular arrangement.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certain arrangements, the Company is obligated to make payments to these third-parties or is entitled to receive payments from them if credit performance of the loans deviates from initial expectations. These arrangements meet the definition of derivatives under ASC 815 and produce an asset or a liability depending on the credit performance of the underlying loan portfolio as of the reporting date, which are settled periodically in cash based on contractual terms. Under other arrangements, the Company makes an initial investment and is entitled to a portion of cash flows from repayments received over time on the underlying loan portfolios. These cash flows vary depending on the demonstrated credit performance relative to our expectations. These arrangements are debt-like financial instruments with embedded derivatives related to the variability of demonstrated credit performance of underlying loan portfolios against initial expectations. The Company accounts for these derivatives and hybrid instruments at fair value under ASC 815 and ASC 825, respectively. Refer to “</w:t>
      </w:r>
      <w:r>
        <w:rPr>
          <w:rFonts w:ascii="Times New Roman;serif" w:hAnsi="Times New Roman;serif"/>
          <w:b w:val="false"/>
          <w:i/>
          <w:color w:val="000000"/>
          <w:sz w:val="20"/>
        </w:rPr>
        <w:t>Note 5. Fair Value Measurement</w:t>
      </w:r>
      <w:r>
        <w:rPr>
          <w:color w:val="000000"/>
        </w:rPr>
        <w:t xml:space="preserve">” </w:t>
      </w:r>
      <w:r>
        <w:rPr>
          <w:rFonts w:ascii="Times New Roman;serif" w:hAnsi="Times New Roman;serif"/>
          <w:b w:val="false"/>
          <w:color w:val="000000"/>
          <w:sz w:val="20"/>
        </w:rPr>
        <w:t>for additional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Beneficial interests represent the value of the future cash flows based on expected performance, discounted to the present value. The following table presents the aggregate outstanding principal balance of the underlying loan portfolios as well as the fair value of beneficial interest assets, by type, which collectively are presented as a separate caption on the condensed consolidated balance sheets, and beneficial interest liabilities, which are presented in accrued expenses and other liabilities on the condensed consolidated balance sheets.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69"/>
        <w:gridCol w:w="757"/>
        <w:gridCol w:w="762"/>
        <w:gridCol w:w="109"/>
        <w:gridCol w:w="109"/>
        <w:gridCol w:w="109"/>
        <w:gridCol w:w="321"/>
        <w:gridCol w:w="1488"/>
        <w:gridCol w:w="166"/>
        <w:gridCol w:w="109"/>
        <w:gridCol w:w="109"/>
        <w:gridCol w:w="109"/>
        <w:gridCol w:w="211"/>
        <w:gridCol w:w="826"/>
        <w:gridCol w:w="109"/>
        <w:gridCol w:w="109"/>
        <w:gridCol w:w="109"/>
        <w:gridCol w:w="109"/>
        <w:gridCol w:w="321"/>
        <w:gridCol w:w="1488"/>
        <w:gridCol w:w="166"/>
        <w:gridCol w:w="109"/>
        <w:gridCol w:w="109"/>
        <w:gridCol w:w="109"/>
        <w:gridCol w:w="211"/>
        <w:gridCol w:w="826"/>
        <w:gridCol w:w="109"/>
        <w:gridCol w:w="109"/>
        <w:gridCol w:w="158"/>
      </w:tblGrid>
      <w:tr>
        <w:trPr/>
        <w:tc>
          <w:tcPr>
            <w:tcW w:w="86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Principal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assets (hybrid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4,530,737 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6,316,763 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assets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2,559,210 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2,932,094 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7,089,947 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9,248,857 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Beneficial interest liabilities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2,325,305 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2,870,374 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recognizes beneficial interests at fair value with changes reported as part of the fair value and other adjustments on the condensed consolidated statements of operations and comprehensive income</w:t>
      </w:r>
      <w:r>
        <w:rPr>
          <w:rFonts w:ascii="Times New Roman;serif" w:hAnsi="Times New Roman;serif"/>
          <w:b w:val="false"/>
          <w:color w:val="3051F2"/>
          <w:sz w:val="20"/>
        </w:rPr>
        <w:t xml:space="preserve">. </w:t>
      </w:r>
      <w:r>
        <w:rPr>
          <w:rFonts w:ascii="Times New Roman;serif" w:hAnsi="Times New Roman;serif"/>
          <w:b w:val="false"/>
          <w:color w:val="000000"/>
          <w:sz w:val="20"/>
        </w:rPr>
        <w:t>The table below presents net gains (losses) recognized on beneficial interests: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576"/>
        <w:gridCol w:w="1386"/>
        <w:gridCol w:w="1390"/>
        <w:gridCol w:w="109"/>
        <w:gridCol w:w="109"/>
        <w:gridCol w:w="109"/>
        <w:gridCol w:w="211"/>
        <w:gridCol w:w="668"/>
        <w:gridCol w:w="109"/>
        <w:gridCol w:w="109"/>
        <w:gridCol w:w="109"/>
        <w:gridCol w:w="109"/>
        <w:gridCol w:w="211"/>
        <w:gridCol w:w="668"/>
        <w:gridCol w:w="109"/>
        <w:gridCol w:w="109"/>
        <w:gridCol w:w="109"/>
        <w:gridCol w:w="109"/>
        <w:gridCol w:w="109"/>
        <w:gridCol w:w="109"/>
        <w:gridCol w:w="109"/>
        <w:gridCol w:w="109"/>
        <w:gridCol w:w="109"/>
        <w:gridCol w:w="211"/>
        <w:gridCol w:w="721"/>
        <w:gridCol w:w="109"/>
        <w:gridCol w:w="109"/>
        <w:gridCol w:w="109"/>
        <w:gridCol w:w="109"/>
        <w:gridCol w:w="211"/>
        <w:gridCol w:w="616"/>
        <w:gridCol w:w="156"/>
      </w:tblGrid>
      <w:tr>
        <w:trPr/>
        <w:tc>
          <w:tcPr>
            <w:tcW w:w="157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352" w:type="dxa"/>
            <w:gridSpan w:val="3"/>
            <w:tcBorders/>
            <w:shd w:fill="CCEEFF" w:val="clear"/>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and realized gains (losses) on beneficial interests,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beneficial interests are associated with entities that meet the definition of a VIE or are evaluated under the voting interest model. The Company has variable interests in certain entities established in relation to its committed capital and co-investment arrangements, including purchaser trusts, which are unconsolidated VIEs. While the Company holds variable interests in these unconsolidated VIEs through committed capital and co-investment arrangements and as the servicer of the loans sold, the Company does not have the power to direct the activities that most significantly impact the VIE’s economic performance and has determined that it is not the primary beneficiary of these entities. The Company additionally holds loans as collateral in connection with committed capital and other co-investment arrangements in a consolidated VIE. Refer to “</w:t>
      </w:r>
      <w:r>
        <w:rPr>
          <w:rFonts w:ascii="Times New Roman;serif" w:hAnsi="Times New Roman;serif"/>
          <w:b w:val="false"/>
          <w:i/>
          <w:color w:val="000000"/>
          <w:sz w:val="20"/>
        </w:rPr>
        <w:t>Note 3. Variable Interest Entities</w:t>
      </w:r>
      <w:r>
        <w:rPr>
          <w:color w:val="000000"/>
        </w:rPr>
        <w:t xml:space="preserve">” </w:t>
      </w:r>
      <w:r>
        <w:rPr>
          <w:rFonts w:ascii="Times New Roman;serif" w:hAnsi="Times New Roman;serif"/>
          <w:b w:val="false"/>
          <w:color w:val="000000"/>
          <w:sz w:val="20"/>
        </w:rPr>
        <w:t xml:space="preserve">for additional information. While held as collateral, these loans are ineligible to be sold and are classified as held-for-investment on the Company’s condensed consolidated balance sheets.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contractual terms of committed capital and other co-investment arrangements determine the Company’s maximum exposure to losses and dictate types of assets the Company puts at risk. The Company’s maximum exposure to losses from its involvement with these arrangements are estimated under severe, hypothetical circumstances, for which the Company believes the possibility is remote. The following table presents the Company’s aggregate maximum exposure to losses by asset type:</w:t>
      </w:r>
    </w:p>
    <w:p>
      <w:pPr>
        <w:pStyle w:val="TextBody"/>
        <w:bidi w:val="0"/>
        <w:spacing w:before="0" w:after="0"/>
        <w:ind w:left="0" w:right="0" w:firstLine="720"/>
        <w:jc w:val="both"/>
        <w:rPr/>
      </w:pPr>
      <w:r>
        <w:rPr/>
      </w:r>
    </w:p>
    <w:tbl>
      <w:tblPr>
        <w:tblW w:w="5578" w:type="dxa"/>
        <w:jc w:val="left"/>
        <w:tblInd w:w="0" w:type="dxa"/>
        <w:tblLayout w:type="fixed"/>
        <w:tblCellMar>
          <w:top w:w="28" w:type="dxa"/>
          <w:left w:w="28" w:type="dxa"/>
          <w:bottom w:w="28" w:type="dxa"/>
          <w:right w:w="28" w:type="dxa"/>
        </w:tblCellMar>
      </w:tblPr>
      <w:tblGrid>
        <w:gridCol w:w="842"/>
        <w:gridCol w:w="739"/>
        <w:gridCol w:w="743"/>
        <w:gridCol w:w="109"/>
        <w:gridCol w:w="109"/>
        <w:gridCol w:w="109"/>
        <w:gridCol w:w="232"/>
        <w:gridCol w:w="908"/>
        <w:gridCol w:w="119"/>
        <w:gridCol w:w="109"/>
        <w:gridCol w:w="109"/>
        <w:gridCol w:w="109"/>
        <w:gridCol w:w="211"/>
        <w:gridCol w:w="97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160,055 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Line of credit receivable</w:t>
            </w:r>
            <w:r>
              <w:rPr>
                <w:rFonts w:ascii="Times New Roman;serif" w:hAnsi="Times New Roman;serif"/>
                <w:b w:val="false"/>
                <w:color w:val="000000"/>
                <w:sz w:val="13"/>
              </w:rPr>
              <w:t>(1)</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931,760 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1,294,361 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(1)Represents the unpaid principal balance.</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(2)$191.6 million and $190.0 million as of December 31, 2025 and June 30, 2026, respectively, is related to assets held by one institutional investor.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240" w:after="283"/>
        <w:ind w:left="0" w:right="0" w:firstLine="630"/>
        <w:jc w:val="both"/>
        <w:rPr/>
      </w:pPr>
      <w:r>
        <w:rPr/>
      </w: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5.    Fair Value Measurement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assets and liabilities measured at fair value and categorized in accordance with the fair value hierarchy: </w:t>
      </w:r>
    </w:p>
    <w:tbl>
      <w:tblPr>
        <w:tblW w:w="7682" w:type="dxa"/>
        <w:jc w:val="left"/>
        <w:tblInd w:w="0" w:type="dxa"/>
        <w:tblLayout w:type="fixed"/>
        <w:tblCellMar>
          <w:top w:w="28" w:type="dxa"/>
          <w:left w:w="28" w:type="dxa"/>
          <w:bottom w:w="28" w:type="dxa"/>
          <w:right w:w="28" w:type="dxa"/>
        </w:tblCellMar>
      </w:tblPr>
      <w:tblGrid>
        <w:gridCol w:w="1241"/>
        <w:gridCol w:w="1093"/>
        <w:gridCol w:w="1101"/>
        <w:gridCol w:w="109"/>
        <w:gridCol w:w="109"/>
        <w:gridCol w:w="109"/>
        <w:gridCol w:w="209"/>
        <w:gridCol w:w="209"/>
        <w:gridCol w:w="211"/>
        <w:gridCol w:w="109"/>
        <w:gridCol w:w="109"/>
        <w:gridCol w:w="109"/>
        <w:gridCol w:w="211"/>
        <w:gridCol w:w="976"/>
        <w:gridCol w:w="109"/>
        <w:gridCol w:w="109"/>
        <w:gridCol w:w="109"/>
        <w:gridCol w:w="109"/>
        <w:gridCol w:w="211"/>
        <w:gridCol w:w="976"/>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Level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and residual certificates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 of credit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servicing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cap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1,632,092 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1,897,270 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securitization note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Beneficial interest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servicing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Trailing fee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Financial instruments are categorized in the fair value hierarchy based on the significance of unobservable inputs and assumptions in the overall fair value measurement. Financial instruments classified as Level 3 within the fair value hierarchy </w:t>
      </w:r>
      <w:r>
        <w:rPr>
          <w:rFonts w:ascii="Times New Roman;serif" w:hAnsi="Times New Roman;serif"/>
          <w:b w:val="false"/>
          <w:color w:val="242424"/>
          <w:sz w:val="20"/>
        </w:rPr>
        <w:t xml:space="preserve">do not trade in an active market with readily observable prices. The Company uses significant unobservable inputs to measure the fair value of these assets and liabilities. </w:t>
      </w:r>
      <w:r>
        <w:rPr>
          <w:rFonts w:ascii="Times New Roman;serif" w:hAnsi="Times New Roman;serif"/>
          <w:b w:val="false"/>
          <w:color w:val="000000"/>
          <w:sz w:val="20"/>
        </w:rPr>
        <w:t>There were no transfers between Level 1, Level 2 or Level 3 of the fair value hierarchy during the periods presented.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included in the Company’s condensed consolidated balance sheets are classified as either held-for-sale or held-for-investment based on the Company’s intent and ability to sell the loans prior to maturity. The Company reassesses such intent and ability on an ongoing basis and may transfer loans between categories as circumstances change. Loans held in the consolidated securitization include those loans contributed as collateral to the securitization and are classified as held-for-sale.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loans held on the Company’s condensed consolidated balance sheets by classification:</w:t>
      </w:r>
    </w:p>
    <w:tbl>
      <w:tblPr>
        <w:tblW w:w="6733" w:type="dxa"/>
        <w:jc w:val="center"/>
        <w:tblInd w:w="0" w:type="dxa"/>
        <w:tblLayout w:type="fixed"/>
        <w:tblCellMar>
          <w:top w:w="28" w:type="dxa"/>
          <w:left w:w="28" w:type="dxa"/>
          <w:bottom w:w="28" w:type="dxa"/>
          <w:right w:w="28" w:type="dxa"/>
        </w:tblCellMar>
      </w:tblPr>
      <w:tblGrid>
        <w:gridCol w:w="1258"/>
        <w:gridCol w:w="1106"/>
        <w:gridCol w:w="1115"/>
        <w:gridCol w:w="109"/>
        <w:gridCol w:w="109"/>
        <w:gridCol w:w="109"/>
        <w:gridCol w:w="232"/>
        <w:gridCol w:w="908"/>
        <w:gridCol w:w="119"/>
        <w:gridCol w:w="109"/>
        <w:gridCol w:w="109"/>
        <w:gridCol w:w="109"/>
        <w:gridCol w:w="211"/>
        <w:gridCol w:w="976"/>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held-for-investment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held in consolidated securitization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984,552 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Valuation Methodology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held-for-sale and held-for-investment are measured at estimated fair value using a DCF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For the consolidated securitization, the Company elected the measurement alternative under Topic 810, </w:t>
      </w:r>
      <w:r>
        <w:rPr>
          <w:rFonts w:ascii="Times New Roman;serif" w:hAnsi="Times New Roman;serif"/>
          <w:b w:val="false"/>
          <w:i/>
          <w:color w:val="000000"/>
          <w:sz w:val="20"/>
        </w:rPr>
        <w:t>Consolidation</w:t>
      </w:r>
      <w:r>
        <w:rPr>
          <w:rFonts w:ascii="Times New Roman;serif" w:hAnsi="Times New Roman;serif"/>
          <w:b w:val="false"/>
          <w:color w:val="000000"/>
          <w:sz w:val="20"/>
        </w:rPr>
        <w:t>, and maximizes the use of observable inputs to estimate the fair value of the financial assets and liabilities of the securitization. Under the measurement alternative, the Company determined that inputs and market data used to determine the value of the liabilities, which consist of securitization notes and residual certificates, are more observable than those used to measure fair value of the financial assets, which consist of held-for-sale loans. Thus, the loans are measured based on the sum of the fair value of the securitization notes and residual certificates. The fair value is also corroborated with a DCF model that considers projected prepayments and historical defaults, losses and recoveries to project future losses and net cash flows on loans, discounted using an estimate of market rates of return as disclosed below in the “Significant Inputs and Assumptions” section. The fair value of loans in the consolidated securitization also includes accrued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quantitative information about the significant unobservable inputs used for the Company’s Level 3 fair value measurements for loans held-for-investment and held-for-sale, excluding loans held in the consolidated securitization: </w:t>
      </w:r>
    </w:p>
    <w:tbl>
      <w:tblPr>
        <w:tblW w:w="10978" w:type="dxa"/>
        <w:jc w:val="center"/>
        <w:tblInd w:w="0" w:type="dxa"/>
        <w:tblLayout w:type="fixed"/>
        <w:tblCellMar>
          <w:top w:w="28" w:type="dxa"/>
          <w:left w:w="28" w:type="dxa"/>
          <w:bottom w:w="28" w:type="dxa"/>
          <w:right w:w="28" w:type="dxa"/>
        </w:tblCellMar>
      </w:tblPr>
      <w:tblGrid>
        <w:gridCol w:w="478"/>
        <w:gridCol w:w="329"/>
        <w:gridCol w:w="274"/>
        <w:gridCol w:w="109"/>
        <w:gridCol w:w="109"/>
        <w:gridCol w:w="109"/>
        <w:gridCol w:w="255"/>
        <w:gridCol w:w="256"/>
        <w:gridCol w:w="526"/>
        <w:gridCol w:w="109"/>
        <w:gridCol w:w="109"/>
        <w:gridCol w:w="109"/>
        <w:gridCol w:w="308"/>
        <w:gridCol w:w="308"/>
        <w:gridCol w:w="551"/>
        <w:gridCol w:w="109"/>
        <w:gridCol w:w="109"/>
        <w:gridCol w:w="109"/>
        <w:gridCol w:w="388"/>
        <w:gridCol w:w="388"/>
        <w:gridCol w:w="965"/>
        <w:gridCol w:w="109"/>
        <w:gridCol w:w="109"/>
        <w:gridCol w:w="109"/>
        <w:gridCol w:w="255"/>
        <w:gridCol w:w="256"/>
        <w:gridCol w:w="526"/>
        <w:gridCol w:w="109"/>
        <w:gridCol w:w="109"/>
        <w:gridCol w:w="109"/>
        <w:gridCol w:w="308"/>
        <w:gridCol w:w="308"/>
        <w:gridCol w:w="551"/>
        <w:gridCol w:w="109"/>
        <w:gridCol w:w="109"/>
        <w:gridCol w:w="109"/>
        <w:gridCol w:w="364"/>
        <w:gridCol w:w="364"/>
        <w:gridCol w:w="1058"/>
      </w:tblGrid>
      <w:tr>
        <w:trPr/>
        <w:tc>
          <w:tcPr>
            <w:tcW w:w="47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43.41 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(1)Unobservable inputs were weighted by relative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implied for the Company’s Level 3 fair value measurements for loans held in the consolidated securitization:</w:t>
      </w:r>
    </w:p>
    <w:tbl>
      <w:tblPr>
        <w:tblW w:w="11083" w:type="dxa"/>
        <w:jc w:val="center"/>
        <w:tblInd w:w="0" w:type="dxa"/>
        <w:tblLayout w:type="fixed"/>
        <w:tblCellMar>
          <w:top w:w="28" w:type="dxa"/>
          <w:left w:w="28" w:type="dxa"/>
          <w:bottom w:w="28" w:type="dxa"/>
          <w:right w:w="28" w:type="dxa"/>
        </w:tblCellMar>
      </w:tblPr>
      <w:tblGrid>
        <w:gridCol w:w="478"/>
        <w:gridCol w:w="329"/>
        <w:gridCol w:w="274"/>
        <w:gridCol w:w="109"/>
        <w:gridCol w:w="109"/>
        <w:gridCol w:w="109"/>
        <w:gridCol w:w="255"/>
        <w:gridCol w:w="256"/>
        <w:gridCol w:w="526"/>
        <w:gridCol w:w="109"/>
        <w:gridCol w:w="109"/>
        <w:gridCol w:w="109"/>
        <w:gridCol w:w="308"/>
        <w:gridCol w:w="308"/>
        <w:gridCol w:w="551"/>
        <w:gridCol w:w="109"/>
        <w:gridCol w:w="109"/>
        <w:gridCol w:w="109"/>
        <w:gridCol w:w="388"/>
        <w:gridCol w:w="388"/>
        <w:gridCol w:w="965"/>
        <w:gridCol w:w="109"/>
        <w:gridCol w:w="109"/>
        <w:gridCol w:w="109"/>
        <w:gridCol w:w="308"/>
        <w:gridCol w:w="308"/>
        <w:gridCol w:w="526"/>
        <w:gridCol w:w="109"/>
        <w:gridCol w:w="109"/>
        <w:gridCol w:w="109"/>
        <w:gridCol w:w="308"/>
        <w:gridCol w:w="308"/>
        <w:gridCol w:w="551"/>
        <w:gridCol w:w="109"/>
        <w:gridCol w:w="109"/>
        <w:gridCol w:w="109"/>
        <w:gridCol w:w="364"/>
        <w:gridCol w:w="364"/>
        <w:gridCol w:w="1058"/>
      </w:tblGrid>
      <w:tr>
        <w:trPr/>
        <w:tc>
          <w:tcPr>
            <w:tcW w:w="47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(1)Unobservable inputs were weighted by relative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Discount rates</w:t>
      </w:r>
      <w:r>
        <w:rPr>
          <w:color w:val="000000"/>
        </w:rPr>
        <w:t>–</w:t>
      </w:r>
      <w:r>
        <w:rPr>
          <w:rFonts w:ascii="Times New Roman;serif" w:hAnsi="Times New Roman;serif"/>
          <w:b w:val="false"/>
          <w:color w:val="000000"/>
          <w:sz w:val="20"/>
        </w:rPr>
        <w:t xml:space="preserve">The discount rates are rates of return used to discount future expected cash flows to arrive at a present value, which represents the fair 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included in the discount rates to reflect the amount of compensation market participants require due to the uncertainty inherent in the instruments’ cash flows resulting from risks such as credit and liquidity. </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Credit risk rates</w:t>
      </w:r>
      <w:r>
        <w:rPr>
          <w:color w:val="000000"/>
        </w:rPr>
        <w:t>–</w:t>
      </w:r>
      <w:r>
        <w:rPr>
          <w:rFonts w:ascii="Times New Roman;serif" w:hAnsi="Times New Roman;serif"/>
          <w:b w:val="false"/>
          <w:color w:val="000000"/>
          <w:sz w:val="20"/>
        </w:rPr>
        <w:t xml:space="preserve">The credit risk rates are an estimate of the net cumulative principal payments that will not be repaid over the entire life of a financial 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Prepayment rates</w:t>
      </w:r>
      <w:r>
        <w:rPr>
          <w:color w:val="000000"/>
        </w:rPr>
        <w:t>–</w:t>
      </w:r>
      <w:r>
        <w:rPr>
          <w:rFonts w:ascii="Times New Roman;serif" w:hAnsi="Times New Roman;serif"/>
          <w:b w:val="false"/>
          <w:color w:val="000000"/>
          <w:sz w:val="20"/>
        </w:rPr>
        <w:t xml:space="preserve">Prepayment rates are an estimate of the cumulative principal prepayments that will occur over the entire life of a loan as a percentage of the original principal amount of the loan. The assumption regarding cumulative prepayments impacts the projected balances and expected terms of the loans.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sensitivity of the fair value of loans held-for-sale and held-for-investment, excluding loans held in the consolidated securitization, to adverse changes in the significant assumptions used in the valuation model. Adverse changes in prepayment rates do not result in a material impact to the fair value of loans held-for-sale and held-for-investment as of December 31, 2025 and June 30, 2026.</w:t>
      </w:r>
    </w:p>
    <w:tbl>
      <w:tblPr>
        <w:tblW w:w="8128" w:type="dxa"/>
        <w:jc w:val="left"/>
        <w:tblInd w:w="0" w:type="dxa"/>
        <w:tblLayout w:type="fixed"/>
        <w:tblCellMar>
          <w:top w:w="28" w:type="dxa"/>
          <w:left w:w="28" w:type="dxa"/>
          <w:bottom w:w="28" w:type="dxa"/>
          <w:right w:w="28" w:type="dxa"/>
        </w:tblCellMar>
      </w:tblPr>
      <w:tblGrid>
        <w:gridCol w:w="1767"/>
        <w:gridCol w:w="1552"/>
        <w:gridCol w:w="1555"/>
        <w:gridCol w:w="109"/>
        <w:gridCol w:w="109"/>
        <w:gridCol w:w="109"/>
        <w:gridCol w:w="232"/>
        <w:gridCol w:w="908"/>
        <w:gridCol w:w="119"/>
        <w:gridCol w:w="109"/>
        <w:gridCol w:w="109"/>
        <w:gridCol w:w="109"/>
        <w:gridCol w:w="211"/>
        <w:gridCol w:w="976"/>
        <w:gridCol w:w="154"/>
      </w:tblGrid>
      <w:tr>
        <w:trPr/>
        <w:tc>
          <w:tcPr>
            <w:tcW w:w="1767"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loans held-for-sale and held-for-investment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930,790 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1,027,912 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basis point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basis point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credit loss rates on underlying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changes in significant assumptions do not result in a material impact to the fair value of loans held in the consolidated securitization as of December 31, 2025 and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rollforward of loans classified within Level 3 of the fair value hierarchy:</w:t>
      </w:r>
    </w:p>
    <w:tbl>
      <w:tblPr>
        <w:tblW w:w="10205" w:type="dxa"/>
        <w:jc w:val="left"/>
        <w:tblInd w:w="0" w:type="dxa"/>
        <w:tblLayout w:type="fixed"/>
        <w:tblCellMar>
          <w:top w:w="28" w:type="dxa"/>
          <w:left w:w="28" w:type="dxa"/>
          <w:bottom w:w="28" w:type="dxa"/>
          <w:right w:w="28" w:type="dxa"/>
        </w:tblCellMar>
      </w:tblPr>
      <w:tblGrid>
        <w:gridCol w:w="990"/>
        <w:gridCol w:w="598"/>
        <w:gridCol w:w="601"/>
        <w:gridCol w:w="109"/>
        <w:gridCol w:w="109"/>
        <w:gridCol w:w="109"/>
        <w:gridCol w:w="258"/>
        <w:gridCol w:w="1015"/>
        <w:gridCol w:w="134"/>
        <w:gridCol w:w="109"/>
        <w:gridCol w:w="109"/>
        <w:gridCol w:w="109"/>
        <w:gridCol w:w="363"/>
        <w:gridCol w:w="1425"/>
        <w:gridCol w:w="189"/>
        <w:gridCol w:w="109"/>
        <w:gridCol w:w="109"/>
        <w:gridCol w:w="109"/>
        <w:gridCol w:w="399"/>
        <w:gridCol w:w="1368"/>
        <w:gridCol w:w="208"/>
        <w:gridCol w:w="109"/>
        <w:gridCol w:w="109"/>
        <w:gridCol w:w="109"/>
        <w:gridCol w:w="211"/>
        <w:gridCol w:w="976"/>
        <w:gridCol w:w="162"/>
      </w:tblGrid>
      <w:tr>
        <w:trPr/>
        <w:tc>
          <w:tcPr>
            <w:tcW w:w="99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in Consolidated Securitization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347,749 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378,012 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88,916 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814,677 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Purchases and originations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701,155 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228,015 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929,170 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Sale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(548,007)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(566,077)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loans for immediate resale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1,933,901 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1,933,901 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Immediate resale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(1,933,901)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(1,933,901)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Repayments received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(71,013)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(127,063)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(30,429)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11,352 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445,787 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497,867 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75,850 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1,019,504 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(1)Represents the principal balance.</w:t>
      </w:r>
    </w:p>
    <w:tbl>
      <w:tblPr>
        <w:tblW w:w="10205" w:type="dxa"/>
        <w:jc w:val="left"/>
        <w:tblInd w:w="0" w:type="dxa"/>
        <w:tblLayout w:type="fixed"/>
        <w:tblCellMar>
          <w:top w:w="28" w:type="dxa"/>
          <w:left w:w="28" w:type="dxa"/>
          <w:bottom w:w="28" w:type="dxa"/>
          <w:right w:w="28" w:type="dxa"/>
        </w:tblCellMar>
      </w:tblPr>
      <w:tblGrid>
        <w:gridCol w:w="860"/>
        <w:gridCol w:w="664"/>
        <w:gridCol w:w="665"/>
        <w:gridCol w:w="109"/>
        <w:gridCol w:w="109"/>
        <w:gridCol w:w="109"/>
        <w:gridCol w:w="258"/>
        <w:gridCol w:w="1015"/>
        <w:gridCol w:w="134"/>
        <w:gridCol w:w="109"/>
        <w:gridCol w:w="109"/>
        <w:gridCol w:w="109"/>
        <w:gridCol w:w="363"/>
        <w:gridCol w:w="1425"/>
        <w:gridCol w:w="189"/>
        <w:gridCol w:w="109"/>
        <w:gridCol w:w="109"/>
        <w:gridCol w:w="109"/>
        <w:gridCol w:w="362"/>
        <w:gridCol w:w="1423"/>
        <w:gridCol w:w="189"/>
        <w:gridCol w:w="109"/>
        <w:gridCol w:w="109"/>
        <w:gridCol w:w="109"/>
        <w:gridCol w:w="211"/>
        <w:gridCol w:w="976"/>
        <w:gridCol w:w="163"/>
      </w:tblGrid>
      <w:tr>
        <w:trPr/>
        <w:tc>
          <w:tcPr>
            <w:tcW w:w="86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in Consolidated Securitization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405,812 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297,543 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806,304 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Purchases and originations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1,271,809 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377,898 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1,649,707 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Sale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(1,119,703)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(1,139,391)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loans for immediate resale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2,708,533 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2,708,533 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Immediate resale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(2,708,533)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(2,708,533)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Repayments received</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(126,778)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(233,012)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(83,252)</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445,787 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497,867 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75,850 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1,019,504 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(1)Represents the principal balance.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1146"/>
        <w:gridCol w:w="592"/>
        <w:gridCol w:w="560"/>
        <w:gridCol w:w="109"/>
        <w:gridCol w:w="109"/>
        <w:gridCol w:w="109"/>
        <w:gridCol w:w="255"/>
        <w:gridCol w:w="1003"/>
        <w:gridCol w:w="132"/>
        <w:gridCol w:w="109"/>
        <w:gridCol w:w="109"/>
        <w:gridCol w:w="109"/>
        <w:gridCol w:w="360"/>
        <w:gridCol w:w="1413"/>
        <w:gridCol w:w="187"/>
        <w:gridCol w:w="109"/>
        <w:gridCol w:w="109"/>
        <w:gridCol w:w="109"/>
        <w:gridCol w:w="384"/>
        <w:gridCol w:w="1317"/>
        <w:gridCol w:w="200"/>
        <w:gridCol w:w="109"/>
        <w:gridCol w:w="109"/>
        <w:gridCol w:w="109"/>
        <w:gridCol w:w="211"/>
        <w:gridCol w:w="976"/>
        <w:gridCol w:w="161"/>
      </w:tblGrid>
      <w:tr>
        <w:trPr/>
        <w:tc>
          <w:tcPr>
            <w:tcW w:w="114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in Consolidated Securitization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723,855 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245,378 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44,856 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1,014,089 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Reclassification of loans</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Purchases and originations of loans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973,759 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178,850 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1,152,609 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Sale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(825,683)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(941,051)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loans for immediate resale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2,623,069 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Immediate resale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(2,623,069)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(2,623,069)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Repayments received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(66,826)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(68,719)</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(7,111)</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(142,656)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787,154 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240,758 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36,327 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1,064,239 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(1)Represents the principal balance.</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(2)Effective April 1, 2026, the Company reclassified $7.8 million of personal loans to held-for-investment as they are held as collateral in connection with committed capital and co-investment arrangements and are ineligible to be sold.</w:t>
      </w:r>
    </w:p>
    <w:p>
      <w:pPr>
        <w:pStyle w:val="TextBody"/>
        <w:bidi w:val="0"/>
        <w:spacing w:before="0" w:after="0"/>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1045"/>
        <w:gridCol w:w="626"/>
        <w:gridCol w:w="627"/>
        <w:gridCol w:w="109"/>
        <w:gridCol w:w="109"/>
        <w:gridCol w:w="109"/>
        <w:gridCol w:w="255"/>
        <w:gridCol w:w="1003"/>
        <w:gridCol w:w="132"/>
        <w:gridCol w:w="109"/>
        <w:gridCol w:w="109"/>
        <w:gridCol w:w="109"/>
        <w:gridCol w:w="360"/>
        <w:gridCol w:w="1413"/>
        <w:gridCol w:w="187"/>
        <w:gridCol w:w="109"/>
        <w:gridCol w:w="109"/>
        <w:gridCol w:w="109"/>
        <w:gridCol w:w="384"/>
        <w:gridCol w:w="1317"/>
        <w:gridCol w:w="200"/>
        <w:gridCol w:w="109"/>
        <w:gridCol w:w="109"/>
        <w:gridCol w:w="109"/>
        <w:gridCol w:w="211"/>
        <w:gridCol w:w="976"/>
        <w:gridCol w:w="161"/>
      </w:tblGrid>
      <w:tr>
        <w:trPr/>
        <w:tc>
          <w:tcPr>
            <w:tcW w:w="104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Held-for-Investment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Held in Consolidated Securitization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393,159 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537,631 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53,762 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984,552 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Reclassification of loans</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306,159 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(306,159)</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Purchases and originations of loans</w:t>
            </w:r>
            <w:r>
              <w:rPr>
                <w:rFonts w:ascii="Times New Roman;serif" w:hAnsi="Times New Roman;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1,346,618 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617,112 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1,963,730 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0"/>
              <w:jc w:val="left"/>
              <w:rPr/>
            </w:pPr>
            <w:r>
              <w:rPr>
                <w:rFonts w:ascii="Times New Roman;serif" w:hAnsi="Times New Roman;serif"/>
                <w:b w:val="false"/>
                <w:color w:val="000000"/>
                <w:sz w:val="20"/>
              </w:rPr>
              <w:t>Sale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(1,127,583)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(434,941)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(1,562,524)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Purchase of loans for immediate resale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4,714,014 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4,714,014 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Immediate resale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(4,714,014)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(4,714,014)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Repayments received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(109,306)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(144,340)</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(15,142)</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(268,788)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Charge-offs and 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(76,762)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787,154 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240,758 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36,327 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1,064,239 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(1)Represents the principal balance.</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(2)Effective March 31, 2026, the Company reclassified $314.0 million of HELOCs and auto retail loans to held-for-sale as we have both the intent and ability to sell these loans prior to maturity. Effective April 1, 2026, the Company reclassified $7.8 million of personal loans to held-for-investment as they are held as collateral in connection with committed capital and co-investment arrangements and are ineligible to be sold.</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(3)Purchase activity includes an immaterial unpaid principal balance related to securitization clean-up calls during the six months ended June 30, 2026.</w:t>
      </w:r>
    </w:p>
    <w:p>
      <w:pPr>
        <w:pStyle w:val="TextBody"/>
        <w:bidi w:val="0"/>
        <w:spacing w:before="0" w:after="0"/>
        <w:ind w:left="0" w:right="0" w:hanging="720"/>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aggregate fair value and aggregate principal outstanding of all loans and loans that were 90 days or more past due included in the condensed consolidated balance sheets: </w:t>
      </w:r>
    </w:p>
    <w:p>
      <w:pPr>
        <w:pStyle w:val="TextBody"/>
        <w:bidi w:val="0"/>
        <w:spacing w:before="0" w:after="0"/>
        <w:jc w:val="left"/>
        <w:rPr/>
      </w:pPr>
      <w:r>
        <w:rPr/>
      </w:r>
    </w:p>
    <w:tbl>
      <w:tblPr>
        <w:tblW w:w="10145" w:type="dxa"/>
        <w:jc w:val="left"/>
        <w:tblInd w:w="0" w:type="dxa"/>
        <w:tblLayout w:type="fixed"/>
        <w:tblCellMar>
          <w:top w:w="28" w:type="dxa"/>
          <w:left w:w="28" w:type="dxa"/>
          <w:bottom w:w="28" w:type="dxa"/>
          <w:right w:w="28" w:type="dxa"/>
        </w:tblCellMar>
      </w:tblPr>
      <w:tblGrid>
        <w:gridCol w:w="1413"/>
        <w:gridCol w:w="1239"/>
        <w:gridCol w:w="1247"/>
        <w:gridCol w:w="109"/>
        <w:gridCol w:w="109"/>
        <w:gridCol w:w="109"/>
        <w:gridCol w:w="211"/>
        <w:gridCol w:w="976"/>
        <w:gridCol w:w="109"/>
        <w:gridCol w:w="109"/>
        <w:gridCol w:w="109"/>
        <w:gridCol w:w="109"/>
        <w:gridCol w:w="211"/>
        <w:gridCol w:w="976"/>
        <w:gridCol w:w="109"/>
        <w:gridCol w:w="109"/>
        <w:gridCol w:w="109"/>
        <w:gridCol w:w="109"/>
        <w:gridCol w:w="255"/>
        <w:gridCol w:w="873"/>
        <w:gridCol w:w="132"/>
        <w:gridCol w:w="109"/>
        <w:gridCol w:w="109"/>
        <w:gridCol w:w="109"/>
        <w:gridCol w:w="211"/>
        <w:gridCol w:w="721"/>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Loans &gt; 90 Days Past Due</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fair value and accrued interest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Fair value</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1,064,239 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(1)Includes $367.4 million and $338.1 million of auto loans at fair value as of December 31, 2025 and June 30, 2026, respectively, of which immaterial amounts are 90 days or more past due. Also includes $149.5 million and $229.0 million of HELOCs at fair value as of December 31, 2025 and June 30, 2026, respectively, of which immaterial amounts are 90 days or more past due.</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(2)The fair value of loans in nonaccrual status was immaterial as of December 31, 2025 and June 30, 2026.</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Line of Credit Receivable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a committed capital and other co-investment arrangement, the Company issued a revolving line of credit receivable to a third-party, which is classified as held-for-investment. The fair value of the line of credit receivable as of December 31, 2025 and June 30, 2026 was $112.7 million and $111.8 million,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Valuation Methodology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line of credit receivable is measured at estimated fair value using a DCF model. The model is based on the expected monthly outstanding balance of the line of credit receivable over the life of the agreement and considers the present creditworthiness of the counterparty and the difference between the market rates of return and the stated interest rate. Cash flows are discounted using an estimate of market rates of return. The fair value of the line of credit receivable also includes accrued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used for the Company’s Level 3 fair value measurements related to the line of credit receivable:</w:t>
      </w:r>
    </w:p>
    <w:p>
      <w:pPr>
        <w:pStyle w:val="TextBody"/>
        <w:bidi w:val="0"/>
        <w:spacing w:before="0" w:after="0"/>
        <w:ind w:left="0" w:right="0" w:firstLine="720"/>
        <w:jc w:val="both"/>
        <w:rPr/>
      </w:pPr>
      <w:r>
        <w:rPr/>
      </w:r>
    </w:p>
    <w:tbl>
      <w:tblPr>
        <w:tblW w:w="10291"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315"/>
        <w:gridCol w:w="315"/>
        <w:gridCol w:w="316"/>
        <w:gridCol w:w="109"/>
        <w:gridCol w:w="109"/>
        <w:gridCol w:w="109"/>
        <w:gridCol w:w="330"/>
        <w:gridCol w:w="330"/>
        <w:gridCol w:w="331"/>
        <w:gridCol w:w="109"/>
        <w:gridCol w:w="109"/>
        <w:gridCol w:w="109"/>
        <w:gridCol w:w="565"/>
        <w:gridCol w:w="565"/>
        <w:gridCol w:w="566"/>
        <w:gridCol w:w="109"/>
        <w:gridCol w:w="109"/>
        <w:gridCol w:w="109"/>
        <w:gridCol w:w="255"/>
        <w:gridCol w:w="256"/>
        <w:gridCol w:w="526"/>
        <w:gridCol w:w="109"/>
        <w:gridCol w:w="109"/>
        <w:gridCol w:w="109"/>
        <w:gridCol w:w="255"/>
        <w:gridCol w:w="256"/>
        <w:gridCol w:w="551"/>
        <w:gridCol w:w="109"/>
        <w:gridCol w:w="109"/>
        <w:gridCol w:w="109"/>
        <w:gridCol w:w="355"/>
        <w:gridCol w:w="355"/>
        <w:gridCol w:w="1031"/>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Weighted-Average</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r>
        <w:trPr/>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Discount rate</w:t>
      </w:r>
      <w:r>
        <w:rPr>
          <w:color w:val="000000"/>
        </w:rPr>
        <w:t>–</w:t>
      </w:r>
      <w:r>
        <w:rPr>
          <w:rFonts w:ascii="Times New Roman;serif" w:hAnsi="Times New Roman;serif"/>
          <w:b w:val="false"/>
          <w:color w:val="000000"/>
          <w:sz w:val="20"/>
        </w:rPr>
        <w:t xml:space="preserve">The discount rate is the rate of return used to discount future expected cash flows to arrive at a present value, which represents the fair value. The discount rate used for the projected net cash flows is the Company’s estimate of the rate of return that market participants would require when investing in this financial instrument with cash flows dependent on credit quality of the counterparty. A risk premium component is implicitly included in the discount rate to reflect the amount of compensation market participants require due to the uncertainty inherent in the instrument’s cash flows resulting from risks such as credit and liquidity of the counterparty. </w:t>
      </w:r>
    </w:p>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hanging="54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changes in significant assumptions do not result in a material impact to the fair value of the line of credit receivable as of December 31, 2025 and June 30, 2026.</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a rollforward of the line of credit receivable classified by the Company within Level 3 of the fair value hierarchy: </w:t>
      </w:r>
    </w:p>
    <w:p>
      <w:pPr>
        <w:pStyle w:val="TextBody"/>
        <w:bidi w:val="0"/>
        <w:spacing w:before="0" w:after="0"/>
        <w:jc w:val="left"/>
        <w:rPr/>
      </w:pPr>
      <w:r>
        <w:rPr/>
      </w:r>
    </w:p>
    <w:tbl>
      <w:tblPr>
        <w:tblW w:w="6176" w:type="dxa"/>
        <w:jc w:val="left"/>
        <w:tblInd w:w="0" w:type="dxa"/>
        <w:tblLayout w:type="fixed"/>
        <w:tblCellMar>
          <w:top w:w="28" w:type="dxa"/>
          <w:left w:w="28" w:type="dxa"/>
          <w:bottom w:w="28" w:type="dxa"/>
          <w:right w:w="28" w:type="dxa"/>
        </w:tblCellMar>
      </w:tblPr>
      <w:tblGrid>
        <w:gridCol w:w="1281"/>
        <w:gridCol w:w="1127"/>
        <w:gridCol w:w="1132"/>
        <w:gridCol w:w="109"/>
        <w:gridCol w:w="109"/>
        <w:gridCol w:w="109"/>
        <w:gridCol w:w="409"/>
        <w:gridCol w:w="1602"/>
        <w:gridCol w:w="298"/>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Line of Credit Receivable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81,780 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24,983 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107,456 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176"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409"/>
        <w:gridCol w:w="1602"/>
        <w:gridCol w:w="298"/>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Line of Credit Receivable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56,269 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49,839 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107,456 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176" w:type="dxa"/>
        <w:jc w:val="left"/>
        <w:tblInd w:w="0" w:type="dxa"/>
        <w:tblLayout w:type="fixed"/>
        <w:tblCellMar>
          <w:top w:w="28" w:type="dxa"/>
          <w:left w:w="28" w:type="dxa"/>
          <w:bottom w:w="28" w:type="dxa"/>
          <w:right w:w="28" w:type="dxa"/>
        </w:tblCellMar>
      </w:tblPr>
      <w:tblGrid>
        <w:gridCol w:w="1281"/>
        <w:gridCol w:w="1127"/>
        <w:gridCol w:w="1132"/>
        <w:gridCol w:w="109"/>
        <w:gridCol w:w="109"/>
        <w:gridCol w:w="109"/>
        <w:gridCol w:w="409"/>
        <w:gridCol w:w="1602"/>
        <w:gridCol w:w="298"/>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Line of Credit Receivable</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111,916 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111,772 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176"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409"/>
        <w:gridCol w:w="1602"/>
        <w:gridCol w:w="298"/>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Line of Credit Receivable</w:t>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112,742 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111,772 </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Assets and Liabilities related to Securitization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June 30, 2026, the Company held notes receivable and residual certificates retained from unconsolidated securitization transactions with an aggregate fair value of $97.4 million and $120.4 million, respectively.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June 30, 2026, the Company recognized payables to securitization note holders of $46.5 million and $32.1 million at fair value, respectively. The balance represents the value of the securitization notes issued and owned by third-party investors in connection with the consolidated securitization. The value of securitization notes and residual certificates retained by the Company is eliminated in the consolidation process.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Valuation Methodology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prioritizes the use of observable inputs in estimating the fair value of notes receivable and residual certificates and payable to securitization note holders when available. Fair value is corroborated using a DCF methodology. This approach uses assumptions of projected cash flows of the underlying collateral loan pools adjusted for features of these securities, which reflect the Company’s best estimates of the assumptions a market participant would use to determine fair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used for the Company’s Level 3 fair value measurements related to notes receivable, residual certificates, and payable to securitization note holders:</w:t>
      </w:r>
    </w:p>
    <w:tbl>
      <w:tblPr>
        <w:tblW w:w="11278" w:type="dxa"/>
        <w:jc w:val="left"/>
        <w:tblInd w:w="0" w:type="dxa"/>
        <w:tblLayout w:type="fixed"/>
        <w:tblCellMar>
          <w:top w:w="28" w:type="dxa"/>
          <w:left w:w="28" w:type="dxa"/>
          <w:bottom w:w="28" w:type="dxa"/>
          <w:right w:w="28" w:type="dxa"/>
        </w:tblCellMar>
      </w:tblPr>
      <w:tblGrid>
        <w:gridCol w:w="606"/>
        <w:gridCol w:w="334"/>
        <w:gridCol w:w="336"/>
        <w:gridCol w:w="109"/>
        <w:gridCol w:w="109"/>
        <w:gridCol w:w="109"/>
        <w:gridCol w:w="255"/>
        <w:gridCol w:w="256"/>
        <w:gridCol w:w="526"/>
        <w:gridCol w:w="109"/>
        <w:gridCol w:w="109"/>
        <w:gridCol w:w="109"/>
        <w:gridCol w:w="308"/>
        <w:gridCol w:w="308"/>
        <w:gridCol w:w="551"/>
        <w:gridCol w:w="109"/>
        <w:gridCol w:w="109"/>
        <w:gridCol w:w="109"/>
        <w:gridCol w:w="388"/>
        <w:gridCol w:w="388"/>
        <w:gridCol w:w="965"/>
        <w:gridCol w:w="109"/>
        <w:gridCol w:w="109"/>
        <w:gridCol w:w="109"/>
        <w:gridCol w:w="307"/>
        <w:gridCol w:w="309"/>
        <w:gridCol w:w="526"/>
        <w:gridCol w:w="109"/>
        <w:gridCol w:w="109"/>
        <w:gridCol w:w="109"/>
        <w:gridCol w:w="308"/>
        <w:gridCol w:w="308"/>
        <w:gridCol w:w="551"/>
        <w:gridCol w:w="109"/>
        <w:gridCol w:w="109"/>
        <w:gridCol w:w="109"/>
        <w:gridCol w:w="364"/>
        <w:gridCol w:w="364"/>
        <w:gridCol w:w="1058"/>
      </w:tblGrid>
      <w:tr>
        <w:trPr/>
        <w:tc>
          <w:tcPr>
            <w:tcW w:w="60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Payable to securitization note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(1)Unobservable inputs were weighted by relative fair value.</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Significant Recurring Level 3 Fair Value Input Sensitivity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Notes Receivable and Residual Certificates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changes in the significant assumptions do not result in a material impact to the fair value of notes receivable and residual certificates as of December 31, 2025 and June 30, 2026.</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Payable to Securitization Note 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changes in the significant assumptions do not result in a material impact to the fair value of payable to securitization note holders as of December 31, 2025 and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rollforward of the notes receivable and residual certificates and payables to securitization note holders related to securitization transactions classified by the Company within Level 3 of the fair value hierarchy:</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168"/>
        <w:gridCol w:w="955"/>
        <w:gridCol w:w="960"/>
        <w:gridCol w:w="109"/>
        <w:gridCol w:w="109"/>
        <w:gridCol w:w="109"/>
        <w:gridCol w:w="649"/>
        <w:gridCol w:w="2221"/>
        <w:gridCol w:w="337"/>
        <w:gridCol w:w="109"/>
        <w:gridCol w:w="109"/>
        <w:gridCol w:w="109"/>
        <w:gridCol w:w="605"/>
        <w:gridCol w:w="2073"/>
        <w:gridCol w:w="315"/>
        <w:gridCol w:w="109"/>
        <w:gridCol w:w="159"/>
      </w:tblGrid>
      <w:tr>
        <w:trPr/>
        <w:tc>
          <w:tcPr>
            <w:tcW w:w="1168"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Payable to Securitization Note Holders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19,471 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75,904 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38,355 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54,708 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65,152 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34"/>
        <w:gridCol w:w="973"/>
        <w:gridCol w:w="976"/>
        <w:gridCol w:w="109"/>
        <w:gridCol w:w="109"/>
        <w:gridCol w:w="109"/>
        <w:gridCol w:w="649"/>
        <w:gridCol w:w="2221"/>
        <w:gridCol w:w="337"/>
        <w:gridCol w:w="109"/>
        <w:gridCol w:w="109"/>
        <w:gridCol w:w="109"/>
        <w:gridCol w:w="605"/>
        <w:gridCol w:w="2073"/>
        <w:gridCol w:w="315"/>
        <w:gridCol w:w="109"/>
        <w:gridCol w:w="159"/>
      </w:tblGrid>
      <w:tr>
        <w:trPr/>
        <w:tc>
          <w:tcPr>
            <w:tcW w:w="113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Payable to Securitization Note Holders</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22,055 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87,321 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38,355 </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(6,521)</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(22,021)</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54,708 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65,152 </w:t>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67"/>
        <w:gridCol w:w="954"/>
        <w:gridCol w:w="958"/>
        <w:gridCol w:w="109"/>
        <w:gridCol w:w="109"/>
        <w:gridCol w:w="109"/>
        <w:gridCol w:w="592"/>
        <w:gridCol w:w="2319"/>
        <w:gridCol w:w="305"/>
        <w:gridCol w:w="109"/>
        <w:gridCol w:w="109"/>
        <w:gridCol w:w="109"/>
        <w:gridCol w:w="604"/>
        <w:gridCol w:w="2071"/>
        <w:gridCol w:w="314"/>
        <w:gridCol w:w="109"/>
        <w:gridCol w:w="158"/>
      </w:tblGrid>
      <w:tr>
        <w:trPr/>
        <w:tc>
          <w:tcPr>
            <w:tcW w:w="116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Payable to Securitization Note Holders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105,066 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39,188 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30,035 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(15,311)</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120,375 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32,122 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32"/>
        <w:gridCol w:w="972"/>
        <w:gridCol w:w="975"/>
        <w:gridCol w:w="109"/>
        <w:gridCol w:w="109"/>
        <w:gridCol w:w="109"/>
        <w:gridCol w:w="592"/>
        <w:gridCol w:w="2319"/>
        <w:gridCol w:w="305"/>
        <w:gridCol w:w="109"/>
        <w:gridCol w:w="109"/>
        <w:gridCol w:w="109"/>
        <w:gridCol w:w="604"/>
        <w:gridCol w:w="2071"/>
        <w:gridCol w:w="314"/>
        <w:gridCol w:w="109"/>
        <w:gridCol w:w="158"/>
      </w:tblGrid>
      <w:tr>
        <w:trPr/>
        <w:tc>
          <w:tcPr>
            <w:tcW w:w="11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Receivable and Residual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Payable to Securitization Note Holders</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97,416 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46,542 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48,841 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(27,054)</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(14,149)</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120,375 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32,122 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4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Loan Servicing Assets and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June 30, 2026, the Company’s loan servicing assets had a fair value of $40.9 million and $54.8 million, respectively, recorded within other assets on the condensed consolidated balance sheets. As of December 31, 2025 and June 30, 2026, the Company’s loan servicing liabilities had a fair value of $4.4 million and $8.4 million, respectively, recorded within accrued expenses and other liabilities on the condensed consolidated balance sheets.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Valuation Methodology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 servicing assets and liabilities are measured at estimated fair value using a DCF model. The cash flows in the valuation model represent the difference between the contractual servicing fees charged and the estimated market servicing fee. Since contractual servicing fees are generally based on the monthly outstanding principal balance of the underlying loans, the expected cash flows in the model incorporate estimates of net losses and prepayments.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Inputs and Assumptions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used for the Company’s Level 3 fair value measurements for loan servicing assets and liabilities:</w:t>
      </w:r>
    </w:p>
    <w:tbl>
      <w:tblPr>
        <w:tblW w:w="11623" w:type="dxa"/>
        <w:jc w:val="left"/>
        <w:tblInd w:w="0" w:type="dxa"/>
        <w:tblLayout w:type="fixed"/>
        <w:tblCellMar>
          <w:top w:w="28" w:type="dxa"/>
          <w:left w:w="28" w:type="dxa"/>
          <w:bottom w:w="28" w:type="dxa"/>
          <w:right w:w="28" w:type="dxa"/>
        </w:tblCellMar>
      </w:tblPr>
      <w:tblGrid>
        <w:gridCol w:w="549"/>
        <w:gridCol w:w="481"/>
        <w:gridCol w:w="486"/>
        <w:gridCol w:w="109"/>
        <w:gridCol w:w="109"/>
        <w:gridCol w:w="109"/>
        <w:gridCol w:w="308"/>
        <w:gridCol w:w="308"/>
        <w:gridCol w:w="526"/>
        <w:gridCol w:w="109"/>
        <w:gridCol w:w="109"/>
        <w:gridCol w:w="109"/>
        <w:gridCol w:w="308"/>
        <w:gridCol w:w="308"/>
        <w:gridCol w:w="551"/>
        <w:gridCol w:w="109"/>
        <w:gridCol w:w="109"/>
        <w:gridCol w:w="109"/>
        <w:gridCol w:w="388"/>
        <w:gridCol w:w="388"/>
        <w:gridCol w:w="965"/>
        <w:gridCol w:w="109"/>
        <w:gridCol w:w="109"/>
        <w:gridCol w:w="109"/>
        <w:gridCol w:w="308"/>
        <w:gridCol w:w="308"/>
        <w:gridCol w:w="526"/>
        <w:gridCol w:w="109"/>
        <w:gridCol w:w="109"/>
        <w:gridCol w:w="109"/>
        <w:gridCol w:w="308"/>
        <w:gridCol w:w="308"/>
        <w:gridCol w:w="551"/>
        <w:gridCol w:w="109"/>
        <w:gridCol w:w="109"/>
        <w:gridCol w:w="109"/>
        <w:gridCol w:w="364"/>
        <w:gridCol w:w="364"/>
        <w:gridCol w:w="1058"/>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17.28 </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Market-servicing rate</w:t>
            </w:r>
            <w:r>
              <w:rPr>
                <w:rFonts w:ascii="Times New Roman;serif" w:hAnsi="Times New Roman;serif"/>
                <w:b w:val="false"/>
                <w:color w:val="000000"/>
                <w:sz w:val="13"/>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(1)Unobservable inputs were weighted by relative fair value.</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(2)Excludes ancillary fees that would be passed on to a third-party servicer.</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(3)Expressed as a percentage of the outstanding principal balance of 1.16% - 2.69% for auto loans and 0.62% - 2.00% for personal loans as of December 31, 2025 and 0.60% - 2.69% for auto loans and 0.62% - 2.00% for personal loans as of June 30, 2026.</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Discount rates</w:t>
      </w:r>
      <w:r>
        <w:rPr>
          <w:color w:val="000000"/>
        </w:rPr>
        <w:t>–</w:t>
      </w:r>
      <w:r>
        <w:rPr>
          <w:rFonts w:ascii="Times New Roman;serif" w:hAnsi="Times New Roman;serif"/>
          <w:b w:val="false"/>
          <w:color w:val="000000"/>
          <w:sz w:val="20"/>
        </w:rPr>
        <w:t>The discount rates are the Company’s estimate of the rates of return that market participants in servicing rights would require when 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Credit risk rate</w:t>
      </w:r>
      <w:r>
        <w:rPr>
          <w:rFonts w:ascii="Times New Roman;serif" w:hAnsi="Times New Roman;serif"/>
          <w:b w:val="false"/>
          <w:color w:val="000000"/>
          <w:sz w:val="20"/>
        </w:rPr>
        <w:t xml:space="preserve">s–The credit risk rates are the Company’s estimate of the net cumulative principal payments that will not be repaid over the entire life of a loan expressed as a percentage of the original principal amount of the loan. The assumption regarding net cumulative losses impacts the projected balances and expected terms of the loans, which are used to project future servicing revenues.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Market-servicing rates</w:t>
      </w:r>
      <w:r>
        <w:rPr>
          <w:color w:val="000000"/>
        </w:rPr>
        <w:t>–</w:t>
      </w:r>
      <w:r>
        <w:rPr>
          <w:rFonts w:ascii="Times New Roman;serif" w:hAnsi="Times New Roman;serif"/>
          <w:b w:val="false"/>
          <w:color w:val="000000"/>
          <w:sz w:val="20"/>
        </w:rPr>
        <w:t>Market-servicing rate is an estimated measure of adequate compensation for a market participant, if one was required. The rate is expressed as a fixed percentage of outstanding principal balance per annum. The estimate considers the profit that would be demanded in the marketplace to service the portfolio of outstanding loans subject to the Company’s servicing agreements.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Prepayment rates</w:t>
      </w:r>
      <w:r>
        <w:rPr>
          <w:color w:val="000000"/>
        </w:rPr>
        <w:t>–</w:t>
      </w:r>
      <w:r>
        <w:rPr>
          <w:rFonts w:ascii="Times New Roman;serif" w:hAnsi="Times New Roman;serif"/>
          <w:b w:val="false"/>
          <w:color w:val="000000"/>
          <w:sz w:val="20"/>
        </w:rPr>
        <w:t>Prepayment rates are the Company’s estimate of the cumulative principal prepayments that will occur over the entire life of a loan as a percentage of the original principal amount of the loan. The assumption regarding cumulative prepayments impacts the projected balances and expected terms of the loans, which are used to project future servicing revenues.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the fair value sensitivity of loan servicing assets to adverse changes in market-servicing rates. The fair value of loan servicing assets and liabilities are not sensitive to adverse changes in discount rates, credit risk rates, and prepayment rates as such changes do not result in a material impact on the fair value as of December 31, 2025 and June 30, 2026. Adverse changes in market-servicing rates do not result in a material impact to the fair value of loan servicing liabilities as of December 31, 2025 and June 30, 2026. </w:t>
      </w:r>
    </w:p>
    <w:tbl>
      <w:tblPr>
        <w:tblW w:w="6029" w:type="dxa"/>
        <w:jc w:val="center"/>
        <w:tblInd w:w="0" w:type="dxa"/>
        <w:tblLayout w:type="fixed"/>
        <w:tblCellMar>
          <w:top w:w="28" w:type="dxa"/>
          <w:left w:w="28" w:type="dxa"/>
          <w:bottom w:w="28" w:type="dxa"/>
          <w:right w:w="28" w:type="dxa"/>
        </w:tblCellMar>
      </w:tblPr>
      <w:tblGrid>
        <w:gridCol w:w="1096"/>
        <w:gridCol w:w="965"/>
        <w:gridCol w:w="968"/>
        <w:gridCol w:w="109"/>
        <w:gridCol w:w="109"/>
        <w:gridCol w:w="109"/>
        <w:gridCol w:w="255"/>
        <w:gridCol w:w="873"/>
        <w:gridCol w:w="132"/>
        <w:gridCol w:w="109"/>
        <w:gridCol w:w="109"/>
        <w:gridCol w:w="109"/>
        <w:gridCol w:w="211"/>
        <w:gridCol w:w="721"/>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Fair value of loan servicing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market-servicing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market-servicing rates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market-servicing rates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(16,746)</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rollforward of the loan servicing assets and liabilities classified by the Company within Level 3 of the fair value hierarchy:</w:t>
      </w:r>
    </w:p>
    <w:tbl>
      <w:tblPr>
        <w:tblW w:w="8200" w:type="dxa"/>
        <w:jc w:val="center"/>
        <w:tblInd w:w="0" w:type="dxa"/>
        <w:tblLayout w:type="fixed"/>
        <w:tblCellMar>
          <w:top w:w="28" w:type="dxa"/>
          <w:left w:w="28" w:type="dxa"/>
          <w:bottom w:w="28" w:type="dxa"/>
          <w:right w:w="28" w:type="dxa"/>
        </w:tblCellMar>
      </w:tblPr>
      <w:tblGrid>
        <w:gridCol w:w="1281"/>
        <w:gridCol w:w="1127"/>
        <w:gridCol w:w="1132"/>
        <w:gridCol w:w="398"/>
        <w:gridCol w:w="1361"/>
        <w:gridCol w:w="205"/>
        <w:gridCol w:w="109"/>
        <w:gridCol w:w="109"/>
        <w:gridCol w:w="109"/>
        <w:gridCol w:w="508"/>
        <w:gridCol w:w="1488"/>
        <w:gridCol w:w="373"/>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28,886 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loans</w:t>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32,443 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00" w:type="dxa"/>
        <w:jc w:val="left"/>
        <w:tblInd w:w="0" w:type="dxa"/>
        <w:tblLayout w:type="fixed"/>
        <w:tblCellMar>
          <w:top w:w="28" w:type="dxa"/>
          <w:left w:w="28" w:type="dxa"/>
          <w:bottom w:w="28" w:type="dxa"/>
          <w:right w:w="28" w:type="dxa"/>
        </w:tblCellMar>
      </w:tblPr>
      <w:tblGrid>
        <w:gridCol w:w="1281"/>
        <w:gridCol w:w="1128"/>
        <w:gridCol w:w="1131"/>
        <w:gridCol w:w="398"/>
        <w:gridCol w:w="1361"/>
        <w:gridCol w:w="205"/>
        <w:gridCol w:w="109"/>
        <w:gridCol w:w="109"/>
        <w:gridCol w:w="109"/>
        <w:gridCol w:w="508"/>
        <w:gridCol w:w="1488"/>
        <w:gridCol w:w="373"/>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loans</w:t>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13,644 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32,443 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8200" w:type="dxa"/>
        <w:jc w:val="center"/>
        <w:tblInd w:w="0" w:type="dxa"/>
        <w:tblLayout w:type="fixed"/>
        <w:tblCellMar>
          <w:top w:w="28" w:type="dxa"/>
          <w:left w:w="28" w:type="dxa"/>
          <w:bottom w:w="28" w:type="dxa"/>
          <w:right w:w="28" w:type="dxa"/>
        </w:tblCellMar>
      </w:tblPr>
      <w:tblGrid>
        <w:gridCol w:w="1281"/>
        <w:gridCol w:w="1127"/>
        <w:gridCol w:w="1132"/>
        <w:gridCol w:w="398"/>
        <w:gridCol w:w="1361"/>
        <w:gridCol w:w="205"/>
        <w:gridCol w:w="109"/>
        <w:gridCol w:w="109"/>
        <w:gridCol w:w="109"/>
        <w:gridCol w:w="508"/>
        <w:gridCol w:w="1488"/>
        <w:gridCol w:w="373"/>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45,437 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6,646 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loans</w:t>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16,357 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(6,952)</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27"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398"/>
        <w:gridCol w:w="1361"/>
        <w:gridCol w:w="205"/>
        <w:gridCol w:w="109"/>
        <w:gridCol w:w="109"/>
        <w:gridCol w:w="109"/>
        <w:gridCol w:w="508"/>
        <w:gridCol w:w="1488"/>
        <w:gridCol w:w="373"/>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Loan Servicing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26,436 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5,592 </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Beneficial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committed capital and other co-investment arrangements that meet a definition of a derivative (derivative beneficial interests), the Company is obligated to make payments to or is entitled to receive payments from the third-party if credit performance on the underlying loans deviates from initial expectations, subject to a dollar cap. In the arrangements that are associated with debt-like securities with embedded derivative features, the Company makes an initial investment and is entitled to receive a portion of cash flows over time from the underlying loan portfolios. These cash flows vary depending on the demonstrated credit performance relative to our expectations.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June 30, 2026, the fair value of the beneficial interest assets related to these arrangements was $396.2 million and $545.9 million, respectively. As of the same dates, the fair value of the beneficial interest liabilities was $5.1 million and $10.2 million,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Valuation Methodology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Beneficial interests are measured at estimated fair value using a DCF model. The DCF model sets expectations for cash flows to be received by the Company under each arrangement based on contractually-defined terms, such as total return, portfolio composition, frequency of cash distribution, and others and calculates net cash flows to be received by the Company. These net cash flows are then discounted using an estimate of market rates of return that reflect the risk premium related to those cash flows. As credit performance is demonstrated by the underlying loan portfolios, each DCF model is periodically updated to determine future cash inflows and outflows based on the latest estimated performance for the duration of each arrangement. The DCF model uses inputs discussed below that are inherently judgmental and reflect the Company’s best estimates of the assumptions a market participant would use to determine fair value of our beneficial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used for the Company’s fair value measurements of beneficial interests as of December 31, 2025 and June 30, 2026:</w:t>
      </w:r>
    </w:p>
    <w:tbl>
      <w:tblPr>
        <w:tblW w:w="11188" w:type="dxa"/>
        <w:jc w:val="center"/>
        <w:tblInd w:w="0" w:type="dxa"/>
        <w:tblLayout w:type="fixed"/>
        <w:tblCellMar>
          <w:top w:w="28" w:type="dxa"/>
          <w:left w:w="28" w:type="dxa"/>
          <w:bottom w:w="28" w:type="dxa"/>
          <w:right w:w="28" w:type="dxa"/>
        </w:tblCellMar>
      </w:tblPr>
      <w:tblGrid>
        <w:gridCol w:w="458"/>
        <w:gridCol w:w="311"/>
        <w:gridCol w:w="312"/>
        <w:gridCol w:w="109"/>
        <w:gridCol w:w="109"/>
        <w:gridCol w:w="109"/>
        <w:gridCol w:w="306"/>
        <w:gridCol w:w="310"/>
        <w:gridCol w:w="526"/>
        <w:gridCol w:w="109"/>
        <w:gridCol w:w="109"/>
        <w:gridCol w:w="109"/>
        <w:gridCol w:w="308"/>
        <w:gridCol w:w="308"/>
        <w:gridCol w:w="551"/>
        <w:gridCol w:w="109"/>
        <w:gridCol w:w="109"/>
        <w:gridCol w:w="109"/>
        <w:gridCol w:w="388"/>
        <w:gridCol w:w="388"/>
        <w:gridCol w:w="965"/>
        <w:gridCol w:w="109"/>
        <w:gridCol w:w="109"/>
        <w:gridCol w:w="109"/>
        <w:gridCol w:w="306"/>
        <w:gridCol w:w="310"/>
        <w:gridCol w:w="526"/>
        <w:gridCol w:w="109"/>
        <w:gridCol w:w="109"/>
        <w:gridCol w:w="109"/>
        <w:gridCol w:w="308"/>
        <w:gridCol w:w="308"/>
        <w:gridCol w:w="551"/>
        <w:gridCol w:w="109"/>
        <w:gridCol w:w="109"/>
        <w:gridCol w:w="109"/>
        <w:gridCol w:w="364"/>
        <w:gridCol w:w="364"/>
        <w:gridCol w:w="1058"/>
      </w:tblGrid>
      <w:tr>
        <w:trPr/>
        <w:tc>
          <w:tcPr>
            <w:tcW w:w="45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 risk rate spread</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Prepayment rate spread</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Beneficial interest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Credit risk rate spread</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Prepayment rate spread</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(1)Unobservable inputs were weighted by relative fair value.</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 xml:space="preserve">(2)Expressed as a percentage of cumulative net loss expectations as of the valuation date compared to the initial expectations. </w:t>
      </w:r>
    </w:p>
    <w:p>
      <w:pPr>
        <w:pStyle w:val="TextBody"/>
        <w:bidi w:val="0"/>
        <w:spacing w:lineRule="auto" w:line="288" w:before="0" w:after="0"/>
        <w:ind w:left="0" w:right="0" w:hanging="540"/>
        <w:jc w:val="left"/>
        <w:rPr>
          <w:rFonts w:ascii="Times New Roman;serif" w:hAnsi="Times New Roman;serif"/>
          <w:b w:val="false"/>
          <w:color w:val="000000"/>
          <w:sz w:val="16"/>
        </w:rPr>
      </w:pPr>
      <w:r>
        <w:rPr>
          <w:rFonts w:ascii="Times New Roman;serif" w:hAnsi="Times New Roman;serif"/>
          <w:b w:val="false"/>
          <w:color w:val="000000"/>
          <w:sz w:val="16"/>
        </w:rPr>
        <w:t xml:space="preserve">(3)Expressed as a percentage of cumulative principal prepayment expectations as of the valuation date compared to the initial expectations. </w:t>
      </w:r>
    </w:p>
    <w:p>
      <w:pPr>
        <w:pStyle w:val="TextBody"/>
        <w:bidi w:val="0"/>
        <w:spacing w:before="0" w:after="0"/>
        <w:jc w:val="both"/>
        <w:rPr/>
      </w:pPr>
      <w:r>
        <w:rPr/>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Discount rates</w:t>
      </w:r>
      <w:r>
        <w:rPr>
          <w:color w:val="000000"/>
        </w:rPr>
        <w:t>–</w:t>
      </w:r>
      <w:r>
        <w:rPr>
          <w:rFonts w:ascii="Times New Roman;serif" w:hAnsi="Times New Roman;serif"/>
          <w:b w:val="false"/>
          <w:color w:val="000000"/>
          <w:sz w:val="20"/>
        </w:rPr>
        <w:t>The discount rates are rates of return used to discount future expected cash flows to arrive at a present value, which represents the fair value. The discount rates used for the projected net cash flows are the Company’s estimates of the rates of return that market participants would require when investing in these financial instruments with cash flows dependent on credit performance of the underlying loan portfolio. A risk premium component is implicitly included in the discount rates to reflect the amount of compensation market participants require due to the uncertainty inherent in the instruments’ cash flows resulting from risks such as credit and liquidity. The Company uses</w:t>
      </w:r>
      <w:r>
        <w:rPr>
          <w:color w:val="EE2724"/>
        </w:rPr>
        <w:t xml:space="preserve"> </w:t>
      </w:r>
      <w:r>
        <w:rPr>
          <w:rFonts w:ascii="Times New Roman;serif" w:hAnsi="Times New Roman;serif"/>
          <w:b w:val="false"/>
          <w:color w:val="000000"/>
          <w:sz w:val="20"/>
        </w:rPr>
        <w:t>different discount rates depending on the type of underlying collateral as well as for expected cash flows associated with demonstrated to-date credit performance and those associated with future credit performance. The difference in these rates reflects the level of uncertainty and, as a result, risk premium that would be required by market participants when investing in these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Credit risk rate spreads</w:t>
      </w:r>
      <w:r>
        <w:rPr>
          <w:color w:val="000000"/>
        </w:rPr>
        <w:t>–</w:t>
      </w:r>
      <w:r>
        <w:rPr>
          <w:rFonts w:ascii="Times New Roman;serif" w:hAnsi="Times New Roman;serif"/>
          <w:b w:val="false"/>
          <w:color w:val="000000"/>
          <w:sz w:val="20"/>
        </w:rPr>
        <w:t>Credit risk rate spreads are the measurement of estimated credit performance of underlying loan portfolios as of the reporting date in comparison to the Company’s estimates at the time of origination or sale of loans under these arrangements (“initial expectation”). More specifically, credit risk rate spreads are the difference between the initial expectation of the cumulative principal of a loan portfolio, net of average recoveries, that is estimated to not be repaid over the life of a beneficial interest (“cumulative net loss”) and the same estimate as of the reporting date. A positive credit risk rate spread indicates that the estimated cumulative net loss as of the reporting period is higher than the initial expectation for a particular portfolio. A negative credit risk rate spread indicates the opposite – the estimated cumulative net loss as of the reporting period is lower than the initial expectation. Credit risk rate spreads are expressed as a percentage of the initial expectation of the cumulative total net losses. The difference between the initial and current expectation of estimated cumulative net losses impacts the amount and the timing of cash flows the Company expects to receive on beneficial interest assets or to pay for beneficial interest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Prepayment rate spreads</w:t>
      </w:r>
      <w:r>
        <w:rPr>
          <w:color w:val="000000"/>
        </w:rPr>
        <w:t>–</w:t>
      </w:r>
      <w:r>
        <w:rPr>
          <w:rFonts w:ascii="Times New Roman;serif" w:hAnsi="Times New Roman;serif"/>
          <w:b w:val="false"/>
          <w:color w:val="000000"/>
          <w:sz w:val="20"/>
        </w:rPr>
        <w:t>Prepayment rate spreads are the measurement of estimated prepayments on the underlying loan portfolios as of the reporting date in comparison to the Company’s initial expectation. More specifically, prepayment rate spreads are the difference between the initial expectation of cumulative principal prepayments that will occur over the life of a beneficial interest (“cumulative prepayment”) and the same estimate as of the reporting date. A positive prepayment rate spread indicates that the estimated cumulative prepayments as of the reporting period is higher than the initial expectation for a particular portfolio. A negative prepayment rate spread indicates the opposite – the estimated cumulative prepayments as of the reporting period is lower than the initial expectation. Prepayment rate spreads are expressed as a percentage of the initial expectation of the cumulative total prepayments. The difference between the initial and current expectation of estimated cumulative prepayment impacts the amount and the timing of cash flows the Company expects to receive on beneficial interest assets or to pay for beneficial interest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following table presents the sensitivity of beneficial interest assets and liabilities to adverse changes in significant assumptions used in the valuation model as of December 31, 2025 and June 30, 2026. The Company adversely shocks the credit risk rate and prepayment rate on the underlying loan portfolios rather than the spreads.</w:t>
      </w:r>
      <w:r>
        <w:rPr>
          <w:color w:val="3051F2"/>
        </w:rPr>
        <w:t xml:space="preserve"> </w:t>
      </w:r>
      <w:r>
        <w:rPr>
          <w:rFonts w:ascii="Times New Roman;serif" w:hAnsi="Times New Roman;serif"/>
          <w:b w:val="false"/>
          <w:color w:val="000000"/>
          <w:sz w:val="20"/>
        </w:rPr>
        <w:t xml:space="preserve">Adverse changes in discount rates and prepayment rates do not result in a material impact to the fair value of beneficial interest liabilities as of December 31, 2025 and June 30, 2026. </w:t>
      </w:r>
    </w:p>
    <w:p>
      <w:pPr>
        <w:pStyle w:val="TextBody"/>
        <w:bidi w:val="0"/>
        <w:spacing w:lineRule="auto" w:line="288" w:before="240" w:after="283"/>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tbl>
      <w:tblPr>
        <w:tblW w:w="7019" w:type="dxa"/>
        <w:jc w:val="left"/>
        <w:tblInd w:w="0" w:type="dxa"/>
        <w:tblLayout w:type="fixed"/>
        <w:tblCellMar>
          <w:top w:w="28" w:type="dxa"/>
          <w:left w:w="28" w:type="dxa"/>
          <w:bottom w:w="28" w:type="dxa"/>
          <w:right w:w="28" w:type="dxa"/>
        </w:tblCellMar>
      </w:tblPr>
      <w:tblGrid>
        <w:gridCol w:w="1415"/>
        <w:gridCol w:w="1246"/>
        <w:gridCol w:w="1254"/>
        <w:gridCol w:w="109"/>
        <w:gridCol w:w="109"/>
        <w:gridCol w:w="109"/>
        <w:gridCol w:w="232"/>
        <w:gridCol w:w="908"/>
        <w:gridCol w:w="119"/>
        <w:gridCol w:w="109"/>
        <w:gridCol w:w="109"/>
        <w:gridCol w:w="109"/>
        <w:gridCol w:w="211"/>
        <w:gridCol w:w="826"/>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beneficial interest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396,216 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 basis point increase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200 basis point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credit risk rate on underlying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(80,110)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(158,190)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prepayment rate on underlying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of beneficial interest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credit risk rate on underlying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 adverse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 adverse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rollforward of beneficial interest assets and liabilities:</w:t>
      </w:r>
    </w:p>
    <w:p>
      <w:pPr>
        <w:pStyle w:val="TextBody"/>
        <w:bidi w:val="0"/>
        <w:spacing w:before="0" w:after="0"/>
        <w:jc w:val="left"/>
        <w:rPr/>
      </w:pPr>
      <w:r>
        <w:rPr/>
      </w:r>
    </w:p>
    <w:tbl>
      <w:tblPr>
        <w:tblW w:w="8682" w:type="dxa"/>
        <w:jc w:val="left"/>
        <w:tblInd w:w="0" w:type="dxa"/>
        <w:tblLayout w:type="fixed"/>
        <w:tblCellMar>
          <w:top w:w="28" w:type="dxa"/>
          <w:left w:w="28" w:type="dxa"/>
          <w:bottom w:w="28" w:type="dxa"/>
          <w:right w:w="28" w:type="dxa"/>
        </w:tblCellMar>
      </w:tblPr>
      <w:tblGrid>
        <w:gridCol w:w="1281"/>
        <w:gridCol w:w="1127"/>
        <w:gridCol w:w="1132"/>
        <w:gridCol w:w="406"/>
        <w:gridCol w:w="1590"/>
        <w:gridCol w:w="209"/>
        <w:gridCol w:w="109"/>
        <w:gridCol w:w="109"/>
        <w:gridCol w:w="109"/>
        <w:gridCol w:w="507"/>
        <w:gridCol w:w="1733"/>
        <w:gridCol w:w="370"/>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216,578 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4,032 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beneficial interests</w:t>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71,432 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beneficial interests</w:t>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(27,133)</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12,172 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266,761 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10,532 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81" w:type="dxa"/>
        <w:jc w:val="left"/>
        <w:tblInd w:w="0" w:type="dxa"/>
        <w:tblLayout w:type="fixed"/>
        <w:tblCellMar>
          <w:top w:w="28" w:type="dxa"/>
          <w:left w:w="28" w:type="dxa"/>
          <w:bottom w:w="28" w:type="dxa"/>
          <w:right w:w="28" w:type="dxa"/>
        </w:tblCellMar>
      </w:tblPr>
      <w:tblGrid>
        <w:gridCol w:w="1281"/>
        <w:gridCol w:w="1128"/>
        <w:gridCol w:w="1130"/>
        <w:gridCol w:w="406"/>
        <w:gridCol w:w="1590"/>
        <w:gridCol w:w="209"/>
        <w:gridCol w:w="109"/>
        <w:gridCol w:w="109"/>
        <w:gridCol w:w="109"/>
        <w:gridCol w:w="507"/>
        <w:gridCol w:w="1733"/>
        <w:gridCol w:w="370"/>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Liabilities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176,848 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10,089 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beneficial interests</w:t>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109,870 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beneficial interests</w:t>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(11,664)</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12,107 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266,761 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10,532 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81" w:type="dxa"/>
        <w:jc w:val="left"/>
        <w:tblInd w:w="0" w:type="dxa"/>
        <w:tblLayout w:type="fixed"/>
        <w:tblCellMar>
          <w:top w:w="28" w:type="dxa"/>
          <w:left w:w="28" w:type="dxa"/>
          <w:bottom w:w="28" w:type="dxa"/>
          <w:right w:w="28" w:type="dxa"/>
        </w:tblCellMar>
      </w:tblPr>
      <w:tblGrid>
        <w:gridCol w:w="1281"/>
        <w:gridCol w:w="1127"/>
        <w:gridCol w:w="1131"/>
        <w:gridCol w:w="406"/>
        <w:gridCol w:w="1590"/>
        <w:gridCol w:w="209"/>
        <w:gridCol w:w="109"/>
        <w:gridCol w:w="109"/>
        <w:gridCol w:w="109"/>
        <w:gridCol w:w="507"/>
        <w:gridCol w:w="1733"/>
        <w:gridCol w:w="370"/>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Liabilities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474,796 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beneficial interests</w:t>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138,663 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beneficial interests, net</w:t>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(66,594)</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7,480 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545,938 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08" w:type="dxa"/>
        <w:jc w:val="left"/>
        <w:tblInd w:w="0" w:type="dxa"/>
        <w:tblLayout w:type="fixed"/>
        <w:tblCellMar>
          <w:top w:w="28" w:type="dxa"/>
          <w:left w:w="28" w:type="dxa"/>
          <w:bottom w:w="28" w:type="dxa"/>
          <w:right w:w="28" w:type="dxa"/>
        </w:tblCellMar>
      </w:tblPr>
      <w:tblGrid>
        <w:gridCol w:w="1281"/>
        <w:gridCol w:w="1128"/>
        <w:gridCol w:w="1130"/>
        <w:gridCol w:w="109"/>
        <w:gridCol w:w="109"/>
        <w:gridCol w:w="109"/>
        <w:gridCol w:w="406"/>
        <w:gridCol w:w="1590"/>
        <w:gridCol w:w="209"/>
        <w:gridCol w:w="109"/>
        <w:gridCol w:w="109"/>
        <w:gridCol w:w="109"/>
        <w:gridCol w:w="507"/>
        <w:gridCol w:w="1733"/>
        <w:gridCol w:w="370"/>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Beneficial Interest Liabilities</w:t>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396,216 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of beneficial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252,735 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beneficial interests,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(112,299)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545,938 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Trailing Fee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pays certain lending partners monthly trailing fees based on the amount and timing of principal payments made by borrowers of the underlying loans. The Company held trailing fee liabilities of $5.8 million and $6.4 million as of December 31, 2025 and June 30, 2026,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Valuation Methodology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DCF methodology, which is used to estimate the fair value of trailing fee liabilities, uses the same projected net cash flows as the underlying loans. The fair valuation methodology considers projected prepayments and historical defaults, losses and recoveries to project future losses and net cash flows of the underlying loans. Net cash flows are discounted using an estimate of market rates of return.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Significant Inputs and Assumptions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quantitative information about the significant unobservable inputs used for the Company’s Level 3 fair value measurements for trailing fee liabilities: </w:t>
      </w:r>
    </w:p>
    <w:p>
      <w:pPr>
        <w:pStyle w:val="TextBody"/>
        <w:bidi w:val="0"/>
        <w:spacing w:before="0" w:after="0"/>
        <w:ind w:left="0" w:right="0" w:firstLine="720"/>
        <w:jc w:val="both"/>
        <w:rPr/>
      </w:pPr>
      <w:r>
        <w:rPr/>
      </w:r>
    </w:p>
    <w:tbl>
      <w:tblPr>
        <w:tblW w:w="10978" w:type="dxa"/>
        <w:jc w:val="left"/>
        <w:tblInd w:w="0" w:type="dxa"/>
        <w:tblLayout w:type="fixed"/>
        <w:tblCellMar>
          <w:top w:w="28" w:type="dxa"/>
          <w:left w:w="28" w:type="dxa"/>
          <w:bottom w:w="28" w:type="dxa"/>
          <w:right w:w="28" w:type="dxa"/>
        </w:tblCellMar>
      </w:tblPr>
      <w:tblGrid>
        <w:gridCol w:w="478"/>
        <w:gridCol w:w="329"/>
        <w:gridCol w:w="274"/>
        <w:gridCol w:w="109"/>
        <w:gridCol w:w="109"/>
        <w:gridCol w:w="109"/>
        <w:gridCol w:w="255"/>
        <w:gridCol w:w="256"/>
        <w:gridCol w:w="526"/>
        <w:gridCol w:w="109"/>
        <w:gridCol w:w="109"/>
        <w:gridCol w:w="109"/>
        <w:gridCol w:w="308"/>
        <w:gridCol w:w="308"/>
        <w:gridCol w:w="551"/>
        <w:gridCol w:w="109"/>
        <w:gridCol w:w="109"/>
        <w:gridCol w:w="109"/>
        <w:gridCol w:w="388"/>
        <w:gridCol w:w="388"/>
        <w:gridCol w:w="965"/>
        <w:gridCol w:w="109"/>
        <w:gridCol w:w="109"/>
        <w:gridCol w:w="109"/>
        <w:gridCol w:w="255"/>
        <w:gridCol w:w="256"/>
        <w:gridCol w:w="526"/>
        <w:gridCol w:w="109"/>
        <w:gridCol w:w="109"/>
        <w:gridCol w:w="109"/>
        <w:gridCol w:w="308"/>
        <w:gridCol w:w="308"/>
        <w:gridCol w:w="551"/>
        <w:gridCol w:w="109"/>
        <w:gridCol w:w="109"/>
        <w:gridCol w:w="109"/>
        <w:gridCol w:w="364"/>
        <w:gridCol w:w="364"/>
        <w:gridCol w:w="1058"/>
      </w:tblGrid>
      <w:tr>
        <w:trPr/>
        <w:tc>
          <w:tcPr>
            <w:tcW w:w="47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Minimum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Weighted-Average</w:t>
            </w:r>
            <w:r>
              <w:rPr>
                <w:rFonts w:ascii="Times New Roman;serif" w:hAnsi="Times New Roman;serif"/>
                <w:b w:val="false"/>
                <w:color w:val="000000"/>
                <w:sz w:val="13"/>
              </w:rPr>
              <w:t>(1)</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9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 risk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67.59 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73.64 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Prepayment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34.59 </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34.52 </w:t>
            </w:r>
          </w:p>
        </w:tc>
        <w:tc>
          <w:tcPr>
            <w:tcW w:w="1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(1)Unobservable inputs were weighted by relative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Significant Recurring Level 3 Fair Value Input Sensitivity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changes in significant assumptions do not result in a material impact to the fair value of trailing fee liabilities as of December 31, 2025 and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Rollforward of Level 3 Fair Values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a rollforward of trailing fee liabilities classified by the Company within Level 3 of the fair value hierarchy:</w:t>
      </w:r>
    </w:p>
    <w:p>
      <w:pPr>
        <w:pStyle w:val="TextBody"/>
        <w:bidi w:val="0"/>
        <w:spacing w:before="0" w:after="0"/>
        <w:ind w:left="0" w:right="0" w:firstLine="720"/>
        <w:jc w:val="both"/>
        <w:rPr/>
      </w:pPr>
      <w:r>
        <w:rPr/>
      </w:r>
    </w:p>
    <w:tbl>
      <w:tblPr>
        <w:tblW w:w="5997" w:type="dxa"/>
        <w:jc w:val="left"/>
        <w:tblInd w:w="0" w:type="dxa"/>
        <w:tblLayout w:type="fixed"/>
        <w:tblCellMar>
          <w:top w:w="28" w:type="dxa"/>
          <w:left w:w="28" w:type="dxa"/>
          <w:bottom w:w="28" w:type="dxa"/>
          <w:right w:w="28" w:type="dxa"/>
        </w:tblCellMar>
      </w:tblPr>
      <w:tblGrid>
        <w:gridCol w:w="1281"/>
        <w:gridCol w:w="1127"/>
        <w:gridCol w:w="1132"/>
        <w:gridCol w:w="109"/>
        <w:gridCol w:w="109"/>
        <w:gridCol w:w="109"/>
        <w:gridCol w:w="457"/>
        <w:gridCol w:w="1337"/>
        <w:gridCol w:w="336"/>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Trailing Fee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tbl>
      <w:tblPr>
        <w:tblW w:w="5997" w:type="dxa"/>
        <w:jc w:val="left"/>
        <w:tblInd w:w="0" w:type="dxa"/>
        <w:tblLayout w:type="fixed"/>
        <w:tblCellMar>
          <w:top w:w="28" w:type="dxa"/>
          <w:left w:w="28" w:type="dxa"/>
          <w:bottom w:w="28" w:type="dxa"/>
          <w:right w:w="28" w:type="dxa"/>
        </w:tblCellMar>
      </w:tblPr>
      <w:tblGrid>
        <w:gridCol w:w="1281"/>
        <w:gridCol w:w="1128"/>
        <w:gridCol w:w="1131"/>
        <w:gridCol w:w="109"/>
        <w:gridCol w:w="109"/>
        <w:gridCol w:w="109"/>
        <w:gridCol w:w="457"/>
        <w:gridCol w:w="1337"/>
        <w:gridCol w:w="336"/>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Trailing Fee Liabilities</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77" w:type="dxa"/>
        <w:jc w:val="left"/>
        <w:tblInd w:w="0" w:type="dxa"/>
        <w:tblLayout w:type="fixed"/>
        <w:tblCellMar>
          <w:top w:w="28" w:type="dxa"/>
          <w:left w:w="28" w:type="dxa"/>
          <w:bottom w:w="28" w:type="dxa"/>
          <w:right w:w="28" w:type="dxa"/>
        </w:tblCellMar>
      </w:tblPr>
      <w:tblGrid>
        <w:gridCol w:w="1346"/>
        <w:gridCol w:w="1184"/>
        <w:gridCol w:w="1190"/>
        <w:gridCol w:w="109"/>
        <w:gridCol w:w="109"/>
        <w:gridCol w:w="109"/>
        <w:gridCol w:w="457"/>
        <w:gridCol w:w="1337"/>
        <w:gridCol w:w="336"/>
      </w:tblGrid>
      <w:tr>
        <w:trPr/>
        <w:tc>
          <w:tcPr>
            <w:tcW w:w="1346"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Trailing Fee Liabilities</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77" w:type="dxa"/>
        <w:jc w:val="left"/>
        <w:tblInd w:w="0" w:type="dxa"/>
        <w:tblLayout w:type="fixed"/>
        <w:tblCellMar>
          <w:top w:w="28" w:type="dxa"/>
          <w:left w:w="28" w:type="dxa"/>
          <w:bottom w:w="28" w:type="dxa"/>
          <w:right w:w="28" w:type="dxa"/>
        </w:tblCellMar>
      </w:tblPr>
      <w:tblGrid>
        <w:gridCol w:w="1346"/>
        <w:gridCol w:w="1186"/>
        <w:gridCol w:w="1188"/>
        <w:gridCol w:w="109"/>
        <w:gridCol w:w="109"/>
        <w:gridCol w:w="109"/>
        <w:gridCol w:w="457"/>
        <w:gridCol w:w="1337"/>
        <w:gridCol w:w="336"/>
      </w:tblGrid>
      <w:tr>
        <w:trPr/>
        <w:tc>
          <w:tcPr>
            <w:tcW w:w="13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Trailing Fee Liabilities</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Issuances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and 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 recorded in earnings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108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6.    Goodwill and Intangible Assets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Goodwill balance was $67.1 million as of both December 31, 2025 and June 30, 2026. The Company recognized no impairment charges related to goodwill during the three and six months ended June 30, 2025 and 2026.</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Acquired intangible assets subject to amortization consist of customer relationships, and are recorded net of amortization and included within other assets on the condensed consolidated balance sheets. The gross and net carrying values and accumulated amortization are as follows:</w:t>
      </w:r>
    </w:p>
    <w:p>
      <w:pPr>
        <w:pStyle w:val="TextBody"/>
        <w:bidi w:val="0"/>
        <w:spacing w:before="140" w:after="283"/>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449"/>
        <w:gridCol w:w="395"/>
        <w:gridCol w:w="396"/>
        <w:gridCol w:w="109"/>
        <w:gridCol w:w="109"/>
        <w:gridCol w:w="109"/>
        <w:gridCol w:w="227"/>
        <w:gridCol w:w="777"/>
        <w:gridCol w:w="117"/>
        <w:gridCol w:w="109"/>
        <w:gridCol w:w="109"/>
        <w:gridCol w:w="109"/>
        <w:gridCol w:w="298"/>
        <w:gridCol w:w="892"/>
        <w:gridCol w:w="155"/>
        <w:gridCol w:w="109"/>
        <w:gridCol w:w="109"/>
        <w:gridCol w:w="109"/>
        <w:gridCol w:w="227"/>
        <w:gridCol w:w="663"/>
        <w:gridCol w:w="117"/>
        <w:gridCol w:w="109"/>
        <w:gridCol w:w="109"/>
        <w:gridCol w:w="109"/>
        <w:gridCol w:w="227"/>
        <w:gridCol w:w="777"/>
        <w:gridCol w:w="117"/>
        <w:gridCol w:w="109"/>
        <w:gridCol w:w="109"/>
        <w:gridCol w:w="109"/>
        <w:gridCol w:w="298"/>
        <w:gridCol w:w="892"/>
        <w:gridCol w:w="155"/>
        <w:gridCol w:w="109"/>
        <w:gridCol w:w="109"/>
        <w:gridCol w:w="109"/>
        <w:gridCol w:w="226"/>
        <w:gridCol w:w="661"/>
        <w:gridCol w:w="177"/>
      </w:tblGrid>
      <w:tr>
        <w:trPr/>
        <w:tc>
          <w:tcPr>
            <w:tcW w:w="44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24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2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Gross 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 Carrying Value</w:t>
            </w:r>
          </w:p>
        </w:tc>
      </w:tr>
      <w:tr>
        <w:trPr/>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was immaterial for the three and six months ended June 30, 2025 and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Expected future amortization expense for intangible assets is as follows: </w:t>
      </w:r>
    </w:p>
    <w:p>
      <w:pPr>
        <w:pStyle w:val="TextBody"/>
        <w:bidi w:val="0"/>
        <w:spacing w:before="0" w:after="0"/>
        <w:jc w:val="both"/>
        <w:rPr/>
      </w:pPr>
      <w:r>
        <w:rPr/>
      </w:r>
    </w:p>
    <w:tbl>
      <w:tblPr>
        <w:tblW w:w="2793" w:type="dxa"/>
        <w:jc w:val="center"/>
        <w:tblInd w:w="0" w:type="dxa"/>
        <w:tblLayout w:type="fixed"/>
        <w:tblCellMar>
          <w:top w:w="28" w:type="dxa"/>
          <w:left w:w="28" w:type="dxa"/>
          <w:bottom w:w="28" w:type="dxa"/>
          <w:right w:w="28" w:type="dxa"/>
        </w:tblCellMar>
      </w:tblPr>
      <w:tblGrid>
        <w:gridCol w:w="538"/>
        <w:gridCol w:w="473"/>
        <w:gridCol w:w="474"/>
        <w:gridCol w:w="109"/>
        <w:gridCol w:w="109"/>
        <w:gridCol w:w="109"/>
        <w:gridCol w:w="211"/>
        <w:gridCol w:w="61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7.    Balance Sheet Components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Other assets consisted of the following: </w:t>
      </w:r>
    </w:p>
    <w:tbl>
      <w:tblPr>
        <w:tblW w:w="6239" w:type="dxa"/>
        <w:jc w:val="center"/>
        <w:tblInd w:w="0" w:type="dxa"/>
        <w:tblLayout w:type="fixed"/>
        <w:tblCellMar>
          <w:top w:w="28" w:type="dxa"/>
          <w:left w:w="28" w:type="dxa"/>
          <w:bottom w:w="28" w:type="dxa"/>
          <w:right w:w="28" w:type="dxa"/>
        </w:tblCellMar>
      </w:tblPr>
      <w:tblGrid>
        <w:gridCol w:w="1134"/>
        <w:gridCol w:w="999"/>
        <w:gridCol w:w="1002"/>
        <w:gridCol w:w="109"/>
        <w:gridCol w:w="109"/>
        <w:gridCol w:w="109"/>
        <w:gridCol w:w="232"/>
        <w:gridCol w:w="908"/>
        <w:gridCol w:w="119"/>
        <w:gridCol w:w="109"/>
        <w:gridCol w:w="109"/>
        <w:gridCol w:w="109"/>
        <w:gridCol w:w="211"/>
        <w:gridCol w:w="826"/>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 servicing assets (at fair value)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Intangible assets, net</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157,971 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(1)Refer to “</w:t>
      </w:r>
      <w:r>
        <w:rPr>
          <w:rFonts w:ascii="Times New Roman;serif" w:hAnsi="Times New Roman;serif"/>
          <w:b w:val="false"/>
          <w:i/>
          <w:color w:val="000000"/>
          <w:sz w:val="16"/>
        </w:rPr>
        <w:t xml:space="preserve">Note 5. Fair Value Measurement” </w:t>
      </w:r>
      <w:r>
        <w:rPr>
          <w:rFonts w:ascii="Times New Roman;serif" w:hAnsi="Times New Roman;serif"/>
          <w:b w:val="false"/>
          <w:color w:val="000000"/>
          <w:sz w:val="16"/>
        </w:rPr>
        <w:t>for further information.</w:t>
      </w:r>
    </w:p>
    <w:p>
      <w:pPr>
        <w:pStyle w:val="TextBody"/>
        <w:bidi w:val="0"/>
        <w:spacing w:lineRule="auto" w:line="288" w:before="0" w:after="0"/>
        <w:ind w:left="0" w:right="0" w:hanging="540"/>
        <w:jc w:val="both"/>
        <w:rPr/>
      </w:pPr>
      <w:r>
        <w:rPr>
          <w:rFonts w:ascii="Times New Roman;serif" w:hAnsi="Times New Roman;serif"/>
          <w:b w:val="false"/>
          <w:color w:val="000000"/>
          <w:sz w:val="16"/>
        </w:rPr>
        <w:t>(2)Refer to “</w:t>
      </w:r>
      <w:r>
        <w:rPr>
          <w:rFonts w:ascii="Times New Roman;serif" w:hAnsi="Times New Roman;serif"/>
          <w:b w:val="false"/>
          <w:i/>
          <w:color w:val="000000"/>
          <w:sz w:val="16"/>
        </w:rPr>
        <w:t xml:space="preserve">Note 6. Goodwill and Intangible Assets” </w:t>
      </w:r>
      <w:r>
        <w:rPr>
          <w:rFonts w:ascii="Times New Roman;serif" w:hAnsi="Times New Roman;serif"/>
          <w:b w:val="false"/>
          <w:color w:val="000000"/>
          <w:sz w:val="16"/>
        </w:rPr>
        <w:t>for further information.</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Receivables represent amounts recognized as revenue but not yet collected in relation to servicing and other agreements with institutional investors and lending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Property, Equipment, and Software,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equipment, and software, net consisted of the following:</w:t>
      </w:r>
    </w:p>
    <w:tbl>
      <w:tblPr>
        <w:tblW w:w="6810" w:type="dxa"/>
        <w:jc w:val="center"/>
        <w:tblInd w:w="0" w:type="dxa"/>
        <w:tblLayout w:type="fixed"/>
        <w:tblCellMar>
          <w:top w:w="28" w:type="dxa"/>
          <w:left w:w="28" w:type="dxa"/>
          <w:bottom w:w="28" w:type="dxa"/>
          <w:right w:w="28" w:type="dxa"/>
        </w:tblCellMar>
      </w:tblPr>
      <w:tblGrid>
        <w:gridCol w:w="1340"/>
        <w:gridCol w:w="1181"/>
        <w:gridCol w:w="1184"/>
        <w:gridCol w:w="109"/>
        <w:gridCol w:w="109"/>
        <w:gridCol w:w="109"/>
        <w:gridCol w:w="255"/>
        <w:gridCol w:w="873"/>
        <w:gridCol w:w="132"/>
        <w:gridCol w:w="109"/>
        <w:gridCol w:w="109"/>
        <w:gridCol w:w="109"/>
        <w:gridCol w:w="211"/>
        <w:gridCol w:w="826"/>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Internally developed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and networking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(78,421)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equipment, and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44,174 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depreciation and amortization expense on property, equipment, and software was $5.6 million and $11.7 million, respectively, and immaterial and $12.4 million for the three and six months ended June 30, 2026, respectively.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Capitalized internally developed software balances, net of accumulated amortization, were $38.5 million and $41.6 million as of December 31, 2025 and June 30, 2026, respectively. The Company recognized immaterial impairment charges to internally developed software during the three and six months ended June 30, 2025 and no impairment charges to internally developed software during the three and six months ended June 30, 2026.</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Accrued Expenses and Other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liabilities consisted of the following:</w:t>
      </w:r>
    </w:p>
    <w:p>
      <w:pPr>
        <w:pStyle w:val="TextBody"/>
        <w:bidi w:val="0"/>
        <w:spacing w:before="0" w:after="0"/>
        <w:jc w:val="both"/>
        <w:rPr/>
      </w:pPr>
      <w:r>
        <w:rPr/>
      </w:r>
    </w:p>
    <w:tbl>
      <w:tblPr>
        <w:tblW w:w="6824" w:type="dxa"/>
        <w:jc w:val="center"/>
        <w:tblInd w:w="0" w:type="dxa"/>
        <w:tblLayout w:type="fixed"/>
        <w:tblCellMar>
          <w:top w:w="28" w:type="dxa"/>
          <w:left w:w="28" w:type="dxa"/>
          <w:bottom w:w="28" w:type="dxa"/>
          <w:right w:w="28" w:type="dxa"/>
        </w:tblCellMar>
      </w:tblPr>
      <w:tblGrid>
        <w:gridCol w:w="1347"/>
        <w:gridCol w:w="1182"/>
        <w:gridCol w:w="1191"/>
        <w:gridCol w:w="109"/>
        <w:gridCol w:w="109"/>
        <w:gridCol w:w="109"/>
        <w:gridCol w:w="232"/>
        <w:gridCol w:w="908"/>
        <w:gridCol w:w="119"/>
        <w:gridCol w:w="109"/>
        <w:gridCol w:w="109"/>
        <w:gridCol w:w="109"/>
        <w:gridCol w:w="211"/>
        <w:gridCol w:w="826"/>
        <w:gridCol w:w="154"/>
      </w:tblGrid>
      <w:tr>
        <w:trPr/>
        <w:tc>
          <w:tcPr>
            <w:tcW w:w="1347"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Beneficial interest liabilities (at fair value)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Loan servicing liabilities (at fair value)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Trailing fee liability (at fair value)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171,495 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(1)Refer to “</w:t>
      </w:r>
      <w:r>
        <w:rPr>
          <w:rFonts w:ascii="Times New Roman;serif" w:hAnsi="Times New Roman;serif"/>
          <w:b w:val="false"/>
          <w:i/>
          <w:color w:val="000000"/>
          <w:sz w:val="16"/>
        </w:rPr>
        <w:t xml:space="preserve">Note 5. Fair Value Measurement” </w:t>
      </w:r>
      <w:r>
        <w:rPr>
          <w:rFonts w:ascii="Times New Roman;serif" w:hAnsi="Times New Roman;serif"/>
          <w:b w:val="false"/>
          <w:color w:val="000000"/>
          <w:sz w:val="16"/>
        </w:rPr>
        <w:t>for further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8.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aggregate principal outstanding of all borrowings that are included in the condensed consolidated balance sheets:</w:t>
      </w:r>
    </w:p>
    <w:tbl>
      <w:tblPr>
        <w:tblW w:w="6021" w:type="dxa"/>
        <w:jc w:val="center"/>
        <w:tblInd w:w="0" w:type="dxa"/>
        <w:tblLayout w:type="fixed"/>
        <w:tblCellMar>
          <w:top w:w="28" w:type="dxa"/>
          <w:left w:w="28" w:type="dxa"/>
          <w:bottom w:w="28" w:type="dxa"/>
          <w:right w:w="28" w:type="dxa"/>
        </w:tblCellMar>
      </w:tblPr>
      <w:tblGrid>
        <w:gridCol w:w="989"/>
        <w:gridCol w:w="869"/>
        <w:gridCol w:w="872"/>
        <w:gridCol w:w="109"/>
        <w:gridCol w:w="109"/>
        <w:gridCol w:w="109"/>
        <w:gridCol w:w="211"/>
        <w:gridCol w:w="976"/>
        <w:gridCol w:w="109"/>
        <w:gridCol w:w="109"/>
        <w:gridCol w:w="109"/>
        <w:gridCol w:w="109"/>
        <w:gridCol w:w="211"/>
        <w:gridCol w:w="976"/>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Warehouse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 retention financing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payments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2,031,583 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2,003,129 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aggregate amount of maturities of all borrowings:</w:t>
      </w:r>
    </w:p>
    <w:tbl>
      <w:tblPr>
        <w:tblW w:w="3153" w:type="dxa"/>
        <w:jc w:val="left"/>
        <w:tblInd w:w="0" w:type="dxa"/>
        <w:tblLayout w:type="fixed"/>
        <w:tblCellMar>
          <w:top w:w="28" w:type="dxa"/>
          <w:left w:w="28" w:type="dxa"/>
          <w:bottom w:w="28" w:type="dxa"/>
          <w:right w:w="28" w:type="dxa"/>
        </w:tblCellMar>
      </w:tblPr>
      <w:tblGrid>
        <w:gridCol w:w="538"/>
        <w:gridCol w:w="473"/>
        <w:gridCol w:w="474"/>
        <w:gridCol w:w="109"/>
        <w:gridCol w:w="109"/>
        <w:gridCol w:w="109"/>
        <w:gridCol w:w="211"/>
        <w:gridCol w:w="976"/>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608,701 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2,031,583 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Warehouse Credit Facilities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details of the Company’s revolving warehouse credit facilities:</w:t>
      </w:r>
    </w:p>
    <w:tbl>
      <w:tblPr>
        <w:tblW w:w="11302"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535"/>
        <w:gridCol w:w="250"/>
        <w:gridCol w:w="251"/>
        <w:gridCol w:w="109"/>
        <w:gridCol w:w="109"/>
        <w:gridCol w:w="109"/>
        <w:gridCol w:w="395"/>
        <w:gridCol w:w="395"/>
        <w:gridCol w:w="396"/>
        <w:gridCol w:w="109"/>
        <w:gridCol w:w="109"/>
        <w:gridCol w:w="109"/>
        <w:gridCol w:w="211"/>
        <w:gridCol w:w="826"/>
        <w:gridCol w:w="109"/>
        <w:gridCol w:w="109"/>
        <w:gridCol w:w="109"/>
        <w:gridCol w:w="109"/>
        <w:gridCol w:w="211"/>
        <w:gridCol w:w="826"/>
        <w:gridCol w:w="109"/>
        <w:gridCol w:w="109"/>
        <w:gridCol w:w="109"/>
        <w:gridCol w:w="109"/>
        <w:gridCol w:w="231"/>
        <w:gridCol w:w="790"/>
        <w:gridCol w:w="120"/>
        <w:gridCol w:w="109"/>
        <w:gridCol w:w="109"/>
        <w:gridCol w:w="109"/>
        <w:gridCol w:w="211"/>
        <w:gridCol w:w="826"/>
        <w:gridCol w:w="109"/>
        <w:gridCol w:w="109"/>
        <w:gridCol w:w="109"/>
        <w:gridCol w:w="109"/>
        <w:gridCol w:w="211"/>
        <w:gridCol w:w="826"/>
        <w:gridCol w:w="154"/>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Stated Interest Rate</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Termination and Maturity</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Total Borrowing Capacity</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Collateral</w:t>
            </w:r>
            <w:r>
              <w:rPr>
                <w:rFonts w:ascii="Times New Roman;serif" w:hAnsi="Times New Roman;serif"/>
                <w:b w:val="false"/>
                <w:color w:val="000000"/>
                <w:sz w:val="13"/>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Collateral</w:t>
            </w:r>
            <w:r>
              <w:rPr>
                <w:rFonts w:ascii="Times New Roman;serif" w:hAnsi="Times New Roman;serif"/>
                <w:b w:val="false"/>
                <w:color w:val="000000"/>
                <w:sz w:val="13"/>
              </w:rPr>
              <w:t>(4)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Borrowings</w:t>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Upstart Auto Warehouse Trust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Benchmark rate + 0% - 4.0%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2026 and August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Upstart Loan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Benchmark rate + 1.8% - 3.4%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2028 and June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Upstart Small Dollar Loan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Benchmark rate + 5.5%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2027 and June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97,333 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251,758 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(1)The interest rates on our warehouse credit facilities are floating and designed as a reference rate plus a spread. Reference rates include the Compounded SOFR, the Term Secured Overnight Financing Rate, and the weighted-average cost of commercial paper notes issued by the lender. The stated interest rate excludes maximum unused commitment fees of 1.0%. The undrawn fee for Upstart Small Dollar Loan Trust is the dollar amount of interest and fees that would have been due if the daily average aggregate outstanding principal balance was equal to 75% of the then-applicable borrowing base.</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(2)The first date represents the final date the Company may borrow up to the maximum capacity under the warehouse. The second date is the maturity date, when the outstanding principal amount, together with accrued and unpaid interest will be due and payable in full.</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(3)Total capacity is as of June 30, 2026. Upstart Small Dollar Loan Trust has $100.0 million of uncommitted capacity and Upstart Loan Trust has $225.0 million of uncommitted capacity out of the $400.0 million total. </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(4)Represents the aggregate restricted cash and unpaid principal balance of loans pledged as collateral.</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5, 2026, Upstart Loan Trust amended its credit agreement to extend the maturity date to June 15, 2029. Additionally, the total borrowing capacity increased from $325.0 million to $400.0 million, of which $175.0 million is committed. All other key terms of the agreements remain the same.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warehouse credit facilities contain certain financial covenants. As of June 30, 2026, the Company was in compliance with all applicable covenants for its warehouse credit facilities.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Risk Retention Financing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2025, the Company entered into a $100.0 million risk retention financing facility to finance certain securitization notes receivable it retained in a capacity of the risk retention sponsor under applicable risk retention regulations. Under this facility, the Company pledged the securitization notes receivable as collateral. On April 22, 2026 the risk retention financing facility was amended to increase the maximum facility amount from $100.0 million to $200.0 million.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outstanding balance of the facility was $92.0 million as of June 30, 2026, presented within borrowings on the condensed consolidated balance sheets. The fair value of the securitization notes receivable pledged was $91.3 million,</w:t>
      </w:r>
      <w:r>
        <w:rPr>
          <w:color w:val="3051F2"/>
        </w:rPr>
        <w:t xml:space="preserve"> </w:t>
      </w:r>
      <w:r>
        <w:rPr>
          <w:rFonts w:ascii="Times New Roman;serif" w:hAnsi="Times New Roman;serif"/>
          <w:b w:val="false"/>
          <w:color w:val="000000"/>
          <w:sz w:val="20"/>
        </w:rPr>
        <w:t>$89.7 million of which is presented within notes receivable and residual certificates (at fair value) on the condensed consolidated balance sheets and $1.7 million related to the consolidated securitization. The financing bears interest at the weighted-average coupon of the pledged securities plus a 0.40% spread. The facility’s final maturity dates range from 2033 to 2036. The facility is accounted for as a secured borrowing.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Pledged collateral levels are monitored and maintained at an agreed-upon percentage of the outstanding borrowings during the life of the borrowing. In the event of a decline in the fair value of the pledged collateral, the Company may be required to transfer cash or pledge additional securities under this facility.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August 2021, the Company issued $661.3 million in aggregate principal amount of 0.25% convertible senior notes due 2026 (the “2026 Notes”). In September 2024, the Company issued $431.3 million in aggregate principal amount of 2.00% convertible senior notes due 2029 (the “2029 Notes”). In November 2024, the Company issued $500.0 million in aggregate principal amount of 1.00% convertible senior notes due 2030 (the “2030 Notes”). In August 2025, the Company issued $690.0 million in aggregate principal amount of 0% convertible senior notes due 2032 (the “2032 Notes” and, together with the 2026 Notes, 2029 Notes and 2030 Notes, the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Concurrently with the issuance of the 2029 Notes and the 2032 Notes, the Company repurchased portions of the 2026 Notes. In the third quarter of 2024, the Company used approximately $302.4 million</w:t>
      </w:r>
      <w:r>
        <w:rPr>
          <w:color w:val="000000"/>
          <w:shd w:fill="FFFFFF" w:val="clear"/>
        </w:rPr>
        <w:t xml:space="preserve"> </w:t>
      </w:r>
      <w:r>
        <w:rPr>
          <w:rFonts w:ascii="Times New Roman;serif" w:hAnsi="Times New Roman;serif"/>
          <w:b w:val="false"/>
          <w:color w:val="000000"/>
          <w:sz w:val="20"/>
          <w:shd w:fill="FFFFFF" w:val="clear"/>
        </w:rPr>
        <w:t xml:space="preserve">of the net </w:t>
      </w:r>
      <w:r>
        <w:rPr>
          <w:rFonts w:ascii="Times New Roman;serif" w:hAnsi="Times New Roman;serif"/>
          <w:b w:val="false"/>
          <w:color w:val="000000"/>
          <w:sz w:val="20"/>
        </w:rPr>
        <w:t xml:space="preserve">proceeds from the offering of the 2029 Notes to repurchase approximately $334.2 million in aggregate principal amount of the outstanding 2026 Notes in individually negotiated transactions and additionally repurchased approximately $27.9 million of the outstanding 2026 Notes in open-market purchases. In August 2025, the Company used approximately $224.2 million of the net proceeds from the offering of the 2032 Notes to repurchase approximately $232.6 million in aggregate principal amount of the outstanding 2026 Notes in individually negotiated transactions.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repurchases of the 2026 Notes were accounted for as a debt extinguishment. The difference between the consideration paid to repurchase the 2026 Notes and the carrying value of the 2026 Notes, resulted in a gain on debt extinguishment of $33.4 million and $7.2 million</w:t>
      </w:r>
      <w:r>
        <w:rPr>
          <w:color w:val="000000"/>
          <w:shd w:fill="FFFFFF" w:val="clear"/>
        </w:rPr>
        <w:t xml:space="preserve"> </w:t>
      </w:r>
      <w:r>
        <w:rPr>
          <w:rFonts w:ascii="Times New Roman;serif" w:hAnsi="Times New Roman;serif"/>
          <w:b w:val="false"/>
          <w:color w:val="000000"/>
          <w:sz w:val="20"/>
          <w:shd w:fill="FFFFFF" w:val="clear"/>
        </w:rPr>
        <w:t xml:space="preserve">separately reported </w:t>
      </w:r>
      <w:r>
        <w:rPr>
          <w:rFonts w:ascii="Times New Roman;serif" w:hAnsi="Times New Roman;serif"/>
          <w:b w:val="false"/>
          <w:color w:val="000000"/>
          <w:sz w:val="20"/>
        </w:rPr>
        <w:t>on the condensed consolidated statement of operations and comprehensive income (loss) during the third quarter of 2024 and 2025, respectively. The partial extinguishments did not result in any changes to the terms of the 2026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Each series of Notes is governed by its respective indenture (each, an “Indenture”), and represents</w:t>
      </w:r>
      <w:r>
        <w:rPr>
          <w:color w:val="000000"/>
          <w:shd w:fill="FFFFFF" w:val="clear"/>
        </w:rPr>
        <w:t xml:space="preserve"> </w:t>
      </w:r>
      <w:r>
        <w:rPr>
          <w:rFonts w:ascii="Times New Roman;serif" w:hAnsi="Times New Roman;serif"/>
          <w:b w:val="false"/>
          <w:color w:val="000000"/>
          <w:sz w:val="20"/>
          <w:shd w:fill="FFFFFF" w:val="clear"/>
        </w:rPr>
        <w:t xml:space="preserve">senior unsecured obligations of the Company. The </w:t>
      </w:r>
      <w:r>
        <w:rPr>
          <w:rFonts w:ascii="Times New Roman;serif" w:hAnsi="Times New Roman;serif"/>
          <w:b w:val="false"/>
          <w:color w:val="000000"/>
          <w:sz w:val="20"/>
        </w:rPr>
        <w:t>2026 Notes</w:t>
      </w:r>
      <w:r>
        <w:rPr>
          <w:color w:val="000000"/>
          <w:shd w:fill="FFFFFF" w:val="clear"/>
        </w:rPr>
        <w:t xml:space="preserve"> </w:t>
      </w:r>
      <w:r>
        <w:rPr>
          <w:rFonts w:ascii="Times New Roman;serif" w:hAnsi="Times New Roman;serif"/>
          <w:b w:val="false"/>
          <w:color w:val="000000"/>
          <w:sz w:val="20"/>
          <w:shd w:fill="FFFFFF" w:val="clear"/>
        </w:rPr>
        <w:t xml:space="preserve">mature on August 15, 2026, the </w:t>
      </w:r>
      <w:r>
        <w:rPr>
          <w:rFonts w:ascii="Times New Roman;serif" w:hAnsi="Times New Roman;serif"/>
          <w:b w:val="false"/>
          <w:color w:val="000000"/>
          <w:sz w:val="20"/>
        </w:rPr>
        <w:t>2029 Notes mature on</w:t>
      </w:r>
      <w:r>
        <w:rPr>
          <w:color w:val="000000"/>
          <w:shd w:fill="FFFFFF" w:val="clear"/>
        </w:rPr>
        <w:t xml:space="preserve"> </w:t>
      </w:r>
      <w:r>
        <w:rPr>
          <w:rFonts w:ascii="Times New Roman;serif" w:hAnsi="Times New Roman;serif"/>
          <w:b w:val="false"/>
          <w:color w:val="000000"/>
          <w:sz w:val="20"/>
          <w:shd w:fill="FFFFFF" w:val="clear"/>
        </w:rPr>
        <w:t xml:space="preserve">October 1, 2029, the </w:t>
      </w:r>
      <w:r>
        <w:rPr>
          <w:rFonts w:ascii="Times New Roman;serif" w:hAnsi="Times New Roman;serif"/>
          <w:b w:val="false"/>
          <w:color w:val="000000"/>
          <w:sz w:val="20"/>
        </w:rPr>
        <w:t xml:space="preserve">2030 Notes mature on November 15, 2030, and the 2032 Notes mature on February 15, 2032, </w:t>
      </w:r>
      <w:r>
        <w:rPr>
          <w:rFonts w:ascii="Times New Roman;serif" w:hAnsi="Times New Roman;serif"/>
          <w:b w:val="false"/>
          <w:color w:val="000000"/>
          <w:sz w:val="20"/>
          <w:shd w:fill="FFFFFF" w:val="clear"/>
        </w:rPr>
        <w:t xml:space="preserve">unless such </w:t>
      </w:r>
      <w:r>
        <w:rPr>
          <w:rFonts w:ascii="Times New Roman;serif" w:hAnsi="Times New Roman;serif"/>
          <w:b w:val="false"/>
          <w:color w:val="000000"/>
          <w:sz w:val="20"/>
        </w:rPr>
        <w:t>Notes</w:t>
      </w:r>
      <w:r>
        <w:rPr>
          <w:color w:val="000000"/>
          <w:shd w:fill="FFFFFF" w:val="clear"/>
        </w:rPr>
        <w:t xml:space="preserve"> </w:t>
      </w:r>
      <w:r>
        <w:rPr>
          <w:rFonts w:ascii="Times New Roman;serif" w:hAnsi="Times New Roman;serif"/>
          <w:b w:val="false"/>
          <w:color w:val="000000"/>
          <w:sz w:val="20"/>
          <w:shd w:fill="FFFFFF" w:val="clear"/>
        </w:rPr>
        <w:t>are earlier converted, redeemed, or repurchased in accordance with their terms</w:t>
      </w:r>
      <w:r>
        <w:rPr>
          <w:rFonts w:ascii="Times New Roman;serif" w:hAnsi="Times New Roman;serif"/>
          <w:b w:val="false"/>
          <w:color w:val="000000"/>
          <w:sz w:val="20"/>
        </w:rPr>
        <w:t xml:space="preserve">. The Company may redeem for cash all or any portion of the Notes, at its option, on or after August 20, 2024, in the case of the 2026 Notes, on or after </w:t>
      </w:r>
      <w:r>
        <w:rPr>
          <w:rFonts w:ascii="Times New Roman;serif" w:hAnsi="Times New Roman;serif"/>
          <w:b w:val="false"/>
          <w:color w:val="000000"/>
          <w:sz w:val="20"/>
          <w:shd w:fill="FFFFFF" w:val="clear"/>
        </w:rPr>
        <w:t xml:space="preserve">October 6, 2027, in the case of the </w:t>
      </w:r>
      <w:r>
        <w:rPr>
          <w:rFonts w:ascii="Times New Roman;serif" w:hAnsi="Times New Roman;serif"/>
          <w:b w:val="false"/>
          <w:color w:val="000000"/>
          <w:sz w:val="20"/>
        </w:rPr>
        <w:t>2029 Notes, on or after November 20, 2027, in the case of the 2030 Notes, and on or after August 20, 2028, in the case of the 2032 Notes, if the last reported sale price of the Company’s common stock has been at least 130% of the conversion price for the Notes of the applicable series then in effect for at least 20 trading days (whether or not consecutive) during any 30 consecutive trading-day period (including the last trading day of such period) ending on, and including, the trading day immediately preceding the date on which the Company provides a notice of redemption for the Notes of such series at a redemption price equal to 100% of the principal amount of the Notes of such series to be redeemed, plus any accrued and unpaid interest (or special interest, if any, in the case of the 2032 Notes) to, but excluding, the redemption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details of the Notes: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85"/>
        <w:gridCol w:w="250"/>
        <w:gridCol w:w="252"/>
        <w:gridCol w:w="109"/>
        <w:gridCol w:w="109"/>
        <w:gridCol w:w="109"/>
        <w:gridCol w:w="952"/>
        <w:gridCol w:w="952"/>
        <w:gridCol w:w="962"/>
        <w:gridCol w:w="109"/>
        <w:gridCol w:w="109"/>
        <w:gridCol w:w="109"/>
        <w:gridCol w:w="764"/>
        <w:gridCol w:w="764"/>
        <w:gridCol w:w="766"/>
        <w:gridCol w:w="109"/>
        <w:gridCol w:w="109"/>
        <w:gridCol w:w="109"/>
        <w:gridCol w:w="514"/>
        <w:gridCol w:w="514"/>
        <w:gridCol w:w="515"/>
        <w:gridCol w:w="109"/>
        <w:gridCol w:w="109"/>
        <w:gridCol w:w="109"/>
        <w:gridCol w:w="409"/>
        <w:gridCol w:w="409"/>
        <w:gridCol w:w="589"/>
      </w:tblGrid>
      <w:tr>
        <w:trPr/>
        <w:tc>
          <w:tcPr>
            <w:tcW w:w="2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Initial Conversion Rate per $1,000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Initial Conversion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Conversion Date</w:t>
            </w:r>
          </w:p>
        </w:tc>
      </w:tr>
      <w:tr>
        <w:trPr/>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0.25%; payable semiannually on February 15 and August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2026</w:t>
            </w:r>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2.00%; payable semiannually on April 1 and October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21.9029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1, 2029</w:t>
            </w:r>
          </w:p>
        </w:tc>
      </w:tr>
      <w:tr>
        <w:trPr/>
        <w:tc>
          <w:tcPr>
            <w:tcW w:w="7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1.00%; payable semiannually on May 15 and November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10.8702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2030</w:t>
            </w:r>
          </w:p>
        </w:tc>
      </w:tr>
      <w:tr>
        <w:trPr/>
        <w:tc>
          <w:tcPr>
            <w:tcW w:w="7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15, 2031</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the Notes may convert their Notes at their option any time prior to the close of business on the business day immediately preceding May 15, 2026, in the case of the 2026 Notes; July 1, 2029, in the case of the 2029 Notes; August 15, 2030, in the case of the 2030 Notes; and November 15, 2031, in the case of the 2032 Notes, only under the following circumstances: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during any calendar quarter commencing after December 31, 2021, in the case of the 2026 Notes, December 31, 2024, in the case of the 2029 Notes, March 31, 2025, in the case of the 2030 Notes and December 31, 2025, in the case of the 2032 Notes,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applicable conversion price for the respective Notes on each applicable trading day;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(2) during the five business-day period after any five consecutive trading-day period in which the trading price per $1,000 principal amount of the applicable series of Notes for each trading day of such five consecutive trading-day period was less than 98% of the product of the last reported sale price of the Company’s common stock and the conversion rate of the respective Notes on each such trading day;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if the Company calls any or all of the Notes of the applicable series for redemption, at any time prior to the close of business on the second scheduled trading day immediately preceding the redemption date; or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(4) upon the occurrence of specified corporate events.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or after May 15, 2026, in the case of the 2026 Notes, July 1, 2029, in the case of the 2029 Notes, August 15, 2030, in the case of the 2030 Notes, and November 15, 2031, in the case of the 2032 Notes, holders of the Notes of the applicable series may surrender all or any portion of their Notes of such series for conversion at any time prior to the close of business on the second scheduled trading day immediately preceding the applicable maturity date regardless of the foregoing conditions. Upon conversion, the Company will pay or deliver, as the case may be, either cash, shares of common stock or a combination of cash and shares of common stock, at its election.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conversion price for each series of Notes will be subject to adjustment if certain events occur. In addition, following certain corporate events that may occur prior to the applicable maturity date or following the Company’s issuance of a notice of redemption for a series of Notes, the Company may be required to increase the conversion rate for the holder of the Notes of such series who elect to convert such Notes in connection with such corporate event or during the related redemption period in certain circumstances. Additionally, upon the occurrence of a corporate event that constitutes a “fundamental change” pursuant to the applicable Indenture, holders of the applicable series of Notes may require the Company to repurchase for cash all or a portion of such Notes at a repurchase price equal to 100% of the principal amount of the Notes of such series to be redeemed plus accrued and unpaid interest (or special interest, if any, in the case of the 2032 Notes) to, but excluding, the fundamental change repurchase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accounted for the issuance of each series of the Notes as a single liability at par as the conversion feature of each series of Notes does not require bifurcation as a derivative under ASC 815 and the Notes were not issued at a substantial premium. Debt issuance costs related to the 2026 Notes, 2029 Notes, 2030 Notes and 2032 Notes totaled $15.7 million, $10.4 million, $11.8 million, and $14.4 million respectively, which are amortized to interest expense under the effective interest method over the contractual term.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effective interest rate of the 2026 Notes, 2029 Notes, 2030 Notes and 2032 Notes is 0.7%, </w:t>
      </w:r>
      <w:r>
        <w:rPr>
          <w:rFonts w:ascii="Times New Roman;serif" w:hAnsi="Times New Roman;serif"/>
          <w:b w:val="false"/>
          <w:color w:val="000000"/>
          <w:sz w:val="20"/>
          <w:shd w:fill="FFFFFF" w:val="clear"/>
        </w:rPr>
        <w:t>2.5%</w:t>
      </w:r>
      <w:r>
        <w:rPr>
          <w:rFonts w:ascii="Times New Roman;serif" w:hAnsi="Times New Roman;serif"/>
          <w:b w:val="false"/>
          <w:color w:val="000000"/>
          <w:sz w:val="20"/>
        </w:rPr>
        <w:t xml:space="preserve">, 1.4%, and 0.3%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an immaterial amount and $7.2 million of coupon interest expense for the three and six months ended June 30, 2025, and an immaterial amount and $6.9 million of coupon interest expense for the three and six months ended June 30, 2026, respectively. The Company recorded an immaterial amount of amortization of debt issuance costs related to the Notes for all periods presented. These amounts were presented within other income, net for the three and six months ended June 30, 2025 and within interest expense for the three and six months ended June 30, 2026 in the condensed consolidated statements of operations and comprehensive income. Accrued interest expenses related to the Notes were immaterial as of December 31, 2025 and June 30, 2026.</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the Notes as of December 31, 2025 and June 30, 2026:</w:t>
      </w:r>
    </w:p>
    <w:tbl>
      <w:tblPr>
        <w:tblW w:w="1345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211"/>
        <w:gridCol w:w="976"/>
        <w:gridCol w:w="109"/>
        <w:gridCol w:w="109"/>
        <w:gridCol w:w="109"/>
        <w:gridCol w:w="109"/>
        <w:gridCol w:w="242"/>
        <w:gridCol w:w="847"/>
        <w:gridCol w:w="127"/>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42"/>
        <w:gridCol w:w="847"/>
        <w:gridCol w:w="127"/>
        <w:gridCol w:w="109"/>
        <w:gridCol w:w="109"/>
        <w:gridCol w:w="109"/>
        <w:gridCol w:w="211"/>
        <w:gridCol w:w="976"/>
        <w:gridCol w:w="109"/>
        <w:gridCol w:w="109"/>
        <w:gridCol w:w="109"/>
        <w:gridCol w:w="109"/>
        <w:gridCol w:w="211"/>
        <w:gridCol w:w="976"/>
        <w:gridCol w:w="15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Unamortized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Debt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Carrying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Unamortized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Debt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Discount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Carrying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Value</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(6,918)</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(31,398)</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1,665,759 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1,687,794 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(28,171)</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1,490,524 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The estimated fair value repres</w:t>
      </w:r>
      <w:r>
        <w:rPr>
          <w:rFonts w:ascii="Times New Roman;serif" w:hAnsi="Times New Roman;serif"/>
          <w:b w:val="false"/>
          <w:color w:val="000000"/>
          <w:sz w:val="20"/>
        </w:rPr>
        <w:t>ents Level 2 valuations in the fair value hierarchy and was determined based on the estimated or actual bids and offers of the Notes in an over-the-counter market.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Capped Call Transactions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2026 Notes, the 2029 Notes, and the 2032 Notes, the Company entered into separate privately negotiated capped call instruments with certain financial institutions (the “2026 Capped Calls,” with respect to the 2026 Notes, the “2029 Capped Calls,” with respect to the 2029 Notes, the “2032 Capped Calls,” with respect to the 2032 Notes, and the 2026 Capped Calls together with the 2029 Capped Calls and the 2032 Capped Calls, the “Capped Calls”).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Capped Calls are generally expected to reduce the potential dilution to the Company’s common stock upon any conversion of the 2026 Notes, 2029 Notes and 2032 Notes, as applicable, and/or offset any cash payments the Company is required to make in excess of the principal amount of such converted 2026 Notes, 2029 Notes, and 2032 Notes as the case may be, in the event the market price per share of the Company’s common stock, as measured under the terms of the Capped Calls, is greater than the strike price of the Capped Calls, with such reduction and/or offset subject to a cap. If, however, the market price per share of the common stock, as measured under the terms of the Capped Calls, exceeds the cap price of the Capped Calls, there would be dilution and/or there would not be an offset of such potential cash payments, in each case, to the extent that such market price per share of the Company’s common stock exceeds the cap price of the Capped Calls.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other key terms for the Capped Calls related to each series of Notes: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53"/>
        <w:gridCol w:w="310"/>
        <w:gridCol w:w="311"/>
        <w:gridCol w:w="109"/>
        <w:gridCol w:w="109"/>
        <w:gridCol w:w="109"/>
        <w:gridCol w:w="708"/>
        <w:gridCol w:w="708"/>
        <w:gridCol w:w="710"/>
        <w:gridCol w:w="109"/>
        <w:gridCol w:w="109"/>
        <w:gridCol w:w="109"/>
        <w:gridCol w:w="695"/>
        <w:gridCol w:w="695"/>
        <w:gridCol w:w="697"/>
        <w:gridCol w:w="109"/>
        <w:gridCol w:w="109"/>
        <w:gridCol w:w="109"/>
        <w:gridCol w:w="799"/>
        <w:gridCol w:w="799"/>
        <w:gridCol w:w="801"/>
        <w:gridCol w:w="109"/>
        <w:gridCol w:w="109"/>
        <w:gridCol w:w="109"/>
        <w:gridCol w:w="381"/>
        <w:gridCol w:w="381"/>
        <w:gridCol w:w="549"/>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Initial Strike Price per Share, Subject to Certain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Initial Cap Price per Share, Subject to Certain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of Common Stock Covered, Subject to Anti-Dilution Adjustments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Final Expiration Date</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$285.26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15, 2026</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2029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27, 2029</w:t>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2032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15, 2032</w:t>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Capped Calls were determined to be freestanding financial instruments that meet the criteria for classification in equity; as such, the Capped Calls were recorded as a reduction of additional paid-in capital within stockholders’ equity.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9.    Stockholders' Equity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Common Stock Reserved for Future Issuance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2020, the Company's amended and restated certificate of incorporation became effective, which authorizes the issuance of 700,000,000 shares of common stock with a par value of $0.0001 per share. Shares of common stock reserved for issuance, on an as-converted basis, are as follows:</w:t>
      </w:r>
    </w:p>
    <w:tbl>
      <w:tblPr>
        <w:tblW w:w="7942" w:type="dxa"/>
        <w:jc w:val="center"/>
        <w:tblInd w:w="0" w:type="dxa"/>
        <w:tblLayout w:type="fixed"/>
        <w:tblCellMar>
          <w:top w:w="28" w:type="dxa"/>
          <w:left w:w="28" w:type="dxa"/>
          <w:bottom w:w="28" w:type="dxa"/>
          <w:right w:w="28" w:type="dxa"/>
        </w:tblCellMar>
      </w:tblPr>
      <w:tblGrid>
        <w:gridCol w:w="1575"/>
        <w:gridCol w:w="1386"/>
        <w:gridCol w:w="1389"/>
        <w:gridCol w:w="109"/>
        <w:gridCol w:w="109"/>
        <w:gridCol w:w="109"/>
        <w:gridCol w:w="540"/>
        <w:gridCol w:w="541"/>
        <w:gridCol w:w="421"/>
        <w:gridCol w:w="109"/>
        <w:gridCol w:w="109"/>
        <w:gridCol w:w="109"/>
        <w:gridCol w:w="540"/>
        <w:gridCol w:w="541"/>
        <w:gridCol w:w="355"/>
      </w:tblGrid>
      <w:tr>
        <w:trPr/>
        <w:tc>
          <w:tcPr>
            <w:tcW w:w="157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9,204,983 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8,192,853 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2,276,156 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4,051,641 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PRSUs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1,726,737 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future issuance under 2020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10,922,232 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7,590,732 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issuance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4,140,207 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4,943,276 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26,543,578 </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26,505,239 </w:t>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 xml:space="preserve">Share Repurchase Program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No shares were repurchased during the three months ended June 30, 2026. During the six months ended June 30, 2026, the Company repurchased, and subsequently retired, 3.2 million shares of common stock for $100.1 million at an average cost of $31.31 per share. As of June 30, 2026, $122.1 million remains available for future purchases of our common stock under the share 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ATM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14, 2025, in connection with the commencement of an “at the market” offering program, the Company entered into a Sales Agreement, under which the Company may offer and sell, from time to time, up to an aggregate of $500.0 million of its common stock. The Company will pay a commission of up to 2% of the gross proceeds of shares sold, if any, under the Sales Agreement and intends to use the net proceeds from sales for working capital and general corporate purposes. As of June 30, 2026, no shares were issued under the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2020 Equity Incentive Plan authorizes grants of ISOs, NSOs, stock appreciation rights, restricted stock, RSUs, and PRSUs to eligible participants.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for the six months ended June 30, 2026:</w:t>
      </w:r>
    </w:p>
    <w:tbl>
      <w:tblPr>
        <w:tblW w:w="10205" w:type="dxa"/>
        <w:jc w:val="left"/>
        <w:tblInd w:w="0" w:type="dxa"/>
        <w:tblLayout w:type="fixed"/>
        <w:tblCellMar>
          <w:top w:w="28" w:type="dxa"/>
          <w:left w:w="28" w:type="dxa"/>
          <w:bottom w:w="28" w:type="dxa"/>
          <w:right w:w="28" w:type="dxa"/>
        </w:tblCellMar>
      </w:tblPr>
      <w:tblGrid>
        <w:gridCol w:w="685"/>
        <w:gridCol w:w="530"/>
        <w:gridCol w:w="533"/>
        <w:gridCol w:w="109"/>
        <w:gridCol w:w="109"/>
        <w:gridCol w:w="109"/>
        <w:gridCol w:w="109"/>
        <w:gridCol w:w="569"/>
        <w:gridCol w:w="441"/>
        <w:gridCol w:w="331"/>
        <w:gridCol w:w="109"/>
        <w:gridCol w:w="109"/>
        <w:gridCol w:w="109"/>
        <w:gridCol w:w="485"/>
        <w:gridCol w:w="1419"/>
        <w:gridCol w:w="251"/>
        <w:gridCol w:w="109"/>
        <w:gridCol w:w="109"/>
        <w:gridCol w:w="109"/>
        <w:gridCol w:w="782"/>
        <w:gridCol w:w="782"/>
        <w:gridCol w:w="783"/>
        <w:gridCol w:w="109"/>
        <w:gridCol w:w="109"/>
        <w:gridCol w:w="109"/>
        <w:gridCol w:w="211"/>
        <w:gridCol w:w="826"/>
        <w:gridCol w:w="160"/>
      </w:tblGrid>
      <w:tr>
        <w:trPr/>
        <w:tc>
          <w:tcPr>
            <w:tcW w:w="68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Aggregate </w:t>
              <w:br/>
              <w:t xml:space="preserve">Intrinsic </w:t>
              <w:br/>
              <w:t>Value</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9,204,983 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247,040 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156,405 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(942,851)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(225,684)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8,192,853 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149,224 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6,834,623 </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8,182,220 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149,149 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is calculated as the difference between the exercise price of the underlying awards and the fair value of the Company’s stock as of June 30, 2026. The aggregate intrinsic value of options exercised for the six months ended June 30, 2025 and 2026 was $50.9 million and $26.3 million respectively. The weighted-average grant date fair value of options granted during the six months ended June 30, 2025 and 2026 was $35.60 and $16.74 per share, respectively. The total fair value of options vested for the six months ended June 30, 2025 and 2026 was $12.0 million and $9.8 million, respectively.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stock-based compensation expense related to unvested stock options was $26.6 million, which is expected to be recognized over a remaining weighted-average period of 1.6 years.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grants RSUs to employees and non-employees. RSUs vest upon satisfaction of a service-based condition, which is generally satisfied over one to four years. The following table summarizes RSU activity for the six months ended June 30, 2026:</w:t>
      </w:r>
    </w:p>
    <w:tbl>
      <w:tblPr>
        <w:tblW w:w="9547" w:type="dxa"/>
        <w:jc w:val="left"/>
        <w:tblInd w:w="0" w:type="dxa"/>
        <w:tblLayout w:type="fixed"/>
        <w:tblCellMar>
          <w:top w:w="28" w:type="dxa"/>
          <w:left w:w="28" w:type="dxa"/>
          <w:bottom w:w="28" w:type="dxa"/>
          <w:right w:w="28" w:type="dxa"/>
        </w:tblCellMar>
      </w:tblPr>
      <w:tblGrid>
        <w:gridCol w:w="977"/>
        <w:gridCol w:w="858"/>
        <w:gridCol w:w="864"/>
        <w:gridCol w:w="109"/>
        <w:gridCol w:w="109"/>
        <w:gridCol w:w="109"/>
        <w:gridCol w:w="539"/>
        <w:gridCol w:w="539"/>
        <w:gridCol w:w="541"/>
        <w:gridCol w:w="109"/>
        <w:gridCol w:w="109"/>
        <w:gridCol w:w="109"/>
        <w:gridCol w:w="983"/>
        <w:gridCol w:w="2872"/>
        <w:gridCol w:w="72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47.43 </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(1,346,780)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47.49 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cancelled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stock-based compensation expense related to outstanding unvested RSUs was $99.3 million, which is expected to be recognized over a remaining weighted-average period of 1.2 years.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PRSUs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PRSUs were granted during the three months ended June 30, 2026. During the six months ended June 30, 2026, the Company granted PRSUs to certain executives. The awards are subject to both performance and service-based vesting conditions and the number of shares that may be earned at the end of the four year performance period is based on applicable market-based performance targets with potential adjustment based on financial performance metrics. The expense is recognized on a straight-line basis over the requisite service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PRSU activity for the six months ended June 30, 2026:</w:t>
      </w:r>
    </w:p>
    <w:tbl>
      <w:tblPr>
        <w:tblW w:w="9547" w:type="dxa"/>
        <w:jc w:val="left"/>
        <w:tblInd w:w="0" w:type="dxa"/>
        <w:tblLayout w:type="fixed"/>
        <w:tblCellMar>
          <w:top w:w="28" w:type="dxa"/>
          <w:left w:w="28" w:type="dxa"/>
          <w:bottom w:w="28" w:type="dxa"/>
          <w:right w:w="28" w:type="dxa"/>
        </w:tblCellMar>
      </w:tblPr>
      <w:tblGrid>
        <w:gridCol w:w="977"/>
        <w:gridCol w:w="858"/>
        <w:gridCol w:w="864"/>
        <w:gridCol w:w="109"/>
        <w:gridCol w:w="109"/>
        <w:gridCol w:w="109"/>
        <w:gridCol w:w="539"/>
        <w:gridCol w:w="539"/>
        <w:gridCol w:w="541"/>
        <w:gridCol w:w="109"/>
        <w:gridCol w:w="109"/>
        <w:gridCol w:w="109"/>
        <w:gridCol w:w="983"/>
        <w:gridCol w:w="2872"/>
        <w:gridCol w:w="720"/>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Grant Date Fair Value Per Share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75"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56.20 </w:t>
            </w:r>
          </w:p>
        </w:tc>
        <w:tc>
          <w:tcPr>
            <w:tcW w:w="7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stock-based compensation expense related to outstanding unvested PRSUs was $89.0 million, which is expected to be recognized over a remaining weighted-average period of 3.6 years.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2020 ESPP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177,378</w:t>
      </w:r>
      <w:r>
        <w:rPr>
          <w:color w:val="000000"/>
          <w:shd w:fill="FFFFFF" w:val="clear"/>
        </w:rPr>
        <w:t xml:space="preserve"> </w:t>
      </w:r>
      <w:r>
        <w:rPr>
          <w:rFonts w:ascii="Times New Roman;serif" w:hAnsi="Times New Roman;serif"/>
          <w:b w:val="false"/>
          <w:color w:val="000000"/>
          <w:sz w:val="20"/>
          <w:shd w:fill="FFFFFF" w:val="clear"/>
        </w:rPr>
        <w:t>shares of c</w:t>
      </w:r>
      <w:r>
        <w:rPr>
          <w:rFonts w:ascii="Times New Roman;serif" w:hAnsi="Times New Roman;serif"/>
          <w:b w:val="false"/>
          <w:color w:val="000000"/>
          <w:sz w:val="20"/>
        </w:rPr>
        <w:t>ommon stock were purchased under the ESPP.</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total unrecognized stock-based compensation expense related to the ESPP was immaterial.</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Fair Value of Awards Granted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determining the fair value of stock-based awards, the Company uses a Black-Scholes option-pricing model for its options granted and ESPP purchase rights and a Monte Carlo simulation model for its PRSUs. The inputs used for estimating the fair values of options, ESPP purchase rights and PRSUs granted during the period include: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Fair Value of Common Stock</w:t>
      </w:r>
      <w:r>
        <w:rPr>
          <w:color w:val="000000"/>
        </w:rPr>
        <w:t>–</w:t>
      </w:r>
      <w:r>
        <w:rPr>
          <w:rFonts w:ascii="Times New Roman;serif" w:hAnsi="Times New Roman;serif"/>
          <w:b w:val="false"/>
          <w:color w:val="000000"/>
          <w:sz w:val="20"/>
        </w:rPr>
        <w:t xml:space="preserve">The fair value of the Company’s common stock is determined by the closing price, on the date of grant, of its common stock, which is traded on the Nasdaq Global Select Market.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Expected Term</w:t>
      </w:r>
      <w:r>
        <w:rPr>
          <w:color w:val="000000"/>
        </w:rPr>
        <w:t>–</w:t>
      </w:r>
      <w:r>
        <w:rPr>
          <w:rFonts w:ascii="Times New Roman;serif" w:hAnsi="Times New Roman;serif"/>
          <w:b w:val="false"/>
          <w:color w:val="000000"/>
          <w:sz w:val="20"/>
        </w:rPr>
        <w:t>The expected term represents the period that the Company’s stock options and ESPP purchase rights are expected to be outstanding. We estimate the expected term for stock options based on the simplified method, which is the weighted-average time to vesting and the contractual maturity. For ESPP, the expected term represents the term from the first day of the offering period to the purchase date. For PRSUs, the expected term is the simulation term, the time period from the valuation date to the end of the performance measurement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Volatility</w:t>
      </w:r>
      <w:r>
        <w:rPr>
          <w:color w:val="000000"/>
        </w:rPr>
        <w:t>–</w:t>
      </w:r>
      <w:r>
        <w:rPr>
          <w:rFonts w:ascii="Times New Roman;serif" w:hAnsi="Times New Roman;serif"/>
          <w:b w:val="false"/>
          <w:color w:val="000000"/>
          <w:sz w:val="20"/>
        </w:rPr>
        <w:t>The Company estimates the expected volatility for stock options and PRSUs based on the weighted-average historical volatility of the Company’s common stock and the average volatility for comparable publicly-traded companies, over a period equal to the expected term. Previously, expected volatility was based solely on historical volatility of comparable publicly-traded peer companies. For ESPP, the expected volatility is estimated using historical volatility of the Company’s common stock over the expected term.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Risk-free Interest Rate</w:t>
      </w:r>
      <w:r>
        <w:rPr>
          <w:color w:val="000000"/>
        </w:rPr>
        <w:t>–</w:t>
      </w:r>
      <w:r>
        <w:rPr>
          <w:rFonts w:ascii="Times New Roman;serif" w:hAnsi="Times New Roman;serif"/>
          <w:b w:val="false"/>
          <w:color w:val="000000"/>
          <w:sz w:val="20"/>
        </w:rPr>
        <w:t xml:space="preserve">The risk-free interest rate assumption is based on the U.S. Treasury zero coupon issues in effect at the time of grant for periods corresponding with the expected term of the award.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Dividends</w:t>
      </w:r>
      <w:r>
        <w:rPr>
          <w:color w:val="000000"/>
        </w:rPr>
        <w:t>–</w:t>
      </w:r>
      <w:r>
        <w:rPr>
          <w:rFonts w:ascii="Times New Roman;serif" w:hAnsi="Times New Roman;serif"/>
          <w:b w:val="false"/>
          <w:color w:val="000000"/>
          <w:sz w:val="20"/>
        </w:rPr>
        <w:t>The Company has never paid dividends on its common stock and does not anticipate paying dividends on common stock for the foreseeable future. Therefore, the Company uses an expected dividend yield of zero.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to estimate the fair value of options granted: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53"/>
        <w:gridCol w:w="661"/>
        <w:gridCol w:w="664"/>
        <w:gridCol w:w="109"/>
        <w:gridCol w:w="109"/>
        <w:gridCol w:w="109"/>
        <w:gridCol w:w="573"/>
        <w:gridCol w:w="573"/>
        <w:gridCol w:w="408"/>
        <w:gridCol w:w="207"/>
        <w:gridCol w:w="207"/>
        <w:gridCol w:w="207"/>
        <w:gridCol w:w="533"/>
        <w:gridCol w:w="533"/>
        <w:gridCol w:w="533"/>
        <w:gridCol w:w="109"/>
        <w:gridCol w:w="109"/>
        <w:gridCol w:w="109"/>
        <w:gridCol w:w="518"/>
        <w:gridCol w:w="518"/>
        <w:gridCol w:w="518"/>
        <w:gridCol w:w="177"/>
        <w:gridCol w:w="177"/>
        <w:gridCol w:w="177"/>
        <w:gridCol w:w="469"/>
        <w:gridCol w:w="469"/>
        <w:gridCol w:w="676"/>
      </w:tblGrid>
      <w:tr>
        <w:trPr/>
        <w:tc>
          <w:tcPr>
            <w:tcW w:w="7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0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 – 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 – 7.0</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 – 5.7</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53.68% – 53.71%</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66.05% – 66.36%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50.66% – 53.71%</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65.70% – 66.36%</w:t>
            </w:r>
          </w:p>
        </w:tc>
      </w:tr>
      <w:tr>
        <w:trPr/>
        <w:tc>
          <w:tcPr>
            <w:tcW w:w="20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3.72%</w:t>
            </w:r>
          </w:p>
        </w:tc>
        <w:tc>
          <w:tcPr>
            <w:tcW w:w="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4.02% – 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3.72% – 4.09%</w:t>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3.51% – 4.19%</w:t>
            </w:r>
          </w:p>
        </w:tc>
      </w:tr>
      <w:tr>
        <w:trPr/>
        <w:tc>
          <w:tcPr>
            <w:tcW w:w="20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59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r>
        <w:trPr/>
        <w:tc>
          <w:tcPr>
            <w:tcW w:w="2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c>
          <w:tcPr>
            <w:tcW w:w="159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6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to estimate the fair value of ESPP purchase rights:</w:t>
      </w:r>
    </w:p>
    <w:tbl>
      <w:tblPr>
        <w:tblW w:w="6875" w:type="dxa"/>
        <w:jc w:val="center"/>
        <w:tblInd w:w="0" w:type="dxa"/>
        <w:tblLayout w:type="fixed"/>
        <w:tblCellMar>
          <w:top w:w="28" w:type="dxa"/>
          <w:left w:w="28" w:type="dxa"/>
          <w:bottom w:w="28" w:type="dxa"/>
          <w:right w:w="28" w:type="dxa"/>
        </w:tblCellMar>
      </w:tblPr>
      <w:tblGrid>
        <w:gridCol w:w="755"/>
        <w:gridCol w:w="663"/>
        <w:gridCol w:w="666"/>
        <w:gridCol w:w="109"/>
        <w:gridCol w:w="109"/>
        <w:gridCol w:w="109"/>
        <w:gridCol w:w="208"/>
        <w:gridCol w:w="208"/>
        <w:gridCol w:w="208"/>
        <w:gridCol w:w="208"/>
        <w:gridCol w:w="208"/>
        <w:gridCol w:w="208"/>
        <w:gridCol w:w="208"/>
        <w:gridCol w:w="208"/>
        <w:gridCol w:w="208"/>
        <w:gridCol w:w="109"/>
        <w:gridCol w:w="109"/>
        <w:gridCol w:w="109"/>
        <w:gridCol w:w="109"/>
        <w:gridCol w:w="109"/>
        <w:gridCol w:w="248"/>
        <w:gridCol w:w="248"/>
        <w:gridCol w:w="238"/>
        <w:gridCol w:w="178"/>
        <w:gridCol w:w="178"/>
        <w:gridCol w:w="178"/>
        <w:gridCol w:w="235"/>
        <w:gridCol w:w="235"/>
        <w:gridCol w:w="309"/>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99.09%</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71.86%</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4.34%</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3.59%</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No ESPP purchase rights were granted during the three months ended June 30, 2025 and 2026.</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assumptions were used to estimate the fair value of PRSUs granted for six months ended June 30, 2026:</w:t>
      </w:r>
    </w:p>
    <w:p>
      <w:pPr>
        <w:pStyle w:val="TextBody"/>
        <w:bidi w:val="0"/>
        <w:spacing w:before="0" w:after="0"/>
        <w:ind w:left="0" w:right="0" w:firstLine="720"/>
        <w:jc w:val="both"/>
        <w:rPr/>
      </w:pPr>
      <w:r>
        <w:rPr/>
      </w:r>
    </w:p>
    <w:tbl>
      <w:tblPr>
        <w:tblW w:w="6510" w:type="dxa"/>
        <w:jc w:val="center"/>
        <w:tblInd w:w="0" w:type="dxa"/>
        <w:tblLayout w:type="fixed"/>
        <w:tblCellMar>
          <w:top w:w="28" w:type="dxa"/>
          <w:left w:w="28" w:type="dxa"/>
          <w:bottom w:w="28" w:type="dxa"/>
          <w:right w:w="28" w:type="dxa"/>
        </w:tblCellMar>
      </w:tblPr>
      <w:tblGrid>
        <w:gridCol w:w="755"/>
        <w:gridCol w:w="663"/>
        <w:gridCol w:w="666"/>
        <w:gridCol w:w="109"/>
        <w:gridCol w:w="109"/>
        <w:gridCol w:w="109"/>
        <w:gridCol w:w="624"/>
        <w:gridCol w:w="624"/>
        <w:gridCol w:w="627"/>
        <w:gridCol w:w="109"/>
        <w:gridCol w:w="109"/>
        <w:gridCol w:w="109"/>
        <w:gridCol w:w="544"/>
        <w:gridCol w:w="544"/>
        <w:gridCol w:w="546"/>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 – 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93.23% – 94.73%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3.42% – 3.82%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12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No PRSUs were granted during the three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stock-based compensation in the following expense categories in its condensed consolidated statements of operations and comprehensive income for employees and non-employees:</w:t>
      </w:r>
    </w:p>
    <w:tbl>
      <w:tblPr>
        <w:tblW w:w="8990" w:type="dxa"/>
        <w:jc w:val="center"/>
        <w:tblInd w:w="0" w:type="dxa"/>
        <w:tblLayout w:type="fixed"/>
        <w:tblCellMar>
          <w:top w:w="28" w:type="dxa"/>
          <w:left w:w="28" w:type="dxa"/>
          <w:bottom w:w="28" w:type="dxa"/>
          <w:right w:w="28" w:type="dxa"/>
        </w:tblCellMar>
      </w:tblPr>
      <w:tblGrid>
        <w:gridCol w:w="1176"/>
        <w:gridCol w:w="1035"/>
        <w:gridCol w:w="1044"/>
        <w:gridCol w:w="109"/>
        <w:gridCol w:w="109"/>
        <w:gridCol w:w="109"/>
        <w:gridCol w:w="211"/>
        <w:gridCol w:w="721"/>
        <w:gridCol w:w="109"/>
        <w:gridCol w:w="109"/>
        <w:gridCol w:w="109"/>
        <w:gridCol w:w="109"/>
        <w:gridCol w:w="211"/>
        <w:gridCol w:w="721"/>
        <w:gridCol w:w="109"/>
        <w:gridCol w:w="109"/>
        <w:gridCol w:w="109"/>
        <w:gridCol w:w="109"/>
        <w:gridCol w:w="109"/>
        <w:gridCol w:w="109"/>
        <w:gridCol w:w="211"/>
        <w:gridCol w:w="721"/>
        <w:gridCol w:w="109"/>
        <w:gridCol w:w="109"/>
        <w:gridCol w:w="109"/>
        <w:gridCol w:w="109"/>
        <w:gridCol w:w="211"/>
        <w:gridCol w:w="721"/>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10.    Leases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operating leases expire between</w:t>
      </w:r>
      <w:r>
        <w:rPr>
          <w:color w:val="000000"/>
          <w:shd w:fill="FFFFFF" w:val="clear"/>
        </w:rPr>
        <w:t xml:space="preserve"> </w:t>
      </w:r>
      <w:r>
        <w:rPr>
          <w:rFonts w:ascii="Times New Roman;serif" w:hAnsi="Times New Roman;serif"/>
          <w:b w:val="false"/>
          <w:color w:val="000000"/>
          <w:sz w:val="20"/>
        </w:rPr>
        <w:t xml:space="preserve">2027 and 2033 and are primarily for its corporate office spaces. Certain leases have rent abatement, escalating rent payment provisions, lease renewal options, and tenant allowances. Rent expense is recognized on a straight-line basis over the non-cancelable lease term, except when it is reasonably certain that the renewal option will be exercised.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June 2026, the Company commenced a new lease for office space with an initial lease term expiring in 2033. Upon lease commencement, the Company recognized an operating lease right-of-use asset of $8.1 million and a corresponding lease liability of $8.0 million.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are as follows:</w:t>
      </w:r>
    </w:p>
    <w:tbl>
      <w:tblPr>
        <w:tblW w:w="4507" w:type="dxa"/>
        <w:jc w:val="center"/>
        <w:tblInd w:w="0" w:type="dxa"/>
        <w:tblLayout w:type="fixed"/>
        <w:tblCellMar>
          <w:top w:w="28" w:type="dxa"/>
          <w:left w:w="28" w:type="dxa"/>
          <w:bottom w:w="28" w:type="dxa"/>
          <w:right w:w="28" w:type="dxa"/>
        </w:tblCellMar>
      </w:tblPr>
      <w:tblGrid>
        <w:gridCol w:w="1081"/>
        <w:gridCol w:w="951"/>
        <w:gridCol w:w="953"/>
        <w:gridCol w:w="109"/>
        <w:gridCol w:w="109"/>
        <w:gridCol w:w="109"/>
        <w:gridCol w:w="211"/>
        <w:gridCol w:w="721"/>
        <w:gridCol w:w="109"/>
        <w:gridCol w:w="154"/>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entered into a lease that had not yet commenced with total future lease payments of approximately $56.0 million. The lease is expected to commence during fiscal year 2026, and has an initial lease term of approximately 11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had no finance lease expense during the three and six months ended June 30, 2025 and 2026. The Company’s operating lease expense consists of rent and variable lease payments. Variable lease payments such as common area maintenance and parking fees, were included in operating expenses. Rent expense for the Company’s short-term leases was immaterial during the periods presented. The Company had immaterial sublease income during the three and six months ended June 30, 2025 and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Operating lease expense was as follows:</w:t>
      </w:r>
    </w:p>
    <w:p>
      <w:pPr>
        <w:pStyle w:val="TextBody"/>
        <w:bidi w:val="0"/>
        <w:spacing w:before="0" w:after="0"/>
        <w:ind w:left="0" w:right="0" w:firstLine="630"/>
        <w:jc w:val="both"/>
        <w:rPr/>
      </w:pPr>
      <w:r>
        <w:rPr/>
      </w:r>
    </w:p>
    <w:tbl>
      <w:tblPr>
        <w:tblW w:w="7617" w:type="dxa"/>
        <w:jc w:val="center"/>
        <w:tblInd w:w="0" w:type="dxa"/>
        <w:tblLayout w:type="fixed"/>
        <w:tblCellMar>
          <w:top w:w="28" w:type="dxa"/>
          <w:left w:w="28" w:type="dxa"/>
          <w:bottom w:w="28" w:type="dxa"/>
          <w:right w:w="28" w:type="dxa"/>
        </w:tblCellMar>
      </w:tblPr>
      <w:tblGrid>
        <w:gridCol w:w="755"/>
        <w:gridCol w:w="662"/>
        <w:gridCol w:w="667"/>
        <w:gridCol w:w="109"/>
        <w:gridCol w:w="109"/>
        <w:gridCol w:w="109"/>
        <w:gridCol w:w="211"/>
        <w:gridCol w:w="616"/>
        <w:gridCol w:w="109"/>
        <w:gridCol w:w="109"/>
        <w:gridCol w:w="109"/>
        <w:gridCol w:w="109"/>
        <w:gridCol w:w="211"/>
        <w:gridCol w:w="616"/>
        <w:gridCol w:w="109"/>
        <w:gridCol w:w="109"/>
        <w:gridCol w:w="109"/>
        <w:gridCol w:w="109"/>
        <w:gridCol w:w="109"/>
        <w:gridCol w:w="109"/>
        <w:gridCol w:w="211"/>
        <w:gridCol w:w="616"/>
        <w:gridCol w:w="109"/>
        <w:gridCol w:w="109"/>
        <w:gridCol w:w="109"/>
        <w:gridCol w:w="109"/>
        <w:gridCol w:w="211"/>
        <w:gridCol w:w="616"/>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cash flow and non-cash information related to the Company’s operating leases was as follows:</w:t>
      </w:r>
    </w:p>
    <w:tbl>
      <w:tblPr>
        <w:tblW w:w="10205" w:type="dxa"/>
        <w:jc w:val="center"/>
        <w:tblInd w:w="0" w:type="dxa"/>
        <w:tblLayout w:type="fixed"/>
        <w:tblCellMar>
          <w:top w:w="28" w:type="dxa"/>
          <w:left w:w="28" w:type="dxa"/>
          <w:bottom w:w="28" w:type="dxa"/>
          <w:right w:w="28" w:type="dxa"/>
        </w:tblCellMar>
      </w:tblPr>
      <w:tblGrid>
        <w:gridCol w:w="1773"/>
        <w:gridCol w:w="1554"/>
        <w:gridCol w:w="1562"/>
        <w:gridCol w:w="109"/>
        <w:gridCol w:w="109"/>
        <w:gridCol w:w="109"/>
        <w:gridCol w:w="211"/>
        <w:gridCol w:w="616"/>
        <w:gridCol w:w="109"/>
        <w:gridCol w:w="109"/>
        <w:gridCol w:w="109"/>
        <w:gridCol w:w="109"/>
        <w:gridCol w:w="211"/>
        <w:gridCol w:w="616"/>
        <w:gridCol w:w="109"/>
        <w:gridCol w:w="109"/>
        <w:gridCol w:w="109"/>
        <w:gridCol w:w="109"/>
        <w:gridCol w:w="109"/>
        <w:gridCol w:w="109"/>
        <w:gridCol w:w="211"/>
        <w:gridCol w:w="616"/>
        <w:gridCol w:w="109"/>
        <w:gridCol w:w="109"/>
        <w:gridCol w:w="109"/>
        <w:gridCol w:w="109"/>
        <w:gridCol w:w="211"/>
        <w:gridCol w:w="616"/>
        <w:gridCol w:w="155"/>
      </w:tblGrid>
      <w:tr>
        <w:trPr/>
        <w:tc>
          <w:tcPr>
            <w:tcW w:w="1773"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capitalized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the Company’s operating leases was as follows:</w:t>
      </w:r>
    </w:p>
    <w:p>
      <w:pPr>
        <w:pStyle w:val="TextBody"/>
        <w:bidi w:val="0"/>
        <w:spacing w:before="0" w:after="0"/>
        <w:ind w:left="0" w:right="0" w:firstLine="720"/>
        <w:jc w:val="both"/>
        <w:rPr/>
      </w:pPr>
      <w:r>
        <w:rPr/>
      </w:r>
    </w:p>
    <w:tbl>
      <w:tblPr>
        <w:tblW w:w="7109" w:type="dxa"/>
        <w:jc w:val="center"/>
        <w:tblInd w:w="0" w:type="dxa"/>
        <w:tblLayout w:type="fixed"/>
        <w:tblCellMar>
          <w:top w:w="28" w:type="dxa"/>
          <w:left w:w="28" w:type="dxa"/>
          <w:bottom w:w="28" w:type="dxa"/>
          <w:right w:w="28" w:type="dxa"/>
        </w:tblCellMar>
      </w:tblPr>
      <w:tblGrid>
        <w:gridCol w:w="1495"/>
        <w:gridCol w:w="1312"/>
        <w:gridCol w:w="1317"/>
        <w:gridCol w:w="109"/>
        <w:gridCol w:w="109"/>
        <w:gridCol w:w="109"/>
        <w:gridCol w:w="419"/>
        <w:gridCol w:w="419"/>
        <w:gridCol w:w="421"/>
        <w:gridCol w:w="109"/>
        <w:gridCol w:w="109"/>
        <w:gridCol w:w="109"/>
        <w:gridCol w:w="269"/>
        <w:gridCol w:w="269"/>
        <w:gridCol w:w="271"/>
        <w:gridCol w:w="109"/>
        <w:gridCol w:w="154"/>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399" w:type="dxa"/>
            <w:gridSpan w:val="8"/>
            <w:tcBorders/>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63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11.    Commitments and Contingencies</w:t>
      </w:r>
    </w:p>
    <w:p>
      <w:pPr>
        <w:pStyle w:val="TextBody"/>
        <w:bidi w:val="0"/>
        <w:spacing w:lineRule="auto" w:line="288" w:before="240" w:after="283"/>
        <w:ind w:left="0" w:right="0" w:firstLine="720"/>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loan purchase obligations under the Company’s loan agreements with certain lending partners. These lending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2025 and June 30, 2026, the total loan purchase commitment included outstanding principal balance of $116.9 million and $148.8 million,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commitments to fund future advances on HELOCs. As of December 31, 2025 and June 30, 2026, these commitments were $18.0 million and $27.8 million, respectively, however, since these commitments could expire without being drawn upon, the total commitment amounts do not necessarily represent future cash requirements.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subject to, and it is presently involved in, various litigation and legal proceedings arising from the ordinary course of business activities, the outcome of which the Company cannot reasonably determine. Other than the class actions and derivative actions described below, the Company does not believe that it is presently a party to any litigation of which the outcome would individually, or taken together, have a material adverse effect on our business, operating results, cash flows, or financial condition. As of December 31, 2025 and June 30, 2026, immaterial loss contingencies were recorded in connection with legal proceedings.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Indemnifications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adverse effect on the Company’s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 xml:space="preserve">Repurchases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terms of our agreements with lending partners and institutional investors, as well as in agreements with investors in securitizations and pass-through certificate transactions, the Company may, in certain circumstances, become obligated to repurchase loans from or indemnify such lending partners and institutional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lending partners and institutional investors, or a violation of the applicable federal, state, or local lending laws.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maximum potential amount of future payments associated with any repurchase or indemnification obligation is the outstanding balances of the loans held by lending partners and institutional investors, which as of December 31, 2025 and June 30, 2026, was $14,290.4 million and $16,981.0 million, respectively. Actual payments made relating to the Company’s repurchase and indemnification obligations were immaterial and $22.6 million for the three months ended June 30, 2025 and 2026, respectively, and immaterial and $35.6 million for the six months ended June 30, 2025 and 2026,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did not have material contingent liabilities related to future loan repurchase obligations as of December 31, 2025 and June 30, 2026. These amounts are included in accrued expenses and other liabilities on the Company’s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i/>
          <w:color w:val="000000"/>
          <w:sz w:val="20"/>
        </w:rPr>
      </w:pPr>
      <w:r>
        <w:rPr>
          <w:rFonts w:ascii="Times New Roman;serif" w:hAnsi="Times New Roman;serif"/>
          <w:b/>
          <w:i/>
          <w:color w:val="000000"/>
          <w:sz w:val="20"/>
        </w:rPr>
        <w:t>Legal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July 26, 2022, a lawsuit was filed in United States District Court, Southern District of Ohio, captioned Crain v. Upstart Holdings, Inc. et al., Case No. 2:22-cv-02935-ALM-EPD (S.D. Ohio) against the Company, the Company’s Chief Executive Officer, and Chief Financial Officer, alleging that the defendants made false and/or misleading statements or omissions about the Company’s business, operations, and prospects in violation of Section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10(b) of the Exchange Act, and Rule 10b-5 promulgated thereunder, as well as Section 20(a) of the Exchange Act. The Crain lawsuit claims unspecified damages and legal fees. On August 16, 2022, the court appointed a lead plaintiff and approved lead counsel in the Crain action. On December 5, 2022, the lead plaintiff filed a consolidated amended complaint, which names the same defendants as the previous complaint, along with two Company executives, as well as Third Point LLC and its CEO and Third Point Ventures LLC and its managing partner (also a former Upstart board member). The consolidated amended complaint brings the same claims as the previous complaint but adds a claim under Section 20A of the Exchange Act. On February 24, 2023, the defendants filed motions to dismiss the consolidated amended complaint. On September 29, 2023, the Court issued an order, granting in part and denying in part the Upstart defendants’ motion, and granting the motion filed by Third Point LLC and its CEO and Third Point Ventures LLC. On November 7, 2023, the Upstart defendants filed a motion for reconsideration, which the Court denied on August 5, 2024. On February 2, 2024, Lead Plaintiff, Universal-Investment-Gesellschaft mbH, and plaintiffs, Kathy Brooks and Kevin Crain, filed a motion for an order to certify this matter, now captioned In re Upstart Holdings Securities Litigation, as a class action, appoint themselves as class representatives, and approve their selection of Motley Rice LLC and Robbins Geller Rudman &amp; Dowd LLP as co-class counsel, which motion the Court granted on March 27, 2025. On December 6, 2024, plaintiffs filed a motion for leave to file a first amended complaint, which motion the Court granted on September 29, 2025. The first amended complaint adds back as defendants Third Point LLC and its CEO and Third Point Ventures LLC. On November 14, 2025, Third Point LLC, its CEO, Third Point Ventures LLC, and its managing partner moved to dismiss the claims asserted against them in the first amended complaint, which motion plaintiffs opposed on January 8, 2026. On January 29, 2026, Third Point LLC, its CEO, Third Point Ventures LLC, and its managing partner filed a reply in support of their motion to dismiss. No hearing has been set on the motion to dismiss. The Company believes the remaining claims in the action are without merit and intends to defend itself vigorously.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28, 2022, a derivative lawsuit was filed in United States District Court, Southern District of Ohio, captioned OConnor v. Huber et al., Case No. 2:22-cv-02961-EAS-KAJ (S.D. Ohio). The OConnor action includes allegations similar to those in the Crain complaint, and names as defendants each of the Company’s current board members and its Chief Financial Officer. The Company is named as a nominal defendant. The OConnor action includes claims for violation of Section 10(b) of the Exchange Act and Rule 10b-5 promulgated thereunder, breach of fiduciary duty, aiding and abetting breach of fiduciary duty, unjust enrichment, and waste of corporate assets. The OConnor action seeks unspecified monetary damages and an accounting from the individual defendants. The OConnor action also seeks unspecified corporate governance and internal procedure modifications, punitive damages, and legal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7, 2022, a second derivative lawsuit was filed in United States District Court, Southern District of Ohio, captioned Chung v. Huber et al., No. 2:22-cv-03620-MHW-CMV (S.D. Ohio). The Chung action includes allegations similar to those in the OConnor complaint, and names as defendants each of the Company’s current board members, a former board member, and its Chief Financial Officer. The Company is named as a nominal defendant. The Chung action includes claims for violation of Section 10(b), 14(a), and 21D of the Exchange Act, breach of fiduciary duties, unjust enrichment, abuse of control, gross mismanagement, and waste of corporate assets. The Chung action seeks unspecified monetary damages, restitution, and attorney’s fees and costs from the individual defendants. It also seeks corporate governance and internal procedure modifications.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12, 2022, in response to a joint motion by the parties, the Court consolidated the OConnor and Chung matters, appointed co-lead counsel, and stayed the consolidated case until resolution of the related securities class action. On April 24, 2024, the plaintiffs in the consolidated action filed an amended complaint. The amended complaint includes allegations similar to those in the initial complaint in the OConnor action, and names the same defendants as the initial complaint, along with an additional Company executive and another former board member. The amended complaint brings the same claims as the initial complaint in the OConnor action but adds claims under Section 14(a) of the Exchange Act and Rule 14a-9 promulgated thereunder, for contribution under Sections 10(b) and 21D of the Exchange Act, and for abuse of control and gross mismanagement. The amended complaint seeks similar relief to that sought in the initial complaint in the OConnor action. The matter remains stayed until resolution of the class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3, 2023, a third derivative lawsuit was filed, in the United States District Court, District of Delaware, captioned Hsu v. Girouard, et al., 1:23-cv-00132-UNA (D. Del.). The Hsu action includes allegations similar to those in the consolidated derivative matter pending in Ohio, and names as defendants each of the Company’s current board members, a former board member, and its Chief Financial Officer. The Company is named as a nominal defendant. The Hsu action includes claims for violation of Section 14(a) of the Exchange Act as well as breach of fiduciary duties, and seeks unspecified monetary damages, restitution, and attorney’s fees and costs from the individual defendants. It also seeks corporate governance and internal procedure modifications. On February 16, 2023, in response to a joint stipulation and proposed order submitted by the parties, the Court stayed the Hsu action until resolution of the related securities class 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8, 2023, a fourth derivative lawsuit was filed, in the United States District Court, District of Delaware, captioned Sornchai et al. v. Girouard, et al., 1:23-cv-00253-MN (D. Del). The Sornchai action includes allegations similar to those in the consolidated derivative matter pending in Ohio, and names as defendants each of the Company’s current board members, a former board member, its Chief Financial Officer, and a Company executive. The Company is named as a nominal defendant. The Sornchai action includes claims for violations of Sections 10(b), 14(a) and 21D of the Exchange Act, breach of fiduciary duties, breach of fiduciary duty through misappropriation of material non-public information, and unjust enrichment, and seeks unspecified monetary damages, restitution, and attorney’s fees and costs from the individual defendants. It also seeks corporate governance and internal procedure modifications. On March 24, 2023, in response to a joint stipulation and proposed order submitted by the parties, the Court stayed the Sornchai action until resolution of the related securities class action.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5, 2023, a fifth derivative lawsuit was filed, in the Court of Chancery of the State of Delaware, captioned Okhai v. Girouard, et al., C.A. No. 2023-0401-BWD (Del. Ch.). The Okhai action includes allegations similar to those in the consolidated derivative matter pending in Ohio, and names as defendants the Company’s current board members, two former board members, its Chief Financial Officer, and two current or former Company executives, as well as Third Point LLC and Third Point Ventures LLC. The Okhai action includes claims for breach of fiduciary, aiding and abetting such alleged breaches, and unjust enrichment, and seeks equitable and/or injunctive relief, restitution, and attorney’s fees and costs from the individual defendants. On August 3, 2023, in response to a motion to stay by the defendants in the Okhai action, the Court stayed the Okhai action until resolution of the motion to dismiss in the related securities class action. Following the issuance of the September 29, 2023 order on the motion to dismiss in the related securities class action, on November 16, 2023, in response to a joint stipulation and proposed order submitted by the parties, the Court stayed the Okhai action until resolution of the motion for reconsideration of the September 29, 2023 order on the motion to dismiss in the related securities class action. Following denial of the motion for reconsideration in the related securities class action, the parties in the Okhai action finished briefing and argued the defendants’ motion to continue the stay. On October 24, 2024, the Court continued the stay until February 1, 2025. On January 31, 2025, the parties submitted to the Court a proposed schedule for briefing Defendants’ motion to continue the stay. On April 11, 2025, in response to a joint stipulation and proposed order submitted by the parties, the Court ordered that the case remain stayed pending plaintiffs filing a consolidated amended complaint on or before May 7, 2025, after which Defendants filed a renewed motion to stay. Subsequent developments are discussed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13, 2023, a sixth derivative lawsuit was filed, in the Court of Chancery of the State of Delaware, captioned Romanyshyn v. Girouard, et al., C.A. No. 2023-1029-BWD (Del. Ch.). The Romanyshyn action includes allegations similar to those in the consolidated derivative matter pending in Ohio, and names as defendants current and former directors and Company executives, as well as Third Point LLC and its CEO, and Third Point Ventures LLC. The Romanyshyn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Romanyshyn action pending the outcome of the motion to stay in the related Okhai derivative action. Subsequent developments are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24, 2023, a seventh derivative lawsuit was filed, in the Court of Chancery of the State of Delaware, captioned Agarwal v. Girouard, et al., C.A. No. 2023-1075-BWD (Del. Ch.). The Agarwal action includes allegations similar to those in the consolidated derivative matter pending in Ohio, and names as defendants current and former directors and Company executives, as well as Third Point LLC and its CEO, and Third Point Ventures LLC. The Agarwal action includes claims for breach of fiduciary, and seeks unspecified monetary damages, restitution, and attorney’s fees and costs from the individual defendants. It also seeks corporate governance and internal procedure modifications. On November 3, 2023, in response to a joint stipulation and proposed order submitted by the parties, the Court stayed the Agarwal action pending the outcome of the motion to stay in the related Okhai derivative action. Subsequent developments are discussed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November 22, 2024, in response to a joint stipulation and proposed order submitted by the parties, the Court consolidated the Okhai, Romanyshyn, and Agarwal matters under the consolidated caption In re Upstart Holdings, Inc. Derivative Litigation, Consolidated C.A. No. 2023-0401-BWD and appointed co-lead plaintiffs and co-lead counsel. On May 7, 2025, the plaintiffs in the consolidated action filed a consolidated amended complaint. The consolidated amended complaint names as plaintiffs Evan Levitan and Charlie Romanyshyn and removes plaintiffs Okhai and Agarwal. The consolidated amended complaint includes allegations similar to those in the initial Okhai complaint and names the same defendants as the initial Okhai complaint, along with the CEO of Third Point LLC. The consolidated amended complaint brings the same claims as the initial Okhai complaint and seeks similar relief. On June 4, 2025, Defendants filed a renewed motion to stay, which motion the Court granted on August 25,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12.    Income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rates for the three and six months ended June 30, 2025 and 2026, are as follows:</w:t>
      </w:r>
    </w:p>
    <w:p>
      <w:pPr>
        <w:pStyle w:val="TextBody"/>
        <w:bidi w:val="0"/>
        <w:spacing w:before="0" w:after="0"/>
        <w:jc w:val="left"/>
        <w:rPr/>
      </w:pPr>
      <w:r>
        <w:rPr/>
      </w:r>
    </w:p>
    <w:tbl>
      <w:tblPr>
        <w:tblW w:w="7215" w:type="dxa"/>
        <w:jc w:val="left"/>
        <w:tblInd w:w="0" w:type="dxa"/>
        <w:tblLayout w:type="fixed"/>
        <w:tblCellMar>
          <w:top w:w="28" w:type="dxa"/>
          <w:left w:w="28" w:type="dxa"/>
          <w:bottom w:w="28" w:type="dxa"/>
          <w:right w:w="28" w:type="dxa"/>
        </w:tblCellMar>
      </w:tblPr>
      <w:tblGrid>
        <w:gridCol w:w="825"/>
        <w:gridCol w:w="726"/>
        <w:gridCol w:w="729"/>
        <w:gridCol w:w="109"/>
        <w:gridCol w:w="109"/>
        <w:gridCol w:w="109"/>
        <w:gridCol w:w="211"/>
        <w:gridCol w:w="361"/>
        <w:gridCol w:w="271"/>
        <w:gridCol w:w="109"/>
        <w:gridCol w:w="109"/>
        <w:gridCol w:w="109"/>
        <w:gridCol w:w="211"/>
        <w:gridCol w:w="466"/>
        <w:gridCol w:w="271"/>
        <w:gridCol w:w="109"/>
        <w:gridCol w:w="109"/>
        <w:gridCol w:w="109"/>
        <w:gridCol w:w="211"/>
        <w:gridCol w:w="361"/>
        <w:gridCol w:w="271"/>
        <w:gridCol w:w="109"/>
        <w:gridCol w:w="109"/>
        <w:gridCol w:w="109"/>
        <w:gridCol w:w="211"/>
        <w:gridCol w:w="466"/>
        <w:gridCol w:w="31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tax provision and the resulting effective tax rate for interim periods are determined based upon its estimated annual effective tax rate adjusted for the effect of discrete items arising during the period. The increase in the Company's effective tax rate for the three and six months ended June 30, 2026, compared to the same periods in 2025, was primarily driven by an increase in the Company's state tax liabilities, despite maintaining a full valuation allowance. The effective tax rate differs from the U.S. statutory tax rate primarily due to the valuation allowance recorded against the Company’s deferred tax assets, as management has determined that it is more likely than not that some or all of these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TextBody"/>
        <w:bidi w:val="0"/>
        <w:spacing w:lineRule="auto" w:line="288" w:before="0" w:after="0"/>
        <w:ind w:left="0" w:right="0" w:firstLine="1080"/>
        <w:jc w:val="both"/>
        <w:rPr>
          <w:color w:val="000000"/>
        </w:rPr>
      </w:pPr>
      <w:r>
        <w:rPr>
          <w:color w:val="000000"/>
        </w:rPr>
        <w:t> </w:t>
      </w:r>
      <w:r>
        <w:rPr>
          <w:rFonts w:ascii="Times New Roman;serif" w:hAnsi="Times New Roman;serif"/>
          <w:b/>
          <w:color w:val="000000"/>
          <w:sz w:val="20"/>
        </w:rPr>
        <w:t>13.    Net Income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net income per common share is based on the weighted-average common shares outstanding during the relevant period. Diluted income per share is based on the weighted-average common shares outstanding during the relevant period, adjusted for the dilutive effect of share-based awards and convertible debt.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periods in which the Company reports net losses, basic and diluted net loss per share are the same because potentially dilutive common shares are not assumed to have been issued if their effect is anti-dilutive.</w:t>
      </w:r>
    </w:p>
    <w:tbl>
      <w:tblPr>
        <w:tblW w:w="10205" w:type="dxa"/>
        <w:jc w:val="left"/>
        <w:tblInd w:w="0" w:type="dxa"/>
        <w:tblLayout w:type="fixed"/>
        <w:tblCellMar>
          <w:top w:w="28" w:type="dxa"/>
          <w:left w:w="28" w:type="dxa"/>
          <w:bottom w:w="28" w:type="dxa"/>
          <w:right w:w="28" w:type="dxa"/>
        </w:tblCellMar>
      </w:tblPr>
      <w:tblGrid>
        <w:gridCol w:w="1415"/>
        <w:gridCol w:w="959"/>
        <w:gridCol w:w="969"/>
        <w:gridCol w:w="109"/>
        <w:gridCol w:w="109"/>
        <w:gridCol w:w="109"/>
        <w:gridCol w:w="109"/>
        <w:gridCol w:w="109"/>
        <w:gridCol w:w="301"/>
        <w:gridCol w:w="885"/>
        <w:gridCol w:w="109"/>
        <w:gridCol w:w="109"/>
        <w:gridCol w:w="109"/>
        <w:gridCol w:w="109"/>
        <w:gridCol w:w="267"/>
        <w:gridCol w:w="919"/>
        <w:gridCol w:w="109"/>
        <w:gridCol w:w="109"/>
        <w:gridCol w:w="109"/>
        <w:gridCol w:w="109"/>
        <w:gridCol w:w="109"/>
        <w:gridCol w:w="301"/>
        <w:gridCol w:w="885"/>
        <w:gridCol w:w="109"/>
        <w:gridCol w:w="109"/>
        <w:gridCol w:w="109"/>
        <w:gridCol w:w="109"/>
        <w:gridCol w:w="301"/>
        <w:gridCol w:w="885"/>
        <w:gridCol w:w="156"/>
      </w:tblGrid>
      <w:tr>
        <w:trPr/>
        <w:tc>
          <w:tcPr>
            <w:tcW w:w="141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 Dilutive effect of convertible senior notes, net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calculate net income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95,526,364 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96,573,751 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94,903,909 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96,736,956 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RSUs, and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4,677,585 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Convertible senior notes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8,363,835 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7,325,920 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13,147,095 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8,273,674 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4,677,585 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to calculate net income per share,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102,852,284 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109,720,846 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103,177,583 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101,414,541 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(1)For the three months ended June 30, 2026, diluted earnings per share and diluted net income attributable to common stockholders excludes interest expense, net of tax, associated with convertible senior note activity during the year, as evaluated under the if-converted method.</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(2)For the three months ended June 30, 2026, includes incremental dilutive shares from the 2032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240" w:after="283"/>
        <w:ind w:left="0" w:right="0" w:firstLine="990"/>
        <w:jc w:val="both"/>
        <w:rPr>
          <w:rFonts w:ascii="Times New Roman;serif" w:hAnsi="Times New Roman;serif"/>
          <w:b w:val="false"/>
          <w:color w:val="000000"/>
          <w:sz w:val="20"/>
        </w:rPr>
      </w:pPr>
      <w:r>
        <w:rPr>
          <w:rFonts w:ascii="Times New Roman;serif" w:hAnsi="Times New Roman;serif"/>
          <w:b w:val="false"/>
          <w:color w:val="000000"/>
          <w:sz w:val="20"/>
        </w:rPr>
        <w:t>The following securities were excluded from the computation of diluted net income per share for the periods presented, due to their anti-dilutive effect: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60"/>
        <w:gridCol w:w="984"/>
        <w:gridCol w:w="987"/>
        <w:gridCol w:w="109"/>
        <w:gridCol w:w="109"/>
        <w:gridCol w:w="109"/>
        <w:gridCol w:w="540"/>
        <w:gridCol w:w="541"/>
        <w:gridCol w:w="191"/>
        <w:gridCol w:w="191"/>
        <w:gridCol w:w="191"/>
        <w:gridCol w:w="191"/>
        <w:gridCol w:w="540"/>
        <w:gridCol w:w="541"/>
        <w:gridCol w:w="191"/>
        <w:gridCol w:w="109"/>
        <w:gridCol w:w="109"/>
        <w:gridCol w:w="109"/>
        <w:gridCol w:w="109"/>
        <w:gridCol w:w="109"/>
        <w:gridCol w:w="540"/>
        <w:gridCol w:w="541"/>
        <w:gridCol w:w="176"/>
        <w:gridCol w:w="166"/>
        <w:gridCol w:w="166"/>
        <w:gridCol w:w="166"/>
        <w:gridCol w:w="540"/>
        <w:gridCol w:w="541"/>
        <w:gridCol w:w="249"/>
      </w:tblGrid>
      <w:tr>
        <w:trPr/>
        <w:tc>
          <w:tcPr>
            <w:tcW w:w="11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9,839,891 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2,495,789 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9,839,891 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2,068,191 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3,152,602 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1,214,270 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3,152,602 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4,511,636 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PRSUs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1,726,737 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1,726,737 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rights committed under the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65,540 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15,929,353 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15,114,003 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15,929,353 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23,477,838 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3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28,987,386 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20,679,688 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28,987,386 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31,913,291 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Company’s organization and management structure is designed to support development of different lending product offerings, which are grouped into three operating segments - Unsecured Lending</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(personal loans, small dollar loans, and unsecured revolving credit lines), Auto Lending (auto refinance loans, auto retail loans, and auto secured personal loans</w:t>
      </w:r>
      <w:r>
        <w:rPr>
          <w:rFonts w:ascii="Times New Roman;serif" w:hAnsi="Times New Roman;serif"/>
          <w:b w:val="false"/>
          <w:color w:val="000000"/>
          <w:sz w:val="13"/>
        </w:rPr>
        <w:t>(2)</w:t>
      </w:r>
      <w:r>
        <w:rPr>
          <w:rFonts w:ascii="Times New Roman;serif" w:hAnsi="Times New Roman;serif"/>
          <w:b w:val="false"/>
          <w:color w:val="000000"/>
          <w:sz w:val="20"/>
        </w:rPr>
        <w:t>), and Other (HELOCs and other). These operating segments are separately managed and evaluated by the CODM, the Company’s Chief Executive Officer, who allocates resources and assesses performance at this level. The Company has determined that only one operating segment, Unsecured Lending, meets the definition of a reportable segment.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generates all its revenue in the U.S. and a majority is earned in exchange for the use of the Company’s platform and for borrower referrals as well as for loan servicing activities provided to its lending partners and institutional investors. Refer to “</w:t>
      </w:r>
      <w:r>
        <w:rPr>
          <w:rFonts w:ascii="Times New Roman;serif" w:hAnsi="Times New Roman;serif"/>
          <w:b w:val="false"/>
          <w:i/>
          <w:color w:val="000000"/>
          <w:sz w:val="20"/>
        </w:rPr>
        <w:t>Note 2. Revenue”</w:t>
      </w:r>
      <w:r>
        <w:rPr>
          <w:color w:val="000000"/>
        </w:rPr>
        <w:t xml:space="preserve"> </w:t>
      </w:r>
      <w:r>
        <w:rPr>
          <w:rFonts w:ascii="Times New Roman;serif" w:hAnsi="Times New Roman;serif"/>
          <w:b w:val="false"/>
          <w:color w:val="000000"/>
          <w:sz w:val="20"/>
        </w:rPr>
        <w:t>for further information related to the Company's disaggregation of revenue from fees by type of service.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Contribution Profit is the primary measure of segment profit and loss reviewed by the CODM to assess business performance and strategy, prepare the Company’s annual operating budget and financial forecasts, and communicate with the Company’s Board of Directors concerning the Company’s financial performance. The significant segment expenses regularly reviewed by the CODM in evaluating Contribution Profit include borrower acquisition costs and borrower verification and servicing costs. To derive Contribution Profit, the Company subtracts the sum of borrower acquisition costs as well as borrower verification and servicing costs from revenue from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financial information, including Contribution Profit, for the Company’s Unsecured Lending segment:</w:t>
      </w:r>
    </w:p>
    <w:p>
      <w:pPr>
        <w:pStyle w:val="TextBody"/>
        <w:bidi w:val="0"/>
        <w:spacing w:before="0" w:after="0"/>
        <w:ind w:left="0" w:right="0" w:firstLine="720"/>
        <w:jc w:val="both"/>
        <w:rPr/>
      </w:pPr>
      <w:r>
        <w:rPr/>
      </w:r>
    </w:p>
    <w:tbl>
      <w:tblPr>
        <w:tblW w:w="9770" w:type="dxa"/>
        <w:jc w:val="left"/>
        <w:tblInd w:w="0" w:type="dxa"/>
        <w:tblLayout w:type="fixed"/>
        <w:tblCellMar>
          <w:top w:w="28" w:type="dxa"/>
          <w:left w:w="28" w:type="dxa"/>
          <w:bottom w:w="28" w:type="dxa"/>
          <w:right w:w="28" w:type="dxa"/>
        </w:tblCellMar>
      </w:tblPr>
      <w:tblGrid>
        <w:gridCol w:w="1307"/>
        <w:gridCol w:w="1152"/>
        <w:gridCol w:w="1156"/>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Unsecured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Borrower acquisition costs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Borrower verification and servicing costs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Profit for Unsecured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 xml:space="preserve">(1)Beginning in the second quarter of 2026, the Company renamed its Personal Lending operating segment to Unsecured Lending. The name change was administrative in nature and had no impact to the segment results or the Company’s condensed consolidated financial statements. </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(2)Beginning in the third quarter of 2025, the Company reclassified auto secured personal loans from Unsecured Lending to Auto Lending operating segment. Prior period segment information reflects the change, which was immaterial to the Company’s condensed consolidated financial statements.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(3)Borrower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(4)Borrower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total Contribution Profit to Net income before income taxes: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468"/>
        <w:gridCol w:w="1287"/>
        <w:gridCol w:w="1293"/>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46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Profit - Unsecured Lending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Contribution Profit/(Loss) - Other Segments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 net of borrower acquisition costs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 operations, net of borrower verification and servicing costs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(1)Includes Auto Lending and Other operating segments, which did not meet the separate reporting or aggregation criteria under GAAP.</w:t>
      </w:r>
    </w:p>
    <w:p>
      <w:pPr>
        <w:pStyle w:val="TextBody"/>
        <w:bidi w:val="0"/>
        <w:spacing w:lineRule="auto" w:line="288" w:before="0" w:after="0"/>
        <w:ind w:left="0" w:right="0" w:hanging="540"/>
        <w:jc w:val="both"/>
        <w:rPr/>
      </w:pPr>
      <w:r>
        <w:rPr>
          <w:rFonts w:ascii="Times New Roman;serif" w:hAnsi="Times New Roman;serif"/>
          <w:b w:val="false"/>
          <w:color w:val="000000"/>
          <w:sz w:val="16"/>
        </w:rPr>
        <w:t>(2)Borrower acquisition costs were $60.9 million</w:t>
      </w:r>
      <w:r>
        <w:rPr>
          <w:color w:val="000000"/>
          <w:shd w:fill="FFFFFF" w:val="clear"/>
        </w:rPr>
        <w:t xml:space="preserve"> </w:t>
      </w:r>
      <w:r>
        <w:rPr>
          <w:rFonts w:ascii="Times New Roman;serif" w:hAnsi="Times New Roman;serif"/>
          <w:b w:val="false"/>
          <w:color w:val="000000"/>
          <w:sz w:val="16"/>
          <w:shd w:fill="FFFFFF" w:val="clear"/>
        </w:rPr>
        <w:t>a</w:t>
      </w:r>
      <w:r>
        <w:rPr>
          <w:rFonts w:ascii="Times New Roman;serif" w:hAnsi="Times New Roman;serif"/>
          <w:b w:val="false"/>
          <w:color w:val="000000"/>
          <w:sz w:val="16"/>
        </w:rPr>
        <w:t xml:space="preserve">nd </w:t>
      </w:r>
      <w:r>
        <w:rPr>
          <w:rFonts w:ascii="Times New Roman;serif" w:hAnsi="Times New Roman;serif"/>
          <w:b w:val="false"/>
          <w:color w:val="000000"/>
          <w:sz w:val="16"/>
          <w:shd w:fill="FFFFFF" w:val="clear"/>
        </w:rPr>
        <w:t xml:space="preserve">$102.3 million </w:t>
      </w:r>
      <w:r>
        <w:rPr>
          <w:rFonts w:ascii="Times New Roman;serif" w:hAnsi="Times New Roman;serif"/>
          <w:b w:val="false"/>
          <w:color w:val="000000"/>
          <w:sz w:val="16"/>
        </w:rPr>
        <w:t>for the three months ended June 30, 2025 and 2026, respectively, and were $109.5 million</w:t>
      </w:r>
      <w:r>
        <w:rPr>
          <w:color w:val="000000"/>
          <w:shd w:fill="FFFFFF" w:val="clear"/>
        </w:rPr>
        <w:t xml:space="preserve"> </w:t>
      </w:r>
      <w:r>
        <w:rPr>
          <w:rFonts w:ascii="Times New Roman;serif" w:hAnsi="Times New Roman;serif"/>
          <w:b w:val="false"/>
          <w:color w:val="000000"/>
          <w:sz w:val="16"/>
          <w:shd w:fill="FFFFFF" w:val="clear"/>
        </w:rPr>
        <w:t>and $194.5 million</w:t>
      </w:r>
      <w:r>
        <w:rPr>
          <w:color w:val="000000"/>
        </w:rPr>
        <w:t xml:space="preserve"> </w:t>
      </w:r>
      <w:r>
        <w:rPr>
          <w:rFonts w:ascii="Times New Roman;serif" w:hAnsi="Times New Roman;serif"/>
          <w:b w:val="false"/>
          <w:color w:val="000000"/>
          <w:sz w:val="16"/>
        </w:rPr>
        <w:t>for the six months ended June 30, 2025 and 2026, respectively. Borrower acquisition costs consist of the Company’s sales and marketing expenses adjusted to exclude costs not directly attributable to attracting a new borrower, such as payroll-related expenses for the Company’s business development and marketing teams, as well as other operational, brand awareness and marketing activities. These costs do not include reorganization expenses.</w:t>
      </w:r>
    </w:p>
    <w:p>
      <w:pPr>
        <w:pStyle w:val="TextBody"/>
        <w:bidi w:val="0"/>
        <w:spacing w:lineRule="auto" w:line="288" w:before="0" w:after="0"/>
        <w:ind w:left="0" w:right="0" w:hanging="540"/>
        <w:jc w:val="both"/>
        <w:rPr/>
      </w:pPr>
      <w:r>
        <w:rPr>
          <w:rFonts w:ascii="Times New Roman;serif" w:hAnsi="Times New Roman;serif"/>
          <w:b w:val="false"/>
          <w:color w:val="000000"/>
          <w:sz w:val="16"/>
        </w:rPr>
        <w:t xml:space="preserve">(3)Borrower verification and servicing costs were $39.3 million and </w:t>
      </w:r>
      <w:r>
        <w:rPr>
          <w:rFonts w:ascii="Times New Roman;serif" w:hAnsi="Times New Roman;serif"/>
          <w:b w:val="false"/>
          <w:color w:val="000000"/>
          <w:sz w:val="16"/>
          <w:shd w:fill="FFFFFF" w:val="clear"/>
        </w:rPr>
        <w:t>$52.6 million</w:t>
      </w:r>
      <w:r>
        <w:rPr>
          <w:color w:val="000000"/>
        </w:rPr>
        <w:t xml:space="preserve"> </w:t>
      </w:r>
      <w:r>
        <w:rPr>
          <w:rFonts w:ascii="Times New Roman;serif" w:hAnsi="Times New Roman;serif"/>
          <w:b w:val="false"/>
          <w:color w:val="000000"/>
          <w:sz w:val="16"/>
        </w:rPr>
        <w:t>for the three months ended June 30, 2025 and 2026, respectively, and were $73.8 million</w:t>
      </w:r>
      <w:r>
        <w:rPr>
          <w:color w:val="000000"/>
          <w:shd w:fill="FFFFFF" w:val="clear"/>
        </w:rPr>
        <w:t xml:space="preserve"> </w:t>
      </w:r>
      <w:r>
        <w:rPr>
          <w:rFonts w:ascii="Times New Roman;serif" w:hAnsi="Times New Roman;serif"/>
          <w:b w:val="false"/>
          <w:color w:val="000000"/>
          <w:sz w:val="16"/>
          <w:shd w:fill="FFFFFF" w:val="clear"/>
        </w:rPr>
        <w:t>and $100.1 million</w:t>
      </w:r>
      <w:r>
        <w:rPr>
          <w:color w:val="000000"/>
        </w:rPr>
        <w:t xml:space="preserve"> </w:t>
      </w:r>
      <w:r>
        <w:rPr>
          <w:rFonts w:ascii="Times New Roman;serif" w:hAnsi="Times New Roman;serif"/>
          <w:b w:val="false"/>
          <w:color w:val="000000"/>
          <w:sz w:val="16"/>
        </w:rPr>
        <w:t>for the six months ended June 30, 2025 and 2026,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the Company’s customer operations team whose work is not directly attributable to onboarding and servicing loans. These costs do not include reorganization expenses.</w:t>
      </w:r>
    </w:p>
    <w:p>
      <w:pPr>
        <w:pStyle w:val="TextBody"/>
        <w:bidi w:val="0"/>
        <w:spacing w:before="0" w:after="0"/>
        <w:ind w:left="0" w:right="0" w:hanging="18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does not evaluate operating segments using asset information and, accordingly, the Company does not report asset information by segment.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0" w:after="0"/>
        <w:ind w:left="0" w:right="0" w:firstLine="1080"/>
        <w:jc w:val="both"/>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evaluated events that have occurred through the filing date of this Quarterly Report on Form 10-Q. Based on its evaluation, other than any items recorded or disclosed within the condensed consolidated financial statements and related notes, the Company has determined no subsequent events were required to be recognized or disclosed.</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360" w:after="283"/>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63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the condensed consolidated financial statements and related notes thereto included elsewhere in this Quarterly Report on Form 10-Q.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 Our historical results are not necessarily indicative of the results that may be expected for any period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Upstart is the leading AI lending marketplace. We aim to radically reduce the cost and complexity of borrowing for all Americans by using our proprietary AI models to remake the entire lending process. Upstart’s marketplace supports both unsecured and secured loans. Unsecured loans include personal loans, small dollar loans, and our new unsecured revolving credit product, Cash Line. Secured loans include auto loans – including retail, refinance, and auto secured personal loans – and HELOCs. Long-term, our vision is to become the always-on, everything-store for credit, where we can automatically approve borrowers at the right prices – instantly and effortlessly.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applies AI to more accurately quantify the true risk of a loan, a capability we refer to as “risk separation.” This differentiated approach to underwriting has generally led to higher approvals and lower interest rates relative to traditional lending practices, with more predictable returns to our capital partners including banks and credit unions (collectively our “lending partners”) and institutional investors. With this as the foundation, we’ve added layers of automation, macroeconomic calibration, and personalization that can support increasing scale and greater business resilience over time.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Beyond core underwriting, we apply our proprietary AI models to other areas of our business, such as income and identity verification, fraud detection, and identifying loan stacking behavior, among others. The result is an exceptional digital-first experience with significant levels of automation. For example, during the six months ended June 30, 2026, 91% of loans on our platform were fully automated, with no human intervention by Upstart. Consumer acquisition is another area where we apply our AI, making these activities increasingly efficient. Consumers primarily access Upstart-powered loans through Upstart.com and, for automotive retail in particular, through auto dealerships that use Upstart’s Auto Finance software.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dynamic marketplace allows us to serve borrowers across the credit spectrum. Loans issued through our marketplace are purchased by our network of institutional investors, retained or purchased by our lending partners, or in certain instances, held on our balance sheet. Out of the total principal of loans transacted on our marketplace during the six months ended June 30, 2026, 61% were purchased by institutional investors, 31% were retained or purchased by our lending partners, and 8% were held on our balance sheet. Investors may also invest in securities collateralized by Upstart-powered loans through our pass-through and securitization programs.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Institutional investors play an important role in our lending marketplace by providing capital for higher risk loans that may not be economically feasible for traditional banks and credit unions to hold. Today, more than 50% of the loan funding on our platform is through committed capital and other co-investment arrangements with institutional investors and lending partners, which provide valuable stability and resilience on the funding side of our platform.</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retain certain loans on our balance sheet for R&amp;D purposes, including to test and evaluate our AI models for newer products and to aid in price discovery. As of June 30, 2026, 51% of loans held on our balance sheet were for R&amp;D purposes, primarily related to our seasoned auto refinance, auto retail loans and HELOCs, as well as newer products including small dollar loans and auto secured personal loans. As products develop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achieve market fit, we no longer consider them as R&amp;D. For example, during the quarter ended June 30, 2026, newly originated auto refinance, auto retail loans and HELOCs were no longer classified as R&amp;D.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retain loans on our balance sheet for purposes unrelated to product development, including to bridge the timing between origination and sales of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Credit Performance</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credit performance of Upstart-powered loans to be one of the most important measures of the effectiveness of our AI models. However, credit performance is impacted by multiple factors, including factors that our models do not predict, such as macroeconomic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evaluate the credit performance of our</w:t>
      </w:r>
      <w:r>
        <w:rPr>
          <w:color w:val="0E32E1"/>
        </w:rPr>
        <w:t xml:space="preserve"> </w:t>
      </w:r>
      <w:r>
        <w:rPr>
          <w:rFonts w:ascii="Times New Roman;serif" w:hAnsi="Times New Roman;serif"/>
          <w:b w:val="false"/>
          <w:color w:val="000000"/>
          <w:sz w:val="20"/>
        </w:rPr>
        <w:t>loans by comparing the target returns expected at the time of origination to the returns received by our lending partners, institutional investors, or us. The target return, a critical component of our loan pricing, is calculated using estimated cash flows, which are developed based on a number of factors, including credit losses and prepayment rates. While target returns across our lending partners and institutional investors vary depending on their programs’ objectives and risk tolerance, overall performance is calculated based on the variance between the initially expected returns and the actual return on capital invested in Upstart-powered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equal investment in all vintages of Upstart-powered personal loans originated in the second quarter of 2023 through the first quarter of 2026 is currently expected to deliver annual returns in line with a blended target of approximately 10.8% after servicing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a more granular level, the quarterly vintages originated in the second quarter of 2023 through the first quarter of 2024 and in the fourth quarter of 2024 are currently forecasted to underperform relative to their target returns. Quarterly vintages originated in the second and third quarter of 2024 and in the first quarter of 2025 or later are currently forecasted to deliver returns in line with target yields. This reversion in performance to target yields reflects a combination of factors including increased conservatism in underwriting, the relative stabilization of macroeconomic conditions, and improvements in our more recent models.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Impact of Macroeconomic Environment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impacting credit performance, the macroeconomic environment has a direct and indirect impact on our business financial condition, and results of operation. In an economic downturn, we believe consumer lending will generally contract. Lending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lending partners and institutional investors. We expect these dynamics would generally invert in an economic upswing.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example, loan funding provided by institutional investors started to become constrained in 2022, largely due to concerns about the macroeconomic environment. Rising interest rates also led to more expensive loan offers across borrower categories, which decreased borrower demand. In order to create greater stability for our business, we began securing committed capital and co-investment arrangements with institutional investors and other third parties that provide loan funding over longer durations. While we believe that the macroeconomic environment started to improve in 2024, disruption in financial markets could once again lower borrower demand or impair our lending partners and result in constrained funding, which would adversely impact our business, financial condition and operating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respond to macroeconomic changes and provide relevant and up-to-date information to our lending partners, we introduced a new metric, the UMI, in 2023. As of June 30, 2026, UMI remained elevated, measured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approximately 1.50, meaning that current macroeconomic conditions contributed an incremental risk of approximately 50% to the repayment performance of an Upstart-powered unsecured personal loan, compared to the baseline measurement of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Key Operating and Non-GAAP Financial Metrics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focus on several key operating and Non-GAAP financial metrics to measure the performance of our business and help determine strategic direction. The following presents our key operating and financial metrics:</w:t>
      </w:r>
    </w:p>
    <w:p>
      <w:pPr>
        <w:pStyle w:val="TextBody"/>
        <w:bidi w:val="0"/>
        <w:spacing w:before="0" w:after="0"/>
        <w:jc w:val="left"/>
        <w:rPr/>
      </w:pPr>
      <w:r>
        <w:rPr/>
      </w:r>
    </w:p>
    <w:tbl>
      <w:tblPr>
        <w:tblW w:w="10182" w:type="dxa"/>
        <w:jc w:val="left"/>
        <w:tblInd w:w="0" w:type="dxa"/>
        <w:tblLayout w:type="fixed"/>
        <w:tblCellMar>
          <w:top w:w="28" w:type="dxa"/>
          <w:left w:w="28" w:type="dxa"/>
          <w:bottom w:w="28" w:type="dxa"/>
          <w:right w:w="28" w:type="dxa"/>
        </w:tblCellMar>
      </w:tblPr>
      <w:tblGrid>
        <w:gridCol w:w="1153"/>
        <w:gridCol w:w="1011"/>
        <w:gridCol w:w="1016"/>
        <w:gridCol w:w="109"/>
        <w:gridCol w:w="109"/>
        <w:gridCol w:w="109"/>
        <w:gridCol w:w="334"/>
        <w:gridCol w:w="465"/>
        <w:gridCol w:w="466"/>
        <w:gridCol w:w="172"/>
        <w:gridCol w:w="172"/>
        <w:gridCol w:w="172"/>
        <w:gridCol w:w="334"/>
        <w:gridCol w:w="465"/>
        <w:gridCol w:w="466"/>
        <w:gridCol w:w="109"/>
        <w:gridCol w:w="109"/>
        <w:gridCol w:w="109"/>
        <w:gridCol w:w="109"/>
        <w:gridCol w:w="266"/>
        <w:gridCol w:w="288"/>
        <w:gridCol w:w="504"/>
        <w:gridCol w:w="427"/>
        <w:gridCol w:w="148"/>
        <w:gridCol w:w="148"/>
        <w:gridCol w:w="148"/>
        <w:gridCol w:w="288"/>
        <w:gridCol w:w="444"/>
        <w:gridCol w:w="532"/>
      </w:tblGrid>
      <w:tr>
        <w:trPr/>
        <w:tc>
          <w:tcPr>
            <w:tcW w:w="115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ind w:left="0" w:right="0" w:firstLine="180"/>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Originations, Dollars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2,820,398</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4,954,006</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7,672,316</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Originations, Number of Loans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372,599</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613,305</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983,370</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Conversion Rate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of Loans Fully Automated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Contribution Profit</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140,543</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242,915</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330,405</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20"/>
              </w:rPr>
              <w:t>Contribution Margin</w:t>
            </w:r>
            <w:r>
              <w:rPr>
                <w:rFonts w:ascii="Times New Roman;serif" w:hAnsi="Times New Roman;serif"/>
                <w:b w:val="false"/>
                <w:i/>
                <w:color w:val="000000"/>
                <w:sz w:val="13"/>
              </w:rPr>
              <w:t>(3)</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53,053</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95,630</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117,374</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i/>
                <w:color w:val="000000"/>
                <w:sz w:val="20"/>
              </w:rPr>
              <w:t>Adjusted EBITDA Margin</w:t>
            </w:r>
            <w:r>
              <w:rPr>
                <w:rFonts w:ascii="Times New Roman;serif" w:hAnsi="Times New Roman;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(1)Originations, Number of Loans, is shown in ones for the periods presented.</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(2)Beginning in the fourth quarter of 2025, we revised the definition and underlying calculation methodology of Conversion Rate. Prior period figures have been recast to conform to the new definition and methodology. For additional information regarding this change, see “Key Operating and Non-GAAP Financial Metrics” in our Annual Report on Form 10-K for the year ended December 31, 2025.</w:t>
      </w:r>
    </w:p>
    <w:p>
      <w:pPr>
        <w:pStyle w:val="TextBody"/>
        <w:bidi w:val="0"/>
        <w:spacing w:lineRule="auto" w:line="288" w:before="0" w:after="0"/>
        <w:ind w:left="0" w:right="0" w:hanging="540"/>
        <w:jc w:val="both"/>
        <w:rPr/>
      </w:pPr>
      <w:r>
        <w:rPr>
          <w:rFonts w:ascii="Times New Roman;serif" w:hAnsi="Times New Roman;serif"/>
          <w:b w:val="false"/>
          <w:color w:val="000000"/>
          <w:sz w:val="16"/>
        </w:rPr>
        <w:t>(3)Represents a non-GAAP financial measure. See the section titled “</w:t>
      </w:r>
      <w:r>
        <w:rPr>
          <w:rFonts w:ascii="Times New Roman;serif" w:hAnsi="Times New Roman;serif"/>
          <w:b w:val="false"/>
          <w:i/>
          <w:color w:val="000000"/>
          <w:sz w:val="16"/>
        </w:rPr>
        <w:t>Management’s Discussion and Analysis of Financial Condition and Results of Operations—Reconciliation of Non-GAAP Financial Measures</w:t>
      </w:r>
      <w:r>
        <w:rPr>
          <w:color w:val="000000"/>
        </w:rPr>
        <w:t xml:space="preserve">” </w:t>
      </w:r>
      <w:r>
        <w:rPr>
          <w:rFonts w:ascii="Times New Roman;serif" w:hAnsi="Times New Roman;serif"/>
          <w:b w:val="false"/>
          <w:color w:val="000000"/>
          <w:sz w:val="16"/>
        </w:rPr>
        <w:t>for further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Originations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Beginning in the second quarter of 2026, we refer to the metrics “Transaction Volume, Dollars” and “Transaction Volume, Number of Loans” as “Originations, Dollars” and “Originations, Number of Loans,” respectively, to reflect management’s internal terminology. We define Originations, Dollars as the aggregate of: (i) the total principal of loan originations for personal loans, small dollar loans,</w:t>
      </w:r>
      <w:r>
        <w:rPr>
          <w:color w:val="0E32E1"/>
        </w:rPr>
        <w:t xml:space="preserve"> </w:t>
      </w:r>
      <w:r>
        <w:rPr>
          <w:rFonts w:ascii="Times New Roman;serif" w:hAnsi="Times New Roman;serif"/>
          <w:b w:val="false"/>
          <w:color w:val="000000"/>
          <w:sz w:val="20"/>
        </w:rPr>
        <w:t>and auto loans, (ii) committed amounts for HELOCs, and (iii) drawn amounts for unsecured revolving credit lines (Cash Line), in each case facilitated on our marketplace during the periods presented. We define Originations, Number of Loans as the total number of such originations, commitments, and draws, as applicable, facilitated on our marketplace during the periods presented. We believe these metrics are good proxies for our overall scale and reach as a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Cash Line, we count each draw, rather than the establishment of the credit line, because draws represent the customer’s use of the product and more closely reflect the marketplace activity from which we generate ongoing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Originations are driven by improvements in our AI models and technology, including our ability to streamline and automate the loan application and origination process. Originations can also be driven by several other factors, including borrower acceptance rates and their sensitivity to the interest rates offered through our platform. Originations are dependent on the availability of platform funding which is influenced by factors such as volatility in the capital markets and macroeconomic conditions.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Originations, Dollars </w:t>
      </w:r>
      <w:r>
        <w:rPr>
          <w:rFonts w:ascii="Times New Roman;serif" w:hAnsi="Times New Roman;serif"/>
          <w:b w:val="false"/>
          <w:color w:val="000000"/>
          <w:sz w:val="20"/>
          <w:shd w:fill="FFFFFF" w:val="clear"/>
        </w:rPr>
        <w:t>increased 50%</w:t>
      </w:r>
      <w:r>
        <w:rPr>
          <w:color w:val="000000"/>
        </w:rPr>
        <w:t xml:space="preserve"> </w:t>
      </w:r>
      <w:r>
        <w:rPr>
          <w:rFonts w:ascii="Times New Roman;serif" w:hAnsi="Times New Roman;serif"/>
          <w:b w:val="false"/>
          <w:color w:val="000000"/>
          <w:sz w:val="20"/>
        </w:rPr>
        <w:t xml:space="preserve">in the three months ended June 30, 2026 compared to the same period of 2025, and </w:t>
      </w:r>
      <w:r>
        <w:rPr>
          <w:rFonts w:ascii="Times New Roman;serif" w:hAnsi="Times New Roman;serif"/>
          <w:b w:val="false"/>
          <w:color w:val="000000"/>
          <w:sz w:val="20"/>
          <w:shd w:fill="FFFFFF" w:val="clear"/>
        </w:rPr>
        <w:t xml:space="preserve">increased 55% </w:t>
      </w:r>
      <w:r>
        <w:rPr>
          <w:rFonts w:ascii="Times New Roman;serif" w:hAnsi="Times New Roman;serif"/>
          <w:b w:val="false"/>
          <w:color w:val="000000"/>
          <w:sz w:val="20"/>
        </w:rPr>
        <w:t xml:space="preserve">in the </w:t>
      </w:r>
      <w:r>
        <w:rPr>
          <w:rFonts w:ascii="Times New Roman;serif" w:hAnsi="Times New Roman;serif"/>
          <w:b w:val="false"/>
          <w:color w:val="000000"/>
          <w:sz w:val="20"/>
          <w:shd w:fill="FFFFFF" w:val="clear"/>
        </w:rPr>
        <w:t xml:space="preserve">six months ended June 30, 2026 compared to the </w:t>
      </w:r>
      <w:r>
        <w:rPr>
          <w:rFonts w:ascii="Times New Roman;serif" w:hAnsi="Times New Roman;serif"/>
          <w:b w:val="false"/>
          <w:color w:val="000000"/>
          <w:sz w:val="20"/>
        </w:rPr>
        <w:t>same period of 2025.</w:t>
      </w:r>
      <w:r>
        <w:rPr>
          <w:color w:val="000000"/>
          <w:shd w:fill="FFFFFF" w:val="clear"/>
        </w:rPr>
        <w:t xml:space="preserve"> </w:t>
      </w:r>
      <w:r>
        <w:rPr>
          <w:rFonts w:ascii="Times New Roman;serif" w:hAnsi="Times New Roman;serif"/>
          <w:b w:val="false"/>
          <w:color w:val="000000"/>
          <w:sz w:val="20"/>
        </w:rPr>
        <w:t xml:space="preserve">Originations, Number of Loans </w:t>
      </w:r>
      <w:r>
        <w:rPr>
          <w:rFonts w:ascii="Times New Roman;serif" w:hAnsi="Times New Roman;serif"/>
          <w:b w:val="false"/>
          <w:color w:val="000000"/>
          <w:sz w:val="20"/>
          <w:shd w:fill="FFFFFF" w:val="clear"/>
        </w:rPr>
        <w:t>increased 50%</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60%</w:t>
      </w:r>
      <w:r>
        <w:rPr>
          <w:color w:val="000000"/>
        </w:rPr>
        <w:t xml:space="preserve"> </w:t>
      </w:r>
      <w:r>
        <w:rPr>
          <w:rFonts w:ascii="Times New Roman;serif" w:hAnsi="Times New Roman;serif"/>
          <w:b w:val="false"/>
          <w:color w:val="000000"/>
          <w:sz w:val="20"/>
        </w:rPr>
        <w:t xml:space="preserve">in the three and six months ended June 30, 2026 compared to the same period of 2025, respectively. These </w:t>
      </w:r>
      <w:r>
        <w:rPr>
          <w:rFonts w:ascii="Times New Roman;serif" w:hAnsi="Times New Roman;serif"/>
          <w:b w:val="false"/>
          <w:color w:val="000000"/>
          <w:sz w:val="20"/>
          <w:shd w:fill="FFFFFF" w:val="clear"/>
        </w:rPr>
        <w:t>increases</w:t>
      </w:r>
      <w:r>
        <w:rPr>
          <w:color w:val="000000"/>
        </w:rPr>
        <w:t xml:space="preserve"> </w:t>
      </w:r>
      <w:r>
        <w:rPr>
          <w:rFonts w:ascii="Times New Roman;serif" w:hAnsi="Times New Roman;serif"/>
          <w:b w:val="false"/>
          <w:color w:val="000000"/>
          <w:sz w:val="20"/>
        </w:rPr>
        <w:t xml:space="preserve">were primarily due to model improvements and product initiatives, which resulted in an increase in the number of qualified borrower demand. The increase in Originations, Number of Loans was higher than the increase in Originations, Dollars due to the decrease in average loan size, primarily as </w:t>
      </w:r>
      <w:r>
        <w:rPr>
          <w:rFonts w:ascii="Times New Roman;serif" w:hAnsi="Times New Roman;serif"/>
          <w:b w:val="false"/>
          <w:color w:val="000000"/>
          <w:sz w:val="20"/>
          <w:shd w:fill="FFFFFF" w:val="clear"/>
        </w:rPr>
        <w:t>underwriting model improvements</w:t>
      </w:r>
      <w:r>
        <w:rPr>
          <w:color w:val="000000"/>
        </w:rPr>
        <w:t xml:space="preserve"> </w:t>
      </w:r>
      <w:r>
        <w:rPr>
          <w:rFonts w:ascii="Times New Roman;serif" w:hAnsi="Times New Roman;serif"/>
          <w:b w:val="false"/>
          <w:color w:val="000000"/>
          <w:sz w:val="20"/>
        </w:rPr>
        <w:t>drove higher approval rates in smaller dollar categories of loans.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Conversion Rate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define Conversion Rate as the Originations, Number of Loans in a period divided by the total number of rate inquiries received that we estimate to be legitimate, which we record when a borrower actively requests a loan offer on our platform. We track this metric to understand the impact of improvements to the efficiency of our borrower funnel on our overall growth. Cash Line is excluded because those borrowers may make multiple draws after the line has been initially approved, and those subsequent draws do not represent additional conversions.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Historically, our Conversion Rate has benefited from improvements to our technology, which have made our evaluation of risk more accurate and our verification process more automated, or from the addition of capital partners that have made our offers more competitive. However, our Conversion Rate can be impacted by a variety of internal factors such as changes in the amount of platform and referral fees we charge, changes in the rate of returns we target for our lending partners and institutional investors, or changes in products we offer or borrower segments we serve. External factors such as shifts in macroeconomic conditions, including interest rate changes, also impact our Conversion Rate. Our ability to continue to improve our Conversion Rate depends in part on our ability to continue to improve our AI models and Percentage of Loans Fully Automated and the mix of marketing channels in any given peri</w:t>
      </w:r>
      <w:r>
        <w:rPr>
          <w:rFonts w:ascii="Times New Roman;serif" w:hAnsi="Times New Roman;serif"/>
          <w:b w:val="false"/>
          <w:color w:val="000000"/>
          <w:sz w:val="20"/>
          <w:shd w:fill="FFFFFF" w:val="clear"/>
        </w:rPr>
        <w:t>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Our Conversion </w:t>
      </w:r>
      <w:r>
        <w:rPr>
          <w:rFonts w:ascii="Times New Roman;serif" w:hAnsi="Times New Roman;serif"/>
          <w:b w:val="false"/>
          <w:color w:val="000000"/>
          <w:sz w:val="20"/>
        </w:rPr>
        <w:t xml:space="preserve">Rate </w:t>
      </w:r>
      <w:r>
        <w:rPr>
          <w:rFonts w:ascii="Times New Roman;serif" w:hAnsi="Times New Roman;serif"/>
          <w:b w:val="false"/>
          <w:color w:val="000000"/>
          <w:sz w:val="20"/>
          <w:shd w:fill="FFFFFF" w:val="clear"/>
        </w:rPr>
        <w:t>decreased</w:t>
      </w:r>
      <w:r>
        <w:rPr>
          <w:color w:val="000000"/>
        </w:rPr>
        <w:t xml:space="preserve"> </w:t>
      </w:r>
      <w:r>
        <w:rPr>
          <w:rFonts w:ascii="Times New Roman;serif" w:hAnsi="Times New Roman;serif"/>
          <w:b w:val="false"/>
          <w:color w:val="000000"/>
          <w:sz w:val="20"/>
        </w:rPr>
        <w:t xml:space="preserve">to </w:t>
      </w:r>
      <w:r>
        <w:rPr>
          <w:rFonts w:ascii="Times New Roman;serif" w:hAnsi="Times New Roman;serif"/>
          <w:b w:val="false"/>
          <w:color w:val="000000"/>
          <w:sz w:val="20"/>
          <w:shd w:fill="FFFFFF" w:val="clear"/>
        </w:rPr>
        <w:t>19.7%</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19.2%</w:t>
      </w:r>
      <w:r>
        <w:rPr>
          <w:color w:val="000000"/>
        </w:rPr>
        <w:t xml:space="preserve"> </w:t>
      </w:r>
      <w:r>
        <w:rPr>
          <w:rFonts w:ascii="Times New Roman;serif" w:hAnsi="Times New Roman;serif"/>
          <w:b w:val="false"/>
          <w:color w:val="000000"/>
          <w:sz w:val="20"/>
        </w:rPr>
        <w:t>in the three and six months ended June 30, 2026, respectively, fr</w:t>
      </w:r>
      <w:r>
        <w:rPr>
          <w:rFonts w:ascii="Times New Roman;serif" w:hAnsi="Times New Roman;serif"/>
          <w:b w:val="false"/>
          <w:color w:val="000000"/>
          <w:sz w:val="20"/>
          <w:shd w:fill="FFFFFF" w:val="clear"/>
        </w:rPr>
        <w:t xml:space="preserve">om </w:t>
      </w:r>
      <w:r>
        <w:rPr>
          <w:rFonts w:ascii="Times New Roman;serif" w:hAnsi="Times New Roman;serif"/>
          <w:b w:val="false"/>
          <w:color w:val="000000"/>
          <w:sz w:val="20"/>
        </w:rPr>
        <w:t xml:space="preserve">21.0%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19.4% </w:t>
      </w:r>
      <w:r>
        <w:rPr>
          <w:rFonts w:ascii="Times New Roman;serif" w:hAnsi="Times New Roman;serif"/>
          <w:b w:val="false"/>
          <w:color w:val="000000"/>
          <w:sz w:val="20"/>
          <w:shd w:fill="FFFFFF" w:val="clear"/>
        </w:rPr>
        <w:t xml:space="preserve">in the same periods of </w:t>
      </w:r>
      <w:r>
        <w:rPr>
          <w:rFonts w:ascii="Times New Roman;serif" w:hAnsi="Times New Roman;serif"/>
          <w:b w:val="false"/>
          <w:color w:val="000000"/>
          <w:sz w:val="20"/>
        </w:rPr>
        <w:t>2025, primarily driven by our continued expansion into broader borrower segments and improvements in the accuracy of our underwriting model</w:t>
      </w:r>
      <w:r>
        <w:rPr>
          <w:rFonts w:ascii="Times New Roman;serif" w:hAnsi="Times New Roman;serif"/>
          <w:b w:val="false"/>
          <w:color w:val="3051F2"/>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evaluate the key operating metrics we use to help investors assess our business and periodically consider whether they continue to provide meaningful insight into our operating performance. As part of this evaluation, we have determined that Conversion Rate, which we have disclosed as an indicator of the efficiency of our borrower funnel dating back to our initial public offering, no longer meaningfully reflects the performance of our business, including our revenue and operating results.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determination reflects the evolution of our business, including the expansion of our product portfolio. Accordingly, we plan to continue reporting Conversion Rate in our Forms 10-Q and 10-K through the remainder of fiscal year 2026 as a transition period, and we do not intend to report this metric beginning with our Quarterly Report on Form 10-Q for the quarter ending March 31, 2027.</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our products and services continue to evolve, we expect to continue evaluating our key operating metrics disclosures to ensure they remain aligned with how management assesses the business. We may determine to modify, add to, or eliminate certain of our current key operating metrics in future filings.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Percentage of Loans Fully Automated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driver of our Contribution Margin and operating efficiency is the Percentage of Loans Fully Automated, which is defined as the total number of loans in a given period originated end-to-end with no human involvement required by the Company divided by the Originations, Number of Loans in the same period. Cash Line is excluded because those borrowers may make multiple draws after the line has been initially approved, and those subsequent draws do not represent additional automation. Under this definition, “originated end-to-end” means (i) from initial rate request to final funding for personal loans, including small dollar loans, and (ii) from initial rate request to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approval for auto loans and HELOCs, due to certain jurisdictions’ local requirements and external dependencies that require human action prior to funding.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have been successful in increasing the level of loan automation on the platform over the years while simultaneously holding fraud rates at very low levels. We believe this growth has been driven in part by our ability to streamline and automate the loan application and o</w:t>
      </w:r>
      <w:r>
        <w:rPr>
          <w:rFonts w:ascii="Times New Roman;serif" w:hAnsi="Times New Roman;serif"/>
          <w:b w:val="false"/>
          <w:color w:val="000000"/>
          <w:sz w:val="20"/>
          <w:shd w:fill="FFFFFF" w:val="clear"/>
        </w:rPr>
        <w:t>rigination process on our platform. As we expand our loan offerings, however, this percentage may fluctuate from period to period depending on the loan offering mix and other factors.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Our Percentage of Loans Fully A</w:t>
      </w:r>
      <w:r>
        <w:rPr>
          <w:rFonts w:ascii="Times New Roman;serif" w:hAnsi="Times New Roman;serif"/>
          <w:b w:val="false"/>
          <w:color w:val="000000"/>
          <w:sz w:val="20"/>
        </w:rPr>
        <w:t>utomated decreased</w:t>
      </w:r>
      <w:r>
        <w:rPr>
          <w:color w:val="000000"/>
          <w:shd w:fill="FFFFFF" w:val="clear"/>
        </w:rPr>
        <w:t xml:space="preserve"> </w:t>
      </w:r>
      <w:r>
        <w:rPr>
          <w:rFonts w:ascii="Times New Roman;serif" w:hAnsi="Times New Roman;serif"/>
          <w:b w:val="false"/>
          <w:color w:val="000000"/>
          <w:sz w:val="20"/>
          <w:shd w:fill="FFFFFF" w:val="clear"/>
        </w:rPr>
        <w:t xml:space="preserve">to 91% in both </w:t>
      </w:r>
      <w:r>
        <w:rPr>
          <w:rFonts w:ascii="Times New Roman;serif" w:hAnsi="Times New Roman;serif"/>
          <w:b w:val="false"/>
          <w:color w:val="000000"/>
          <w:sz w:val="20"/>
        </w:rPr>
        <w:t xml:space="preserve">the three and six months ended June 30, 2026 </w:t>
      </w:r>
      <w:r>
        <w:rPr>
          <w:rFonts w:ascii="Times New Roman;serif" w:hAnsi="Times New Roman;serif"/>
          <w:b w:val="false"/>
          <w:color w:val="000000"/>
          <w:sz w:val="20"/>
          <w:shd w:fill="FFFFFF" w:val="clear"/>
        </w:rPr>
        <w:t xml:space="preserve">from </w:t>
      </w:r>
      <w:r>
        <w:rPr>
          <w:rFonts w:ascii="Times New Roman;serif" w:hAnsi="Times New Roman;serif"/>
          <w:b w:val="false"/>
          <w:color w:val="000000"/>
          <w:sz w:val="20"/>
        </w:rPr>
        <w:t>92% in both the three and six months ended June 30, 2025.</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Contribution Profit and Contribution Margin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year-to-year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Contribution Profit and Contribution Margin have limitations as analytical tools,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reflect all expenses that we consider to be variable, which may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derive Contribution Profit, we subtract the sum of borrower acquisition costs as well as borrower verification and servicing costs from revenue from fees, net. To calculate Contribution Margin we divide Contribution Profit by revenue from fees, net. Contribution Profit and Contribution Margin may fluctuate between periods due to various factors, including changes in the product mix of loans originated on our platform and marketing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calculation of Contribution Profit and Contribution Margin: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7"/>
        <w:gridCol w:w="1041"/>
        <w:gridCol w:w="1045"/>
        <w:gridCol w:w="109"/>
        <w:gridCol w:w="109"/>
        <w:gridCol w:w="109"/>
        <w:gridCol w:w="211"/>
        <w:gridCol w:w="826"/>
        <w:gridCol w:w="271"/>
        <w:gridCol w:w="109"/>
        <w:gridCol w:w="109"/>
        <w:gridCol w:w="109"/>
        <w:gridCol w:w="211"/>
        <w:gridCol w:w="826"/>
        <w:gridCol w:w="271"/>
        <w:gridCol w:w="109"/>
        <w:gridCol w:w="109"/>
        <w:gridCol w:w="109"/>
        <w:gridCol w:w="109"/>
        <w:gridCol w:w="176"/>
        <w:gridCol w:w="211"/>
        <w:gridCol w:w="826"/>
        <w:gridCol w:w="271"/>
        <w:gridCol w:w="109"/>
        <w:gridCol w:w="109"/>
        <w:gridCol w:w="109"/>
        <w:gridCol w:w="211"/>
        <w:gridCol w:w="826"/>
        <w:gridCol w:w="318"/>
      </w:tblGrid>
      <w:tr>
        <w:trPr/>
        <w:tc>
          <w:tcPr>
            <w:tcW w:w="124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ind w:left="0" w:right="0" w:firstLine="90"/>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625,082 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Borrower acquisition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(60,935)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(102,284)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(109,497)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(194,541)</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Borrower verification and servicing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(52,604)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(100,136)</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direct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(100,234)</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(154,888)</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(294,677)</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330,405 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the section titled “</w:t>
      </w:r>
      <w:r>
        <w:rPr>
          <w:rFonts w:ascii="Times New Roman;serif" w:hAnsi="Times New Roman;serif"/>
          <w:b w:val="false"/>
          <w:i/>
          <w:color w:val="000000"/>
          <w:sz w:val="20"/>
        </w:rPr>
        <w:t>Management’s Discussion and Analysis of Financial Condition and Results of Operations—Reconciliation of Non-GAAP Financial Measures</w:t>
      </w:r>
      <w:r>
        <w:rPr>
          <w:color w:val="000000"/>
        </w:rPr>
        <w:t xml:space="preserve">” </w:t>
      </w:r>
      <w:r>
        <w:rPr>
          <w:rFonts w:ascii="Times New Roman;serif" w:hAnsi="Times New Roman;serif"/>
          <w:b w:val="false"/>
          <w:color w:val="000000"/>
          <w:sz w:val="20"/>
        </w:rPr>
        <w:t>for a reconciliation of income from operations to Contribution Profit.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Adjusted EBITDA and Adjusted EBITDA Margin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Adjusted EBITDA and Adjusted EBITDA Margin are useful for investors to use in comparing our financial performance with the performance of other companies for the following reasons:</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Adjusted EBITDA and Adjusted EBITDA Margin eliminate the impact of certain items such as stock-based compensation expense and certain payroll tax expense, expense on convertible n</w:t>
      </w:r>
      <w:r>
        <w:rPr>
          <w:rFonts w:ascii="Times New Roman;serif" w:hAnsi="Times New Roman;serif"/>
          <w:b w:val="false"/>
          <w:color w:val="000000"/>
          <w:sz w:val="20"/>
          <w:shd w:fill="FFFFFF" w:val="clear"/>
        </w:rPr>
        <w:t>otes, gain on debt extinguishment, net gain on lease modification and reorganization expenses, as applicable, that may obscure trends in the underlying performance of our business; and</w:t>
      </w:r>
    </w:p>
    <w:p>
      <w:pPr>
        <w:pStyle w:val="TextBody"/>
        <w:bidi w:val="0"/>
        <w:spacing w:lineRule="auto" w:line="276" w:before="120" w:after="283"/>
        <w:ind w:left="0" w:right="0" w:hanging="360"/>
        <w:jc w:val="both"/>
        <w:rPr/>
      </w:pPr>
      <w:r>
        <w:rPr>
          <w:color w:val="000000"/>
          <w:shd w:fill="FFFFFF" w:val="clear"/>
        </w:rPr>
        <w:t>•</w:t>
      </w:r>
      <w:r>
        <w:rPr>
          <w:rFonts w:ascii="Times New Roman;serif" w:hAnsi="Times New Roman;serif"/>
          <w:b w:val="false"/>
          <w:color w:val="000000"/>
          <w:sz w:val="20"/>
          <w:shd w:fill="FFFFFF" w:val="clear"/>
        </w:rPr>
        <w:t>Adjusted EBITDA and Adjusted EBITDA Margin provide consistency and comparability with o</w:t>
      </w:r>
      <w:r>
        <w:rPr>
          <w:rFonts w:ascii="Times New Roman;serif" w:hAnsi="Times New Roman;serif"/>
          <w:b w:val="false"/>
          <w:color w:val="000000"/>
          <w:sz w:val="20"/>
        </w:rPr>
        <w:t>ur past financial performance, and facilitate comparisons with other companies, many of which use similar non-GAAP financial measures to supplement their GAAP results.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calculate Adjusted EBITDA as net income (loss) adjusted to exclude stock-based compensation expense and certain payroll tax expenses, depreciation and amortization, expense on convertible notes, provision for income taxes, gain on debt extinguishment, net gain on lease modification and reorganization expenses, as applicable. We calculate Adjusted EBITDA Margin as Adjusted EBITDA divided by total revenue. Adjusted EBITDA and Adjusted EBITDA Margin include interest expense from corporate debt and warehouse credit facilities which is incurred in the course of earning corresponding interest income. See the section titled “</w:t>
      </w:r>
      <w:r>
        <w:rPr>
          <w:rFonts w:ascii="Times New Roman;serif" w:hAnsi="Times New Roman;serif"/>
          <w:b w:val="false"/>
          <w:i/>
          <w:color w:val="000000"/>
          <w:sz w:val="20"/>
        </w:rPr>
        <w:t>Management’s Discussion and Analysis of Financial Condition and Results of Operations—Reconciliation of Non-GAAP Financial Measures</w:t>
      </w:r>
      <w:r>
        <w:rPr>
          <w:color w:val="000000"/>
        </w:rPr>
        <w:t xml:space="preserve">” </w:t>
      </w:r>
      <w:r>
        <w:rPr>
          <w:rFonts w:ascii="Times New Roman;serif" w:hAnsi="Times New Roman;serif"/>
          <w:b w:val="false"/>
          <w:color w:val="000000"/>
          <w:sz w:val="20"/>
        </w:rPr>
        <w:t>for a reconciliation of net income (loss) to Adjusted EBITDA and Adjusted EBITDA Margin.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 from Fees, Net</w:t>
      </w:r>
    </w:p>
    <w:p>
      <w:pPr>
        <w:pStyle w:val="TextBody"/>
        <w:bidi w:val="0"/>
        <w:spacing w:before="0" w:after="0"/>
        <w:jc w:val="left"/>
        <w:rPr/>
      </w:pPr>
      <w:r>
        <w:rPr/>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Platform and Referral Fees,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charge our lending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lending partners in exchange for the referral of borrowers from Upstart.com. Referral fees are charged to lending partners on a per borrower basis upon origination of a loan. These fees are charged net of any fees the lending partner charges Upstart. Upstart pays these lending partners a one-time loan premium fee upon completion of the minimum holding periods. Upstart also pays certain lending partners monthly loan trailing fees based on the amount and timing of principal and interest payments made by borrowers of the underlying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recognize subscription fees in relation to contracts with auto dealers for the use of Upstart Auto Finance software, a cloud-based solution that facilitates dealership operations and enables them to provide consumers with access to Upstart-powered auto loans. In addition, we recognize origination fees charged to our borrowers on HELOCs that we originate. Refer to “</w:t>
      </w:r>
      <w:r>
        <w:rPr>
          <w:rFonts w:ascii="Times New Roman;serif" w:hAnsi="Times New Roman;serif"/>
          <w:b w:val="false"/>
          <w:i/>
          <w:color w:val="000000"/>
          <w:sz w:val="20"/>
        </w:rPr>
        <w:t>Note 2. Revenue</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 for more information.</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 xml:space="preserve">Servicing and Other Fees, Net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Servicing fees are calculated as a percentage of outstanding principal and are charged monthly to lending partners and institutional investors, including securitization trusts and pass-through entities, that hold loans facilitated through our marketplace. These fees compensate us for servicing activities performed throughout the loan term, including collection, processing and reconciliations of payments received, institutional investor reporting and borrower customer support. Servicing fees are recorded net of any gains, losses or changes to fair value recognized in the underlying servicing rights and obligations, which are carried as assets and liabilities on our condensed consolidated balance sheets. Upstart currently acts as servicer for substantially all outstanding loans facilitated through our marketplace. Borrower payment collections for loans that are more than 30 days past due or charged off may be outsourced to third-party collection agencies. Upstart charges lending partners and institutional investors for collection agency fees related to their outstanding loan portfolio. Upstart also receives certain ancillary fees on a per transaction basis inclusive of late payment fees and ACH fail fees.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Loan Sales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charge our third-party loan purchasers fees for facilitating certain forward-flow loan sales. These fees are recognized as part of the sales proceeds received and represent the difference between the net assets received and the par value of the loans sold.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Income, Interest Expense, and Fair Value Adjustments,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Interest income, interest expense, and fair value adjustments, net is comprised of interest income, interest expense and net changes in the fair value of financial instruments held on our condensed consolidated balance sheets as part of our ongoing operating activities, excluding loan servicing assets and liabilities. Interest income, interest expense, and fair value adjustments, net includes realized gain or loss on the sale of loans. For the three and six months ended June 30, 2026, interest income, interest expense, and fair value adjustments, net also includes coupon interest expense and amortization of debt issuance costs related to our convertible senior notes and dividend income earned on certain cash accounts, which were previously included in other income, net. Refer to </w:t>
      </w:r>
      <w:r>
        <w:rPr>
          <w:color w:val="000000"/>
        </w:rPr>
        <w:t>“</w:t>
      </w:r>
      <w:r>
        <w:rPr>
          <w:rFonts w:ascii="Times New Roman;serif" w:hAnsi="Times New Roman;serif"/>
          <w:b w:val="false"/>
          <w:i/>
          <w:color w:val="000000"/>
          <w:sz w:val="20"/>
        </w:rPr>
        <w:t>Note 1. Description of Business and Significant Accounting Policies”</w:t>
      </w:r>
      <w:r>
        <w:rPr>
          <w:color w:val="000000"/>
        </w:rPr>
        <w:t xml:space="preserve"> </w:t>
      </w:r>
      <w:r>
        <w:rPr>
          <w:rFonts w:ascii="Times New Roman;serif" w:hAnsi="Times New Roman;serif"/>
          <w:b w:val="false"/>
          <w:color w:val="000000"/>
          <w:sz w:val="20"/>
        </w:rPr>
        <w:t xml:space="preserve">in Part I, Item 1 of this Quarterly Report on Form 10-Q for additional information. Interest income, interest expense, and fair value adjustments, net can fluctuate based on the fair value of financial instruments held on our condensed consolidated balance sheets. This amount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historically been a small percentage of our total revenue, and we do not manage our business with a focus on growing this component of revenue.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generally fluctuate as a percentage of our total revenue from period to period and may increase as we hire additional sales and marketing personnel, increase our marketing activities and build greater brand awareness.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Customer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generally fluctuate as a percentage of our total revenue from period to period, and may increase in absolute dollars as we expand our portfolio.</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Engineering and Product Development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generally fluctuate as a percentage of our total revenue from period to period, and may increase in absolute dollars as we expand our engineering and product development team to continue to improve our AI models and develop new products and product enhancements.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General, Administrative and Other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Other income, net primarily consists of dividend income earned on certain restricted cash balances. For the three and six months ended June 30, 2025, other income, net included dividend income earned on all unrestricted cash and cash equivalents and restricted cash balances, as well as expense on convertible notes, comprised of coupon interest expense and amortization of debt issuance costs related to our convertible senior notes. For the three and six months ended June 30, 2026, dividend income earned on certain cash accounts and expense on convertible notes are presented within interest income, interest expense, and fair value adjustments, net. Refer to </w:t>
      </w:r>
      <w:r>
        <w:rPr>
          <w:color w:val="000000"/>
        </w:rPr>
        <w:t>“</w:t>
      </w:r>
      <w:r>
        <w:rPr>
          <w:rFonts w:ascii="Times New Roman;serif" w:hAnsi="Times New Roman;serif"/>
          <w:b w:val="false"/>
          <w:i/>
          <w:color w:val="000000"/>
          <w:sz w:val="20"/>
        </w:rPr>
        <w:t>Note 1. Description of Business and Significant Accounting Policies”</w:t>
      </w:r>
      <w:r>
        <w:rPr>
          <w:color w:val="000000"/>
        </w:rPr>
        <w:t xml:space="preserve"> </w:t>
      </w:r>
      <w:r>
        <w:rPr>
          <w:rFonts w:ascii="Times New Roman;serif" w:hAnsi="Times New Roman;serif"/>
          <w:b w:val="false"/>
          <w:color w:val="000000"/>
          <w:sz w:val="20"/>
        </w:rPr>
        <w:t>in Part I, Item 1 of this Quarterly Report on Form 10-Q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historical condensed consolidated statements of operations data: </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497"/>
        <w:gridCol w:w="1195"/>
        <w:gridCol w:w="1200"/>
        <w:gridCol w:w="109"/>
        <w:gridCol w:w="109"/>
        <w:gridCol w:w="109"/>
        <w:gridCol w:w="211"/>
        <w:gridCol w:w="826"/>
        <w:gridCol w:w="109"/>
        <w:gridCol w:w="109"/>
        <w:gridCol w:w="109"/>
        <w:gridCol w:w="109"/>
        <w:gridCol w:w="211"/>
        <w:gridCol w:w="826"/>
        <w:gridCol w:w="109"/>
        <w:gridCol w:w="109"/>
        <w:gridCol w:w="109"/>
        <w:gridCol w:w="109"/>
        <w:gridCol w:w="109"/>
        <w:gridCol w:w="266"/>
        <w:gridCol w:w="211"/>
        <w:gridCol w:w="826"/>
        <w:gridCol w:w="109"/>
        <w:gridCol w:w="109"/>
        <w:gridCol w:w="109"/>
        <w:gridCol w:w="109"/>
        <w:gridCol w:w="211"/>
        <w:gridCol w:w="826"/>
        <w:gridCol w:w="155"/>
      </w:tblGrid>
      <w:tr>
        <w:trPr/>
        <w:tc>
          <w:tcPr>
            <w:tcW w:w="149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ind w:left="0" w:right="0" w:firstLine="180"/>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income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and other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 income, interest expense, and fair value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665,801 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3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 xml:space="preserve">(1)For the three and six months ended June 30, 2026, interest income and interest expense include dividend income earned on certain cash accounts and expense on convertible notes, respectively, which were previously included in other income, net. Refer to </w:t>
      </w:r>
      <w:r>
        <w:rPr>
          <w:color w:val="000000"/>
        </w:rPr>
        <w:t>“</w:t>
      </w:r>
      <w:r>
        <w:rPr>
          <w:rFonts w:ascii="Times New Roman;serif" w:hAnsi="Times New Roman;serif"/>
          <w:b w:val="false"/>
          <w:i/>
          <w:color w:val="000000"/>
          <w:sz w:val="16"/>
        </w:rPr>
        <w:t>Note 1. Description of Business and Significant Accounting Policies”</w:t>
      </w:r>
      <w:r>
        <w:rPr>
          <w:color w:val="000000"/>
        </w:rPr>
        <w:t xml:space="preserve"> </w:t>
      </w:r>
      <w:r>
        <w:rPr>
          <w:rFonts w:ascii="Times New Roman;serif" w:hAnsi="Times New Roman;serif"/>
          <w:b w:val="false"/>
          <w:color w:val="000000"/>
          <w:sz w:val="16"/>
        </w:rPr>
        <w:t>in Part I, Item 1 of this Quarterly Report on Form 10-Q for additional information.</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(2)Includes stock-based compensation expense as follows:</w:t>
      </w:r>
    </w:p>
    <w:p>
      <w:pPr>
        <w:pStyle w:val="TextBody"/>
        <w:bidi w:val="0"/>
        <w:spacing w:before="0" w:after="0"/>
        <w:ind w:left="0" w:right="0" w:hanging="180"/>
        <w:jc w:val="both"/>
        <w:rPr/>
      </w:pPr>
      <w:r>
        <w:rPr/>
      </w:r>
    </w:p>
    <w:tbl>
      <w:tblPr>
        <w:tblW w:w="9147" w:type="dxa"/>
        <w:jc w:val="left"/>
        <w:tblInd w:w="0" w:type="dxa"/>
        <w:tblLayout w:type="fixed"/>
        <w:tblCellMar>
          <w:top w:w="28" w:type="dxa"/>
          <w:left w:w="28" w:type="dxa"/>
          <w:bottom w:w="28" w:type="dxa"/>
          <w:right w:w="28" w:type="dxa"/>
        </w:tblCellMar>
      </w:tblPr>
      <w:tblGrid>
        <w:gridCol w:w="1176"/>
        <w:gridCol w:w="1035"/>
        <w:gridCol w:w="1044"/>
        <w:gridCol w:w="109"/>
        <w:gridCol w:w="109"/>
        <w:gridCol w:w="109"/>
        <w:gridCol w:w="211"/>
        <w:gridCol w:w="721"/>
        <w:gridCol w:w="109"/>
        <w:gridCol w:w="109"/>
        <w:gridCol w:w="109"/>
        <w:gridCol w:w="109"/>
        <w:gridCol w:w="211"/>
        <w:gridCol w:w="721"/>
        <w:gridCol w:w="109"/>
        <w:gridCol w:w="109"/>
        <w:gridCol w:w="109"/>
        <w:gridCol w:w="109"/>
        <w:gridCol w:w="109"/>
        <w:gridCol w:w="266"/>
        <w:gridCol w:w="211"/>
        <w:gridCol w:w="721"/>
        <w:gridCol w:w="109"/>
        <w:gridCol w:w="109"/>
        <w:gridCol w:w="109"/>
        <w:gridCol w:w="109"/>
        <w:gridCol w:w="211"/>
        <w:gridCol w:w="721"/>
        <w:gridCol w:w="154"/>
      </w:tblGrid>
      <w:tr>
        <w:trPr/>
        <w:tc>
          <w:tcPr>
            <w:tcW w:w="117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ind w:left="0" w:right="0" w:firstLine="180"/>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3,959</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39,960</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28,954</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360" w:after="283"/>
        <w:jc w:val="left"/>
        <w:rPr/>
      </w:pPr>
      <w:r>
        <w:rPr>
          <w:rFonts w:ascii="Times New Roman;serif" w:hAnsi="Times New Roman;serif"/>
          <w:b/>
          <w:color w:val="000000"/>
          <w:sz w:val="20"/>
        </w:rPr>
        <w:t>Revenue</w:t>
      </w:r>
      <w:r>
        <w:rPr>
          <w:color w:val="000000"/>
        </w:rPr>
        <w:t xml:space="preserv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Revenue from Fees, Net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from fees, net in the periods shown:</w:t>
      </w:r>
    </w:p>
    <w:p>
      <w:pPr>
        <w:pStyle w:val="TextBody"/>
        <w:bidi w:val="0"/>
        <w:spacing w:before="0" w:after="0"/>
        <w:jc w:val="left"/>
        <w:rPr/>
      </w:pPr>
      <w:r>
        <w:rPr/>
      </w:r>
    </w:p>
    <w:tbl>
      <w:tblPr>
        <w:tblW w:w="12675" w:type="dxa"/>
        <w:jc w:val="left"/>
        <w:tblInd w:w="0" w:type="dxa"/>
        <w:tblLayout w:type="fixed"/>
        <w:tblCellMar>
          <w:top w:w="28" w:type="dxa"/>
          <w:left w:w="28" w:type="dxa"/>
          <w:bottom w:w="28" w:type="dxa"/>
          <w:right w:w="28" w:type="dxa"/>
        </w:tblCellMar>
      </w:tblPr>
      <w:tblGrid>
        <w:gridCol w:w="384"/>
        <w:gridCol w:w="258"/>
        <w:gridCol w:w="25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32"/>
        <w:gridCol w:w="234"/>
        <w:gridCol w:w="271"/>
        <w:gridCol w:w="109"/>
        <w:gridCol w:w="109"/>
        <w:gridCol w:w="109"/>
        <w:gridCol w:w="154"/>
      </w:tblGrid>
      <w:tr>
        <w:trPr/>
        <w:tc>
          <w:tcPr>
            <w:tcW w:w="38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and referral fees,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Servicing and other fees,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sales fees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 from fees,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from fees, net increased $107.2 million, or 45%, in the three months ended June 30, 2026, compared to the same period in 2025, which included an increase of $81.2 million in revenue from platform and referral fees, net, an increase of $16.9 million in servicing and other fees, net, and an increase of $9.1 million in loan sales fees. The increase of the platform and referral fees, net was primarily driven by a 50% increase in Originations, Dollars from $2,820.4 million in the three months ended June 30, 2025 to $4,227.2 million in the same period in 2026, partially offset by higher loan premium fees and loan trailing fees. The increase in servicing and other fees, net was primarily driven by an increase in the outstanding principal of serviced loans, an increase in net gain on servicing rights upon loan sales, as well as an increase in borrower fees. The increase in loan sales fees was driven by increased volumes of forward-flow sales subject to these fees, which are recognized as part of the sales proceeds received during the three months ended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from fees, net increased $198.8 million, or 47%, in the six months ended June 30, 2026, compared to the same period in 2025, which included an increase of $154.9 million in revenue from platform and referral fees, net, an increase of $31.5 million in servicing and other fees, net, and an increase of $12.5 million in loan sales fees. The increase of the platform and referral fees, net was primarily driven by a 55% increase in the Originations, Dollars from $4,954.0 million in the six months ended June 30, 2025 to $7,672.3 million in the same period in 2026, partially offset by higher loan premium fees and loan trailing fees. The increase in servicing and other fees, net was primarily driven by an increase in outstanding principal of serviced loans, an increase in net gain on servicing rights upon loan sales, as well as an increase in borrower fees. The increase in loan sales fees was driven by increased volumes of forward-flow sales subject to these fees, which are recognized as part of the sales proceeds received during the six months ended June 30, 2026.</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Interest Income, Interest Expense, and Fair Value Adjustments, Net</w:t>
      </w:r>
    </w:p>
    <w:p>
      <w:pPr>
        <w:pStyle w:val="TextBody"/>
        <w:bidi w:val="0"/>
        <w:spacing w:before="0" w:after="0"/>
        <w:jc w:val="left"/>
        <w:rPr/>
      </w:pPr>
      <w:r>
        <w:rPr/>
      </w:r>
    </w:p>
    <w:tbl>
      <w:tblPr>
        <w:tblW w:w="12405" w:type="dxa"/>
        <w:jc w:val="left"/>
        <w:tblInd w:w="0" w:type="dxa"/>
        <w:tblLayout w:type="fixed"/>
        <w:tblCellMar>
          <w:top w:w="28" w:type="dxa"/>
          <w:left w:w="28" w:type="dxa"/>
          <w:bottom w:w="28" w:type="dxa"/>
          <w:right w:w="28" w:type="dxa"/>
        </w:tblCellMar>
      </w:tblPr>
      <w:tblGrid>
        <w:gridCol w:w="637"/>
        <w:gridCol w:w="296"/>
        <w:gridCol w:w="298"/>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87"/>
        <w:gridCol w:w="189"/>
        <w:gridCol w:w="271"/>
        <w:gridCol w:w="109"/>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39"/>
        <w:gridCol w:w="242"/>
        <w:gridCol w:w="271"/>
        <w:gridCol w:w="109"/>
        <w:gridCol w:w="109"/>
        <w:gridCol w:w="109"/>
        <w:gridCol w:w="154"/>
      </w:tblGrid>
      <w:tr>
        <w:trPr/>
        <w:tc>
          <w:tcPr>
            <w:tcW w:w="6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entities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securitization entities: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Company: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interest income, interest expense, and fair value adjustments, net </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(1)Consists of balances recognized by entities participating in ongoing operating activities of the Company, excluding entities associated with the UPST 2023-2 consolidated securitization.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 increased $0.2 million, or 1% in the three months ended June 30, 2026, compared to the same period in 2025. The increase was driven by a $11.4 million increase in interest income, partially offset by a $6.5 million increase in unfavorable fair value adjustments and a $4.8 million increase in interest expense. The increase in interest income was due to dividend income earned on certain cash accounts during the three months ended June 30, 2026, which was previously included in other income, net, as well as the increase in balances of loans and notes receivable and residual certificates held on the condensed consolidated balance sheets by operating entities, partially offset by a decrease in the balance of loans held in the consolidated securitization during the period. The increase in unfavorable fair value adjustments is attributable to a $7.7 million increase in realized loss on loan sales, and a $2.1 million increase in fair value and realized losses on beneficial interests during the three months ended June 30, 2026 compared to the same period in 2025, partially offset by a $3.3 million decrease in unrealized losses and loan charge-offs. The increase in interest expense was due to $5.1 million expense on convertible senior notes incurred during the three months ended June 30, 2026, which was previously included in other income, net, a $0.4 million net increase in interest expense on borrowing facilities and loans recognized by operating entities, and a $0.7 million decrease in interest expense recognized by consolidated securitization entities due to lower payable to securitization note holders during the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interest expense, and fair value adjustments, net increased $3.4 million, or 8% in the six months ended June 30, 2026, compared to the same period in 2025. The increase was driven by a $26.9 million increase in interest income, partially offset by a $15.4 million increase in unfavorable fair value adjustments and a $8.1 million increase in interest expense. The increase in interest income was due to dividend income earned on certain cash accounts during the six months ended June 30, 2026, which was previously included in other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as well as the increase in balances of loans and notes receivable and residual certificates held on the condensed consolidated balance sheets by operating entities, partially offset by a decrease in the balance of loans held in the consolidated securitization during the period. The increase in unfavorable fair value adjustments is attributable to a $15.2 million increase in realized loss on loan sales, and a $6.7 million decrease in fair value and realized gains on beneficial interests during the six months ended June 30, 2026 compared to the same period in 2025, partially offset by a $6.4 million decrease in unrealized losses and loan charge-offs. The increase in interest expense was due to $10.1 million expense on convertible senior notes incurred during the six months ended June 30, 2026, which was previously included in other income, net, a $0.6 million net decrease in interest expense on borrowing facilities and loans recognized by operating entities and a $1.4 million decrease in interest expense recognized by consolidated securitization entities due to lower payable to securitization note holders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before="120" w:after="283"/>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before="0" w:after="0"/>
        <w:jc w:val="left"/>
        <w:rPr/>
      </w:pPr>
      <w:r>
        <w:rPr/>
      </w:r>
    </w:p>
    <w:tbl>
      <w:tblPr>
        <w:tblW w:w="10944"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09"/>
        <w:gridCol w:w="211"/>
        <w:gridCol w:w="193"/>
        <w:gridCol w:w="483"/>
        <w:gridCol w:w="109"/>
        <w:gridCol w:w="109"/>
        <w:gridCol w:w="109"/>
        <w:gridCol w:w="211"/>
        <w:gridCol w:w="224"/>
        <w:gridCol w:w="557"/>
        <w:gridCol w:w="109"/>
        <w:gridCol w:w="109"/>
        <w:gridCol w:w="109"/>
        <w:gridCol w:w="211"/>
        <w:gridCol w:w="338"/>
        <w:gridCol w:w="338"/>
        <w:gridCol w:w="109"/>
        <w:gridCol w:w="109"/>
        <w:gridCol w:w="109"/>
        <w:gridCol w:w="180"/>
        <w:gridCol w:w="181"/>
        <w:gridCol w:w="271"/>
        <w:gridCol w:w="109"/>
        <w:gridCol w:w="109"/>
        <w:gridCol w:w="109"/>
        <w:gridCol w:w="211"/>
        <w:gridCol w:w="224"/>
        <w:gridCol w:w="557"/>
        <w:gridCol w:w="109"/>
        <w:gridCol w:w="109"/>
        <w:gridCol w:w="109"/>
        <w:gridCol w:w="211"/>
        <w:gridCol w:w="224"/>
        <w:gridCol w:w="557"/>
        <w:gridCol w:w="109"/>
        <w:gridCol w:w="109"/>
        <w:gridCol w:w="109"/>
        <w:gridCol w:w="211"/>
        <w:gridCol w:w="338"/>
        <w:gridCol w:w="338"/>
        <w:gridCol w:w="109"/>
        <w:gridCol w:w="109"/>
        <w:gridCol w:w="109"/>
        <w:gridCol w:w="180"/>
        <w:gridCol w:w="181"/>
        <w:gridCol w:w="271"/>
        <w:gridCol w:w="109"/>
        <w:gridCol w:w="109"/>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31 </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33 </w:t>
            </w:r>
          </w:p>
        </w:tc>
        <w:tc>
          <w:tcPr>
            <w:tcW w:w="5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$41.4 million, or 57%, in the three months ended June 30, 2026 compared to the same period in 2025, which was driven primarily by a $41.3 million increase in advertising and borrower acquisition costs and a $0.9 million increase in payroll and other personnel-related expenses, partially offset by a $0.8 million decrease in marketing operation expenses. As a percentage of total revenue, sales and marketing expenses increased from 28% to 31%.</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increased by $86.9 million, or 66%, in the six months ended June 30, 2026 compared to the same period in 2025, which was driven primarily by a $85.0 million increase in advertising and borrower acquisition costs and a $2.3 million increase in payroll and other personnel-related expenses, partially offset by a $0.5 million decrease in marketing operation expenses. As a percentage of total revenue, sales and marketing expenses increased from 28% to 33%.</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Customer Operations</w:t>
      </w:r>
    </w:p>
    <w:tbl>
      <w:tblPr>
        <w:tblW w:w="10263"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109"/>
        <w:gridCol w:w="211"/>
        <w:gridCol w:w="193"/>
        <w:gridCol w:w="483"/>
        <w:gridCol w:w="109"/>
        <w:gridCol w:w="109"/>
        <w:gridCol w:w="109"/>
        <w:gridCol w:w="211"/>
        <w:gridCol w:w="193"/>
        <w:gridCol w:w="483"/>
        <w:gridCol w:w="109"/>
        <w:gridCol w:w="109"/>
        <w:gridCol w:w="109"/>
        <w:gridCol w:w="211"/>
        <w:gridCol w:w="338"/>
        <w:gridCol w:w="338"/>
        <w:gridCol w:w="109"/>
        <w:gridCol w:w="109"/>
        <w:gridCol w:w="109"/>
        <w:gridCol w:w="109"/>
        <w:gridCol w:w="109"/>
        <w:gridCol w:w="109"/>
        <w:gridCol w:w="109"/>
        <w:gridCol w:w="109"/>
        <w:gridCol w:w="109"/>
        <w:gridCol w:w="211"/>
        <w:gridCol w:w="193"/>
        <w:gridCol w:w="483"/>
        <w:gridCol w:w="109"/>
        <w:gridCol w:w="109"/>
        <w:gridCol w:w="109"/>
        <w:gridCol w:w="211"/>
        <w:gridCol w:w="224"/>
        <w:gridCol w:w="557"/>
        <w:gridCol w:w="109"/>
        <w:gridCol w:w="109"/>
        <w:gridCol w:w="109"/>
        <w:gridCol w:w="211"/>
        <w:gridCol w:w="338"/>
        <w:gridCol w:w="338"/>
        <w:gridCol w:w="109"/>
        <w:gridCol w:w="109"/>
        <w:gridCol w:w="109"/>
        <w:gridCol w:w="109"/>
        <w:gridCol w:w="109"/>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operations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612"/>
        <w:jc w:val="both"/>
        <w:rPr>
          <w:rFonts w:ascii="Times New Roman;serif" w:hAnsi="Times New Roman;serif"/>
          <w:b w:val="false"/>
          <w:color w:val="000000"/>
          <w:sz w:val="20"/>
        </w:rPr>
      </w:pPr>
      <w:r>
        <w:rPr>
          <w:rFonts w:ascii="Times New Roman;serif" w:hAnsi="Times New Roman;serif"/>
          <w:b w:val="false"/>
          <w:color w:val="000000"/>
          <w:sz w:val="20"/>
        </w:rPr>
        <w:t>Customer operations expenses increased by $15.1 million, or 33%, in the three months ended June 30, 2026, compared to the same period in 2025. The increase was primarily due to a $8.7 million increase in information verification expenses and systems expenses, a $3.6 million increase in servicing expenses, and a $2.8 million increase in payroll and other personnel-related expenses. As a percentage of total revenue, customer operations expenses decreased from 18% to 17%.</w:t>
      </w:r>
    </w:p>
    <w:p>
      <w:pPr>
        <w:pStyle w:val="TextBody"/>
        <w:bidi w:val="0"/>
        <w:spacing w:before="0" w:after="0"/>
        <w:ind w:left="0" w:right="0" w:firstLine="612"/>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Customer operations expenses increased by $29.7 million, or 34%, in the six months ended June 30, 2026, compared to the same period in 2025. The increase was primarily due to a $17.1 million increase in information verification expenses and systems expenses, a $6.8 million increase in payroll and other personnel-related expenses, and a $5.7 million increase in servicing expenses. As a percentage of total revenue, customer operations expenses decreased from 18% to 17%.</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Engineering and Product Development</w:t>
      </w:r>
    </w:p>
    <w:p>
      <w:pPr>
        <w:pStyle w:val="TextBody"/>
        <w:bidi w:val="0"/>
        <w:spacing w:before="0" w:after="0"/>
        <w:jc w:val="left"/>
        <w:rPr/>
      </w:pPr>
      <w:r>
        <w:rPr/>
      </w:r>
    </w:p>
    <w:tbl>
      <w:tblPr>
        <w:tblW w:w="10578" w:type="dxa"/>
        <w:jc w:val="left"/>
        <w:tblInd w:w="0" w:type="dxa"/>
        <w:tblLayout w:type="fixed"/>
        <w:tblCellMar>
          <w:top w:w="28" w:type="dxa"/>
          <w:left w:w="28" w:type="dxa"/>
          <w:bottom w:w="28" w:type="dxa"/>
          <w:right w:w="28" w:type="dxa"/>
        </w:tblCellMar>
      </w:tblPr>
      <w:tblGrid>
        <w:gridCol w:w="430"/>
        <w:gridCol w:w="377"/>
        <w:gridCol w:w="379"/>
        <w:gridCol w:w="109"/>
        <w:gridCol w:w="109"/>
        <w:gridCol w:w="109"/>
        <w:gridCol w:w="109"/>
        <w:gridCol w:w="211"/>
        <w:gridCol w:w="193"/>
        <w:gridCol w:w="483"/>
        <w:gridCol w:w="109"/>
        <w:gridCol w:w="109"/>
        <w:gridCol w:w="109"/>
        <w:gridCol w:w="211"/>
        <w:gridCol w:w="193"/>
        <w:gridCol w:w="483"/>
        <w:gridCol w:w="109"/>
        <w:gridCol w:w="109"/>
        <w:gridCol w:w="109"/>
        <w:gridCol w:w="211"/>
        <w:gridCol w:w="338"/>
        <w:gridCol w:w="338"/>
        <w:gridCol w:w="109"/>
        <w:gridCol w:w="109"/>
        <w:gridCol w:w="109"/>
        <w:gridCol w:w="109"/>
        <w:gridCol w:w="109"/>
        <w:gridCol w:w="109"/>
        <w:gridCol w:w="109"/>
        <w:gridCol w:w="109"/>
        <w:gridCol w:w="109"/>
        <w:gridCol w:w="211"/>
        <w:gridCol w:w="224"/>
        <w:gridCol w:w="557"/>
        <w:gridCol w:w="109"/>
        <w:gridCol w:w="109"/>
        <w:gridCol w:w="109"/>
        <w:gridCol w:w="211"/>
        <w:gridCol w:w="224"/>
        <w:gridCol w:w="557"/>
        <w:gridCol w:w="109"/>
        <w:gridCol w:w="109"/>
        <w:gridCol w:w="109"/>
        <w:gridCol w:w="211"/>
        <w:gridCol w:w="338"/>
        <w:gridCol w:w="338"/>
        <w:gridCol w:w="109"/>
        <w:gridCol w:w="109"/>
        <w:gridCol w:w="109"/>
        <w:gridCol w:w="109"/>
        <w:gridCol w:w="109"/>
        <w:gridCol w:w="109"/>
        <w:gridCol w:w="109"/>
        <w:gridCol w:w="109"/>
        <w:gridCol w:w="109"/>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Engineering and product development expenses increased by $25.0 million, or 36%, for the three months ended June 30, 2026, compared to the same period in 2025. The increase was primarily due to a $13.1 million increase in other engineering operating expenses driven by data and infrastructure costs and a $11.9 million increase in payroll and other personnel-related expenses consistent with the increase in headcount. As a percentage of total revenue, engineering and product development expenses decreased from 27% to 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Engineering and product development expenses increased by $47.3 million, or 37%, for the six months ended June 30, 2026, compared to the same period in 2025. The increase was primarily due to a $27.6 million increase in payroll and other personnel-related expenses consistent with the increase in headcount and a $19.7 million increase in other engineering operating expenses driven by data and infrastructure costs. As a percentage of total revenue, engineering and product development expenses decreased from 27% to 26%.</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General, Administrative, and Other</w:t>
      </w:r>
    </w:p>
    <w:p>
      <w:pPr>
        <w:pStyle w:val="TextBody"/>
        <w:bidi w:val="0"/>
        <w:spacing w:before="0" w:after="0"/>
        <w:jc w:val="left"/>
        <w:rPr/>
      </w:pPr>
      <w:r>
        <w:rPr/>
      </w:r>
    </w:p>
    <w:tbl>
      <w:tblPr>
        <w:tblW w:w="10952" w:type="dxa"/>
        <w:jc w:val="left"/>
        <w:tblInd w:w="0" w:type="dxa"/>
        <w:tblLayout w:type="fixed"/>
        <w:tblCellMar>
          <w:top w:w="28" w:type="dxa"/>
          <w:left w:w="28" w:type="dxa"/>
          <w:bottom w:w="28" w:type="dxa"/>
          <w:right w:w="28" w:type="dxa"/>
        </w:tblCellMar>
      </w:tblPr>
      <w:tblGrid>
        <w:gridCol w:w="288"/>
        <w:gridCol w:w="253"/>
        <w:gridCol w:w="255"/>
        <w:gridCol w:w="109"/>
        <w:gridCol w:w="109"/>
        <w:gridCol w:w="109"/>
        <w:gridCol w:w="109"/>
        <w:gridCol w:w="211"/>
        <w:gridCol w:w="193"/>
        <w:gridCol w:w="483"/>
        <w:gridCol w:w="109"/>
        <w:gridCol w:w="109"/>
        <w:gridCol w:w="109"/>
        <w:gridCol w:w="211"/>
        <w:gridCol w:w="193"/>
        <w:gridCol w:w="483"/>
        <w:gridCol w:w="109"/>
        <w:gridCol w:w="109"/>
        <w:gridCol w:w="109"/>
        <w:gridCol w:w="211"/>
        <w:gridCol w:w="338"/>
        <w:gridCol w:w="338"/>
        <w:gridCol w:w="109"/>
        <w:gridCol w:w="109"/>
        <w:gridCol w:w="109"/>
        <w:gridCol w:w="180"/>
        <w:gridCol w:w="181"/>
        <w:gridCol w:w="271"/>
        <w:gridCol w:w="109"/>
        <w:gridCol w:w="109"/>
        <w:gridCol w:w="109"/>
        <w:gridCol w:w="211"/>
        <w:gridCol w:w="224"/>
        <w:gridCol w:w="557"/>
        <w:gridCol w:w="109"/>
        <w:gridCol w:w="109"/>
        <w:gridCol w:w="109"/>
        <w:gridCol w:w="211"/>
        <w:gridCol w:w="224"/>
        <w:gridCol w:w="557"/>
        <w:gridCol w:w="109"/>
        <w:gridCol w:w="109"/>
        <w:gridCol w:w="109"/>
        <w:gridCol w:w="211"/>
        <w:gridCol w:w="721"/>
        <w:gridCol w:w="109"/>
        <w:gridCol w:w="109"/>
        <w:gridCol w:w="109"/>
        <w:gridCol w:w="109"/>
        <w:gridCol w:w="180"/>
        <w:gridCol w:w="181"/>
        <w:gridCol w:w="271"/>
        <w:gridCol w:w="109"/>
        <w:gridCol w:w="109"/>
        <w:gridCol w:w="109"/>
        <w:gridCol w:w="154"/>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administrative, and other expenses increased by $15.8 million, or 24%, in the three months ended June 30, 2026, compared to the same period in 2025. The increase was primarily due to a $12.3 million increase in payroll and other personnel-related expenses consistent with the increase in headcount, a $2.9 million increase in professional fees, and a $1.3 million increase in amortization and depreciation expenses. The increase was partially offset by a $0.7 million decrease in legal and compliance expenses. As a percentage of total revenue, general, administrative, and other expenses decreased from 25% to 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General, administrative, and other expenses increased by $31.3 million, or 25%, in the six months ended June 30, 2026, compared to the same period in 2025. The increase was primarily due to a $25.5 million increase in payroll and other personnel-related expenses consistent with the increase in headcount, a $3.9 million increase in professional fees, a $2.0 million increase in office and administrative operating related expenses, and a $0.7 million increase in amortization and depreciation expenses. The increase was partially offset by a $0.7 million decrease in legal and compliance expenses. As a percentage of total revenue, general, administrative, and other expenses decreased from 27% to 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Other Income, Net</w:t>
      </w:r>
    </w:p>
    <w:tbl>
      <w:tblPr>
        <w:tblW w:w="10920"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33"/>
        <w:gridCol w:w="233"/>
        <w:gridCol w:w="271"/>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128"/>
        <w:gridCol w:w="128"/>
        <w:gridCol w:w="271"/>
        <w:gridCol w:w="109"/>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three months ended June 30, 2026, other income, net increased by $1.4 million, or 126%, compared to the same period in 2025. The increase was primarily driven by dividend income earned on certain cash accounts and expense on convertible notes, which were included within other income, net, for the three months ended June 30, 2025 compared to interest income and interest expense, for the three months ended June 30, 2026. Excluding the impact of this change, other income, net remained consistent for the periods presented.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30, 2026, other income, net increased by $0.3 million, or 9%, compared to the same period in 2025. The increase was primarily driven by dividend income earned on certain cash accounts and expense on convertible notes, which were included within other income, net, for the six months ended June 30, 2025 compared to interest income and interest expense, for the six months ended June 30, 2026. Excluding the impact of this change, other income, net remained consistent for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Reconciliation of Non-GAAP Financial Measures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supplement our condensed consolidated financial statements prepared and presented in accordance with GAAP, we use the non-GAAP financial measures of Contribution Profit, Contribution Margin, Adjusted EBITDA, and Adjusted EBITDA Margin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years with the performance of other companies.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condensed consolidated financial statements prepared and presented in accordance with GAAP.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particular, some of the limitations with respect to Adjusted EBITDA and Adjusted Margin are as follows: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Although depreciation expense is a non-cash charge, the assets being depreciated may have to be replaced in the future, and Adjusted EBITDA and Adjusted EBITDA Margin do not reflect cash capital expenditure requirements for such replacements or for new capital expenditure requirements;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Adjusted EBITDA and Adjusted EBITDA Margin exclude stock-based compensation expense and certain employer payroll taxes on employee stock transactions. Stock-based compensation expense has 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do not correlate to the operation of the business;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Adjusted EBITDA and Adjusted EBITDA Margin do not reflect: (1) changes in, or cash requirements for, our working capital needs; (2) interest expense, or the cash requirements necessary to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or principal payments on our debt, which reduces cash available to us; or (3) tax payments that may represent a reduction in cash available to us; and </w:t>
      </w:r>
    </w:p>
    <w:p>
      <w:pPr>
        <w:pStyle w:val="TextBody"/>
        <w:bidi w:val="0"/>
        <w:spacing w:lineRule="auto" w:line="276" w:before="120" w:after="283"/>
        <w:ind w:left="0" w:right="0" w:hanging="360"/>
        <w:jc w:val="both"/>
        <w:rPr/>
      </w:pPr>
      <w:r>
        <w:rPr>
          <w:color w:val="000000"/>
        </w:rPr>
        <w:t>•</w:t>
      </w:r>
      <w:r>
        <w:rPr>
          <w:rFonts w:ascii="Times New Roman;serif" w:hAnsi="Times New Roman;serif"/>
          <w:b w:val="false"/>
          <w:color w:val="000000"/>
          <w:sz w:val="20"/>
        </w:rPr>
        <w:t xml:space="preserve">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 </w:t>
      </w:r>
    </w:p>
    <w:p>
      <w:pPr>
        <w:pStyle w:val="TextBody"/>
        <w:bidi w:val="0"/>
        <w:spacing w:before="0" w:after="0"/>
        <w:ind w:left="0" w:right="0" w:firstLine="612"/>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address these limitations, we provide a reconciliation of Contribution Profit, Contribution Margin, Adjusted EBITDA, and Adjusted EBITDA Margin to income (loss) from operations and net income (loss). We encourage investors and others to review our financial information in its entirety, not to rely on any single financial measure and to view Contribution Profit, Contribution Margin, Adjusted EBITDA, and Adjusted EBITDA Margin in conjunction with their respective related GAAP financial measures.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Contribution Profit and Contribution Margin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income from operations to Contribution Profit and Contribution Margin. We define Operating Margin as our net income from operations divided by revenue from fees, net.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351"/>
        <w:gridCol w:w="1023"/>
        <w:gridCol w:w="1027"/>
        <w:gridCol w:w="109"/>
        <w:gridCol w:w="109"/>
        <w:gridCol w:w="109"/>
        <w:gridCol w:w="211"/>
        <w:gridCol w:w="826"/>
        <w:gridCol w:w="271"/>
        <w:gridCol w:w="109"/>
        <w:gridCol w:w="109"/>
        <w:gridCol w:w="109"/>
        <w:gridCol w:w="211"/>
        <w:gridCol w:w="826"/>
        <w:gridCol w:w="271"/>
        <w:gridCol w:w="109"/>
        <w:gridCol w:w="109"/>
        <w:gridCol w:w="109"/>
        <w:gridCol w:w="109"/>
        <w:gridCol w:w="109"/>
        <w:gridCol w:w="211"/>
        <w:gridCol w:w="826"/>
        <w:gridCol w:w="271"/>
        <w:gridCol w:w="109"/>
        <w:gridCol w:w="109"/>
        <w:gridCol w:w="109"/>
        <w:gridCol w:w="211"/>
        <w:gridCol w:w="826"/>
        <w:gridCol w:w="317"/>
      </w:tblGrid>
      <w:tr>
        <w:trPr/>
        <w:tc>
          <w:tcPr>
            <w:tcW w:w="135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fees,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426,252 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625,082 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 net of borrower acquisition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Customer operations, net of borrower verification and servicing costs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and product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173,972 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administrative,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156,448 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interest expense, and fair value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(47,840)</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330,405 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Contribution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540"/>
        <w:jc w:val="both"/>
        <w:rPr/>
      </w:pPr>
      <w:r>
        <w:rPr>
          <w:rFonts w:ascii="Times New Roman;serif" w:hAnsi="Times New Roman;serif"/>
          <w:b w:val="false"/>
          <w:color w:val="000000"/>
          <w:sz w:val="16"/>
        </w:rPr>
        <w:t xml:space="preserve">(1)Borrower acquisition costs were $60.9 million, and </w:t>
      </w:r>
      <w:r>
        <w:rPr>
          <w:rFonts w:ascii="Times New Roman;serif" w:hAnsi="Times New Roman;serif"/>
          <w:b w:val="false"/>
          <w:color w:val="000000"/>
          <w:sz w:val="16"/>
          <w:shd w:fill="FFFFFF" w:val="clear"/>
        </w:rPr>
        <w:t>$102.3 million</w:t>
      </w:r>
      <w:r>
        <w:rPr>
          <w:color w:val="000000"/>
        </w:rPr>
        <w:t xml:space="preserve"> </w:t>
      </w:r>
      <w:r>
        <w:rPr>
          <w:rFonts w:ascii="Times New Roman;serif" w:hAnsi="Times New Roman;serif"/>
          <w:b w:val="false"/>
          <w:color w:val="000000"/>
          <w:sz w:val="16"/>
        </w:rPr>
        <w:t xml:space="preserve">for the three months ended June 30, 2025 and 2026, respectively, and were $109.5 million and </w:t>
      </w:r>
      <w:r>
        <w:rPr>
          <w:rFonts w:ascii="Times New Roman;serif" w:hAnsi="Times New Roman;serif"/>
          <w:b w:val="false"/>
          <w:color w:val="000000"/>
          <w:sz w:val="16"/>
          <w:shd w:fill="FFFFFF" w:val="clear"/>
        </w:rPr>
        <w:t>$194.5 million</w:t>
      </w:r>
      <w:r>
        <w:rPr>
          <w:color w:val="000000"/>
        </w:rPr>
        <w:t xml:space="preserve"> </w:t>
      </w:r>
      <w:r>
        <w:rPr>
          <w:rFonts w:ascii="Times New Roman;serif" w:hAnsi="Times New Roman;serif"/>
          <w:b w:val="false"/>
          <w:color w:val="000000"/>
          <w:sz w:val="16"/>
        </w:rPr>
        <w:t xml:space="preserve">for the six months ended June 30, 2025 and 2026,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 These costs do not include reorganization expenses. </w:t>
      </w:r>
    </w:p>
    <w:p>
      <w:pPr>
        <w:pStyle w:val="TextBody"/>
        <w:bidi w:val="0"/>
        <w:spacing w:lineRule="auto" w:line="288" w:before="0" w:after="0"/>
        <w:ind w:left="0" w:right="0" w:hanging="540"/>
        <w:jc w:val="both"/>
        <w:rPr/>
      </w:pPr>
      <w:r>
        <w:rPr>
          <w:rFonts w:ascii="Times New Roman;serif" w:hAnsi="Times New Roman;serif"/>
          <w:b w:val="false"/>
          <w:color w:val="000000"/>
          <w:sz w:val="16"/>
        </w:rPr>
        <w:t xml:space="preserve">(2)Borrower verification and servicing costs were $39.3 million, and </w:t>
      </w:r>
      <w:r>
        <w:rPr>
          <w:rFonts w:ascii="Times New Roman;serif" w:hAnsi="Times New Roman;serif"/>
          <w:b w:val="false"/>
          <w:color w:val="000000"/>
          <w:sz w:val="16"/>
          <w:shd w:fill="FFFFFF" w:val="clear"/>
        </w:rPr>
        <w:t>$52.6 million</w:t>
      </w:r>
      <w:r>
        <w:rPr>
          <w:color w:val="000000"/>
        </w:rPr>
        <w:t xml:space="preserve"> </w:t>
      </w:r>
      <w:r>
        <w:rPr>
          <w:rFonts w:ascii="Times New Roman;serif" w:hAnsi="Times New Roman;serif"/>
          <w:b w:val="false"/>
          <w:color w:val="000000"/>
          <w:sz w:val="16"/>
        </w:rPr>
        <w:t xml:space="preserve">for the three months ended June 30, 2025 and 2026, respectively, and were $73.8 million and </w:t>
      </w:r>
      <w:r>
        <w:rPr>
          <w:rFonts w:ascii="Times New Roman;serif" w:hAnsi="Times New Roman;serif"/>
          <w:b w:val="false"/>
          <w:color w:val="000000"/>
          <w:sz w:val="16"/>
          <w:shd w:fill="FFFFFF" w:val="clear"/>
        </w:rPr>
        <w:t>$100.1 million</w:t>
      </w:r>
      <w:r>
        <w:rPr>
          <w:color w:val="000000"/>
        </w:rPr>
        <w:t xml:space="preserve"> </w:t>
      </w:r>
      <w:r>
        <w:rPr>
          <w:rFonts w:ascii="Times New Roman;serif" w:hAnsi="Times New Roman;serif"/>
          <w:b w:val="false"/>
          <w:color w:val="000000"/>
          <w:sz w:val="16"/>
        </w:rPr>
        <w:t>for the six months ended June 30, 2025 and 2026,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 These costs do not include reorganization expenses.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Adjusted EBITDA and Adjusted EBITDA Margin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income and Net Income Margin to Adjusted EBITDA and Adjusted EBITDA Margin. We define Net Income Margin as net income divided by total revenue.</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383"/>
        <w:gridCol w:w="952"/>
        <w:gridCol w:w="957"/>
        <w:gridCol w:w="109"/>
        <w:gridCol w:w="109"/>
        <w:gridCol w:w="109"/>
        <w:gridCol w:w="109"/>
        <w:gridCol w:w="211"/>
        <w:gridCol w:w="826"/>
        <w:gridCol w:w="271"/>
        <w:gridCol w:w="109"/>
        <w:gridCol w:w="109"/>
        <w:gridCol w:w="109"/>
        <w:gridCol w:w="211"/>
        <w:gridCol w:w="826"/>
        <w:gridCol w:w="271"/>
        <w:gridCol w:w="109"/>
        <w:gridCol w:w="109"/>
        <w:gridCol w:w="109"/>
        <w:gridCol w:w="109"/>
        <w:gridCol w:w="109"/>
        <w:gridCol w:w="211"/>
        <w:gridCol w:w="826"/>
        <w:gridCol w:w="271"/>
        <w:gridCol w:w="109"/>
        <w:gridCol w:w="109"/>
        <w:gridCol w:w="109"/>
        <w:gridCol w:w="211"/>
        <w:gridCol w:w="826"/>
        <w:gridCol w:w="317"/>
      </w:tblGrid>
      <w:tr>
        <w:trPr/>
        <w:tc>
          <w:tcPr>
            <w:tcW w:w="138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470,662 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672,922 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Income Margin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to exclude the following:</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and certain payroll tax expenses</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expenses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on 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53,053 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117,374 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120"/>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(1)Payroll tax expenses include the employer payroll tax-related expense on employee stock transactions, as the amount is dependent on our stock price and other factors that are beyond our control and do not correlate to the operation of our business.</w:t>
      </w:r>
    </w:p>
    <w:p>
      <w:pPr>
        <w:pStyle w:val="TextBody"/>
        <w:bidi w:val="0"/>
        <w:spacing w:before="0" w:after="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Sources and Uses of Cash and Cash Equivalents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our primary source of liquidity was cash and cash equivalents of $456.0 million. Changes in the balance of cash and cash equivalents are generally a result of working capital fluctuations and the timing of purchases and sales of loans facilitated through our marketplace. To finance purchases of certain loans facilitated through our lending marketplace, we rely on our warehouse credit facilities through special-purpose trusts and corporate cash. We also rely on our risk retention credit facility to finance certain notes receivable retained in our capacity as the risk retention sponsor.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During the six months ended June 30, 2026, we repurchased 3.2 million shares of common stock for $100.1 million. As of June 30, 2026, $122.1 million remains available for future purchases of our common stock under our share repurchase program. Refer to “</w:t>
      </w:r>
      <w:r>
        <w:rPr>
          <w:rFonts w:ascii="Times New Roman;serif" w:hAnsi="Times New Roman;serif"/>
          <w:b w:val="false"/>
          <w:i/>
          <w:color w:val="000000"/>
          <w:sz w:val="20"/>
        </w:rPr>
        <w:t>Note 9. Stockholders’ Equity</w:t>
      </w:r>
      <w:r>
        <w:rPr>
          <w:color w:val="000000"/>
        </w:rPr>
        <w:t xml:space="preserve">” </w:t>
      </w:r>
      <w:r>
        <w:rPr>
          <w:rFonts w:ascii="Times New Roman;serif" w:hAnsi="Times New Roman;serif"/>
          <w:b w:val="false"/>
          <w:color w:val="000000"/>
          <w:sz w:val="20"/>
        </w:rPr>
        <w:t>in Part I, Item 1 of this Quarterly Report on Form 10-Q for further details on our share repurchase program.</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entered into an “at the market” offering program pursuant to which we may offer and sell, from time to time, shares of our common stock with an aggregate offering price of up to $500.0 million, as described in the prospectus supplement dated February 14, 2025 filed with the SEC. As of June 30, 2026, no shares were issued under the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convertible senior notes have an aggregate principal balance of $1,687.8 million which matures between 2026 to 2032, unless earlier converted, redeemed, or repurchased in accordance with their terms. The 2026 Notes which are current and due August 2026 have a principal balance of $66.5 million. Refer to “</w:t>
      </w:r>
      <w:r>
        <w:rPr>
          <w:rFonts w:ascii="Times New Roman;serif" w:hAnsi="Times New Roman;serif"/>
          <w:b w:val="false"/>
          <w:i/>
          <w:color w:val="000000"/>
          <w:sz w:val="20"/>
        </w:rPr>
        <w:t>Note 8. Borrowings</w:t>
      </w:r>
      <w:r>
        <w:rPr>
          <w:color w:val="000000"/>
        </w:rPr>
        <w:t xml:space="preserve">” </w:t>
      </w:r>
      <w:r>
        <w:rPr>
          <w:rFonts w:ascii="Times New Roman;serif" w:hAnsi="Times New Roman;serif"/>
          <w:b w:val="false"/>
          <w:color w:val="000000"/>
          <w:sz w:val="20"/>
        </w:rPr>
        <w:t>in Part I, Item 1 of this Quarterly Report on Form 10-Q for further details on our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warehouse credit facilities, which mature between August 2027 and June 2029, allow us to borrow up to an aggregate of $650.0 million. Our risk retention financing facility, which allows us to borrow up to $200.0 million, has a maturity which aligns with the stated maturities of the underlying securitization notes receivable pledged as collateral, which range from 2033 to 2036. As of June 30, 2026, we have drawn an aggregate of $251.8 million on our warehouse credit facilities and $92.0 million on our risk retention financing facility. Refer to “</w:t>
      </w:r>
      <w:r>
        <w:rPr>
          <w:rFonts w:ascii="Times New Roman;serif" w:hAnsi="Times New Roman;serif"/>
          <w:b w:val="false"/>
          <w:i/>
          <w:color w:val="000000"/>
          <w:sz w:val="20"/>
        </w:rPr>
        <w:t>Note 8. Borrowings</w:t>
      </w:r>
      <w:r>
        <w:rPr>
          <w:color w:val="000000"/>
        </w:rPr>
        <w:t xml:space="preserve">” </w:t>
      </w:r>
      <w:r>
        <w:rPr>
          <w:rFonts w:ascii="Times New Roman;serif" w:hAnsi="Times New Roman;serif"/>
          <w:b w:val="false"/>
          <w:color w:val="000000"/>
          <w:sz w:val="20"/>
        </w:rPr>
        <w:t>in Part I, Item 1 of this Quarterly Report on Form 10-Q for further details on our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cash requirements related to operating lease agreements is $26.3 million, of which $6.9 million is expected to be paid within the next 12 months. Our cash requirements related to leases entered into that have not yet commenced is $56.0 million, with no amounts expected to be paid within the next 12 months. Refer to “</w:t>
      </w:r>
      <w:r>
        <w:rPr>
          <w:rFonts w:ascii="Times New Roman;serif" w:hAnsi="Times New Roman;serif"/>
          <w:b w:val="false"/>
          <w:i/>
          <w:color w:val="000000"/>
          <w:sz w:val="20"/>
        </w:rPr>
        <w:t>Note 10. Leases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 for further details on our operating lease obligations.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have committed to purchase loans from certain lending partners at the conclusion of the required holding period, which is generally three business days. As of June 30, 2026, the total loan purchase commitment was $148.8 million. The Company also has commitments to fund future advances on HELOCs. As of June 30, 2026, these commitments were $27.8 million; however, since we can limit these commitments under certain conditions or these commitments could expire without being drawn upon, the total commitment amounts do not necessarily represent future cash requirements. See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 for further details on our commitments.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connection with our committed capital and other co-investment arrangements, we are obligated to put a certain amount of our assets at risk in relation to the credit performance of the underlying loans. The risk in these arrangements is subject to a dollar cap, which represents our maximum exposure to losses under severe, hypothetical circumstances, for which we believe the possibility is remote. As of June 30, 2026, our aggregate maximum exposure to losses was $1,294.4 million. Refer to “</w:t>
      </w:r>
      <w:r>
        <w:rPr>
          <w:rFonts w:ascii="Times New Roman;serif" w:hAnsi="Times New Roman;serif"/>
          <w:b w:val="false"/>
          <w:i/>
          <w:color w:val="000000"/>
          <w:sz w:val="20"/>
        </w:rPr>
        <w:t>Note 4. Beneficial Interests</w:t>
      </w:r>
      <w:r>
        <w:rPr>
          <w:color w:val="000000"/>
        </w:rPr>
        <w:t xml:space="preserve">” </w:t>
      </w:r>
      <w:r>
        <w:rPr>
          <w:rFonts w:ascii="Times New Roman;serif" w:hAnsi="Times New Roman;serif"/>
          <w:b w:val="false"/>
          <w:color w:val="000000"/>
          <w:sz w:val="20"/>
        </w:rPr>
        <w:t>in Part I, Item 1 of this Quarterly Report on Form 10-Q for further details. Our cash requirements for the next 12 months related to investments in these existing arrangements is estimated to be up to $312.9 million from cash and cash equivalents and up to $26.0 million from restricted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we believe that our cash and cash equivalents on hand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Additionally, we have repurchased, and may in the future repurchase, shares of our common stock under our share repurchase program.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and cash equivalents balances and cash generated by operations are insufficient to satisfy liquidity needs, our results of operations and financial condition would be materially and adversely impacted.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cash flows during the periods indicated: </w:t>
      </w:r>
    </w:p>
    <w:p>
      <w:pPr>
        <w:pStyle w:val="TextBody"/>
        <w:bidi w:val="0"/>
        <w:spacing w:before="0" w:after="0"/>
        <w:ind w:left="0" w:right="0" w:firstLine="720"/>
        <w:jc w:val="both"/>
        <w:rPr/>
      </w:pPr>
      <w:r>
        <w:rPr/>
      </w:r>
    </w:p>
    <w:tbl>
      <w:tblPr>
        <w:tblW w:w="8228" w:type="dxa"/>
        <w:jc w:val="left"/>
        <w:tblInd w:w="0" w:type="dxa"/>
        <w:tblLayout w:type="fixed"/>
        <w:tblCellMar>
          <w:top w:w="28" w:type="dxa"/>
          <w:left w:w="28" w:type="dxa"/>
          <w:bottom w:w="28" w:type="dxa"/>
          <w:right w:w="28" w:type="dxa"/>
        </w:tblCellMar>
      </w:tblPr>
      <w:tblGrid>
        <w:gridCol w:w="1573"/>
        <w:gridCol w:w="1386"/>
        <w:gridCol w:w="1390"/>
        <w:gridCol w:w="109"/>
        <w:gridCol w:w="109"/>
        <w:gridCol w:w="109"/>
        <w:gridCol w:w="109"/>
        <w:gridCol w:w="109"/>
        <w:gridCol w:w="109"/>
        <w:gridCol w:w="123"/>
        <w:gridCol w:w="123"/>
        <w:gridCol w:w="239"/>
        <w:gridCol w:w="1024"/>
        <w:gridCol w:w="123"/>
        <w:gridCol w:w="109"/>
        <w:gridCol w:w="109"/>
        <w:gridCol w:w="109"/>
        <w:gridCol w:w="211"/>
        <w:gridCol w:w="901"/>
        <w:gridCol w:w="154"/>
      </w:tblGrid>
      <w:tr>
        <w:trPr/>
        <w:tc>
          <w:tcPr>
            <w:tcW w:w="1573"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2"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1593" w:type="dxa"/>
            <w:gridSpan w:val="6"/>
            <w:tcBorders/>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(133,648)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(274,803)</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(74,735)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Net Cash from Operating Activities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main sources of cash provided by operating activities is revenue from fees earned under contracts with lending partners and institutional investors and interest income we receive for loans held on our balance sheet.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main uses of cash in our operating activities include payments to marketing partners, vendor payments, payroll and other personnel-related expenses, payments for facilities, and other general business expenditures.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$269.9 million for the six months ended June 30, 2026, which consisted of $415.5 million net changes in operating assets and liabilities, adjustments for non-cash items of $135.6 million, and net income of $9.9 million. The increase in non-cash adjustments was primarily related to $79.3 million of stock-based compensation expense and $74.1 million of changes in fair value of loans, partially offset by $20.8 million net gain on loan servicing rights from loan sales. The decrease in net changes in operating assets and liabilities was primarily related to $517.7 million net purchases and originations of loans held-for-sale, partially offset by $110.8 million in principal payments received for loans held-for-sale and loans held in consolidated securitization.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Net Cash from Investing Activities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 was $95.0 million for the six months ended June 30, 2026 as a result of $185.1 million of principal payments received for loans held-for-investment and notes receivable, $104.0 million of net proceeds from beneficial interest assets (hybrid instruments), partially offset by $181.5 million of net purchase and origination of loans held-for-investment, $8.4 million of capitalized software costs and $4.8 million of purchases of property and equipment.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Cash from 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$100.2 million for the six months ended June 30, 2026 primarily due to $170.7 million of net proceeds from borrowings, and $37.5 million change in payables to investors, partially offset by $100.1 million of common stock repurchases and $14.1 million of principal payments made on securitization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(Tabular Amounts in Thousands, Except Share and Per Share Data and Ratios, or as Noted)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Composition of Balance Sheet Loan Portfolio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held $1,064.2 million of loans on our condensed consolidated balance sheet. Of this amount, $487.6 million consisted of non-R&amp;D Loans, the majority of which would otherwise be purchased by third parties. We also held $540.3 million of R&amp;D Loans originated primarily to test and evaluate our AI models for new products and borrower segments and to aid in price discovery. In addition, we held $36.3 million of loans through the consolidated securitization. We will continue to utilize our capital to support R&amp;D activities and, at times, as a funding source for loans during periods of marketplace funding constraints or to bridge the timing between origination and sales of loans. The extent and timing of utilizing our capital as a funding source for loans will largely depend on the availability of capital in our marketplace relative to the demand from qualified borrowers and our business priorities. We plan to sell loans held on our balance sheet to lending partners and institutional investors over time in the form of secondary sales or securitizations and pass through issuances. </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Off-Balance Sheet Arrangements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the ordinary course of business, we engage in activities that are not reflected on our condensed consolidated balance sheets, generally referred to as off-balance sheet arrangements. These activities involve transactions with unconsolidated VIEs, including sale of whole loans, committed capital and other co-investment arrangements, and securitization transactions, which we contractually service. We use these transactions to provide a source of liquidity to finance our business and to diversify our institutional investor base. If we are the retaining sponsor of a securitization transaction, we are required by law to retain at least 5% of the credit risk of the securities issued in these securitizations. We provide additional information regarding transactions with unconsolidated VIEs in “</w:t>
      </w:r>
      <w:r>
        <w:rPr>
          <w:rFonts w:ascii="Times New Roman;serif" w:hAnsi="Times New Roman;serif"/>
          <w:b w:val="false"/>
          <w:i/>
          <w:color w:val="000000"/>
          <w:sz w:val="20"/>
        </w:rPr>
        <w:t>Note 3. Variable Interest Entities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before="0" w:after="0"/>
        <w:ind w:left="0" w:right="0" w:firstLine="63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Our critical accounting policies are described in Part II, Item 7, “</w:t>
      </w:r>
      <w:r>
        <w:rPr>
          <w:rFonts w:ascii="Times New Roman;serif" w:hAnsi="Times New Roman;serif"/>
          <w:b w:val="false"/>
          <w:i/>
          <w:color w:val="000000"/>
          <w:sz w:val="20"/>
        </w:rPr>
        <w:t>Critical Accounting Policies and Estimates</w:t>
      </w:r>
      <w:r>
        <w:rPr>
          <w:color w:val="000000"/>
        </w:rPr>
        <w:t xml:space="preserve">” </w:t>
      </w:r>
      <w:r>
        <w:rPr>
          <w:rFonts w:ascii="Times New Roman;serif" w:hAnsi="Times New Roman;serif"/>
          <w:b w:val="false"/>
          <w:color w:val="000000"/>
          <w:sz w:val="20"/>
        </w:rPr>
        <w:t>in our Annual Report on Form 10-K for the year ended December 31, 2025. There have been no material changes to these policies during the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Refer to </w:t>
      </w:r>
      <w:r>
        <w:rPr>
          <w:color w:val="000000"/>
        </w:rPr>
        <w:t>“</w:t>
      </w:r>
      <w:r>
        <w:rPr>
          <w:rFonts w:ascii="Times New Roman;serif" w:hAnsi="Times New Roman;serif"/>
          <w:b w:val="false"/>
          <w:i/>
          <w:color w:val="000000"/>
          <w:sz w:val="20"/>
        </w:rPr>
        <w:t xml:space="preserve">Note 1. Description of Business and Significant Accounting Policies” </w:t>
      </w:r>
      <w:r>
        <w:rPr>
          <w:rFonts w:ascii="Times New Roman;serif" w:hAnsi="Times New Roman;serif"/>
          <w:b w:val="false"/>
          <w:color w:val="000000"/>
          <w:sz w:val="20"/>
        </w:rPr>
        <w:t>in Part I, Item 1 of this Quarterly Report on Form 10-Q for recently adopted accounting pronouncements and recently issued accounting pronouncements not yet adopted when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in the ordinary course of our business, which primarily relate to fluctuations in market discount rates, credit risks, and interest rates. We are exposed to market risk directly through loans and securities held on our condensed consolidated balance sheets, access to the securitization markets, institutional investor demand for loans facilitated through our marketplace, and availability of funding under our warehouse credit facilities. Our inability or failure to manage market risks could harm our business, financial condition or results of operations.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Discount Rate Risk </w:t>
      </w:r>
    </w:p>
    <w:p>
      <w:pPr>
        <w:pStyle w:val="TextBody"/>
        <w:bidi w:val="0"/>
        <w:spacing w:before="0" w:after="0"/>
        <w:ind w:left="0" w:right="0" w:firstLine="612"/>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Discount rate sensitivity refers to the risk of loss to future earnings, values or future cash flows that may result from changes in market discount rates.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June 30, 2026, we were exposed to market discount rate risk on $930.8 million and $1,027.9 million, respectively, of loans held on our condensed consolidated balance sheets, excluding loans held in the consolidated securitization. The fair value of these loans is estimated using a DCF methodology, where the discount rate represents an estimate of the required rate of return by market participants. Changes in the discount rates for loans held on our balance sheet reflect the expected returns of similar financial instruments available in the market and can be caused by changes in the market interest rates, expected loan performance, and other factors. Any gains and losses from discount rate changes are recorded in earnings. A hypothetical 100 basis point and 200 basis point increase in the discount rate would result in a $12.0 million and $23.6 million decrease, respectively, in the fair value of loans as of December 31, 2025 and a $13.6 million and $26.8 million decrease, respectively, as of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June 30, 2026, we held $53.8 million and $36.3 million, respectively, of loans held in the consolidated securitization which are included in loans, at fair value, on the condensed consolidated balance sheets. The fair value of these loans is determined by the sum of the fair value of the related securitization notes receivable and residual certificates issued as part of the consolidated securitization, and uses the same projected net cash flows as the underlying collateral loan pool. As the Company retained all residual certificates issued by the consolidated securitization, their value is eliminated as part of the consolidation process. A hypothetical 100 basis point and 200 basis point increase in the discount rate does not result in a material impact to the fair value of loans held in consolidated securitization as of December 31, 2025 and June 30,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June 30, 2026, we were exposed to market discount rate risk on payable to securitization note holders of $46.5 million and $32.1 million, respectively. A hypothetical 100 basis point and 200 basis point increase in the discount rate does not result in a material impact to the fair value of payable to securitization note holders as of December 31, 2025 and June 30, 2026.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June 30, 2026, we were exposed to market discount rate risk on other financial instruments, including $396.2 million and $545.9 million of beneficial interest assets, respectively. Beneficial interest assets are estimated at fair value using a DCF model which considers projected defaults, losses and recoveries to project future losses and net cash flows on the underlying loans. We use different discount rates depending on the type of underlying collateral well as for expected cash flows associated with demonstrated to-date credit performance and those associated with future credit performance. A hypothetical 100 basis point and 200 basis point increase in the discount rate would result in a $4.9 million and $9.7 million decrease, respectively, in the fair value of beneficial interest assets as of December 31, 2025, and a $6.3 million and $12.4 million decrease, respectively,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Credit Risk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Credit risk refers to the risk of loss of loans arising from individual borrower default due to inability or unwillingness to meet their financial obligations. The fair value of certain financial instruments, including loans, beneficial interests, securitization notes receivable and residual certificates, and payable to securitization note holders on our condensed consolidated balance sheets are dependent on credit performance of the loans. To manage this risk, we monitor borrower payment performance through our lending marketplace and utilize our AI capabilities to price loans in a manner that we believe is reflective of their credit risk.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loans and beneficial interests are estimated based on a DCF model which involves the use of significant unobservable inputs and assumptions. These instruments are sensitive to changes in credit risk.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June 30, 2026, we were exposed to credit risk on $930.8 million and $1,027.9 million, respectively, of loans held on our condensed consolidated balance sheets, excluding loans held in the consolidated securitization. Loans bear fixed interest rates and are carried on our condensed consolidated balance sheets at fair value. As of December 31, 2025, a hypothetical 10% and 20% increase in credit risk would result in a $10.5 million and $20.4 million decrease, and as of June 30, 2026, a hypothetical 10% and 20% increase in credit risk would result in a $10.0 million and $19.5 million decrease in the fair value of loans,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June 30, 2026, we held $53.8 million and $36.3 million, respectively, of loans held in the consolidated securitization which are included in loans, at fair value, on the condensed consolidated balance sheets. The fair value of these loans is determined by the sum of the fair value of the related securitization notes receivable and residual certificates issued by the consolidated entities, and uses the same projected net cash flows as the underlying collateral loan pool. As the Company retained all residual certificates issued by the consolidated securitization, the residual certificates value is eliminated as part of the consolidation process. A hypothetical 10% and 20% increase in the credit risk does not result in a material impact to the fair value of loans held in the consolidated securitization as of December 31, 2025 and June 30,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also exposed to credit risk through credit risk rate spreads on beneficial interest assets and beneficial interest liabilities held on the condensed consolidated balance sheet of $396.2 million and $5.1 million, respectively, as of December 31, 2025, and $545.9 million and $10.2 million, respectively, as of June 30, 2026. These assets and liabilities are associated with committed capital and other co-investment arrangements with third parties, in which the Company puts certain amounts of assets at risk. See “</w:t>
      </w:r>
      <w:r>
        <w:rPr>
          <w:rFonts w:ascii="Times New Roman;serif" w:hAnsi="Times New Roman;serif"/>
          <w:b w:val="false"/>
          <w:i/>
          <w:color w:val="000000"/>
          <w:sz w:val="20"/>
        </w:rPr>
        <w:t>Note 4. Beneficial Interests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 for additional information on maximum exposure to losses from these arrangements. A hypothetical 10% and 20% adverse shock of the credit risk rate on the underlying loan portfolios would result in a $80.1 million and $158.2 million decrease, respectively, in the fair value of beneficial interest assets held on our condensed consolidated balance sheet, and $22.4 million and $44.4 million increase in the fair value of beneficial interest liabilities on our condensed consolidated balance sheet, respectively, as of December 31, 2025. A hypothetical 10% and 20% adverse shock of the credit risk rate on the underlying loan portfolios would result in a $104.7 million and $206.0 million decrease, respectively, in the fair value of beneficial interest assets, and $26.7 million and $53.2 million increase in the fair value of beneficial interest liabilities, respectively, as of June 30, 2026.</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Counterparty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risk that arises from our line of credit receivable, beneficial interests, warehouse facilities, and third-party custodians. These activities generally involve an exchange of obligations with unaffiliated lenders or other individuals or entities, referred to in such transactions as “counterparties.” If a counterparty were to default or otherwise fail to perform, we could potentially be exposed to loss if such counterparty were unable to meet its obligations to us. We manage this risk by selecting only counterparties that we believe to be financially strong, spreading the risk among multiple such counterparties, and placing contractual limits on the amount of dependence on any single counterparty.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June 30, 2026, we held $1,057.0 million and $982.3 million, respectively, related to cash, cash equivalents and restricted cash in business checking accounts and interest-bearing deposit accounts as well as money market accounts at various financial institutions in the United States. We are exposed to credit risk in the event of default by these financial institutions to the extent the amount recorded on our condensed consolidated balance sheets exceeds the insured amounts by the FDIC. We reduce credit risk by placing our cash, cash equivalents and restricted cash in reputable institutions.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June 30, 2026, $191.6 million and $190.0 million, respectively, of the Company’s cash was held by one of our institutional investors in relation to the line of credit receivable and beneficial interest asset. We mitigate our risk exposure through corporate guarantees provided by the investor.</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 increase in interest rates typically results in an increase in the rate of return required by lending partners and institutional investors, and therefore leads to a decrease in borrower demand. Higher interest rates also correspond with higher payment obligations for borrowers, which may reduce the ability of individual borrowers to remain current on their obligations, leading to increased delinquencies, defaults, borrower bankruptcies and charge-offs, and decreasing recoveries, all of which could have a material adverse effect on our business. We expect these outcomes would generally invert in an environment of decreasing interest rates.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An increase or decrease in interest rates may also impact our exposure to interest rate risk on our warehouse credit facilities. As of December 31, 2025 and June 30, 2026, we were exposed to interest rate risk on $97.3 million and $251.8 million, respectively, under our warehouse credit facilities, which bear floating interest rates. Changes in interest rates may impact our cost of borrowing.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Equity Investment Risk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non-marketable equity securities are subject to a wide variety of market-related risks that could substantially reduce or increase the carrying value of our investments.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condensed consolidated statements of operations and comprehensive income upon recognition of such adjustments or impairments. As of December 31, 2025 and June 30, 2026, the carrying value of our non-marketable equity securities, which do not have readily determinable fair values totaled $41.3 million and $41.0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lineRule="auto" w:line="288" w:before="240" w:after="283"/>
        <w:ind w:left="0" w:right="0" w:hanging="360"/>
        <w:jc w:val="left"/>
        <w:rPr>
          <w:rFonts w:ascii="Times New Roman;serif" w:hAnsi="Times New Roman;serif"/>
          <w:b/>
          <w:color w:val="000000"/>
          <w:sz w:val="20"/>
        </w:rPr>
      </w:pPr>
      <w:r>
        <w:rPr>
          <w:rFonts w:ascii="Times New Roman;serif" w:hAnsi="Times New Roman;serif"/>
          <w:b/>
          <w:color w:val="000000"/>
          <w:sz w:val="20"/>
        </w:rPr>
        <w:t>a.Evaluation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and supervision of our Chief Executive Officer and Chief Financial Officer, has evaluated the effectiveness of our disclosure controls and procedures as defined in Rules 13a-15(e) and 15d-15(e) under the Exchange Act. Based on that evaluation, our Chief Executive Officer and Chief Financial Officer have concluded that, as of June 30, 2026,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b.Changes in Internal Control over Financial Reporting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defined in Rules 13a-15(d) and 15d-15(d) under the Exchange Act) that occurred during the quarter ended June 30, 2026 that has materially affected, or is reasonably likely to materially affect, our internal control over financial reporting.</w:t>
      </w:r>
    </w:p>
    <w:p>
      <w:pPr>
        <w:pStyle w:val="TextBody"/>
        <w:bidi w:val="0"/>
        <w:spacing w:lineRule="auto" w:line="288" w:before="240" w:after="283"/>
        <w:ind w:left="0" w:right="0" w:hanging="360"/>
        <w:jc w:val="both"/>
        <w:rPr>
          <w:rFonts w:ascii="Times New Roman;serif" w:hAnsi="Times New Roman;serif"/>
          <w:b/>
          <w:color w:val="000000"/>
          <w:sz w:val="20"/>
        </w:rPr>
      </w:pPr>
      <w:r>
        <w:rPr>
          <w:rFonts w:ascii="Times New Roman;serif" w:hAnsi="Times New Roman;serif"/>
          <w:b/>
          <w:color w:val="000000"/>
          <w:sz w:val="20"/>
        </w:rPr>
        <w:t>c.Limitations on Effectiveness of Disclosure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240" w:after="283"/>
        <w:ind w:left="0" w:right="0" w:firstLine="720"/>
        <w:jc w:val="both"/>
        <w:rPr/>
      </w:pPr>
      <w:r>
        <w:rPr>
          <w:rFonts w:ascii="Times New Roman;serif" w:hAnsi="Times New Roman;serif"/>
          <w:b w:val="false"/>
          <w:color w:val="000000"/>
          <w:sz w:val="20"/>
        </w:rPr>
        <w:t>For a description of our material pending legal proceedings, please see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 and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Part II, Item 1A of this Quarterly Report on Form 10-Q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0" w:after="0"/>
        <w:jc w:val="center"/>
        <w:rPr>
          <w:rFonts w:ascii="Times New Roman;serif" w:hAnsi="Times New Roman;serif"/>
          <w:b/>
          <w:color w:val="000000"/>
          <w:sz w:val="22"/>
        </w:rPr>
      </w:pPr>
      <w:bookmarkStart w:id="1" w:name="id9282e7a6a384e5ca90c42ba625c5d81_135207"/>
      <w:bookmarkEnd w:id="1"/>
      <w:r>
        <w:rPr>
          <w:rFonts w:ascii="Times New Roman;serif" w:hAnsi="Times New Roman;serif"/>
          <w:b/>
          <w:color w:val="000000"/>
          <w:sz w:val="22"/>
        </w:rPr>
        <w:t>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The risks and uncertainties described below should be carefully considered,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bookmarkStart w:id="2" w:name="id9282e7a6a384e5ca90c42ba625c5d81_135208"/>
      <w:bookmarkEnd w:id="2"/>
      <w:r>
        <w:rPr>
          <w:rFonts w:ascii="Times New Roman;serif" w:hAnsi="Times New Roman;serif"/>
          <w:b/>
          <w:color w:val="000000"/>
          <w:sz w:val="20"/>
        </w:rPr>
        <w:t>SUMMARY OF RISK FACTORS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material risks that may affect our business, financial condition or results of operations include, but are not limited to, those relating to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has been and will continue to be adversely affected by economic conditions and other factors that we cannot control.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loan funding and financing arrangements with lending partners, institutional investors, securitization programs, and warehouse credit and risk retention financing facilities expose us to certain risks, and if we fail to successfully manage such risks, our supply of capital may decrease or we may be required to seek more costly or less efficient capital for our marketplace.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continue to improve our AI models or if our AI models are ineffective, including by failing to accurately or timely reflect changes in economic conditions on borrowers’ credit risk, our growth prospects, business, financial condition and results of operations would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approve a significant number of borrowers for loans through our marketplace, our growth prospects, business, financial condition and results of operations would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 limited number of lending partners account for a significant portion of loan originations and revenue on our marketplace, and our business depends on our ability to retain existing lending partners and attract new ones.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incurred net losses in the past, and we may not be able to sustain or achieve profitability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manage risks associated with the loans on our balance sheet, our business, financial condition and results of operations may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quarterly results may fluctuate significantly, which could adversely affect our business and the trading price of our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manage the risks associated with the UMI, our credibility, reputation, business, 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reputation and brand are important to our success, and failure to maintain, protect and promote our brand may harm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manage the risks related to our loan servicing and collections obligations, our business,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significant portion of our business has historically depended on a single loan product, and shifts in product demand or mix could adversely affect our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continuing to introduce and develop new loan products and service offerings, and if these products are not successful or we are unable to manage the related risks, our growth prospects, business, financial condition and results of operations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Security breaches, improper access to our or borrowers’ data, or other security incidents may harm our reputation, adversely affect our results of operations and expose us to liability.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Any significant disruption of, or failure in, our technology systems, including our AI lending platform, could adversely affect our business, financial condition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rely on strategic relationships with loan aggregators to attract applicants to our marketplace, and if we cannot maintain effective relationships with loan aggregators or successfully replace their services, our business could be adversely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business is subject to a wide range of laws and regulations, many of which are evolving, and failure or perceived failure to comply with such laws and regulations could harm our business, financial condition and results of operations.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bookmarkStart w:id="3" w:name="id9282e7a6a384e5ca90c42ba625c5d81_135209"/>
      <w:bookmarkEnd w:id="3"/>
      <w:r>
        <w:rPr>
          <w:rFonts w:ascii="Times New Roman;serif" w:hAnsi="Times New Roman;serif"/>
          <w:b/>
          <w:color w:val="000000"/>
          <w:sz w:val="20"/>
        </w:rPr>
        <w:t>RISKS RELATED TO OUR BUSINESS AND INDUSTRY</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Our business has been and will continue to be adversely affected by economic conditions and other factors that we cannot control.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Uncertainty, volatility and negative trends in general economic conditions historically have created a difficult operating environment for our industry. Many factors, including factors that are beyond our control, have impacted and will continue to impact our business, financial condition and results of operations by affecting the supply of capital to our marketplace from our lending partners and institutional investors, the demand by borrowers for Upstart-powered loans, and borrowers’ ability and willingness to repay their loans.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Adverse macroeconomic conditions and resulting uncertainty and volatility have had, and may have in the future, a material adverse effect on our business and results of operations. Such conditions can reduce borrower demand, approval and acceptance rates, loan origination volume and loan funding from lending partners and institutional investors, reduce liquidity in the capital markets, increase funding costs, and increase our reliance on our balance sheet. Many borrowers that access our marketplace have poor, limited or no credit history and may be disproportionately affected by inflation, higher interest rates, cost of living pressures, unemployment or recessionary conditions, which can reduce their ability or willingness to borrow or repay loans. During economic downturns, borrowers may prioritize secured obligations over unsecured personal loans or HELOCs, and higher interest rates may further increase payment burdens, leading to higher delinquencies, defaults, charge-offs and lower recoveries. Because our operations are concentrated in U.S. consumer credit, adverse developments affecting the U.S. economy or consumer credit markets could have a disproportionate impact on our business. In addition, changes in fiscal, monetary, regulatory or foreign policy priorities across presidential administrations may contribute to economic volatility and uncertainty. Any sustained decline in borrower approvability, loan acceptance or origination volume, or any increase in delinquencies or defaults beyond our expectations, could materially adversely affect our business,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maintain diverse and resilient loan funding to our marketplace from institutional investors or successfully manage risks associated with committed capital and other co-investment arrangements, our growth prospects,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depends on sourcing and maintaining diverse and resilient sources of capital from institutional investors to our marketplace, including through the purchase of whole loans and interests in loans through pass-through certificates and asset-backed securities. A significant portion of loans transacted on our marketplace are purchased by institutional investors, including private credit funds. The availability and capacity of capital from institutional investors depends on many factors that are outside of our control, such as economic and market conditions, interest rates, liquidity in the capital markets and regulatory requirements or restrictions, which are subject to change. We cannot be sure that the existing capital sources will continue to be available, or any new capital sources will become available, on commercially reasonable terms or at all. Decreased capital from institutional investors has negatively impacted our business in the past, and may negatively impact us in the future. Any sustained decline in investor demand for Upstart-powered loans or securities secured by such loans may adversely affect our financial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significant portion of our loan funding from institutional investors comes from committed capital and other co-investment arrangements, which may include downside credit risk protection, subject to certain limits and conditions. Under these arrangements, we may be required to compensate investors if loan credit performance deviates from expectations. We may also be required to compensate investors if committed loan sale volumes are not achieved. If loans do not perform as expected for any reason, including due to changes in borrower behavior or ability to pay, borrower demand declines, or our credit performance expectations are inaccurate, our financial results could be adversely affected, including through unfavorable fair value adjustments. We may also experience declines in revenue and loan originations if existing arrangements do not provide funding on agreed terms or if we are unable to secure additional arrangements on commercially reasonable terms or at all. In addition, a portion of the institutional funding for loans facilitated through our marketplace comes from private credit funds. These counterparties are subject to their own liquidity, fundraising and market constraints. Certain of these counterparties may experience investor redemptions, fundraising shortfalls or other constraints on available capital that reduce the capital available for loan purchases. As a result, one or more of these counterparties may be unable to fulfill purchase commitments, seek to renegotiate commercial terms, or fail to renew existing arrangements. Any such reduction in participation could reduce the funding capacity available to our marketplace, increase our funding costs, or constrain our ability to originate loans, which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 arrangements entered into during periods of higher interest rates may become more costly if interest rates decline and the terms of such arrangements remain in place. Despite our efforts, marketplace capital constraints may persist, and we may be required to rely more heavily on our balance sheet, incur higher funding costs or agree to less favorable terms to maintain loan origination volume,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Our loan funding and financing arrangements with lending partners, institutional investors, securitization programs, and warehouse credit and risk retention financing facilities expose us to certain risks, and if we fail to successfully manage such risks, our supply of capital may decrease or we may be required to seek more costly or less efficient capital for our marketplace.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facilitated securitizations, and may in the future facilitate additional securitizations, of Upstart-powered loans to allow institutional investors, certain lending partners, and/or us to liquidate or finance such loans through the asset-backed securities markets or other capital markets products. In securitization transactions, we sell and convey pools of loans to SPEs, which issue notes or certificates pursuant to indentures and trust agreements. We also finance certain loans on our balance sheet through warehouse credit facilities, including by selling loans to warehouse trust SPEs and borrowing under associated credit facilities. Securities issued by securitization SPEs and borrowings under warehouse facilities are secured by the loan pools owned by the applicable SPEs, and we,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lending partners and/or institutional investors may contribute loans to such SPEs in exchange for cash and/or debt or equity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we act as sole sponsor of securitizations, we are required under Regulation RR to retain a portion of the credit risk of the underlying loans for a specified period of time. We may finance some or all of these retained interests through risk retention financing facilities. If retained interests decline in value, or if we are unable to finance or refinance retained risk positions on acceptable terms, our liquidity, funding costs and results of operations could be adversely affected. We may also retain subordinated or residual interests beyond minimum risk retention requirements, which are exposed to greater credit risk and may lose value, including becoming worthless. Regulatory requirements applicable to securitizations, including under the Dodd-Frank Act, the Investment Company Act of 1940, and the “Volcker Rule,” as well as changes in state licensing requirements, may limit the type or structure of securitizations we are able to complete, and failure to comply with applicable securitization laws or regulations could restrict our ability to access securitization markets or require us to restructure or discontinue certain financing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Servicing fees generated by our loan servicing activities for loans sold to institutional investors or contributed to asset-based securitizations and pass-through certificate transactions also represent a material portion of our earnings, and investor demand for Upstart-powered loans and related securities may fluctuate based on loan performance, pricing and servicing economics, macroeconomic conditions, investor risk appetite, regulatory or accounting considerations and the availability of funding and liquidity in the capital markets.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our asset-backed securitizations, pass-through certificate transactions, warehouse credit facilities and whole loan sale arrangements, we make representations and warranties concerning the loans transferred. If such representations and warranties are inaccurate and are not timely cured, we may be required to repurchase loans, make payments or provide indemnification to financing parties. Failure to satisfy these obligations could constitute a default or termination event under the applicable agreements and could require us to fund repurchases or make other payments at a time when liquidity may be constrained. If repurchase or payment obligations were to increase, or if we are unable to fund such obligations when required, our liquidity, financial condition and results of operations could be adversely affected, and a high volume of repurchases or payments could harm our reputation as a loan seller and servicer. If securitizations, warehouse facilities or risk retention financing are not available or economical, we may need to seek alternative financing, rely more heavily on our balance sheet or reduce loan originations, which could adversely affect our business, financial condition and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also subject to counterparty risk arising from derivative instruments, beneficial interests, warehouse facilities and custodial arrangements, and a counterparty’s failure to perform could result in losses and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continue to improve our AI models or if our AI models are ineffective, including by failing to accurately or timely reflect changes in economic conditions on borrowers’ credit risk, our growth prospects, business, financial condition and results of operations would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attract borrowers and facilitate loan originations on our marketplace depends in large part on the effectiveness of our AI models in evaluating borrower creditworthiness and pricing loans appropriately. Our overall operating efficiency and margins further depend in part on our ability to maintain a high degree of automation in our application process and achieve incremental improvements in the degree of automation. If our AI models contain errors, rely on inaccurate assumptions or data, or otherwise fail to perform as expected, loans may be sub-optimally priced or incorrectly decisioned, which could result in losses that are higher than expected, reduced borrower demand, and decreased loan originations. For example, as of June 30, 2026, the quarterly vintages of all personal loans excluding small dollar loans that originated in the second quarter of 2023 through the first quarter of 2024 and the fourth quarter of 2025 are forecasted to underperform relative to their target returns set at the time of loan origination. Our AI models and related decisioning processes also depend on the availability, accuracy and timeliness of data and other inputs, including information provided by applicants and third-party sources. If the data or inputs used to train, operate, calibrate or monitor our AI models are inaccurate, incomplete, biased or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unreliable, or if our access to key data sources is terminated or interrupted, our models may not perform as expected and our ability to evaluate credit risk or price loans may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we may make errors in the development, validation, testing, governance, or implementation of our AI models or related tools and processes, and such errors may not be detected prior to deployment. Or, our AI models may not be able to accurately predict borrower behavior or loan performance under all circumstances, particularly during periods of economic uncertainty or rapid changes in macroeconomic conditions.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Underperformance of Upstart-powered loans relative to expectations may also reduce demand from lending partners and institutional investors, constrain capital and negatively affect our financial results. If our AI models do not accurately or timely reflect changes in economic conditions affecting borrowers’ credit risk, the performance of Upstart-powered loans may be worse than anticipated, which could harm our reputation, erode trust with lending partners and institutional investors, and adversely affect our business, financial condition and results of operations. If model performance deteriorates, our lending partners and investors may change or tighten their underwriting or pricing requirements, reduce demand for Upstart-powered loans, require additional credit enhancement or other structural protections, or impose less favorable terms across our loan funding arrangements, any of which could adversely affect our business.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manage the risks associated with the UMI, our credibility, reputation,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UMI is our effort to quantify the level of macroeconomic risk, in terms of the losses or defaults, within Upstart-powered unsecured personal loan portfolios, excluding small dollar loans. As we continue to refine UMI, we have revised previously published values and may further revise current or historical values in the future. Significant changes or revisions to UMI could harm our credibility and reputation with lending partners and institutional investors, which could adversely affect our business. Furthermore, the correlation between UMI and actual macroeconomic risk, including loan losses or defaults, may not be as meaningful or reliable as we expect. If UMI fails to accurately or adequately reflect macroeconomic risk, or is perceived as misaligned or misleading, lending partners and institutional investors may distrust or disregard UMI, which could negatively affect their willingness to use our marketplace or fund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UMI is based on our analysis of the losses within Upstart-powered unsecured personal loan portfolios, excluding small dollar loans, and is specific to our borrower base, which changes over time. UMI may not be an appropriate indicator of risk for specific loan products, borrower segments or non-Upstart loan portfolios, and it is not intended to measure or predict broader economic conditions, future loan performance, our results of operations or our stock price. Investors, lending partners or analysts may misunderstand, misinterpret or misuse UMI for unintended purposes, which could harm our reputation, reduce confidence in our disclosures and impair our ability to attract and retain lending partners and institutional investors. Any failure to manage these risks could adversely affect our ability to maintain diverse and resilient loan funding and harm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approve a significant number of borrowers for loans through our marketplace, our growth prospects, business, financial condition and results of operations would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vast majority of our revenue comes from platform and referral fees and servicing fees on loans facilitated through our marketplace. To increase the number of loans facilitated through our marketplace, we must have an adequate supply of capital from lending partners and institutional investors, and borrowers must satisfy the requirements for approval established by our models and our lending partners.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we continue to improve the accuracy of our AI models, which we believe is key to our long-term success, such improvements may not result in an increase in the number of borrowers approved on our platform. These improvements have led us in the past and may lead us in the future to reevaluate our credit decisioning process, including the risks associated with certain borrowers. Changes in borrower default patterns and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performance have in the past and could in the future result in fewer borrowers being approved for loans on our platform.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lending partners’ credit requirements and the target returns our lending partners and institutional investors demand in order to provide capital to our marketplace have, and could continue to, negatively impact our ability to extend loan offers with competitive terms or at all to certain borrowers on our marketplace. If we are not able to fill purchase commitments for our institutional investors or maintain a platform meeting the origination requirements of our lending partners, we risk jeopardizing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Macroeconomic environments fluctuate over time, and the costs and risks associated with consumer borrowing evolve in response to economic conditions. During periods of challenging macroeconomic conditions, including periods of elevated borrowing costs and heightened consumer credit risk, the pool of qualified borrowers may become smaller, and fewer applicants may receive or accept loan offers on our marketplace. Approving more borrowers can also be limited as we have historically limited the maximum annual percentage rates offered on Upstart-powered loans due to regulatory reasons. These factors have adversely affected, and may in the future adversely affect, loan originations on our marketplace and therefore our revenue. If we are not able to maintain or increase loan originations on our marketplace, or attract and retain qualified borrowers, our growth prospects, business, financial condition and results of operations would be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A limited number of lending partners account for a significant portion of loan originations and revenue on our marketplace, and our business depends on our ability to retain existing lending partners and attract new ones.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in significant part on the continued participation of lending partners in our marketplace, which provide both loan funding and a substantial portion of our revenue. A limited number of lending partners account for a significant portion of loan originations and revenue on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one or more significant lending partners reduce, suspend or cease their business with us for any reason, or if we are unable to attract and onboard new lending partners to replace or supplement existing relationships, loan origination volume and revenue could decline. Our ability to attract new lending partners may be limited by lengthy or complex onboarding processes, prospective partners’ diligence requirements, or changes in target returns, funding costs or risk tolerance. Prospective lending partners may also be cautious in adopting our platform or in purchasing loans originated on the Upstart platform due to regulatory uncertainty, AI model governance or fair lending compliance considerations, as well as the time, cost and operational changes required to integrate our technology, which can delay onboarding and make the timing and volume of related revenue difficult to predict.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 into a separate agreement with each of our lending partners. These agreements are non-exclusive and may contain minimum fee amounts. Lending partners may decide to stop working with us, seek to modify agreement terms in a cost-prohibitive manner when their agreement is up for renewal, or enter into exclusive or more favorable relationships with our competitors. In addition, lending partners may adjust or terminate their business with us based on macroeconomic conditions, funding costs, regulatory requirements, credit performance, internal priorities, competitive dynamics or changes in business strategy. Federal or state regulators may also require lending partners to terminate or limit their business with us, or impose regulatory pressure that constrains their ability or willingness to participate in our marketplace. If we are unable to retain existing lending partners or attract new lending partners on acceptable terms, our business, financial condition and results of operations could be adversely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have incurred net losses in the past, and we may not be able to sustain or achieve profitability in the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have been profitable in certain periods, we have also incurred net losses and may do so again in the future. We have made, and expect to continue to make, significant investments in our business, and we may not be able to increase revenue sufficiently to offset these costs, which could prevent us from achieving or sustaining profitability. These investments include investment in our proprietary AI models, product development, borrower acquisition, platform enhancements and expansion of our loan offerings. Our ability to sustain or achieve profitability in any given period may also be affected by the mix of loan products facilitated through our marketplace and fluctuations in our borrower acquisition costs. Changes in product mix, including the growth of products with lower margins, as well as increases in borrower acquisition costs, may adversely affect our financial results and limit our ability to sustain profitability.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incurred losses in the past, and may incur losses in the future, due to a variety of factors, including the other risks described in this section, macroeconomic conditions, unforeseen expenses, operational challenges, and delays in executing our business strategies. Any failure to maintain or increase revenue at a pace sufficient to support our investment levels and other operating expenses could adversely affect our ability to achieve or sustain profitability. If we are unable to successfully address these risks and challenges as they arise,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have submitted an application for a national bank charter. The application may be delayed, denied, approved, or subject to conditions. Even if we obtain the requisite regulatory approvals to form a national bank, we may not realize the anticipated benefits of operating a bank.</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received conditional approval from the OCC to establish an insured national bank, Upstart Bank, N.A., and our application to the FDIC for deposit insurance remains pending. We have also applied to the Federal Reserve for approval for Upstart Holdings, Inc. to become a bank holding company. Regulatory approvals for the bank charter, deposit insurance, and bank holding company applications are subject to a number of requirements, including minimum capital and liquidity requirements, compliance and risk management requirements, and a determination that the proposed activities are legally permissible, among others. Our applications may be denied, regulatory approval may be delayed or subject to conditions, and there may be changes to applicable laws or supervisory expectations that govern the bank’s operations. Once opened, a bank subsidiary will also subject us to various regulations with respect to our activities and will introduce additional operational complexity, including the need to build and maintain bank-specific infrastructure, risk management, compliance, and reporting capabilities. Operating a bank is also likely to result in new costs, which may be significant and could reduce or offset some or all of the anticipated benefits of the bank charter. For these and other reasons, we may be unable to fully realize the benefits, efficiencies, cost reductions, or funding advantages that we expect by obtaining a bank charter, and our business, financial condition, and results of operations may be adversely affected.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manage risks associated with the loans on our balance sheet, our business, financial condition and results of operations may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held more Upstart-powered loans on our balance sheet in recent years and may continue to do so in the future. We have used, and may continue to use, our balance sheet to support our R&amp;D activities for new loan products and borrower segments. In addition to R&amp;D activities, we have used and may continue to use our balance sheet to purchase Upstart-powered loans from lending partners to address fluctuations in supply and demand in our marketplace.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hold loans on our balance sheet at fair value and estimate fair value using a DCF methodology. Increases in market interest rates may reduce the fair value of loans held on our balance sheet, which have negatively affected, and may in the future negatively affect, the fair value of such loans. In addition, for loans held on our balance sheet and any future loans to be held on our balance sheet, we bear the credit risk in the event of borrower default. Our exposure to rising borrower default rates and their volatility has increased, and may continue to increase, as we hold more Upstart-powered loans on our balance sheet. Also, loans for R&amp;D purposes make up a substantial portion of the loans held on our balance sheet and are generally more risky and more likely to default than personal loans.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times, default rates and charge-offs for certain loan categories have been higher than expected, resulting in unfavorable fair value adjustments to the loans on our balance sheet. Unfavorable fair value adjustments have negatively impacted our revenue in the past and may do so again in the future if loan performance deteriorates or fails to meet expectations. Furthermore, a portion of our revenue is interest income derived from loans held on our balance sheet, and increasing the number of loans we hold would increase the mix of our revenue that comes from interest on loans. From a liquidity perspective, a growing number of loans on our balance sheet increases our liquidity risk. If we are unable to sell loans held on our balance sheet on commercially reasonable terms or at all, our liquidity position could be adversely affected. Any of the foregoing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quarterly results may fluctuate significantly, which could adversely affect our business and the trading price of our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and financial results have, in the past, and may, in the future, fluctuate significantly from period to period due to a variety of factors, many of which are outside of our control. Factors that may cause these fluctuations include, among others, changes in macroeconomic conditions; fluctuations in borrower demand and loan origination volume, including seasonal patterns; changes in the availability and cost of loan funding; changes in credit performance; shifts in product mix; the timing and success of new products, partnerships or funding arrangements; changes in interest rates; changes in regulatory requirements or enforcement priorities; and changes in our operating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typically experience seasonality in the demand for Upstart-powered loans, which has been generally lower in the first quarter. This seasonal slowdown has been primarily attributable to high loan demand around the holidays in the fourth quarter and the general increase in borrowers’ available cash flows in the first quarter, including cash received from tax refunds, which temporarily reduces borrowing needs.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these and other factors, our operating and financial results for any given period may fall below the expectations of investors or securities analysts, which could cause the trading price of our common stock to decline. Fluctuations in our operating results may also make it difficult for investors to evaluate our business and future prospects, which could further contribute to volatility in the market price of our common stock.</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reputation and brand are important to our success, and failure to maintain, protect and promote our brand may harm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maintaining a strong brand and trustworthy reputation is critical to our success and our ability to attract borrowers to our marketplace, attract new lending partners, maintain diverse and resilient loan funding and sustain good relations with regulators. The maintenance of our brand and reputation depend on a number of factors, including the performance and perceived effectiveness of our proprietary AI models, the quality and pricing of our products, the reliability and scalability of our platform, regulatory compliance, loan performance outcomes and our ability to innovate and respond to evolving customer and partner needs. In addition, the availability and perceived attractiveness of alternative products or platforms from our competitors may influence how our brand and value proposition are perceived. Competitive pressures may result in reduced demand for Upstart-powered loans, pricing pressure, increased costs or loss of market share, any of which would harm our reputation and brand. If we are unable to differentiate our platform and maintain trust with borrowers, lending partners, institutional investors, and other third parties,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negative publicity about us or the consumer lending industry, including regarding our AI-powered credit decisioning models, loan performance, servicing or collections practices, marketplace model, use of AI, regulatory compliance, data privacy and cybersecurity practices, litigation or regulatory actions, or the experience of participants on our platform, even if inaccurate or unfounded, could harm our reputation and reduce confidence in our platform. Such reputational harm could reduce usage of our platform and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manage the risks related to our loan servicing and collections obligations,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loan servicing and collection efforts. A meaningful portion of our revenue from fees is generated from loan servicing fees. The vast majority of Upstart-powered loans are unsecured and are not guaranteed or insured by any third party or backed by any governmental authority. As a result, our ability to collect amounts owed on such loans on behalf of lending partners, Upstart, institutional investors, and financing lenders is limited if borrowers are unwilling or unable to repay. Even where loans are secured, including auto loans or HELOCs, we may be limited in our ability to recover amounts owed if collateral cannot be located or recovered or if collateral values decline.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collect on loans is largely dependent on borrowers’ financial health and may be adversely affected by factors such as unemployment, illness, bankruptcy, economic downturns or other circumstances beyond a borrower’s control. Federal and state laws, including bankruptcy and insolvency laws, may further limit recoveries. If delinquencies, defaults or bankruptcies increase, our collections and recovery rates may decline, which could reduce fees payable to us, negatively affect lending partner and institutional investor demand for Upstart-powered loans, erode trust in our marketplace or increase loan funding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conduct collection activities for certain lending partners, institutional investors, and financing lenders. Because we have limited experience conducting first-party or in-house collection activities, we cannot be certain that we will be able to effectively manage risks associated with such activities. We also rely on third-party collection agencies and, in certain cases, litigation strategies to collect from certain delinquent borrowers. If our collection efforts or those of third-party vendors are ineffective, inconsistent, unprofessional or otherwise harm borrowers, our reputation could be damaged, borrower demand could decline and delinquencies and charge-offs could increase.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act as servicer for most loans facilitated through our marketplace, including loans sold in whole loan transactions, contributed to securitizations and pass-through securities, and pledged in warehouse facilities. Loan servicing is a highly regulated and operationally complex activity, involving manual processes and regulatory compliance obligations. Errors in servicing, failures to comply with servicing requirements or inadequate performance could expose us to liability to borrowers, lending partners, institutional investors or financing lenders, and harm our reputation. If the costs of servicing exceed the servicing fees we earn, our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Auto loans facilitated through our marketplace and retail installment contracts purchased from motor vehicle dealers are secured by vehicles that may depreciate rapidly and may be difficult to locate. We rely on third-party repossession vendors to recover collateral, and repossession may not result in full recovery of amounts owed. Failures by such vendors to adhere to applicable law and regulations could result in loss of the collateral, regulatory action, litigation and/or reputational harm. As we scale our auto lending business, we may face increased operational and compliance risk in coordinating repossession activity and managing title and other collateral requirements that vary by state. For home-secured products such as HELOCs, collections and recovery may involve enforcing liens or pursuing foreclosure-related remedies that can be time-consuming, costly and subject to heightened regulatory and reputational scrutiny.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Servicing and collection activities are subject to extensive and evolving federal and state laws and regulatory oversight. If we fail to comply with applicable servicing, collection or licensing requirements, we could lose licenses, become subject to enforcement actions, sanctions or litigation, or be restricted from servicing loans or operating in certain jurisdictions, which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 significant portion of our business has historically depended on a single loan product, and shifts in product demand or mix could adversely affect our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significant portion of the loan originations facilitated through our marketplace has historically consisted of unsecured personal loans. While the market for unsecured personal loans has experienced periods of growth, the extent to which this market will continue to grow, or remain attractive to borrowers and capital providers, is uncertain. A variety of factors could adversely affect demand for unsecured personal loans, including macroeconomic conditions, increased interest rates, changes in consumer credit behavior, competition, regulatory developments and other conditions in the credit markets. If demand for unsecured personal loans declines or grows more slowly than expected, our business, financial condition and results of operations could be adversely affected.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Unsecured personal loans are seen as a more risky credit product because they are not backed by collateral. As such, borrowers may choose not to prioritize repayment of unsecured personal loans, particularly during an economic down cycle, and instead prioritize repayment of secured indebtedness obligations over unsecured personal loans. If we are unable to effectively manage risks associated with our personal loan product,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the unsecured personal loan product represents the majority of our business, we offer other loan products on our marketplace and may continue to expand and scale additional products over time. Newer loan products may have different margins or default rates than our personal loan products. Offering and scaling multiple products introduces additional operational, regulatory, funding and servicing complexity and exposes us to risks that differ from those associated with a single product offering. In order to preserve and expand our relationships with lending partners and institutional investors, it may become important for us to offer a broader range of loan products than we have historically offered. Our competitors may also seek to gain or maintain market share by underpricing certain loan products or accepting lower returns, even if such practices result in losses. These competitive dynamics could reduce demand for loans facilitated through our marketplace or adversely affect the economics of our platform.</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are continuing to introduce and develop new loan products and service offerings, and if these products are not successful or we are unable to manage the related risks, our growth prospects,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introduced auto loans, retail installment contracts purchased from motor vehicle dealers, small dollar loans, and HELOC products and are continuing to invest in developing these products and other new credit products and service offerings. We have limited operating history with respect to certain of these products, and new initiatives are inherently risky, as each involves unproven business strategies, new regulatory requirements and new financial products and services with which we, and in some cases our lending partners, have limited or no prior development or operating experience.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our growth strategy, we may continue to offer and scale multiple loan products with distinct borrower profiles, underwriting considerations, regulatory requirements, funding sources and servicing obligations. While these newer products currently represent a small portion of our business, they are expected to grow at a different rate than our personal loan product. We cannot be sure that we will be able to develop, commercially market and achieve market acceptance of any new products and services. In addition, our investment of resources to develop new products and services may be insufficient or result in expenses that are excessive in light of the benefits actually derived from these new offerings, particularly in the near term. Investment in new products or services may also need to be delayed, modified or deferred due to market, macroeconomic or other conditions.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have difficulty securing adequate loan funding from lending partners or institutional investors for new loan products and services, which may require us to hold more loans on our balance sheet for extended periods of time. If the borrower profile for new products differs from that of existing products, our AI models may not accurately evaluate credit risk and we may not be able to obtain loan funding for such products on commercially reasonable terms, or at all. New products may also experience higher levels of delinquencies or defaults as our models calibrate to different borrower populations or data sets. Furthermore, new products and services may raise new or complex regulatory compliance obligations, increase our costs, reduce margins or take longer than anticipated to achieve target margins. Our development efforts may also divert management attention and resources from existing operations. If we are unable to effectively manage these risks, our growth prospects,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do not compete effectively in our target markets, our business, results of operations and financial condition could be harmed.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consumer lending market is highly competitive and increasingly dynamic as emerging technologies continue to enter the marketplace. Our inability to compete effectively could result in reduced loan volumes, reduced average loan sizes, reduced fees, increased marketing and borrower acquisition costs or a failure of our marketplace to achieve or maintain broader market acceptance, any of which could adversely affect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compete to varying degrees with other sources of consumer credit, including banks, non-bank lenders, retail-based lenders and other financial technology platforms. Because personal loans may serve as a replacement for credit cards, we also compete with the convenience and ubiquity of credit cards and buy now, pay later products. Many competitors operate under different business models, have different funding sources, cost structures or regulatory obligations, or focus on different segments of the market. We may also face competition from banks or companies that have not previously competed in consumer lending, including companies with access to large amounts of consumer-related data that could be used to develop their own credit risk models, and many current or potential competitors have significantly greater financial, technical and marketing resources than we do.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competitors may have longer operating histories, greater brand recognition and loyalty, lower costs of capital, more diversified products, broader borrower or partner relationships, more diversified funding sources or greater balance sheet capacity than we do. Competitors may also modify their pricing or business models to compete more directly with us, including by offering lower pricing or more flexible terms. Our ability to compete will also depend on our ability to provide lending partners with a competitive suite of loan products and services. In addition, competitors may pursue acquisitions or strategic alliances that provide access to lower-cost capital, expanded distribution or enhanced regulatory capabilities, further intensifying competition.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industry is driven by constant innovation, including rapid advances in AI and machine learning. If we fail to anticipate or respond adequately to technological developments, or if competitors develop credit models or technologies that are superior to ours, our ability to compete effectively could be adversely affected. If we are unable to compete effectively or keep pace with innovation in our industry, demand for our marketplace could stagnate or decline, which could harm our business, results of operations and financial condition.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unable to manage the risks associated with fraudulent activity, our brand and reputation,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Fraud is prevalent in the financial services industry and may increase as perpetrators become more sophisticated. We are subject to the risk of fraudulent activity associated with borrowers, employees and third parties that handle borrower information, and in limited circumstances we cover certain fraud-related losses of our lending partners and institutional investors. Fraud rates may also increase during economic downturns.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use a combination of proprietary AI models and third-party tools to detect and prevent fraud by validating applicant-reported data and information obtained from third-party sources. However, these efforts may not be sufficient to identify all fraudulent activity. If fraud detection controls are ineffective, fraud-related losses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Upstart-powered loans could increase, erode confidence in our marketplace, and adversely affect our financial condition and results of operations. Fraud perpetrators may also target our platform due to the high degree of automation in our credit decisioning processes. In addition, we, our lending partners or institutional investors may be unable to recover amounts disbursed on loans made in connection with inaccurate statements, omissions or fraudulent activity.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increases in fraudulent activity could result in heightened regulatory scrutiny or intervention, increase compliance and operating costs, and harm our brand and reputation. Further, if higher levels of fraud lead to increased human review of loan applications, the level of automation on our platform could decline, negatively affecting our operating efficiency and unit economics. If we are unable to effectively manage fraud-related risks, our business, financial condition and results of operations could be adversely affected.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depend on our key personnel and other highly skilled personnel, and if we fail to attract, retain and motivate our personnel,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on the continued service of our senior management team and other highly skilled personnel. Our success also depends on our ability to identify, hire, develop, motivate and retain highly qualified personnel. In the first quarter of 2026, we announced certain changes to our executive leadership team, including the succession of our Chief Executive Officer and the appointment of a new Chief Financial Officer. Although we seek to manage leadership transitions carefully, such changes may create uncertainty or present challenges related to continuity of our business, preservation of our culture, and our ability to attract and retain highly qualified personnel.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Competition is high for skilled personnel, including engineering and data analytics personnel, particularly in the San Francisco Bay Area where our headquarters is located. While we have transitioned to what we call a “Digital First” work model that allows us to recruit from a wider talent pool, we have experienced, and expect to continue to face, difficulty identifying and hiring qualified personnel, especially as we pursue our growth strategy. We may not be able to hire or retain such personnel at compensation or flexibility levels consistent with our existing compensation structure and policies. We periodically review our compensation levels to ensure they remain competitive, and we may need to further increase compensation in response to competition, inflation or labor shortages, which would increase our operating costs. Many companies with which we compete for experienced employees have greater resources and may be able to offer more attractive terms of employment. In addition, the current regulatory environment related to immigration is uncertain, including with respect to the availability of H1-B and other U.S. visas. If a new or revised U.S. visa program is implemented, it may impact our ability to recruit, hire, retain, or effectively collaborate with qualified skilled personnel.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we have reduced our workforce in the past and may do so again in the future to lower operating costs or streamline operations. Workforce reductions may adversely affect employee morale, culture and productivity, and our ability to attract and retain personnel, result in the loss of institutional knowledge, disrupt operations, or impair our ability to pursue new initiatives due to reduced resources. We may not realize the anticipated benefits or cost savings from workforce reductions, and any failure to effectively manage such actions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Borrowers may prepay a loan at any time without penalty, which could reduce our servicing fees and deter our lending partners and institutional investors from investing in loans facilitated through our lending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borrower may decide to prepay all or a portion of the outstanding principal amount on a loan at any time without penalty. If the entire outstanding unpaid principal amount of a loan is prepaid, we would not receive a servicing fee for the period after the loan is prepaid in full. Our AI models are designed to predict prepayment rates, but prepayment may occur for a variety of reasons. If a significant volume of prepayments occur that our AI models do not accurately predict, the amount of our revenue from servicing fees would decline and returns targeted by our lending partners and institutional investors would be adversely affected, which would harm our business and results of operations and our ability to attract new lending partners and institutional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long-term impact of operating with a Digital First workforce on our business, financial condition and results of operations is uncertain.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our announcement of a Digital First work model, remote work with less time in the office has been the primary experience for most of our employees. Our workforce is principally distributed across the U.S., with only limited presence in Canada, and we expect this to continue. There is no guarantee that we will realize any anticipated benefits from this model.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The increase in remote working may also result in increased exposure to consumer privacy and data security incidents, or fraudulent activity. If we are unable to successfully address the foregoing risks and challenges as we encounter them, our business, financial condition and results of operations could be adversely affected.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Unfavorable outcomes in legal proceedings may harm our business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are, and may in the future become, subject to lawsuits by private parties or governmental agencies, other claims, examinations, investigations, enforcement actions, legal and administrative cases and proceedings, whether civil or criminal, all of which may affect our financial condition and results of operations. These claims, lawsuits and proceedings could involve a wide range of legal and regulatory matters, including consumer protection, employment, intellectual property, data privacy, securities and other commercial or statutory claims. For example, we are a defendant in a number of securities class actions and other related lawsuits. See the “</w:t>
      </w:r>
      <w:r>
        <w:rPr>
          <w:rFonts w:ascii="Times New Roman;serif" w:hAnsi="Times New Roman;serif"/>
          <w:b w:val="false"/>
          <w:i/>
          <w:color w:val="000000"/>
          <w:sz w:val="20"/>
        </w:rPr>
        <w:t>Legal</w:t>
      </w:r>
      <w:r>
        <w:rPr>
          <w:color w:val="000000"/>
        </w:rPr>
        <w:t xml:space="preserve">” </w:t>
      </w:r>
      <w:r>
        <w:rPr>
          <w:rFonts w:ascii="Times New Roman;serif" w:hAnsi="Times New Roman;serif"/>
          <w:b w:val="false"/>
          <w:color w:val="000000"/>
          <w:sz w:val="20"/>
        </w:rPr>
        <w:t>section under “</w:t>
      </w:r>
      <w:r>
        <w:rPr>
          <w:rFonts w:ascii="Times New Roman;serif" w:hAnsi="Times New Roman;serif"/>
          <w:b w:val="false"/>
          <w:i/>
          <w:color w:val="000000"/>
          <w:sz w:val="20"/>
        </w:rPr>
        <w:t>Note 11. Commitments and Contingencies</w:t>
      </w:r>
      <w:r>
        <w:rPr>
          <w:color w:val="000000"/>
        </w:rPr>
        <w:t xml:space="preserve">” </w:t>
      </w:r>
      <w:r>
        <w:rPr>
          <w:rFonts w:ascii="Times New Roman;serif" w:hAnsi="Times New Roman;serif"/>
          <w:b w:val="false"/>
          <w:color w:val="000000"/>
          <w:sz w:val="20"/>
        </w:rPr>
        <w:t xml:space="preserve">in Part </w:t>
      </w:r>
      <w:r>
        <w:rPr>
          <w:rFonts w:ascii="Times New Roman;serif" w:hAnsi="Times New Roman;serif"/>
          <w:b w:val="false"/>
          <w:color w:val="000000"/>
          <w:sz w:val="20"/>
          <w:shd w:fill="FFFFFF" w:val="clear"/>
        </w:rPr>
        <w:t>I, Item 1</w:t>
      </w:r>
      <w:r>
        <w:rPr>
          <w:color w:val="000000"/>
        </w:rPr>
        <w:t xml:space="preserve"> </w:t>
      </w:r>
      <w:r>
        <w:rPr>
          <w:rFonts w:ascii="Times New Roman;serif" w:hAnsi="Times New Roman;serif"/>
          <w:b w:val="false"/>
          <w:color w:val="000000"/>
          <w:sz w:val="20"/>
        </w:rPr>
        <w:t>of this Quarterly Report on Form 10-Q.</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In addition, due to the consumer-oriented nature of our business and the application of certain laws and regulations, participants in our industry are regularly named as defendants in litigation alleging violations of federal and state laws and regulations, including consumer protection laws. See the risk factor titled </w:t>
      </w:r>
      <w:r>
        <w:rPr>
          <w:color w:val="000000"/>
        </w:rPr>
        <w:t>“—</w:t>
      </w:r>
      <w:r>
        <w:rPr>
          <w:rFonts w:ascii="Times New Roman;serif" w:hAnsi="Times New Roman;serif"/>
          <w:b w:val="false"/>
          <w:i/>
          <w:color w:val="000000"/>
          <w:sz w:val="20"/>
        </w:rPr>
        <w:t>If loans originated by our lending partners were found to violate state law, loans facilitated through our marketplace may be unenforceable or otherwise impaired, we or our lending partners, institutional investors or warehouse lenders may face fines and penalties, and our commercial relationships may suffer, each of which would adversely affect our business and results of operations”</w:t>
      </w:r>
      <w:r>
        <w:rPr>
          <w:color w:val="000000"/>
        </w:rPr>
        <w:t xml:space="preserve"> </w:t>
      </w:r>
      <w:r>
        <w:rPr>
          <w:rFonts w:ascii="Times New Roman;serif" w:hAnsi="Times New Roman;serif"/>
          <w:b w:val="false"/>
          <w:color w:val="000000"/>
          <w:sz w:val="20"/>
        </w:rPr>
        <w:t>for more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subject to such litigation or enforcement, then any unfavorable results of pending or future legal proceedings may result in contractual damages, fines, penalties, injunctions, the unenforceability, rescission or other impairment of loans originated through our marketplace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pursue acquisitions or investments in other businesses or technologies, which could disrupt our business and may not achieve anticipated benefits.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pursue acquisitions or investments in other businesses or technologies as part of our growth strategy. These transactions may require significant management attention, involve the integration of different business models, technologies, systems, controls or cultures, and divert resources from our existing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encounter difficulties integrating acquired businesses, technologies or personnel, or fail to realize anticipated synergies, cost savings or strategic benefits. In addition, acquisitions or investments may expose us to unforeseen liabilities, integration costs, impairment charges, regulatory scrutiny or other risks. If we are unable to successfully manage or integrate these transactions, or if they fail to achieve their intended objectives, our business, financial condition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financial reporting relies on significant estimates, judgments, key operating metrics and effective internal controls, and inaccuracies or control failures could adversely affect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our financial statements requires management to make estimates and assumptions that affect reported amounts and disclosures, including with respect to revenue recognition, loan valuation, credit losses, fair value measurements and other areas. Although we believe these estimates and assumptions are reasonable, they are inherently uncertain, may change as new information becomes available, and may differ materially from actual outcomes.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produce timely and accurate financial statements and other periodic reports depends on the maintenance of appropriate information systems, processes and controls. In addition, we regularly assess, and report on, the effectiveness of our internal control over financial reporting. If we or our independent auditors identify deficiencies in internal controls that are deemed to be material weaknesses, or if significant deficiencies or material weaknesses are identified in the future, our financial reporting may be delayed or unreliable.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operating and financial results also depend on certain operating and financial metrics that we disclose, including key measures of loan performance, revenue and related performance indicators. These metrics are based on underlying data that involve estimates and assumptions, may not be comparable to similarly titled measures used by other companies, and may change over time as our business evolves. In addition, certain processes used to aggregate, validate and report underlying operating and financial data may involve manual workflows, which may be time-consuming, difficult to scale, and more susceptible to human error. If actual results differ materially from the estimates used in preparing our operating and financial results, or if inaccuracies or incomplete data result from such processes, or if changes in the way we or others define and use key metrics make those metrics less useful or reliable, our business, financial condition and results of operations could be adversely affected. In addition, we may from time to time publish certain operating or performance metrics on a more frequent basis in our Regulation FD channels, which are subject to the same inherent limitations, estimates and potential variability as our other disclosed metrics.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Deficiencies in our disclosure controls or internal control over financial reporting could lead to material errors in our financial statements, restatements, regulatory scrutiny, loss of investor confidence and reputational harm. Any of the foregoing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maintain cash deposits in excess of federally insured limits, and adverse developments affecting financial institutions could adversely affect our liquidity and financial performance.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regularly maintain domestic cash deposits in FDIC insured banks that exceed the FDIC insurance limits. Adverse developments affecting financial institutions or the broader banking system, including bank failures, liquidity constraints or disruptions in the financial or credit markets, could impair our ability to access such funds in a timely manner, which could adversely affect our liquidity, financial condition and results of operations. There can be no assurance that our deposits in excess of the FDIC or other comparable insurance limits will be backstopped by the U.S. treasury, or that any bank or financial institution with which we do business will be able to obtain needed liquidity from other banks, government institutions or by acquisition in the event of a failure or liquidity crisis.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business is subject to the risks of natural disasters and other catastrophic events, many of which are becoming more acute and frequent due to climate change, and to interruption by human-induced problems.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natural disasters or other catastrophic events, such as earthquakes, fires, hurricanes, blizzards or floods (including those associated with climate change), as well as power losses, telecommunications failures, strikes, epidemics or pandemics, cyber incidents, system failures or failures of financial institutions, could adversely affect our business, results of operations and financial condition. The effects of climate change may increase the frequency or severity of certain natural disasters. Our operations, including our headquarters in the San Francisco Bay Area and our office in Columbus, Ohio, are located in regions that may be vulnerable to earthquakes, wildfires,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severe weather events or other climate-related conditions. Although we maintain disaster response plans and insurance, such events could disrupt our business, the operations of our lending partners or third-party suppliers, and result in losses and additional costs to maintain or resume operations. Our insurance coverage may be insufficient to compensate us for all losses that may occur. In addition, for loans secured by collateral, catastrophic events may also damage or impair collateral or adversely affect collateral values, which could reduce recovery amounts and increase losses.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Acts of war, armed conflict, terrorism, geopolitical unrest, disruptions in global trade, or travel restrictions could cause business disruptions and lead to interruptions, delays or loss of critical data. If our business continuity or disaster recovery plans prove inadequate, or if our personnel, systems or data centers are affected, we may experience interruptions or delays in our operations. To the extent these events adversely affect borrowers’ ability to repay their loans, our business, financial condition and results of operations could be negatively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bookmarkStart w:id="4" w:name="id9282e7a6a384e5ca90c42ba625c5d81_135211"/>
      <w:bookmarkEnd w:id="4"/>
      <w:r>
        <w:rPr>
          <w:rFonts w:ascii="Times New Roman;serif" w:hAnsi="Times New Roman;serif"/>
          <w:b/>
          <w:color w:val="000000"/>
          <w:sz w:val="20"/>
        </w:rPr>
        <w:t>RISKS RELATED TO OUR INTELLECTUAL PROPERTY AND PLATFORM DEVELOPMENT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Security breaches, improper access to our or borrowers’ data, or other security incidents may harm our reputation, adversely affect our results of operations and expose us to liability.</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increasingly dependent on data, information systems, services and infrastructure to operate our business. In the ordinary course of our business, we collect, transmit, store and otherwise process large amounts of sensitive information, including personal information, credit information, and other sensitive data of borrowers and potential borrowers. It is critical that we do so in a manner designed to maintain the confidentiality, integrity, and availability of such information. We also rely on third-party vendors and service providers, including those that support our information technology infrastructure, and certain of these third parties may have access to our systems or sensitive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information technology systems, as well as those of our third-party vendors and service providers, are vulnerable to inadvertent or intentional security breaches, attacks, outages, disruptions and other incidents. The size, complexity, accessibility and distributed nature of our information technology systems, including systems operated by third parties on our behalf, may increase the likelihood or severity of such incidents. These risks may arise from actions by employees, contractors, vendors, lending partners, institutional investors or other third parties, as well as from malicious threat actors. While we continue to invest in security controls and monitoring, no system can provide absolute security, and our controls and any related actions may fail to prevent, detect, or remediate security incidents promptly or at all. In addition, our use of advanced technologies, including AI, may introduce additional cybersecurity risks or be exploited by threat actors, increasing the complexity of managing our security environment.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Like other financial and technology services firms, we and certain vendors and service providers that support us have been, and continue to be, the targets of actual or attempted unauthorized access, mishandling or misuse of information, computer viruses or malware, distributed denial-of-service attacks, other cyberattacks, security breaches or incidents, or other similar events. Security breaches, attacks, outages, disruptions, or other incidents affecting us or our vendors or service providers could compromise the confidentiality, integrity or availability of our systems, proprietary models, algorithms, or data, cause service interruptions, disrupt our operations, degrade the user experience of our platform, or result in unauthorized access to, disclosure of, or other processing of sensitive information, including borrower data. Such incidents could adversely affect borrowers, lending partners and other third parties that rely on our platform and could harm our reputation, reduce loan originations or otherwise adversely affect our business.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Security incidents, whether actual or perceived, may trigger notification obligations, regulatory investigations or enforcement actions, litigation, contractual liability, significant remediation costs, or negative publicity. Any of these consequences could cause borrowers, lending partners, or other third parties to lose confidence in our platform and could harm our reputation. We maintain insurance policies intended to cover certain cybersecurity and privacy-related risks; however, this coverage may be insufficient, unavailable on acceptable terms, subject to exclusions or deductibles, or contested by insurers. Any security incident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Any significant disruption of, or failure in, our technology systems, including our AI lending platform,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depends on the continuous operation, availability and security of our AI lending platform and related technology systems. We rely on these systems to process loan applications, service loans, support underwriting and pricing decisions, and manage data and reporting for our lending partners and institutional investors. Our reliance on electronic loan origination, disclosures and signatures, rather than paper-based processes, may increase the risk of errors or system failures.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also dependent on a number of third-party infrastructure and services, including cloud computing, data storage and network services, to operate our platform. If these services are interrupted, degraded or terminated, whether due to system failures, cyber incidents, human error or other causes, we could experience disruptions in our operations and delays in loan processing or servicing. For example, we host our AI lending platform using AWS, a provider of cloud infrastructure services. In the event that our AWS service agreements are terminated, there is a lapse of service, interruption of internet service provider connectivity, or damage to AWS data centers, we could experience interruptions in access to our platform, as well as delays and additional expense if we must secure alternative cloud infrastructure services, which could reduce confidence in the reliability of our platform and cause lending partners or institutional investors to reduce, suspend or cease funding or other participation on our marketplace.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collect, store, and process large volumes of sensitive borrower and applicant information, as well as proprietary information, including data used to develop, train, and operate our AI models and related technologies. Unauthorized access to or use of our systems or data, or other security breaches or incidents could result in service disruptions, loss of data, including proprietary or AI-related data, regulatory investigations and other proceedings, litigation, remediation costs and reputational harm.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disaster recovery, business continuity and information security controls may not be effective in all circumstances. As our business grows and our technology systems become more complex, we may need to make significant investments to maintain the capacity, reliability and security of our platform. Any failure to effectively manage these risks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platform and internal systems rely on software that is highly technical, and if our software contains undetected errors, our business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platform and internal systems rely on software that is highly technical and complex and depend on the ability of such software to store, retrieve, process and manage high volumes of data. The software on which we rely has contained, and may in the future contain, errors, bugs or defects, some of which may not be discovered until after deployment.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real or perceived errors, bugs, or defects could result in incorrect or delayed processing of loan applications, inaccurate pricing or disclosures, failures in compliance or fraud-detection controls, disruptions to our platform or services, or other operational issues. Any such failures could harm our reputation, reduce borrower or lending partner confidence, cause lending partners or institutional investors to reduce, suspend or terminate their participation or funding, increase regulatory scrutiny, expose us to fines, penalties or liability, or otherwise adversely affect our business, financial condition and results of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 may be difficult and costly to protect our intellectual property rights, and we may not be able to ensure their protection.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ability to operate our platform depends, in part, upon our proprietary technology. We may be unable to protect our proprietary technology effectively, which may allow competitors to duplicate our AI models or AI lending marketplace and adversely affect our ability to compete with them. We rely on a combination of copyright, trade secret, patent, trademark laws and other rights, as well as confidentiality procedures and contractual provisions, to protect our proprietary technology, processes and other intellectual property. We have limited patent protection, and our current patent applications may not be successful. A third party may attempt to reverse engineer or otherwise obtain and use our proprietary technology without our consent. Our failure to secure, protect and enforce our intellectual property rights could adversely affect our brand and adversely impact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proprietary technology, including our AI models, may actually or may be alleged to infringe upon third-party intellectual property rights,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be required to cease using certain technology, limit or change our use of certain data, or make changes to our business to avoid such infringement, any of which could reduce the effectiveness of our AI models or otherwise negatively impact our financial performance. Defending such claims could also be costly, time-consuming and divert management attention.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Moreover, it has become common in recent years for individuals and groups to purchase intellectual property assets for the sole purpose of making claims of infringement and attempting to extract settlements from companies such as ours. Even where we believe such claims are without merit, defending against them may be expensive and time-consuming. In addition, contractual protections or insurance may be insufficient or unavailable to cover all such costs or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Finally, if we are unable to protect, enforce or obtain rights to our proprietary technology, or if third parties successfully challenge those rights, our competitive position and ability to differentiate our platform could be adversely affected, which could in turn harm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Some aspects of our business processes include open source software, and any failure to comply with the terms of one or more of these open source licenses could negatively affect our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incorporate open source software into processes supporting our business. Some of this open source software is governed by licenses such as the GNU General Public License and the Apache License. The terms of various open source licenses have not been definitively interpreted by U.S. courts, and there is a risk that such licenses could be construed in a manner that limits our use of the software, inhibits certain aspects of our systems or otherwise adversely affects our business operations. Certain open source licenses may require that modifications or derivative works be made available under the same license terms. Third parties may seek to enforce the terms of applicable open source licenses, including by demanding the release or licensing of modifications or derivative works. If portions of our proprietary software or AI models are determined to be subject to an open source license, or if license terms are interpreted or change in a manner that imposes additional obligations, we could be required to publicly release source code, re-engineer portions of our platform or models, obtain alternative licenses or change our business practices, any of which could adversely affect our business operations and competitive position.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open source software is generally provided without warranties or assurances regarding its origin, functionality or performance. As a result, open source software may contain vulnerabilities, defects or other issues that could adversely affect our systems. Many of the risks associated with the use of open source software cannot be eliminated and could adversely affect our business, financial condition and results of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use of generative or agentic AI technologies by our employees or contractors could expose us to unexpected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employees and contractors use generative AI technologies in connection with their work, including internally-built generative AI tools that may be integrated into or otherwise impact customer-facing products or services, and the use of such technologies presents risks and challenges that could adversely affect our business. Despite policies governing their use, employee or contractor errors, misuse or unauthorized use of generative AI technologies could result in security incidents and could otherwise introduce security, legal, compliance, or operational risks. Even authorized use of generative AI technologies may generate content, including software code, that is inaccurate, misleading or contains security vulnerabilities. In particular, generative AI tools may produce outputs that appear accurate but are factually incorrect or incomplete, which could result in incorrect information being relied upon by employees or contractors or incorporated into customer-facing products or services. Furthermore, there can be no assurance that our use of generative AI in customer-facing products or services will improve outcomes, enhance user experience, or benefit our business. Use of generative or agentic AI technologies by employees, contractors or others could result in reputational harm, competitive harm or legal liability. In addition, generative AI technologies may introduce cybersecurity risks if vulnerabilities are incorporated into our systems or products. We also use, and may in the future use, agentic AI tools to support servicing or other customer-facing functions, such as customer support, which may increase the risk of errors, inconsistent outputs or failure to adhere to our policies, regulatory obligations or customer expectations.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aspects of the legal framework governing intellectual property rights, licensing, and liability related to generative AI remain unsettled, and our use of such generative AI technologies may expose us to claims of copyright infringement, other intellectual property claims, or reputational harm. While we have taken, and continue to take, steps designed to mitigate risks associated with the use of generative AI in our business, including through policies and controls governing the use of generative AI technologies, our use of AI may present ethical, reputational, legal, competitive, and regulatory risks that could adversely affect our business, financial condition, results of operations, and future prospects.</w:t>
      </w:r>
    </w:p>
    <w:p>
      <w:pPr>
        <w:pStyle w:val="TextBody"/>
        <w:bidi w:val="0"/>
        <w:spacing w:before="0" w:after="0"/>
        <w:ind w:left="0" w:right="0" w:firstLine="720"/>
        <w:jc w:val="both"/>
        <w:rPr/>
      </w:pPr>
      <w:r>
        <w:rPr/>
      </w:r>
    </w:p>
    <w:p>
      <w:pPr>
        <w:pStyle w:val="TextBody"/>
        <w:bidi w:val="0"/>
        <w:spacing w:lineRule="auto" w:line="288" w:before="0" w:after="0"/>
        <w:jc w:val="center"/>
        <w:rPr>
          <w:rFonts w:ascii="Times New Roman;serif" w:hAnsi="Times New Roman;serif"/>
          <w:b/>
          <w:color w:val="000000"/>
          <w:sz w:val="20"/>
        </w:rPr>
      </w:pPr>
      <w:bookmarkStart w:id="5" w:name="id9282e7a6a384e5ca90c42ba625c5d81_135206"/>
      <w:bookmarkEnd w:id="5"/>
      <w:r>
        <w:rPr>
          <w:rFonts w:ascii="Times New Roman;serif" w:hAnsi="Times New Roman;serif"/>
          <w:b/>
          <w:color w:val="000000"/>
          <w:sz w:val="20"/>
        </w:rPr>
        <w:t>RISKS RELATED TO OUR DEPENDENCE ON THIRD PARTIES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proprietary AI models rely in part on the use of loan applicant and borrower data and other third-party data, and if we lose the ability to use such data, or if such data contain inaccuracies, our business could be adversely affected.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on our proprietary AI models, which are statistical models built using a variety of data sets. Our AI models rely on data collected from applicants and borrowers, data obtained from credit bureaus and other third parties, and our historical credit performance data. If the data used by our AI models are inaccurate, incomplete, outdated, biased or otherwise unreliable, or if our access to such data is limited or interrupted, our models may not perform as expected. Evolving regulatory obligations may limit our ability to access, use or control such data or increase the cost of obtaining it. If our access to applicant, borrower or third-party data is restricted, becomes more costly or is otherwise unavailable, our ability to accurately evaluate borrowers, detect fraud and verify applicant information could be compromised, which could negatively affect pricing accuracy, automation levels and loan volume.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Data obtained from third-party sources or provided by applicants may be inaccurate, incomplete, outdated or misleading, including due to reporting errors, staleness or applicant misrepresentation. In particular, data from credit bureaus, data brokers, or other consumer reporting agencies may not accurately reflect an applicant’s or borrower’s actual credit history due to reporting errors, staleness, incompleteness or other inaccuracies. In addition, limitations on data access or data quality could impair our ability to train, validate and improve our AI models over time, and could require us to modify our models or data-usage arrangements, or to require us to share proprietary data, which could reduce our competitive advantage. Any of the foregoing could adversely affect our ability to attract borrowers, lending partners and institutional investors and harm our business, financial condition and results of operations.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rely on strategic relationships with loan aggregators to attract applicants to our marketplace, and if we cannot maintain effective relationships with loan aggregators or successfully replace their services, our business could be adversely affected.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significant number of consumers that apply for a loan on our platform learn about and access our platform through the websites of loan aggregators, typically with hyperlinks from such loan aggregators’ websites to landing pages on our website. While we are continuing to expand our direct acquisition channels, we expect to remain significantly dependent on relationships with loan aggregators to maintain and grow our business. For example, a significant amount of our loan originations has been derived from traffic from Credit Karma, one of the loan aggregators with whom we partner. Loan aggregators are not required to display offers from our lending partners and may work with our competitors. If traffic from loan aggregators decreases in the future for any reason or if loan aggregators implement policies that adversely impact our business, our loan originations and results of operations could be adversely affected. There is no assurance that loan aggregators will continue to partner with us on commercially reasonable terms or at all, and our competitors may be effective in providing incentives to loan aggregators to favor their products or services.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 aggregators also face litigation and regulatory scrutiny for their part in the consumer lending ecosystem, and as a result, their business models may require fundamental change or may not be sustainable in the future. For example, loan aggregators may be required to obtain and maintain licenses or comply with additional regulatory requirements in certain jurisdictions, which could subject them to increased supervision and more stringent business obligations. While we require loan aggregators to make certain disclosures in connection with our lending partners’ offers and restrict how loan aggregators may display such loan offers, loan aggregators may fail to comply with these requirements, which could result in liability to us. Further, we do not have control over any content on loan aggregator websites unrelated to our product, and it is possible that our brand and reputation may be adversely affected by being associated with such content. Borrowers or regulators could also assert claims based on the content presented on a loan aggregator’s website, which could result in litigation, regulatory scrutiny or reputational harm.</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 xml:space="preserve">We rely on third-party vendors, and if such vendors do not perform adequately or terminate their relationships with us, or if regulatory scrutiny of vendor relationships increases, our business could be adversely affected.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relationships with third-party vendors that provide services critical to the operation of our platform. In some cases, our third-party vendors are one of a limited number of sources of such services. For example, we rely on national consumer reporting agencies for a significant portion of the data used in our AI models, as well as third-party verification technologies and services that are critical to maintaining a high level of automation on our platform. We also rely on third-party payment processors or banks to access payment networks and process loan 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Many of our vendor agreements are terminable by either party without penalty and with little notice. If any third-party vendor terminates its relationship with us or refuses to renew its agreement on commercially reasonable terms, we would need to identify an alternative provider and may not be able to secure similar terms or replace such services in an acceptable time frame. We also rely on other software and services supplied by vendors, and our business may be adversely affected if such services do not meet our expectations or experience disruptions or outages.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our third-party vendors fail to comply with applicable laws, regulations or contractual obligations, including with respect to privacy, data protection or security, we could experience service disruptions, regulatory enforcement actions, consumer demands or litigation, and suffer economic or reputational harm. Regulators have increasingly emphasized that supervised financial institutions may be held responsible for the actions of their third-party service providers. As a service provider to regulated financial institutions, we are subject to increased regulatory expectations regarding vendor oversight, due diligence and ongoing monitoring. If we or our vendors fail to meet these expectations, we or our lending partners could be subject to supervisory actions, enforcement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proceedings or remedial requirements, which could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We are subject to counterparty risk with respect to the capped call transactions.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counterparties to the capped call transactions entered into in connection with certain of our convertible notes (the “Notes”) are financial institutions, and we are subject to the risk that one or more of the counterparties may default or otherwise fail to perform their obligations under the capped call transactions. Our exposure to the credit risk of the counterparties will not be secured by any collateral. Adverse global economic conditions could affect the financial condition of these counterparties. If a counterparty to a capped call transaction becomes subject to bankruptcy or other insolvency proceedings, we will become an unsecured creditor in those proceedings with a claim equal to our exposure at the time under the relevant capped call transaction. Our exposure will depend on many factors but, generally, our exposure will increase to the extent there is an increase in our common stock market price and in the volatility of the market price of our common stock. In addition, if a counterparty fails to perform or its obligations under a capped call transaction are terminated, we may suffer adverse consequences and may experience greater dilution of our common stock than we otherwise would have expected. We can provide no assurance as to the financial stability or viability of any of the counterparties.</w: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bookmarkStart w:id="6" w:name="id9282e7a6a384e5ca90c42ba625c5d81_135210"/>
      <w:bookmarkEnd w:id="6"/>
      <w:r>
        <w:rPr>
          <w:rFonts w:ascii="Times New Roman;serif" w:hAnsi="Times New Roman;serif"/>
          <w:b/>
          <w:color w:val="000000"/>
          <w:sz w:val="20"/>
        </w:rPr>
        <w:t>RISKS RELATED TO REGULATION AND LITIGATION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Litigation, regulatory actions and compliance issues could subject us to significant fines, penalties, judgments, remediation costs and other adverse consequences.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have been named as a defendant in various legal actions, including securities class action lawsuits and other litigation. These matters may arise from claims relating to consumer protection, lending, servicing, collections, credit reporting, marketing or other aspects of our business. Legal and regulatory actions are inherently unpredictable and, regardless of the merits of the claims, are often expensive, time-consuming, disruptive to our operations and resources, and distracting to management.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matters may involve claims for substantial or indeterminate damages, including statutory damages, penalties assessed on a per-violation basis, or class-wide relief, which could exceed amounts we earned from the underlying activities and may not be fully covered by insurance. Our involvement in any such matters could also cause significant harm to our or our lending partners’ reputations, even if the matters are ultimately resolved in our favor. If resolved against us, such actions could result in significant monetary damages, injunctive or equitable relief, remediation requirements or other adverse consequences that may affect our financial condition and how we operate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participants in the consumer financial services industry, including financial technology companies, have been subject to state attorney general actions and regulatory enforcement proceedings alleging violations of consumer protection, lending, licensing, fair lending or other laws. Any such actions involving us could require significant operational changes, remediation payments or restrictions on our business. In addition, if our arbitration provisions were found to be unenforceable or otherwise limited, our exposure to class action litigation and related costs could increase. From time to time, we may also identify compliance issues that require operational changes or remediation to impacted borrowers, which could result in additional costs, litigation or regulatory scrutiny. The outcome of pending and future legal or regulatory matters could be material to our results of operations, financial condition and cash flows and could materially adversely affect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Our business is subject to a wide range of laws and regulations, many of which are evolving, and failure or perceived failure to comply with such laws and regulations could harm our business, financial condition and results of operations. </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numerous federal, state and local laws and regulations aimed at consumer protection in the financial services industry. These laws and regulations are complex, evolving and subject to varying interpretations, including with respect to the application of AI and machine learning technologies and the bank partnership model. The application of these laws and regulations may change over time as new products are introduced, regulatory priorities evolve, or judicial or administrative interpretations develop.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New laws, regulations and regulatory interpretations continue to be adopted and may subject us to increased scrutiny, compliance obligations or operational constraints. As we expand into new markets, introduce new financial products and services and continue to evolve our AI models, additional regulatory requirements may apply. In some cases, we may be required to obtain or maintain licenses or approvals, and regulators could deny applications, delay approvals, impose conditions, levy fines or penalties, or otherwise restrict our ability to operate our marketplace.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be subject to heightened regulatory supervision or enforcement at the federal or state level, including by the CFPB, state attorneys general or other regulatory agencies. Federal and state regulators have increased scrutiny of fees and practices that may be viewed as unfair, deceptive or abusive, and fees charged in connection with loans facilitated through our marketplace could be subject to challenge or refund.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State regulators have also increased scrutiny of financial technology companies and bank partnership arrangements, including through licensing requirements, enforcement actions or the adoption of laws regulating such relationships. Our business and the activities we facilitate for our lending partners are subject to extensive federal and state laws governing consumer lending, loan servicing and collections, credit reporting, fair lending, privacy and data protection, debt collection, electronic payments, marketing and communications, and related financial services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the regulatory framework governing the development and use of AI and machine learning technology is evolving and remains uncertain. Federal and state regulators have increased scrutiny of AI-driven decision-making, including in consumer lending, and have proposed or adopted laws, regulations and guidance addressing AI governance, transparency and discrimination risks. Regulators may require us to demonstrate robust governance, testing, validation, monitoring, documentation and explainability for our AI models and related decisioning processes. In some cases, regulators may seek explanations for specific model outputs or outcomes, which may be difficult, costly or impractical given the complexity of our models. If we are unable to satisfy evolving expectations relating to AI governance or explainability, we may be required to modify, destroy, limit or discontinue certain models, features, data or products, increase manual review or incur additional compliance costs. Certain state laws regulating “high-risk” AI systems may impose additional compliance, governance, disclosure and risk management obligations.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use of AI and automated decision-making may also expose us to increased risk of regulatory enforcement actions and other proceedings, supervisory findings or private litigation, including claims alleging discriminatory or disparate impact, unfair or deceptive practices or improper reliance on automated decision making. Such actions or claims, regardless of merit, could result in significant legal costs, remediation requirements, civil penalties, other liabilities, reputational harm or restrictions on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While compliance is a business priority, it is costly, time-consuming and may limit our operational flexibility. Changes in law, regulation or regulatory interpretation could restrict interest rates, fees or loan structures, require additional licensing or compliance obligations, or otherwise limit the availability of loans facilitated through our marketplace. If we are found to be non-compliant with applicable laws or regulations, we could be subject to fines, penalties, enforcement actions, loss of licenses or authorizations, litigation or other remedies, and loans facilitated through our marketplace could be rendered void, unenforceable, capped at state specific rates or subject to rescission, any of which could harm our business, financial condition and results of operations. For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pPr>
      <w:r>
        <w:rPr>
          <w:rFonts w:ascii="Times New Roman;serif" w:hAnsi="Times New Roman;serif"/>
          <w:b w:val="false"/>
          <w:color w:val="000000"/>
          <w:sz w:val="20"/>
        </w:rPr>
        <w:t xml:space="preserve">discussion of risks related to regulation of our bank partnership model and true lender considerations, see the risk factor titled </w:t>
      </w:r>
      <w:r>
        <w:rPr>
          <w:color w:val="000000"/>
        </w:rPr>
        <w:t>“—</w:t>
      </w:r>
      <w:r>
        <w:rPr>
          <w:rFonts w:ascii="Times New Roman;serif" w:hAnsi="Times New Roman;serif"/>
          <w:b w:val="false"/>
          <w:i/>
          <w:color w:val="000000"/>
          <w:sz w:val="20"/>
        </w:rPr>
        <w:t>If loans originated by our lending partners were found to violate state law, loans facilitated through our marketplace may be unenforceable or otherwise impaired, we or our lending partners, institutional investors or warehouse lenders may face fines and penalties, and our commercial relationships may suffer, each of which would adversely affect our business and results of operations”</w:t>
      </w:r>
      <w:r>
        <w:rPr>
          <w:color w:val="000000"/>
        </w:rPr>
        <w:t xml:space="preserve"> </w:t>
      </w:r>
      <w:r>
        <w:rPr>
          <w:rFonts w:ascii="Times New Roman;serif" w:hAnsi="Times New Roman;serif"/>
          <w:b w:val="false"/>
          <w:color w:val="000000"/>
          <w:sz w:val="20"/>
        </w:rPr>
        <w:t xml:space="preserve">for more information.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We have been in the past and may in the future be subject to federal and state regulatory inquiries, investigations or enforcement actions, which could adversely affect our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received, and may continue to receive, inquiries, examinations or investigations from federal, state or local regulatory authorities regarding our business, including our marketplace activities, marketing practices, underwriting and pricing, fair lending compliance, licensing and registration requirements. Responding to such matters can be time-consuming and costly, may divert management attention and resources, and could result in supervisory findings, enforcement actions, fines, penalties, remedial requirements and/or restrictions on our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Regulatory inquiries or investigations, whether or not they result in formal enforcement action or are ultimately resolved in our favor, may be made public and could harm our reputation, increase scrutiny from other regulators or market participants, and negatively affect borrower, lending partner or investor confidence. The initiation or perception of regulatory investigations could also adversely affect the market price of our common stock. Any adverse outcomes arising from regulatory matters could materially affect our business, financial condition, results of operations and cash flows.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The CFPB and other consumer protection regulators have broad authority over our business, and increased supervision or enforcement could adversely affect our business.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CFPB has broad authority to regulate and enforce compliance with federal consumer financial protection laws, including the prohibition on UDAAP, and laws governing lending, servicing, collections, credit reporting and related activities. The CFPB also has supervisory authority over certain banks, thrifts and credit unions and certain participants in the consumer financial services market and larger participants in other areas of financial services, including some of our lending partners and our home lending business, and has authority to supervise or investigate other non-bank entities it determines may pose risks to consumers.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Consumer complaints, supervisory findings or enforcement actions, whether involving us, our lending partners, or other market participants, could increase regulatory scrutiny of our business. If the CFPB were to subject us or our subsidiaries to supervision or initiate enforcement proceedings, it could require operational changes, remediation to borrowers, civil monetary penalties, restrictions on our activities or other remedial 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cannot predict how the CFPB or other regulators will exercise their authority in the future or how changes in regulatory priorities or interpretations may affect our business. The CFPB and other regulators have increased scrutiny of the use of alternative data, machine learning and AI-based decision-making in consumer lending, including with respect to fair lending compliance. If regulators determine that aspects of our AI models, disclosures, servicing or collections practices do not comply with applicable laws, we could be required to modify or discontinue products or practices, incur additional compliance costs or face enforcement 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we have committed resources to enhancing our compliance programs, regulatory actions involving us, our lending partners, or other market participants could result in reputational harm, loss of lending partners, borrowers or institutional investors, or reduced demand for loans facilitated through our marketplace. Any of the foregoing could adversely affect our business, financial condition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loans originated by our lending partners were found to violate state law, loans facilitated through our marketplace may be unenforceable or otherwise impaired, we or our lending partners, institutional investors or warehouse lenders may face fines and penalties, and our commercial relationships may suffer, each of which would adversely affect our business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establishing the interest rates and fee structures charged to borrowers on loans originated through our marketplace, our lending partners rely on federal law preemption of state law to export the interest rate requirements of their home states. We, our securitization vehicles, our institutional investors, and warehouse credit facilities similarly rely on the ability to enforce the agreed-upon loan terms following the sale or assignment of such loans. States have enacted, and may continue to enact, laws or take regulatory or enforcement actions that seek to limit interest rate exportation, challenge federal preemption, impose additional licensing requirements or otherwise restrict bank-partnership lending models.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Usury, fee and disclosure-related claims involving Upstart-powered loans may be raised through litigation, government enforcement or other challenges. Certain courts, regulators and private plaintiffs have challenged, and may continue to challenge, the enforceability of bank-originated loans following their sale or assignment to non-bank entities.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states have enacted, and may continue to enact, “true lender” or similar laws or apply regulatory or judicial tests to determine whether a non-bank platform is deemed to be the lender for purposes of state consumer lending laws. If a borrower or state authority were to successfully assert that we, rather than our lending partners, are the true lender of loans facilitated through our marketplace, such loans could be unenforceable, subject to limits on the interest that can be collected, rescission or otherwise impaired, and we or other program participants could face monetary, injunctive or other penalties.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Loans originated through Upstart’s marketplace are originated in reliance on our lending partners being the “true lenders” for such loans. Their status as the originating lender determines various loan program details, including the interest rates and fees permissible at origination, since the loan terms and lending practices are set by duly chartered banks or credit unions. Because the loans facilitated by our marketplace are originated by our lending partners, many state consumer financial regulatory requirements, including state usury restrictions, licensing requirements and certain requirements under state consumer credit laws, are inapplicable to the loans, based on principles of federal preemption.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While we have taken steps to structure our programs in compliance with applicable laws and guidance, there can be no assurance that future regulatory, legislative or judicial developments will not adversely affect the enforceability or transferability of Upstart-powered loans, or the willingness of lending partners or investors to participate in our marketplace.</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The collection, use, storage, sharing and other processing of personal information subjects us to privacy and data protection laws and regulations, and failures to comply could adversely affect our business.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receive, transmit, store and otherwise process large volumes of personal information and other sensitive data from applicants and borrowers. In some cases, this information may include sensitive or biometric data as defined by applicable state law. We share personal information with lending partners and, in more limited circumstances, with institutional investors, subject to contractual, legal and regulatory requirements.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and our lending partners are subject to a growing body of federal and state privacy and data protection laws and regulations governing the collection, use, disclosure, storage, safeguarding and other processing of personal information. These laws and regulations are evolving and subject to differing interpretations, and impose obligations relating to disclosure, consent, data security, data use, data retention, automated decision making and other aspects of data processing. For example, we are subject to privacy and data protection requirements under laws such as the Gramm-Leach-Bliley Act, which are enforced by regulators including the CFPB and the FTC, and violations may be treated as unfair or deceptive acts or practices.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Regulators have increased scrutiny of data security practices, third-party data sharing and user interface or design practices that may be viewed as unfair, deceptive or manipulative. In addition, state privacy laws, including those adopted in California and other jurisdictions, impose additional compliance obligations and have been the basis for increased regulatory enforcement and private litigation.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efforts to comply with current and future privacy and data protection laws and regulations could result in increased compliance, technical or operating costs and may require us to modify our data infrastructure, data processing practices or business operations. Any actual or perceived violations of these laws and regulations could result in regulatory investigations, enforcement actions and other proceedings, litigation, contractual liability with lending partners, investors, or vendors, remediation costs, reputational harm or restrictions on our ability to operate our business, which could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If we are deemed to be an investment company, investment adviser or broker-dealer, or if our securities-related activities fail to comply with applicable laws, our business could be materially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that neither we nor our subsidiaries are required to register as an investment company under the Investment Company Act of 1940, as amended, because we are primarily engaged in operating an AI-based lending marketplace and providing technology and related services to lending partners. However, the SEC or its staff could disagree with our analysis, including with respect to whether loans or interests in loans held on our balance sheet constitute “investment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were deemed to be an investment company, we could be required to institute burdensome compliance requirements and be subject to restrictions on our activities, transactions with affiliates, borrowings and capital structure, as well as additional reporting and governance obligations, any of which could materially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also believe that neither we nor our subsidiaries are required to register as an investment adviser under the Investment Advisers Act of 1940, as amended, or as a broker-dealer under the Exchange Act, based on the nature of our activities and applicable guidance. However, regulatory interpretations or guidance could change, or regulators could disagree with our positions. If we or any of our subsidiaries were required to register or notice-file as an investment adviser or broker-dealer, or otherwise become subject to such regulatory regimes, we could be required to make significant changes to our business operations, compensation structures, marketing practices or 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transactions involving institutional investors or loan financing arrangements may rely on exemptions from registration under the Securities Act, including Regulation D or Section 4(a)(2). If such transactions were found not to qualify for an exemption or otherwise violate securities laws, we could be subject to rescission claims, enforcement actions, civil penalties or restrictions on future financing activities, including potential “bad actor” disqualification. Any of the foregoing could materially adversely affect our business,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Anti-money laundering, sanctions and anti-corruption laws could adversely affect our business.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anti-money laundering, counter-terrorism financing, economic sanctions and anti-corruption laws and regulations, including the Bank Secrecy Act, the USA PATRIOT Act, sanctions administered by the Office of Foreign Assets Control and the Foreign Corrupt Practices Act, either directly or through our lending partners who are subject to such laws. These laws impose obligations related to borrower due diligence, transaction monitoring, recordkeeping, reporting and restrictions on dealings with sanctioned persons or jurisdictions.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Despite our compliance efforts, we cannot provide assurance that our policies, procedures and controls will be effective to prevent violations of these laws by us, our employees, agents, vendors, lending partners or other third parties. Violations or perceived violations of these laws could result in significant fines, penalties, remediation costs, contractual liability, restrictions on our activities and reputational harm, any of which could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before="0" w:after="0"/>
        <w:ind w:left="0" w:right="0" w:firstLine="720"/>
        <w:jc w:val="left"/>
        <w:rPr/>
      </w:pPr>
      <w:r>
        <w:rPr/>
      </w:r>
    </w:p>
    <w:p>
      <w:pPr>
        <w:pStyle w:val="TextBody"/>
        <w:bidi w:val="0"/>
        <w:spacing w:before="0" w:after="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RISKS RELATED TO INDEBTEDNESS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We rely on borrowings under our warehouse credit facilities and risk retention financing facilities to fund certain aspects of our operations, and any inability to meet our obligations as they come due or to comply with various covenants or representations contained in our warehouse credit facilities could harm our business.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rely on borrowings under warehouse credit facilities and risk retention financing facilities to fund certain aspects of our operations, including financing loans and retained interests. These facilities are collateral-based and are secured by loans or securitization-related assets held by SPEs. Our ability to access and maintain these facilities depends on the performance and value of the underlying collateral, compliance with applicable covenants and representations, and the continued willingness of lenders to provide financing.</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warehouse credit facilities and risk retention financing facilities contain operating and financial covenants and other requirements, and under certain circumstances lenders may reduce availability, require repayment of outstanding borrowings, impose additional conditions or terminate their commitments. If we fail to comply with these requirements or experience an event of default, we could be required to repay borrowings, post additional collateral, liquidate assets at unfavorable prices or seek alternative financing, which may be more costly or unavailable.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reduction, suspension or termination of these financing arrangements could limit our ability to purchase or hold loans, reduce loan origination volumes, increase our funding costs or require greater reliance on our balance sheet. If we are unable to obtain replacement financing on acceptable terms, or at all, our business, financial condition and results of operations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Corporate and asset-backed debt ratings could adversely affect our ability to support loan funding for our marketplace at attractive rates, which could negatively affect our results of operations, financial condition and liquidity.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unsecured senior corporate debt may be unrated or rated by a limited number of credit rating agencies. Asset-backed securities sponsored or co-sponsored by us may be rated by a limited number of credit rating agencies. Ratings assigned to us or to asset-backed securities backed by Upstart-powered loans reflect rating agencies’ opinions regarding the credit performance of the underlying receivables, the ability of cash flows to service interest and repay principal, and the performance of us and other service providers under the applicable transaction documents.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asset-backed securities have been subject to downgrades in the past, and any future downgrade, withdrawal or non-publication of ratings could reduce investor demand, increase funding costs or otherwise limit our ability to provide liquidity or financing to our lending partners and institutional investors. The absence of a corporate debt rating, limited ratings coverage, or adverse rating actions with respect to our asset-backed securities could adversely affect our liquidity,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may need to raise additional funds in the future, including through equity, equity-linked, or debt financings, to support business growth, and those funds may not be available on acceptable terms, or at all.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continue to make investments to support our business growth and may require additional funds to respond to business challenges, including developing new loan products, enhancing our AI models, supplementing loan funding, improving our operating infrastructure, acquiring complementary businesses or technologies, or making strategic investments. As a result, we may need to raise additional capital through equity, equity-linked or debt financings.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raise additional funds by issuing equity or equity-linked securities, our stockholders may experience dilution. Debt financing, if available, may involve protective provisions or covenants that restrict our operations or financial flexibility, and any financing we obtain may contain terms that are not favorable to us or our stockholders. If we are unable to obtain adequate financing on satisfactory terms when required, we may be unable to pursue certain business opportunities, respond effectively to business challenges or continue to support our business growth, which could adversely affect our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issued the Notes and may issue additional equity-linked or debt securities in the future. Holders of the Notes may have the right to require us to repurchase their Notes upon the occurrence of certain events, and upon conversion we may be required to make cash payments unless we elect to settle conversions solely in shares of our common stock. We are also required to repay the Notes in cash at maturity unless earlier converted, redeemed or repurchased. We may not have sufficient cash or be able to obtain financing at the times required to meet these obligations, and our ability to do so may be limited by law, regulatory authority or agreements governing our indebtedness. Any failure to meet these obligations could result in defaults or cross-defaults that adversely affect our liquidity,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Provisions in the Indentures governing the Notes may deter or prevent a business combination that may be favorable to you.</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 fundamental change (as defined in the applicable Indenture governing the Notes (each an “Indenture”)) occurs prior to the maturity date for a series of Notes, holders of the applicable series of Notes will have the right, at their option, to require us to repurchase all or a portion of such Notes. In addition, if a make-whole fundamental change (as defined in the applicable Indenture governing the Notes) occurs prior to the maturity date of the applicable series of Notes, we may be required to increase the conversion rate for holders that elect to convert their Notes in connection with such make-whole fundamental change, in the manner specified in the applicable Indenture.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Furthermore, the Indentures restrict our ability to engage in certain mergers, consolidations or similar transactions unless, among other things, the surviving entity assumes our obligations under the Notes. These and other provisions in the Indentures could discourage, delay or prevent a third party from acquiring us or otherwise engaging in a transaction that may be favorable to our stockholders.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TAXES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Our ability to use our deferred tax assets to offset future taxable income may be subject to certain limitations, which may have a material impact on our result of operations.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we have recorded a valuation allowance to recognize only deferred tax assets that are more likely than not to be realized in the U.S. federal, state and local tax jurisdictions. We assess available positive and negative evidence to determine whether sufficient future taxable income will be generated to utilize our deferred tax assets. Certain deferred tax assets may expire unused or underutilized, which could prevent us from offsetting future taxable income.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also be limited in the portion of NOLs that we can use to offset taxable income for U.S. federal and state income tax purposes. The Tax Cuts and Jobs Act made significant changes to the utilization of NOLs. In addition, under Section 382 of the Internal Revenue Code of 1986, as amended, an ownership change may limit our ability to utilize NOLs. Future changes in our stock ownership, including equity issuances, share repurchases or other transactions, could result in an ownership change for this purpose. Limitations may also apply under state and local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continue to assess the realizability of our deferred tax assets, and future adjustments to our valuation allowance may be required, which could materially affect our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Changes in tax laws could have a material adverse effect on our business, financial condition and results of operations.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subject to U.S. federal, state and local taxes in the jurisdictions in which we operate, and applicable tax laws and rates vary and are subject to interpretation and change. We may be subject to examination by tax authorities on income, employment, and other tax matters. Although we regularly assess the adequacy of our tax provisions, there can be no assurance that such provisions will be sufficient or will not be subject to challenge or that an adverse determination would not have a material effect on our business,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the ultimate amount of tax payable in a given financial statement period may be impacted by changes in tax laws, interpretations, accounting rules or the geographic mix of our earnings, which could cause our tax obligations to differ materially from amounts recorded in our financial statements. As a result, our tax provision involves significant judgment and uncertainty, and fluctuations in our ultimate tax liabilities could materially affect our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application of indirect taxes, such as sales and use tax, value-added tax, digital services tax, gross receipts tax, and other similar taxes to platform and financial technology businesses is complex and evolving. Many of the statutes and regulations that impose these taxes were established before the adoption and growth of the Internet and e-commerce. Significant judgment is required to evaluate applicable tax obligations, and as a result, amounts recorded are estimates and are subject to adjustments. In many cases, the ultimate tax determination is uncertain because it is not clear how new and existing statutes might apply to our business. Proposed or newly enacted laws or interpretations regarding indirect taxes could increase our compliance obligation. Any failure by us to prepare for or comply with applicable reporting and record-keeping requirements could result in penalties and other sanctions and could adversely affect our financial condition and results of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faced, and may face in the future, indirect tax audits in various U.S. jurisdictions. Tax authorities may challenge our calculation, reporting or collection of taxes and may require us to collect taxes in jurisdictions in which we do not currently do so or to remit additional taxes and interest, and could impose associated penalties and fees. Although we have recorded reserves for potential payments of past tax liabilities in our financial statements, a successful assertion by one or more tax authorities could result in substantial tax liabilities in excess of such reserves as well as penalties and interest, and could harm our business, financial condition and results of operations. As a result, the ultimate amount of tax obligations owed may differ from the amounts recorded in our financial statements, and any such difference may adversely impact our results of operations in future years in which we change our estimates of our tax obligations or in which the ultimate tax outcome is determined.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trading price of our common stock may be volatile, and you could lose all or part of your investment.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trading price of our common stock may be volatile and could fluctuate significantly in response to various factors, many of which are beyond our control. These fluctuations could cause you to lose all or part of your investment. Factors that could affect the trading price of our common stock include general market and economic conditions, volatility in the trading prices of financial technology and technology companies, changes in interest or inflation rates, a reduction in the availability of loan funding and liquidity from lending partners and institutional investors, quarterly fluctuations in demand for the loans we facilitate through our marketplace, changes in our operating performance or results of operations, sales or issuances of shares of our common stock, whether in connection with an acquisition or upon conversion of some or all of the outstanding Notes, analyst coverage or reports, announcements by us or our competitors, litigation or regulatory actions, data security incidents, changes in laws or accounting standards, developments relating to our intellectual property, market perception of our AI models, changes in the competitive landscape, and other events or factors beyond our control.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stock market has experienced extreme price and volume fluctuations that have often been unrelated or disproportionate to the operating performance of individual companies. As a result, the market price of our common stock may be affected by factors unrelated to our operating performance. In addition, securities class action litigation such as the litigation we are subject to has often been instituted following periods of market volatility, which could result in substantial costs and divert management’s attention and resources, potentially harming our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capped call transactions entered into in connection with the issuance of certain of the Notes may affect the market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certain of the Notes, we entered into privately negotiated capped call transactions with certain financial institutions as counterparties. These capped call transactions are expected generally to reduce the potential dilution to our common stock upon any conversion of the applicable Notes and/or offset any cash payments we may be required to make in excess of the principal amount of such converted Notes, as the case may be, with such reduction and/or offset subject to a cap.</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applicable series of Notes. This activity could also cause or prevent an increase or a decrease in the market price of our common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Certain insiders have significant voting power, which could limit your ability to influence the outcome of key transactions, including a change of control.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directors, officers, and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large number of shares of our capital stock eligible or registered for public sale could depress the market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market price of our common stock could decline as a result of sales of a large number of shares of our common stock, or the perception that such sales could occur. Subject to applicable vesting conditions and compliance with our insider trading policies, shares issued upon the settlement of equity awards or other equity issuances may be available for resale in the open market. In addition, shares may be sold into the market in connection with “sell-to-cover” transactions to satisfy tax withholding obligations upon the vesting of equity awards, which could increase selling pressure on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from time to time register shares for resale or issue shares in connection with financings or other transactions. We have an effective shelf registration statement on Form S-3ASR that permits us to offer and sell shares of our common stock, including through an ATM Program. Sales of our shares could make it more difficult for us to sell equity securities in the future at times and prices that we deem appropriate, could cause the trading price of our common stock to decline, and could make it more difficult for stockholders to sell their shares.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You may be diluted by the future issuance of additional common stock in connection with our equity incentive plans, acquisitions or otherwise.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may issue additional shares of our common stock in the future in connection with financings, acquisitions, investments, our equity incentive plans or otherwise. We expect to continue granting equity awards to employees, directors and consultants under our equity incentive plans, and we may also raise capital through equity financings in the future. Any common stock that we issue pursuant to equity incentive plans, financings or acquisitions could dilute the percentage ownership held by existing stockholders and could result in a decline in the per-share value of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Transactions relating to the Notes may dilute the ownership interest of stockholders, or may otherwise depress the price of our common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Notes are converted by holders, we are required under the applicable Indentures to pay or deliver, as the case may be, cash, shares of our common stock, or a combination of cash and shares of common stock, at our election. If we elect to deliver shares of common stock upon conversion of the Notes, it would dilute the ownership interests of existing stockholders. Any sales in the public market of the common stock issuable upon such conversion could adversely affect prevailing market prices of our common stock. In addition, certain holders of the Notes may engage in short selling to hedge their position in the Notes. Anticipated future issuances of shares of our common stock upon conversion of the Notes could depress the price of our common stock.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Delaware law and provisions in our amended and restated certificate of incorporation and amended and restated bylaws could make a merger, tender offer, or proxy contest difficult, thereby depressing the market price of our common stock.</w:t>
      </w:r>
    </w:p>
    <w:p>
      <w:pPr>
        <w:pStyle w:val="TextBody"/>
        <w:bidi w:val="0"/>
        <w:spacing w:before="0" w:after="0"/>
        <w:jc w:val="both"/>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unless certain conditions are met,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Board of Directors is classified into three classes with staggered three-year terms and directors may only be removed for cause;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vacancies and newly-created seats on our Board of Directors will be able to be filled only by our Board of Directors and not by stockholders;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only the Chair of our Board of Directors, our Chief Executive Officer, our president, or a majority of our entire Board of Directors are authorized to call a special meeting of stockholders;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certain litigation against us or our directors, stockholders, officers or employees can only be brought in Delaware;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advance notice procedures apply for stockholders to nominate candidates for election as directors or to bring matters before an annual meeting of stockholders;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any amendment of the above anti-takeover provisions in our amended and restated certificate of incorporation or amended and restated bylaws will require the approval of at least 66 2/3% of the combined voting power of our then-outstanding shares of our capital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amended and restated bylaws designate a state or federal court located within the State of Delaware (or any federal district court for Securities Act claims) as the exclusive forum for substantially all disputes between us and our stockholders, which could limit our stockholders’ ability to choose the judicial forum for disputes with us or our directors, officers or employees.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stockholders,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in all cases subject to the court having jurisdiction over the claims at issue and the indispensable parties; provided that the exclusive forum provision will not apply to suits brought to enforce any liability or duty created by the Exchange Act.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are the sole and exclusive forum for resolving any complaint asserting a cause of action arising under the Securities Act. Although we believe these provisions are enforceable, there is uncertainty as to whether a court would enforce such forum-selection provisions, and if a court were to find them unenforceable, we could incur additional costs associated with resolving disputes in other jurisdictions.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person or entity purchasing, holding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or other courts have exclusive jurisdiction. If a court were to find either of the exclusive-forum provisions in our amended and restated bylaws to be inapplicable or unenforceable in an action, we may incur additional costs associated with resolving the dispute in other jurisdictions, which could harm our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common stock market price and trading volume could decline if equity or industry analysts do not publish research or publish inaccurate or unfavorable research about our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could cause the price and trading volume of our common stock to decline.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We do not intend to pay dividends for the foreseeable future.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corporate debt agreements may preclude us from paying dividends. As a result, capital appreciation of our common stock, if any, will be the only way for stockholders to realize any future gains on their investment for the foreseeable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240" w:after="283"/>
        <w:jc w:val="left"/>
        <w:rPr/>
      </w:pPr>
      <w:r>
        <w:rPr>
          <w:rFonts w:ascii="Times New Roman;serif" w:hAnsi="Times New Roman;serif"/>
          <w:b/>
          <w:color w:val="000000"/>
          <w:sz w:val="22"/>
        </w:rPr>
        <w:t xml:space="preserve">ITEM 2. UNREGISTERED SALES OF EQUITY SECURITIES </w:t>
      </w:r>
      <w:r>
        <w:rPr>
          <w:rFonts w:ascii="Times New Roman;serif" w:hAnsi="Times New Roman;serif"/>
          <w:b/>
          <w:color w:val="000000"/>
          <w:sz w:val="22"/>
          <w:shd w:fill="FFFFFF" w:val="clear"/>
        </w:rPr>
        <w:t>AND USE OF PROCEEDS</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288" w:before="60" w:after="283"/>
        <w:jc w:val="left"/>
        <w:rPr/>
      </w:pPr>
      <w:hyperlink w:anchor="i4e4556f17bf94cb38bcb851dbc6bbb8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Upstart Holdings, Inc.</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Securities Trading Plans of Executive Officers and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some of the Company’s executive officers or directors may enter into trading plans that are designed to comply with the Company’s Insider Trading Policy and intended to satisfy the affirmative defense conditions of Rule 10b5-1(c) of the Exchange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 following officers (as defined in Rule 16a-1(f) of the Exchange Act) of the Company each adopted a “Rule 10b5-1 trading arrangement” (as defined under Item 408(a) of Regulation 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and title of officer: Andrea Blankmeyer, Chief Financial Officer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of adoption: May 16,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Duration of the trading arrangement: Through December 18, 2026 or earlier if all transactions under the trading arrangement are completed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Aggregate number of securities to be sold from time to time: up to 43,784 shares, including shares to be received upon the vesting of RSUs (including any RSU grants awarded during the duration of the trading arrangement), net of shares withheld to cover tax obligations upon the vesting.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and title of officer: Scott Darling, Chief Legal Officer and Secretary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of adoption: May 13, 2026</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Duration of the trading arrangement: Through February 28, 2027 or earlier if all transactions under the trading arrangement are completed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Aggregate number of securities to be sold from time to time: up to 260,344 shares, including shares issuable upon the exercise of outstanding options upon reaching the pricing targets defined in the trading arrangement, plus any additional shares to be received upon the vesting of RSUs to occur on various dates within the duration of the trading arrangement, net of shares withheld to cover tax obligations upon the vesting, plus any shares purchased under the ESPP.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and title of officer: Natalia Mirgorodskaya, Chief Accounting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of adoption: May 22,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Duration of the trading arrangement: Through March 2, 2027 or earlier if all transactions under the trading arrangement are completed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Aggregate number of securities to be sold from time to time: up to 28,243 shares, including shares issuable upon the exercise of outstanding options upon reaching the pricing targets defined in the trading arrangement, and shares to be received upon the vesting of RSUs (including any RSU grants awarded during the duration of the trading arrangement), net of shares withheld to cover tax obligations upon the vesting, and any shares purchased under the ESPP.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 of the Company’s other officers or directors adopted, modified, or terminated a “Rule 10b5-1 trading arrangement” or adopted, modified, or terminated a “non-Rule 10b5-1 trading arrangement” (as defined under Item 408(a) of Regulation S-K) during the quarter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exhibits listed below are filed as part of this Quarterly Report on Form 10-Q or are incorporated herein by reference, in each case as indicated below.</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EXHIBIT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57"/>
        <w:gridCol w:w="313"/>
        <w:gridCol w:w="314"/>
        <w:gridCol w:w="109"/>
        <w:gridCol w:w="109"/>
        <w:gridCol w:w="109"/>
        <w:gridCol w:w="1622"/>
        <w:gridCol w:w="1622"/>
        <w:gridCol w:w="1637"/>
        <w:gridCol w:w="109"/>
        <w:gridCol w:w="109"/>
        <w:gridCol w:w="109"/>
        <w:gridCol w:w="195"/>
        <w:gridCol w:w="195"/>
        <w:gridCol w:w="196"/>
        <w:gridCol w:w="109"/>
        <w:gridCol w:w="109"/>
        <w:gridCol w:w="109"/>
        <w:gridCol w:w="185"/>
        <w:gridCol w:w="185"/>
        <w:gridCol w:w="161"/>
        <w:gridCol w:w="121"/>
        <w:gridCol w:w="121"/>
        <w:gridCol w:w="121"/>
        <w:gridCol w:w="245"/>
        <w:gridCol w:w="245"/>
        <w:gridCol w:w="246"/>
        <w:gridCol w:w="121"/>
        <w:gridCol w:w="121"/>
        <w:gridCol w:w="121"/>
        <w:gridCol w:w="225"/>
        <w:gridCol w:w="225"/>
        <w:gridCol w:w="330"/>
      </w:tblGrid>
      <w:tr>
        <w:trPr/>
        <w:tc>
          <w:tcPr>
            <w:tcW w:w="35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15"/>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Incorporated by Reference</w:t>
            </w:r>
          </w:p>
        </w:tc>
      </w:tr>
      <w:tr>
        <w:trPr/>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File No. </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80" w:type="dxa"/>
            <w:gridSpan w:val="3"/>
            <w:tcBorders/>
            <w:vAlign w:val="center"/>
          </w:tcPr>
          <w:p>
            <w:pPr>
              <w:pStyle w:val="TableContents"/>
              <w:bidi w:val="0"/>
              <w:spacing w:before="0" w:after="283"/>
              <w:jc w:val="left"/>
              <w:rPr>
                <w:sz w:val="4"/>
                <w:szCs w:val="4"/>
              </w:rPr>
            </w:pPr>
            <w:r>
              <w:rPr>
                <w:sz w:val="4"/>
                <w:szCs w:val="4"/>
              </w:rPr>
            </w:r>
          </w:p>
        </w:tc>
      </w:tr>
      <w:tr>
        <w:trPr/>
        <w:tc>
          <w:tcPr>
            <w:tcW w:w="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left"/>
              <w:rPr/>
            </w:pPr>
            <w:hyperlink w:anchor="exhibit311q22026.htm">
              <w:r>
                <w:rPr>
                  <w:rStyle w:val="InternetLink"/>
                  <w:rFonts w:ascii="Times New Roman;serif" w:hAnsi="Times New Roman;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hyperlink w:anchor="exhibit312q22026.htm">
              <w:r>
                <w:rPr>
                  <w:rStyle w:val="InternetLink"/>
                  <w:rFonts w:ascii="Times New Roman;serif" w:hAnsi="Times New Roman;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q22026.htm">
              <w:r>
                <w:rPr>
                  <w:rStyle w:val="InternetLink"/>
                  <w:rFonts w:ascii="Times New Roman;serif" w:hAnsi="Times New Roman;serif"/>
                  <w:b w:val="false"/>
                  <w:color w:val="0000FF"/>
                  <w:sz w:val="20"/>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212529"/>
          <w:shd w:fill="FFFFFF" w:val="clear"/>
        </w:rPr>
      </w:pPr>
      <w:r>
        <w:rPr>
          <w:color w:val="212529"/>
          <w:shd w:fill="FFFFFF" w:val="clear"/>
        </w:rPr>
        <w:t>—————</w:t>
      </w:r>
    </w:p>
    <w:p>
      <w:pPr>
        <w:pStyle w:val="TextBody"/>
        <w:bidi w:val="0"/>
        <w:spacing w:lineRule="auto" w:line="288" w:before="0" w:after="0"/>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Filed herewith.</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The certifications attached as Exhibit 32.1 that accompany this Quarterly Report on Form 10-Q are not deemed filed with the SEC and are not to be incorporated by reference into any filing of the Registrant under the Securities Act, or the Exchange Act, whether made before or after the date of this Quarterly Report on Form 10-Q,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before="60" w:after="283"/>
        <w:jc w:val="left"/>
        <w:rPr/>
      </w:pPr>
      <w:r>
        <w:rPr/>
      </w:r>
    </w:p>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Exchange Act, the registrant has duly caused this report to be signed on its behalf by the undersigned thereunto duly authorized.</w:t>
      </w:r>
    </w:p>
    <w:tbl>
      <w:tblPr>
        <w:tblW w:w="6042" w:type="dxa"/>
        <w:jc w:val="center"/>
        <w:tblInd w:w="0" w:type="dxa"/>
        <w:tblLayout w:type="fixed"/>
        <w:tblCellMar>
          <w:top w:w="28" w:type="dxa"/>
          <w:left w:w="28" w:type="dxa"/>
          <w:bottom w:w="28" w:type="dxa"/>
          <w:right w:w="28" w:type="dxa"/>
        </w:tblCellMar>
      </w:tblPr>
      <w:tblGrid>
        <w:gridCol w:w="667"/>
        <w:gridCol w:w="587"/>
        <w:gridCol w:w="590"/>
        <w:gridCol w:w="323"/>
        <w:gridCol w:w="323"/>
        <w:gridCol w:w="323"/>
        <w:gridCol w:w="1016"/>
        <w:gridCol w:w="1016"/>
        <w:gridCol w:w="1043"/>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Upstart Holdings, Inc.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pPr>
            <w:r>
              <w:rPr/>
              <w:t>​</w:t>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Paul Gu</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Paul Gu</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Andrea Blankmeyer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Andrea Blankmeyer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0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left"/>
        <w:rPr/>
      </w:pPr>
      <w:r>
        <w:rPr>
          <w:rFonts w:ascii="Times New Roman;serif" w:hAnsi="Times New Roman;serif"/>
          <w:b w:val="false"/>
          <w:color w:val="000000"/>
          <w:sz w:val="20"/>
        </w:rPr>
        <w:t xml:space="preserve">I, </w:t>
      </w:r>
      <w:r>
        <w:rPr>
          <w:rFonts w:ascii="Times New Roman;serif" w:hAnsi="Times New Roman;serif"/>
          <w:b w:val="false"/>
          <w:color w:val="000000"/>
          <w:sz w:val="20"/>
          <w:shd w:fill="FFFFFF" w:val="clear"/>
        </w:rPr>
        <w:t>Paul Gu</w:t>
      </w:r>
      <w:r>
        <w:rPr>
          <w:rFonts w:ascii="Times New Roman;serif" w:hAnsi="Times New Roman;serif"/>
          <w:b w:val="false"/>
          <w:color w:val="000000"/>
          <w:sz w:val="20"/>
        </w:rPr>
        <w:t xml:space="preserve">, certify that: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Upstart Holdings,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Date: </w:t>
      </w:r>
      <w:r>
        <w:rPr>
          <w:rFonts w:ascii="Times New Roman;serif" w:hAnsi="Times New Roman;serif"/>
          <w:b w:val="false"/>
          <w:color w:val="000000"/>
          <w:sz w:val="20"/>
        </w:rPr>
        <w:t>August 4, 2026</w:t>
      </w:r>
    </w:p>
    <w:p>
      <w:pPr>
        <w:pStyle w:val="TextBody"/>
        <w:bidi w:val="0"/>
        <w:spacing w:before="0" w:after="0"/>
        <w:jc w:val="left"/>
        <w:rPr/>
      </w:pPr>
      <w:r>
        <w:rPr/>
      </w:r>
    </w:p>
    <w:tbl>
      <w:tblPr>
        <w:tblW w:w="3972" w:type="dxa"/>
        <w:jc w:val="left"/>
        <w:tblInd w:w="0" w:type="dxa"/>
        <w:tblLayout w:type="fixed"/>
        <w:tblCellMar>
          <w:top w:w="28" w:type="dxa"/>
          <w:left w:w="28" w:type="dxa"/>
          <w:bottom w:w="28" w:type="dxa"/>
          <w:right w:w="28" w:type="dxa"/>
        </w:tblCellMar>
      </w:tblPr>
      <w:tblGrid>
        <w:gridCol w:w="124"/>
        <w:gridCol w:w="109"/>
        <w:gridCol w:w="109"/>
        <w:gridCol w:w="385"/>
        <w:gridCol w:w="385"/>
        <w:gridCol w:w="385"/>
        <w:gridCol w:w="723"/>
        <w:gridCol w:w="723"/>
        <w:gridCol w:w="10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UPSTART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Paul Gu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7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Paul Gu</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Andrea Blankmeyer, certify that: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Upstart Holdings, Inc.;</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August 4, 2026</w:t>
      </w:r>
    </w:p>
    <w:p>
      <w:pPr>
        <w:pStyle w:val="TextBody"/>
        <w:bidi w:val="0"/>
        <w:spacing w:before="0" w:after="0"/>
        <w:jc w:val="left"/>
        <w:rPr/>
      </w:pPr>
      <w:r>
        <w:rPr/>
      </w:r>
    </w:p>
    <w:tbl>
      <w:tblPr>
        <w:tblW w:w="3911" w:type="dxa"/>
        <w:jc w:val="left"/>
        <w:tblInd w:w="0" w:type="dxa"/>
        <w:tblLayout w:type="fixed"/>
        <w:tblCellMar>
          <w:top w:w="28" w:type="dxa"/>
          <w:left w:w="28" w:type="dxa"/>
          <w:bottom w:w="28" w:type="dxa"/>
          <w:right w:w="28" w:type="dxa"/>
        </w:tblCellMar>
      </w:tblPr>
      <w:tblGrid>
        <w:gridCol w:w="124"/>
        <w:gridCol w:w="109"/>
        <w:gridCol w:w="109"/>
        <w:gridCol w:w="385"/>
        <w:gridCol w:w="385"/>
        <w:gridCol w:w="385"/>
        <w:gridCol w:w="705"/>
        <w:gridCol w:w="705"/>
        <w:gridCol w:w="10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UPSTART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Andrea Blankmeyer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Andrea Blankmeyer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CERTIFICATIONS OF PRINCIPAL EXECUTIVE OFFICER AND PRINCIPAL FINANCIAL OFFICER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18 U.S.C. SECTION 1350,</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ADOPTED PURSUANT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SECTION 906 OF THE SARBANES-OXLEY ACT OF 2002</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I, </w:t>
      </w:r>
      <w:r>
        <w:rPr>
          <w:rFonts w:ascii="Times New Roman;serif" w:hAnsi="Times New Roman;serif"/>
          <w:b w:val="false"/>
          <w:color w:val="000000"/>
          <w:sz w:val="22"/>
          <w:shd w:fill="FFFFFF" w:val="clear"/>
        </w:rPr>
        <w:t>Paul Gu</w:t>
      </w:r>
      <w:r>
        <w:rPr>
          <w:rFonts w:ascii="Times New Roman;serif" w:hAnsi="Times New Roman;serif"/>
          <w:b w:val="false"/>
          <w:color w:val="000000"/>
          <w:sz w:val="22"/>
        </w:rPr>
        <w:t xml:space="preserve">, certify, pursuant to 18 U.S.C. Section 1350, as adopted pursuant to Section 906 of the Sarbanes-Oxley Act of 2002, that the Quarterly Report on Form 10-Q of Upstart Holdings, Inc. for the quarter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 </w:t>
      </w:r>
    </w:p>
    <w:p>
      <w:pPr>
        <w:pStyle w:val="TextBody"/>
        <w:bidi w:val="0"/>
        <w:spacing w:before="240" w:after="283"/>
        <w:jc w:val="both"/>
        <w:rPr/>
      </w:pPr>
      <w:r>
        <w:rPr/>
      </w:r>
    </w:p>
    <w:tbl>
      <w:tblPr>
        <w:tblW w:w="5683" w:type="dxa"/>
        <w:jc w:val="left"/>
        <w:tblInd w:w="0" w:type="dxa"/>
        <w:tblLayout w:type="fixed"/>
        <w:tblCellMar>
          <w:top w:w="28" w:type="dxa"/>
          <w:left w:w="28" w:type="dxa"/>
          <w:bottom w:w="28" w:type="dxa"/>
          <w:right w:w="28" w:type="dxa"/>
        </w:tblCellMar>
      </w:tblPr>
      <w:tblGrid>
        <w:gridCol w:w="771"/>
        <w:gridCol w:w="678"/>
        <w:gridCol w:w="681"/>
        <w:gridCol w:w="238"/>
        <w:gridCol w:w="238"/>
        <w:gridCol w:w="243"/>
        <w:gridCol w:w="826"/>
        <w:gridCol w:w="826"/>
        <w:gridCol w:w="1182"/>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Date: August 4, 2026</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834"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pPr>
            <w:r>
              <w:rPr>
                <w:rFonts w:ascii="Times New Roman;serif" w:hAnsi="Times New Roman;serif"/>
                <w:b w:val="false"/>
                <w:color w:val="000000"/>
                <w:sz w:val="22"/>
              </w:rPr>
              <w:t xml:space="preserve">/s/ </w:t>
            </w:r>
            <w:r>
              <w:rPr>
                <w:rFonts w:ascii="Times New Roman;serif" w:hAnsi="Times New Roman;serif"/>
                <w:b w:val="false"/>
                <w:color w:val="000000"/>
                <w:sz w:val="22"/>
                <w:shd w:fill="FFFFFF" w:val="clear"/>
              </w:rPr>
              <w:t>Paul Gu</w:t>
            </w:r>
          </w:p>
        </w:tc>
      </w:tr>
      <w:tr>
        <w:trPr/>
        <w:tc>
          <w:tcPr>
            <w:tcW w:w="213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834" w:type="dxa"/>
            <w:gridSpan w:val="3"/>
            <w:tcBorders>
              <w:top w:val="single" w:sz="2" w:space="0" w:color="000000"/>
            </w:tcBorders>
            <w:shd w:fill="FEFEFE" w:val="clear"/>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Paul Gu</w:t>
            </w:r>
          </w:p>
        </w:tc>
      </w:tr>
      <w:tr>
        <w:trPr/>
        <w:tc>
          <w:tcPr>
            <w:tcW w:w="213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834"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213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EFEFE"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(Principal Executive Officer)</w:t>
            </w:r>
          </w:p>
          <w:p>
            <w:pPr>
              <w:pStyle w:val="TableContents"/>
              <w:bidi w:val="0"/>
              <w:spacing w:before="0" w:after="0"/>
              <w:jc w:val="left"/>
              <w:rPr/>
            </w:pPr>
            <w:r>
              <w:rPr/>
            </w:r>
          </w:p>
        </w:tc>
      </w:tr>
    </w:tbl>
    <w:p>
      <w:pPr>
        <w:pStyle w:val="TextBody"/>
        <w:bidi w:val="0"/>
        <w:spacing w:lineRule="auto" w:line="288" w:before="4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I, Andrea Blankmeyer, certify, pursuant to 18 U.S.C. Section 1350, as adopted pursuant to Section 906 of the Sarbanes-Oxley Act of 2002, that the Quarterly Report on Form 10-Q of Upstart Holdings, Inc. for the quarter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Upstart Holdings, Inc. </w:t>
      </w:r>
    </w:p>
    <w:p>
      <w:pPr>
        <w:pStyle w:val="TextBody"/>
        <w:bidi w:val="0"/>
        <w:spacing w:before="40" w:after="283"/>
        <w:jc w:val="both"/>
        <w:rPr/>
      </w:pPr>
      <w:r>
        <w:rPr/>
      </w:r>
    </w:p>
    <w:tbl>
      <w:tblPr>
        <w:tblW w:w="5609" w:type="dxa"/>
        <w:jc w:val="left"/>
        <w:tblInd w:w="0" w:type="dxa"/>
        <w:tblLayout w:type="fixed"/>
        <w:tblCellMar>
          <w:top w:w="28" w:type="dxa"/>
          <w:left w:w="28" w:type="dxa"/>
          <w:bottom w:w="28" w:type="dxa"/>
          <w:right w:w="28" w:type="dxa"/>
        </w:tblCellMar>
      </w:tblPr>
      <w:tblGrid>
        <w:gridCol w:w="771"/>
        <w:gridCol w:w="678"/>
        <w:gridCol w:w="681"/>
        <w:gridCol w:w="238"/>
        <w:gridCol w:w="238"/>
        <w:gridCol w:w="243"/>
        <w:gridCol w:w="808"/>
        <w:gridCol w:w="808"/>
        <w:gridCol w:w="1144"/>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Date: August 4, 2026</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760"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/s/ Andrea Blankmeyer</w:t>
            </w:r>
          </w:p>
        </w:tc>
      </w:tr>
      <w:tr>
        <w:trPr/>
        <w:tc>
          <w:tcPr>
            <w:tcW w:w="213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2760" w:type="dxa"/>
            <w:gridSpan w:val="3"/>
            <w:tcBorders>
              <w:top w:val="single" w:sz="2" w:space="0" w:color="000000"/>
            </w:tcBorders>
            <w:shd w:fill="FEFEFE" w:val="clear"/>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Andrea Blankmeyer</w:t>
            </w:r>
          </w:p>
        </w:tc>
      </w:tr>
      <w:tr>
        <w:trPr/>
        <w:tc>
          <w:tcPr>
            <w:tcW w:w="213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2760"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213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shd w:fill="FEFEFE" w:val="clear"/>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2"/>
              </w:rPr>
            </w:pPr>
            <w:r>
              <w:rPr>
                <w:rFonts w:ascii="Times New Roman;serif" w:hAnsi="Times New Roman;serif"/>
                <w:b w:val="false"/>
                <w:color w:val="000000"/>
                <w:sz w:val="22"/>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61789</Words>
  <Characters>347866</Characters>
  <CharactersWithSpaces>405857</CharactersWithSpaces>
  <Paragraphs>5643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