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b w:val="1"/>
          <w:bCs w:val="1"/>
          <w:u w:val="single" w:color="auto"/>
          <w:color w:val="0000EE"/>
        </w:rPr>
      </w:pP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4"/>
          <w:szCs w:val="24"/>
          <w:color w:val="auto"/>
        </w:rPr>
      </w:pPr>
    </w:p>
    <w:p>
      <w:pPr>
        <w:jc w:val="right"/>
        <w:ind w:right="40"/>
        <w:spacing w:after="0"/>
        <w:rPr>
          <w:sz w:val="20"/>
          <w:szCs w:val="20"/>
          <w:color w:val="auto"/>
        </w:rPr>
      </w:pPr>
      <w:r>
        <w:rPr>
          <w:rFonts w:ascii="Arial" w:cs="Arial" w:eastAsia="Arial" w:hAnsi="Arial"/>
          <w:sz w:val="15"/>
          <w:szCs w:val="15"/>
          <w:b w:val="1"/>
          <w:bCs w:val="1"/>
          <w:color w:val="auto"/>
        </w:rPr>
        <w:t>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333-249860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594995</wp:posOffset>
            </wp:positionH>
            <wp:positionV relativeFrom="paragraph">
              <wp:posOffset>76835</wp:posOffset>
            </wp:positionV>
            <wp:extent cx="6010275" cy="7727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0275" cy="7727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Arial" w:cs="Arial" w:eastAsia="Arial" w:hAnsi="Arial"/>
          <w:sz w:val="21"/>
          <w:szCs w:val="21"/>
          <w:color w:val="FCFCFC"/>
        </w:rPr>
        <w:t>12,015,690 Shares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FCFCFC"/>
        </w:rPr>
        <w:t>Upstart Holdings, Inc.</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1"/>
          <w:szCs w:val="21"/>
          <w:color w:val="FCFCFC"/>
        </w:rPr>
        <w:t>Common Stock</w:t>
      </w:r>
    </w:p>
    <w:p>
      <w:pPr>
        <w:spacing w:after="0" w:line="54" w:lineRule="exact"/>
        <w:rPr>
          <w:sz w:val="24"/>
          <w:szCs w:val="24"/>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73" w:lineRule="exact"/>
        <w:rPr>
          <w:sz w:val="24"/>
          <w:szCs w:val="24"/>
          <w:color w:val="auto"/>
        </w:rPr>
      </w:pPr>
    </w:p>
    <w:p>
      <w:pPr>
        <w:ind w:left="2140" w:right="2220" w:firstLine="352"/>
        <w:spacing w:after="0" w:line="295" w:lineRule="auto"/>
        <w:rPr>
          <w:sz w:val="20"/>
          <w:szCs w:val="20"/>
          <w:color w:val="auto"/>
        </w:rPr>
      </w:pPr>
      <w:r>
        <w:rPr>
          <w:rFonts w:ascii="Arial" w:cs="Arial" w:eastAsia="Arial" w:hAnsi="Arial"/>
          <w:sz w:val="12"/>
          <w:szCs w:val="12"/>
          <w:color w:val="FCFCFC"/>
        </w:rPr>
        <w:t>This is the initial public offering of shares of common stock of Upstart Holdings, Inc. We are offering 9,000,000 shares of common stock. The selling stockholders identified in this prospectus are offering an additional 3,015,690 shares of common stock. We will not receive any of the proceeds from the sale of shares by the selling stockholders.</w:t>
      </w:r>
    </w:p>
    <w:p>
      <w:pPr>
        <w:spacing w:after="0" w:line="21" w:lineRule="exact"/>
        <w:rPr>
          <w:sz w:val="24"/>
          <w:szCs w:val="24"/>
          <w:color w:val="auto"/>
        </w:rPr>
      </w:pPr>
    </w:p>
    <w:p>
      <w:pPr>
        <w:ind w:left="2140" w:right="2240" w:firstLine="352"/>
        <w:spacing w:after="0" w:line="237" w:lineRule="auto"/>
        <w:rPr>
          <w:sz w:val="20"/>
          <w:szCs w:val="20"/>
          <w:color w:val="auto"/>
        </w:rPr>
      </w:pPr>
      <w:r>
        <w:rPr>
          <w:rFonts w:ascii="Arial" w:cs="Arial" w:eastAsia="Arial" w:hAnsi="Arial"/>
          <w:sz w:val="14"/>
          <w:szCs w:val="14"/>
          <w:color w:val="FCFCFC"/>
        </w:rPr>
        <w:t>Prior to this offering, there has been no public market for the common stock. The initial public offering price per share is $20.00. We have been approved to list our common stock on the Nasdaq Global Select Market under the symbol “UPST”.3</w:t>
      </w:r>
    </w:p>
    <w:p>
      <w:pPr>
        <w:spacing w:after="0" w:line="53" w:lineRule="exact"/>
        <w:rPr>
          <w:sz w:val="24"/>
          <w:szCs w:val="24"/>
          <w:color w:val="auto"/>
        </w:rPr>
      </w:pPr>
    </w:p>
    <w:p>
      <w:pPr>
        <w:jc w:val="both"/>
        <w:ind w:left="2140" w:right="2280" w:firstLine="352"/>
        <w:spacing w:after="0" w:line="237" w:lineRule="auto"/>
        <w:rPr>
          <w:sz w:val="20"/>
          <w:szCs w:val="20"/>
          <w:color w:val="auto"/>
        </w:rPr>
      </w:pPr>
      <w:r>
        <w:rPr>
          <w:rFonts w:ascii="Arial" w:cs="Arial" w:eastAsia="Arial" w:hAnsi="Arial"/>
          <w:sz w:val="14"/>
          <w:szCs w:val="14"/>
          <w:color w:val="FCFCFC"/>
        </w:rPr>
        <w:t>We are an “emerging growth company” as that term is defined under the federal securities laws and, as such, we have elected to comply with certain reduced reporting requirements for this prospectus and may elect to do so in future filings.3</w:t>
      </w:r>
    </w:p>
    <w:p>
      <w:pPr>
        <w:spacing w:after="0" w:line="44" w:lineRule="exact"/>
        <w:rPr>
          <w:sz w:val="24"/>
          <w:szCs w:val="24"/>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57" w:lineRule="exact"/>
        <w:rPr>
          <w:sz w:val="24"/>
          <w:szCs w:val="24"/>
          <w:color w:val="auto"/>
        </w:rPr>
      </w:pPr>
    </w:p>
    <w:p>
      <w:pPr>
        <w:ind w:left="2140" w:right="2160" w:firstLine="352"/>
        <w:spacing w:after="0" w:line="261" w:lineRule="auto"/>
        <w:rPr>
          <w:rFonts w:ascii="Arial" w:cs="Arial" w:eastAsia="Arial" w:hAnsi="Arial"/>
          <w:sz w:val="14"/>
          <w:szCs w:val="14"/>
          <w:b w:val="1"/>
          <w:bCs w:val="1"/>
          <w:i w:val="1"/>
          <w:iCs w:val="1"/>
          <w:color w:val="FCFCFC"/>
        </w:rPr>
      </w:pPr>
      <w:r>
        <w:rPr>
          <w:rFonts w:ascii="Arial" w:cs="Arial" w:eastAsia="Arial" w:hAnsi="Arial"/>
          <w:sz w:val="14"/>
          <w:szCs w:val="14"/>
          <w:b w:val="1"/>
          <w:bCs w:val="1"/>
          <w:i w:val="1"/>
          <w:iCs w:val="1"/>
          <w:color w:val="FCFCFC"/>
        </w:rPr>
        <w:t>See “</w:t>
      </w:r>
      <w:hyperlink w:anchor="page31">
        <w:r>
          <w:rPr>
            <w:rFonts w:ascii="Arial" w:cs="Arial" w:eastAsia="Arial" w:hAnsi="Arial"/>
            <w:sz w:val="14"/>
            <w:szCs w:val="14"/>
            <w:b w:val="1"/>
            <w:bCs w:val="1"/>
            <w:i w:val="1"/>
            <w:iCs w:val="1"/>
            <w:u w:val="single" w:color="auto"/>
            <w:color w:val="0000EE"/>
          </w:rPr>
          <w:t>Risk Factors</w:t>
        </w:r>
      </w:hyperlink>
      <w:r>
        <w:rPr>
          <w:rFonts w:ascii="Arial" w:cs="Arial" w:eastAsia="Arial" w:hAnsi="Arial"/>
          <w:sz w:val="14"/>
          <w:szCs w:val="14"/>
          <w:b w:val="1"/>
          <w:bCs w:val="1"/>
          <w:i w:val="1"/>
          <w:iCs w:val="1"/>
          <w:color w:val="FCFCFC"/>
        </w:rPr>
        <w:t>” beginning on page 21 to read about factors you should consider before buying shares of our common stock.</w:t>
      </w:r>
    </w:p>
    <w:p>
      <w:pPr>
        <w:spacing w:after="0" w:line="17" w:lineRule="exact"/>
        <w:rPr>
          <w:sz w:val="24"/>
          <w:szCs w:val="24"/>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68" w:lineRule="exact"/>
        <w:rPr>
          <w:sz w:val="24"/>
          <w:szCs w:val="24"/>
          <w:color w:val="auto"/>
        </w:rPr>
      </w:pPr>
    </w:p>
    <w:p>
      <w:pPr>
        <w:ind w:left="2140" w:right="2600" w:firstLine="352"/>
        <w:spacing w:after="0" w:line="248" w:lineRule="auto"/>
        <w:rPr>
          <w:sz w:val="20"/>
          <w:szCs w:val="20"/>
          <w:color w:val="auto"/>
        </w:rPr>
      </w:pPr>
      <w:r>
        <w:rPr>
          <w:rFonts w:ascii="Arial" w:cs="Arial" w:eastAsia="Arial" w:hAnsi="Arial"/>
          <w:sz w:val="14"/>
          <w:szCs w:val="14"/>
          <w:b w:val="1"/>
          <w:bCs w:val="1"/>
          <w:color w:val="FCFCFC"/>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6" w:lineRule="exact"/>
        <w:rPr>
          <w:sz w:val="24"/>
          <w:szCs w:val="24"/>
          <w:color w:val="auto"/>
        </w:rPr>
      </w:pPr>
    </w:p>
    <w:p>
      <w:pPr>
        <w:ind w:left="4880"/>
        <w:spacing w:after="0"/>
        <w:rPr>
          <w:sz w:val="20"/>
          <w:szCs w:val="20"/>
          <w:color w:val="auto"/>
        </w:rPr>
      </w:pPr>
      <w:r>
        <w:rPr>
          <w:rFonts w:ascii="Arial" w:cs="Arial" w:eastAsia="Arial" w:hAnsi="Arial"/>
          <w:sz w:val="15"/>
          <w:szCs w:val="15"/>
          <w:b w:val="1"/>
          <w:bCs w:val="1"/>
          <w:color w:val="FCFCFC"/>
        </w:rPr>
        <w:t>___________________</w:t>
      </w:r>
    </w:p>
    <w:p>
      <w:pPr>
        <w:spacing w:after="0" w:line="68" w:lineRule="exact"/>
        <w:rPr>
          <w:sz w:val="24"/>
          <w:szCs w:val="24"/>
          <w:color w:val="auto"/>
        </w:rPr>
      </w:pPr>
    </w:p>
    <w:tbl>
      <w:tblPr>
        <w:tblLayout w:type="fixed"/>
        <w:tblInd w:w="214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color w:val="FCFCFC"/>
              </w:rPr>
              <w:t>Initial public offering price</w:t>
            </w:r>
          </w:p>
        </w:tc>
        <w:tc>
          <w:tcPr>
            <w:tcW w:w="920" w:type="dxa"/>
            <w:vAlign w:val="bottom"/>
          </w:tcPr>
          <w:p>
            <w:pPr>
              <w:spacing w:after="0"/>
              <w:rPr>
                <w:sz w:val="14"/>
                <w:szCs w:val="14"/>
                <w:color w:val="auto"/>
              </w:rPr>
            </w:pPr>
          </w:p>
        </w:tc>
        <w:tc>
          <w:tcPr>
            <w:tcW w:w="620" w:type="dxa"/>
            <w:vAlign w:val="bottom"/>
            <w:tcBorders>
              <w:bottom w:val="single" w:sz="8" w:color="FCFCFC"/>
            </w:tcBorders>
            <w:gridSpan w:val="2"/>
          </w:tcPr>
          <w:p>
            <w:pPr>
              <w:spacing w:after="0"/>
              <w:rPr>
                <w:sz w:val="20"/>
                <w:szCs w:val="20"/>
                <w:color w:val="auto"/>
              </w:rPr>
            </w:pPr>
            <w:r>
              <w:rPr>
                <w:rFonts w:ascii="Arial" w:cs="Arial" w:eastAsia="Arial" w:hAnsi="Arial"/>
                <w:sz w:val="14"/>
                <w:szCs w:val="14"/>
                <w:color w:val="FCFCFC"/>
                <w:w w:val="95"/>
              </w:rPr>
              <w:t>Per Share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FCFCFC"/>
            </w:tcBorders>
          </w:tcPr>
          <w:p>
            <w:pPr>
              <w:spacing w:after="0"/>
              <w:rPr>
                <w:sz w:val="20"/>
                <w:szCs w:val="20"/>
                <w:color w:val="auto"/>
              </w:rPr>
            </w:pPr>
            <w:r>
              <w:rPr>
                <w:rFonts w:ascii="Arial" w:cs="Arial" w:eastAsia="Arial" w:hAnsi="Arial"/>
                <w:sz w:val="14"/>
                <w:szCs w:val="14"/>
                <w:color w:val="FCFCFC"/>
                <w:w w:val="89"/>
              </w:rPr>
              <w:t>Total</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20" w:type="dxa"/>
            <w:vAlign w:val="bottom"/>
            <w:vMerge w:val="continue"/>
          </w:tcPr>
          <w:p>
            <w:pPr>
              <w:spacing w:after="0"/>
              <w:rPr>
                <w:sz w:val="14"/>
                <w:szCs w:val="14"/>
                <w:color w:val="auto"/>
              </w:rPr>
            </w:pPr>
          </w:p>
        </w:tc>
        <w:tc>
          <w:tcPr>
            <w:tcW w:w="1100" w:type="dxa"/>
            <w:vAlign w:val="bottom"/>
            <w:gridSpan w:val="2"/>
          </w:tcPr>
          <w:p>
            <w:pPr>
              <w:ind w:left="920"/>
              <w:spacing w:after="0"/>
              <w:rPr>
                <w:sz w:val="20"/>
                <w:szCs w:val="20"/>
                <w:color w:val="auto"/>
              </w:rPr>
            </w:pPr>
            <w:r>
              <w:rPr>
                <w:rFonts w:ascii="Arial" w:cs="Arial" w:eastAsia="Arial" w:hAnsi="Arial"/>
                <w:sz w:val="14"/>
                <w:szCs w:val="14"/>
                <w:color w:val="FCFCFC"/>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FCFCFC"/>
              </w:rPr>
              <w:t>20.00</w:t>
            </w:r>
          </w:p>
        </w:tc>
        <w:tc>
          <w:tcPr>
            <w:tcW w:w="240" w:type="dxa"/>
            <w:vAlign w:val="bottom"/>
          </w:tcPr>
          <w:p>
            <w:pPr>
              <w:ind w:left="140"/>
              <w:spacing w:after="0"/>
              <w:rPr>
                <w:sz w:val="20"/>
                <w:szCs w:val="20"/>
                <w:color w:val="auto"/>
              </w:rPr>
            </w:pPr>
            <w:r>
              <w:rPr>
                <w:rFonts w:ascii="Arial" w:cs="Arial" w:eastAsia="Arial" w:hAnsi="Arial"/>
                <w:sz w:val="14"/>
                <w:szCs w:val="14"/>
                <w:color w:val="FCFCFC"/>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FCFCFC"/>
              </w:rPr>
              <w:t>240,313,800</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line="171" w:lineRule="exact"/>
              <w:rPr>
                <w:sz w:val="20"/>
                <w:szCs w:val="20"/>
                <w:color w:val="auto"/>
              </w:rPr>
            </w:pPr>
            <w:r>
              <w:rPr>
                <w:rFonts w:ascii="Arial" w:cs="Arial" w:eastAsia="Arial" w:hAnsi="Arial"/>
                <w:sz w:val="12"/>
                <w:szCs w:val="12"/>
                <w:color w:val="FCFCFC"/>
              </w:rPr>
              <w:t>Underwriting discount</w:t>
            </w:r>
            <w:r>
              <w:rPr>
                <w:rFonts w:ascii="Arial" w:cs="Arial" w:eastAsia="Arial" w:hAnsi="Arial"/>
                <w:sz w:val="19"/>
                <w:szCs w:val="19"/>
                <w:color w:val="FCFCFC"/>
                <w:vertAlign w:val="superscript"/>
              </w:rPr>
              <w:t>(1)</w:t>
            </w:r>
          </w:p>
        </w:tc>
        <w:tc>
          <w:tcPr>
            <w:tcW w:w="1100" w:type="dxa"/>
            <w:vAlign w:val="bottom"/>
            <w:gridSpan w:val="2"/>
          </w:tcPr>
          <w:p>
            <w:pPr>
              <w:ind w:left="920"/>
              <w:spacing w:after="0"/>
              <w:rPr>
                <w:sz w:val="20"/>
                <w:szCs w:val="20"/>
                <w:color w:val="auto"/>
              </w:rPr>
            </w:pPr>
            <w:r>
              <w:rPr>
                <w:rFonts w:ascii="Arial" w:cs="Arial" w:eastAsia="Arial" w:hAnsi="Arial"/>
                <w:sz w:val="14"/>
                <w:szCs w:val="14"/>
                <w:color w:val="FCFCFC"/>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FCFCFC"/>
              </w:rPr>
              <w:t>1.40</w:t>
            </w:r>
          </w:p>
        </w:tc>
        <w:tc>
          <w:tcPr>
            <w:tcW w:w="240" w:type="dxa"/>
            <w:vAlign w:val="bottom"/>
          </w:tcPr>
          <w:p>
            <w:pPr>
              <w:ind w:left="140"/>
              <w:spacing w:after="0" w:line="171" w:lineRule="exact"/>
              <w:rPr>
                <w:sz w:val="20"/>
                <w:szCs w:val="20"/>
                <w:color w:val="auto"/>
              </w:rPr>
            </w:pPr>
            <w:r>
              <w:rPr>
                <w:rFonts w:ascii="Arial" w:cs="Arial" w:eastAsia="Arial" w:hAnsi="Arial"/>
                <w:sz w:val="15"/>
                <w:szCs w:val="15"/>
                <w:color w:val="FCFCFC"/>
                <w:w w:val="95"/>
              </w:rPr>
              <w:t>$</w:t>
            </w:r>
          </w:p>
        </w:tc>
        <w:tc>
          <w:tcPr>
            <w:tcW w:w="840" w:type="dxa"/>
            <w:vAlign w:val="bottom"/>
            <w:gridSpan w:val="3"/>
          </w:tcPr>
          <w:p>
            <w:pPr>
              <w:jc w:val="right"/>
              <w:spacing w:after="0" w:line="171" w:lineRule="exact"/>
              <w:rPr>
                <w:sz w:val="20"/>
                <w:szCs w:val="20"/>
                <w:color w:val="auto"/>
              </w:rPr>
            </w:pPr>
            <w:r>
              <w:rPr>
                <w:rFonts w:ascii="Arial" w:cs="Arial" w:eastAsia="Arial" w:hAnsi="Arial"/>
                <w:sz w:val="15"/>
                <w:szCs w:val="15"/>
                <w:color w:val="FCFCFC"/>
              </w:rPr>
              <w:t>16,821,966</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Arial" w:cs="Arial" w:eastAsia="Arial" w:hAnsi="Arial"/>
                <w:sz w:val="14"/>
                <w:szCs w:val="14"/>
                <w:color w:val="FCFCFC"/>
              </w:rPr>
              <w:t>Proceeds, before expenses, to Upstart</w:t>
            </w:r>
          </w:p>
        </w:tc>
        <w:tc>
          <w:tcPr>
            <w:tcW w:w="1100" w:type="dxa"/>
            <w:vAlign w:val="bottom"/>
            <w:gridSpan w:val="2"/>
          </w:tcPr>
          <w:p>
            <w:pPr>
              <w:ind w:left="920"/>
              <w:spacing w:after="0"/>
              <w:rPr>
                <w:sz w:val="20"/>
                <w:szCs w:val="20"/>
                <w:color w:val="auto"/>
              </w:rPr>
            </w:pPr>
            <w:r>
              <w:rPr>
                <w:rFonts w:ascii="Arial" w:cs="Arial" w:eastAsia="Arial" w:hAnsi="Arial"/>
                <w:sz w:val="14"/>
                <w:szCs w:val="14"/>
                <w:color w:val="FCFCFC"/>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FCFCFC"/>
              </w:rPr>
              <w:t>18.60</w:t>
            </w:r>
          </w:p>
        </w:tc>
        <w:tc>
          <w:tcPr>
            <w:tcW w:w="240" w:type="dxa"/>
            <w:vAlign w:val="bottom"/>
          </w:tcPr>
          <w:p>
            <w:pPr>
              <w:ind w:left="140"/>
              <w:spacing w:after="0" w:line="172" w:lineRule="exact"/>
              <w:rPr>
                <w:sz w:val="20"/>
                <w:szCs w:val="20"/>
                <w:color w:val="auto"/>
              </w:rPr>
            </w:pPr>
            <w:r>
              <w:rPr>
                <w:rFonts w:ascii="Arial" w:cs="Arial" w:eastAsia="Arial" w:hAnsi="Arial"/>
                <w:sz w:val="15"/>
                <w:szCs w:val="15"/>
                <w:color w:val="FCFCFC"/>
                <w:w w:val="95"/>
              </w:rPr>
              <w:t>$</w:t>
            </w:r>
          </w:p>
        </w:tc>
        <w:tc>
          <w:tcPr>
            <w:tcW w:w="840" w:type="dxa"/>
            <w:vAlign w:val="bottom"/>
            <w:gridSpan w:val="3"/>
          </w:tcPr>
          <w:p>
            <w:pPr>
              <w:jc w:val="right"/>
              <w:spacing w:after="0" w:line="172" w:lineRule="exact"/>
              <w:rPr>
                <w:sz w:val="20"/>
                <w:szCs w:val="20"/>
                <w:color w:val="auto"/>
              </w:rPr>
            </w:pPr>
            <w:r>
              <w:rPr>
                <w:rFonts w:ascii="Arial" w:cs="Arial" w:eastAsia="Arial" w:hAnsi="Arial"/>
                <w:sz w:val="15"/>
                <w:szCs w:val="15"/>
                <w:color w:val="FCFCFC"/>
                <w:w w:val="98"/>
              </w:rPr>
              <w:t>167,400,000</w:t>
            </w:r>
          </w:p>
        </w:tc>
        <w:tc>
          <w:tcPr>
            <w:tcW w:w="0" w:type="dxa"/>
            <w:vAlign w:val="bottom"/>
          </w:tcPr>
          <w:p>
            <w:pPr>
              <w:spacing w:after="0"/>
              <w:rPr>
                <w:sz w:val="1"/>
                <w:szCs w:val="1"/>
                <w:color w:val="auto"/>
              </w:rPr>
            </w:pPr>
          </w:p>
        </w:tc>
      </w:tr>
      <w:tr>
        <w:trPr>
          <w:trHeight w:val="167"/>
        </w:trPr>
        <w:tc>
          <w:tcPr>
            <w:tcW w:w="4220" w:type="dxa"/>
            <w:vAlign w:val="bottom"/>
          </w:tcPr>
          <w:p>
            <w:pPr>
              <w:ind w:left="20"/>
              <w:spacing w:after="0"/>
              <w:rPr>
                <w:sz w:val="20"/>
                <w:szCs w:val="20"/>
                <w:color w:val="auto"/>
              </w:rPr>
            </w:pPr>
            <w:r>
              <w:rPr>
                <w:rFonts w:ascii="Arial" w:cs="Arial" w:eastAsia="Arial" w:hAnsi="Arial"/>
                <w:sz w:val="14"/>
                <w:szCs w:val="14"/>
                <w:color w:val="FCFCFC"/>
              </w:rPr>
              <w:t>Proceeds, before expenses, to the selling stockholders</w:t>
            </w:r>
          </w:p>
        </w:tc>
        <w:tc>
          <w:tcPr>
            <w:tcW w:w="1100" w:type="dxa"/>
            <w:vAlign w:val="bottom"/>
            <w:gridSpan w:val="2"/>
          </w:tcPr>
          <w:p>
            <w:pPr>
              <w:ind w:left="920"/>
              <w:spacing w:after="0"/>
              <w:rPr>
                <w:sz w:val="20"/>
                <w:szCs w:val="20"/>
                <w:color w:val="auto"/>
              </w:rPr>
            </w:pPr>
            <w:r>
              <w:rPr>
                <w:rFonts w:ascii="Arial" w:cs="Arial" w:eastAsia="Arial" w:hAnsi="Arial"/>
                <w:sz w:val="14"/>
                <w:szCs w:val="14"/>
                <w:color w:val="FCFCFC"/>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FCFCFC"/>
              </w:rPr>
              <w:t>18.60</w:t>
            </w:r>
          </w:p>
        </w:tc>
        <w:tc>
          <w:tcPr>
            <w:tcW w:w="240" w:type="dxa"/>
            <w:vAlign w:val="bottom"/>
          </w:tcPr>
          <w:p>
            <w:pPr>
              <w:ind w:left="140"/>
              <w:spacing w:after="0"/>
              <w:rPr>
                <w:sz w:val="20"/>
                <w:szCs w:val="20"/>
                <w:color w:val="auto"/>
              </w:rPr>
            </w:pPr>
            <w:r>
              <w:rPr>
                <w:rFonts w:ascii="Arial" w:cs="Arial" w:eastAsia="Arial" w:hAnsi="Arial"/>
                <w:sz w:val="14"/>
                <w:szCs w:val="14"/>
                <w:color w:val="FCFCFC"/>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FCFCFC"/>
              </w:rPr>
              <w:t>56,091,834</w:t>
            </w:r>
          </w:p>
        </w:tc>
        <w:tc>
          <w:tcPr>
            <w:tcW w:w="0" w:type="dxa"/>
            <w:vAlign w:val="bottom"/>
          </w:tcPr>
          <w:p>
            <w:pPr>
              <w:spacing w:after="0"/>
              <w:rPr>
                <w:sz w:val="1"/>
                <w:szCs w:val="1"/>
                <w:color w:val="auto"/>
              </w:rPr>
            </w:pPr>
          </w:p>
        </w:tc>
      </w:tr>
      <w:tr>
        <w:trPr>
          <w:trHeight w:val="174"/>
        </w:trPr>
        <w:tc>
          <w:tcPr>
            <w:tcW w:w="4220" w:type="dxa"/>
            <w:vAlign w:val="bottom"/>
          </w:tcPr>
          <w:p>
            <w:pPr>
              <w:spacing w:after="0"/>
              <w:rPr>
                <w:sz w:val="20"/>
                <w:szCs w:val="20"/>
                <w:color w:val="auto"/>
              </w:rPr>
            </w:pPr>
            <w:r>
              <w:rPr>
                <w:rFonts w:ascii="Arial" w:cs="Arial" w:eastAsia="Arial" w:hAnsi="Arial"/>
                <w:sz w:val="15"/>
                <w:szCs w:val="15"/>
                <w:color w:val="FCFCFC"/>
              </w:rPr>
              <w:t>__________</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2700" w:hanging="558"/>
        <w:spacing w:after="0"/>
        <w:tabs>
          <w:tab w:leader="none" w:pos="2700" w:val="left"/>
        </w:tabs>
        <w:numPr>
          <w:ilvl w:val="0"/>
          <w:numId w:val="1"/>
        </w:numPr>
        <w:rPr>
          <w:rFonts w:ascii="Arial" w:cs="Arial" w:eastAsia="Arial" w:hAnsi="Arial"/>
          <w:sz w:val="12"/>
          <w:szCs w:val="12"/>
          <w:color w:val="FCFCFC"/>
        </w:rPr>
      </w:pPr>
      <w:r>
        <w:rPr>
          <w:rFonts w:ascii="Arial" w:cs="Arial" w:eastAsia="Arial" w:hAnsi="Arial"/>
          <w:sz w:val="12"/>
          <w:szCs w:val="12"/>
          <w:color w:val="FCFCFC"/>
        </w:rPr>
        <w:t>See “Underwriting” for a description of the compensation payable to the Underwriters.</w:t>
      </w:r>
    </w:p>
    <w:p>
      <w:pPr>
        <w:spacing w:after="0" w:line="51" w:lineRule="exact"/>
        <w:rPr>
          <w:sz w:val="24"/>
          <w:szCs w:val="24"/>
          <w:color w:val="auto"/>
        </w:rPr>
      </w:pPr>
    </w:p>
    <w:p>
      <w:pPr>
        <w:ind w:left="2140" w:right="2220" w:firstLine="352"/>
        <w:spacing w:after="0" w:line="237" w:lineRule="auto"/>
        <w:rPr>
          <w:sz w:val="20"/>
          <w:szCs w:val="20"/>
          <w:color w:val="auto"/>
        </w:rPr>
      </w:pPr>
      <w:r>
        <w:rPr>
          <w:rFonts w:ascii="Arial" w:cs="Arial" w:eastAsia="Arial" w:hAnsi="Arial"/>
          <w:sz w:val="14"/>
          <w:szCs w:val="14"/>
          <w:color w:val="FCFCFC"/>
        </w:rPr>
        <w:t>To the extent that the underwriters sell more than 12,015,690 shares of our common stock, the underwriters have the option to purchase up to an additional 1,802,353 shares from certain selling stockholders at the initial public offering price less the underwriting discount.</w:t>
      </w:r>
    </w:p>
    <w:p>
      <w:pPr>
        <w:spacing w:after="0" w:line="64" w:lineRule="exact"/>
        <w:rPr>
          <w:sz w:val="24"/>
          <w:szCs w:val="24"/>
          <w:color w:val="auto"/>
        </w:rPr>
      </w:pPr>
    </w:p>
    <w:p>
      <w:pPr>
        <w:ind w:left="2140" w:right="2240" w:firstLine="352"/>
        <w:spacing w:after="0" w:line="236" w:lineRule="auto"/>
        <w:rPr>
          <w:sz w:val="20"/>
          <w:szCs w:val="20"/>
          <w:color w:val="auto"/>
        </w:rPr>
      </w:pPr>
      <w:r>
        <w:rPr>
          <w:rFonts w:ascii="Arial" w:cs="Arial" w:eastAsia="Arial" w:hAnsi="Arial"/>
          <w:sz w:val="14"/>
          <w:szCs w:val="14"/>
          <w:color w:val="FCFCFC"/>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 to such entities as they will from any other shares of common stock sold to the public in this offering.</w:t>
      </w:r>
    </w:p>
    <w:p>
      <w:pPr>
        <w:spacing w:after="0" w:line="52" w:lineRule="exact"/>
        <w:rPr>
          <w:sz w:val="24"/>
          <w:szCs w:val="24"/>
          <w:color w:val="auto"/>
        </w:rPr>
      </w:pPr>
    </w:p>
    <w:p>
      <w:pPr>
        <w:ind w:left="2500"/>
        <w:spacing w:after="0"/>
        <w:rPr>
          <w:sz w:val="20"/>
          <w:szCs w:val="20"/>
          <w:color w:val="auto"/>
        </w:rPr>
      </w:pPr>
      <w:r>
        <w:rPr>
          <w:rFonts w:ascii="Arial" w:cs="Arial" w:eastAsia="Arial" w:hAnsi="Arial"/>
          <w:sz w:val="14"/>
          <w:szCs w:val="14"/>
          <w:color w:val="FCFCFC"/>
        </w:rPr>
        <w:t>The underwriters expect to deliver the shares against payment in New York, New York on December 18, 2020.</w:t>
      </w:r>
    </w:p>
    <w:p>
      <w:pPr>
        <w:sectPr>
          <w:pgSz w:w="11900" w:h="16838" w:orient="portrait"/>
          <w:cols w:equalWidth="0" w:num="1">
            <w:col w:w="11340"/>
          </w:cols>
          <w:pgMar w:left="320" w:top="216" w:right="239" w:bottom="1440" w:gutter="0" w:footer="0" w:header="0"/>
        </w:sectPr>
      </w:pPr>
    </w:p>
    <w:p>
      <w:pPr>
        <w:spacing w:after="0" w:line="29" w:lineRule="exact"/>
        <w:rPr>
          <w:sz w:val="24"/>
          <w:szCs w:val="24"/>
          <w:color w:val="auto"/>
        </w:rPr>
      </w:pPr>
    </w:p>
    <w:p>
      <w:pPr>
        <w:ind w:left="2160"/>
        <w:spacing w:after="0"/>
        <w:rPr>
          <w:sz w:val="20"/>
          <w:szCs w:val="20"/>
          <w:color w:val="auto"/>
        </w:rPr>
      </w:pPr>
      <w:r>
        <w:rPr>
          <w:rFonts w:ascii="Arial" w:cs="Arial" w:eastAsia="Arial" w:hAnsi="Arial"/>
          <w:sz w:val="23"/>
          <w:szCs w:val="23"/>
          <w:b w:val="1"/>
          <w:bCs w:val="1"/>
          <w:color w:val="FCFCFC"/>
        </w:rPr>
        <w:t>Goldman Sachs &amp; Co. LLC</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FCFCFC"/>
        </w:rPr>
        <w:t>BofA Securities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24"/>
          <w:szCs w:val="24"/>
          <w:b w:val="1"/>
          <w:bCs w:val="1"/>
          <w:color w:val="FCFCFC"/>
        </w:rPr>
        <w:t>Citigroup</w:t>
      </w:r>
    </w:p>
    <w:p>
      <w:pPr>
        <w:spacing w:after="0" w:line="111" w:lineRule="exact"/>
        <w:rPr>
          <w:sz w:val="24"/>
          <w:szCs w:val="24"/>
          <w:color w:val="auto"/>
        </w:rPr>
      </w:pPr>
    </w:p>
    <w:p>
      <w:pPr>
        <w:sectPr>
          <w:pgSz w:w="11900" w:h="16838" w:orient="portrait"/>
          <w:cols w:equalWidth="0" w:num="3">
            <w:col w:w="5200" w:space="540"/>
            <w:col w:w="1800" w:space="520"/>
            <w:col w:w="3280"/>
          </w:cols>
          <w:pgMar w:left="320" w:top="216" w:right="239" w:bottom="1440" w:gutter="0" w:footer="0" w:header="0"/>
          <w:type w:val="continuous"/>
        </w:sectPr>
      </w:pPr>
    </w:p>
    <w:p>
      <w:pPr>
        <w:ind w:left="3460"/>
        <w:spacing w:after="0"/>
        <w:rPr>
          <w:sz w:val="20"/>
          <w:szCs w:val="20"/>
          <w:color w:val="auto"/>
        </w:rPr>
      </w:pPr>
      <w:r>
        <w:rPr>
          <w:rFonts w:ascii="Arial" w:cs="Arial" w:eastAsia="Arial" w:hAnsi="Arial"/>
          <w:sz w:val="22"/>
          <w:szCs w:val="22"/>
          <w:b w:val="1"/>
          <w:bCs w:val="1"/>
          <w:color w:val="FCFCFC"/>
        </w:rPr>
        <w:t>Jefferies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2"/>
          <w:szCs w:val="22"/>
          <w:b w:val="1"/>
          <w:bCs w:val="1"/>
          <w:color w:val="FCFCFC"/>
        </w:rPr>
        <w:t>Barclays</w:t>
      </w:r>
    </w:p>
    <w:p>
      <w:pPr>
        <w:spacing w:after="0" w:line="105" w:lineRule="exact"/>
        <w:rPr>
          <w:sz w:val="24"/>
          <w:szCs w:val="24"/>
          <w:color w:val="auto"/>
        </w:rPr>
      </w:pPr>
    </w:p>
    <w:p>
      <w:pPr>
        <w:sectPr>
          <w:pgSz w:w="11900" w:h="16838" w:orient="portrait"/>
          <w:cols w:equalWidth="0" w:num="2">
            <w:col w:w="6280" w:space="720"/>
            <w:col w:w="4340"/>
          </w:cols>
          <w:pgMar w:left="320" w:top="216" w:right="239" w:bottom="1440" w:gutter="0" w:footer="0" w:header="0"/>
          <w:type w:val="continuous"/>
        </w:sectPr>
      </w:pPr>
    </w:p>
    <w:p>
      <w:pPr>
        <w:ind w:left="3220"/>
        <w:spacing w:after="0"/>
        <w:rPr>
          <w:sz w:val="20"/>
          <w:szCs w:val="20"/>
          <w:color w:val="auto"/>
        </w:rPr>
      </w:pPr>
      <w:r>
        <w:rPr>
          <w:rFonts w:ascii="Arial" w:cs="Arial" w:eastAsia="Arial" w:hAnsi="Arial"/>
          <w:sz w:val="18"/>
          <w:szCs w:val="18"/>
          <w:b w:val="1"/>
          <w:bCs w:val="1"/>
          <w:color w:val="FCFCFC"/>
        </w:rPr>
        <w:t>JMP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FCFCFC"/>
        </w:rPr>
        <w:t>Blaylock Van, LLC</w:t>
      </w:r>
    </w:p>
    <w:p>
      <w:pPr>
        <w:spacing w:after="0" w:line="88" w:lineRule="exact"/>
        <w:rPr>
          <w:sz w:val="24"/>
          <w:szCs w:val="24"/>
          <w:color w:val="auto"/>
        </w:rPr>
      </w:pPr>
    </w:p>
    <w:p>
      <w:pPr>
        <w:sectPr>
          <w:pgSz w:w="11900" w:h="16838" w:orient="portrait"/>
          <w:cols w:equalWidth="0" w:num="2">
            <w:col w:w="5900" w:space="720"/>
            <w:col w:w="4720"/>
          </w:cols>
          <w:pgMar w:left="320" w:top="216" w:right="239" w:bottom="1440" w:gutter="0" w:footer="0" w:header="0"/>
          <w:type w:val="continuous"/>
        </w:sectPr>
      </w:pPr>
    </w:p>
    <w:p>
      <w:pPr>
        <w:ind w:left="4880"/>
        <w:spacing w:after="0"/>
        <w:rPr>
          <w:sz w:val="20"/>
          <w:szCs w:val="20"/>
          <w:color w:val="auto"/>
        </w:rPr>
      </w:pPr>
      <w:r>
        <w:rPr>
          <w:rFonts w:ascii="Arial" w:cs="Arial" w:eastAsia="Arial" w:hAnsi="Arial"/>
          <w:sz w:val="14"/>
          <w:szCs w:val="14"/>
          <w:b w:val="1"/>
          <w:bCs w:val="1"/>
          <w:color w:val="FCFCFC"/>
        </w:rPr>
        <w:t>___________________</w:t>
      </w:r>
    </w:p>
    <w:p>
      <w:pPr>
        <w:sectPr>
          <w:pgSz w:w="11900" w:h="16838" w:orient="portrait"/>
          <w:cols w:equalWidth="0" w:num="1">
            <w:col w:w="11340"/>
          </w:cols>
          <w:pgMar w:left="320" w:top="216" w:right="239" w:bottom="1440" w:gutter="0" w:footer="0" w:header="0"/>
          <w:type w:val="continuous"/>
        </w:sectPr>
      </w:pPr>
    </w:p>
    <w:p>
      <w:pPr>
        <w:spacing w:after="0" w:line="96" w:lineRule="exact"/>
        <w:rPr>
          <w:sz w:val="24"/>
          <w:szCs w:val="24"/>
          <w:color w:val="auto"/>
        </w:rPr>
      </w:pPr>
    </w:p>
    <w:p>
      <w:pPr>
        <w:jc w:val="center"/>
        <w:spacing w:after="0"/>
        <w:rPr>
          <w:sz w:val="20"/>
          <w:szCs w:val="20"/>
          <w:color w:val="auto"/>
        </w:rPr>
      </w:pPr>
      <w:r>
        <w:rPr>
          <w:rFonts w:ascii="Arial" w:cs="Arial" w:eastAsia="Arial" w:hAnsi="Arial"/>
          <w:sz w:val="12"/>
          <w:szCs w:val="12"/>
          <w:color w:val="FCFCFC"/>
        </w:rPr>
        <w:t>Prospectus dated December 15, 2020.</w:t>
      </w:r>
    </w:p>
    <w:p>
      <w:pPr>
        <w:sectPr>
          <w:pgSz w:w="11900" w:h="16838" w:orient="portrait"/>
          <w:cols w:equalWidth="0" w:num="1">
            <w:col w:w="11340"/>
          </w:cols>
          <w:pgMar w:left="320" w:top="216" w:right="239" w:bottom="1440" w:gutter="0" w:footer="0" w:header="0"/>
          <w:type w:val="continuous"/>
        </w:sectPr>
      </w:pPr>
    </w:p>
    <w:bookmarkStart w:id="1" w:name="page2"/>
    <w:bookmarkEnd w:id="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920" w:type="dxa"/>
            <w:vAlign w:val="bottom"/>
            <w:gridSpan w:val="2"/>
          </w:tcPr>
          <w:p>
            <w:pPr>
              <w:spacing w:after="0"/>
              <w:rPr>
                <w:sz w:val="20"/>
                <w:szCs w:val="20"/>
                <w:color w:val="auto"/>
              </w:rPr>
            </w:pPr>
            <w:r>
              <w:rPr>
                <w:rFonts w:ascii="Arial" w:cs="Arial" w:eastAsia="Arial" w:hAnsi="Arial"/>
                <w:sz w:val="11"/>
                <w:szCs w:val="11"/>
                <w:color w:val="FFFFFF"/>
              </w:rPr>
              <w:t>Upstart</w:t>
            </w: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AI Powered Lending</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~15B cells of performance data 1</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622,079 loans transacted on platform 2</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~75% reduction in loss rates 3</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2380" w:type="dxa"/>
            <w:vAlign w:val="bottom"/>
            <w:gridSpan w:val="3"/>
          </w:tcPr>
          <w:p>
            <w:pPr>
              <w:spacing w:after="0"/>
              <w:rPr>
                <w:sz w:val="20"/>
                <w:szCs w:val="20"/>
                <w:color w:val="auto"/>
              </w:rPr>
            </w:pPr>
            <w:r>
              <w:rPr>
                <w:rFonts w:ascii="Arial" w:cs="Arial" w:eastAsia="Arial" w:hAnsi="Arial"/>
                <w:sz w:val="3"/>
                <w:szCs w:val="3"/>
                <w:color w:val="FFFFFF"/>
              </w:rPr>
              <w:t>10x increase in conversion rates since inception 4</w:t>
            </w: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~70% loans fully automated 5</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3 of 4 last quarters GAAP profitable 6</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3300" w:type="dxa"/>
            <w:vAlign w:val="bottom"/>
            <w:gridSpan w:val="5"/>
          </w:tcPr>
          <w:p>
            <w:pPr>
              <w:spacing w:after="0"/>
              <w:rPr>
                <w:sz w:val="20"/>
                <w:szCs w:val="20"/>
                <w:color w:val="auto"/>
              </w:rPr>
            </w:pPr>
            <w:r>
              <w:rPr>
                <w:rFonts w:ascii="Arial" w:cs="Arial" w:eastAsia="Arial" w:hAnsi="Arial"/>
                <w:sz w:val="3"/>
                <w:szCs w:val="3"/>
                <w:color w:val="FFFFFF"/>
              </w:rPr>
              <w:t>Data presented as of September 30, 2020 unless otherwise specified.</w:t>
            </w:r>
          </w:p>
        </w:tc>
        <w:tc>
          <w:tcPr>
            <w:tcW w:w="5880" w:type="dxa"/>
            <w:vAlign w:val="bottom"/>
            <w:vMerge w:val="restart"/>
          </w:tcPr>
          <w:p>
            <w:pPr>
              <w:ind w:left="120"/>
              <w:spacing w:after="0" w:line="68" w:lineRule="exact"/>
              <w:rPr>
                <w:sz w:val="20"/>
                <w:szCs w:val="20"/>
                <w:color w:val="auto"/>
              </w:rPr>
            </w:pPr>
            <w:r>
              <w:rPr>
                <w:rFonts w:ascii="Arial" w:cs="Arial" w:eastAsia="Arial" w:hAnsi="Arial"/>
                <w:sz w:val="7"/>
                <w:szCs w:val="7"/>
                <w:color w:val="FFFFFF"/>
              </w:rPr>
              <w:t>model input variables and training data such as payment events. Such data is integral to our models’ continued improvement</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(1)</w:t>
            </w:r>
          </w:p>
        </w:tc>
        <w:tc>
          <w:tcPr>
            <w:tcW w:w="2860" w:type="dxa"/>
            <w:vAlign w:val="bottom"/>
            <w:gridSpan w:val="3"/>
          </w:tcPr>
          <w:p>
            <w:pPr>
              <w:spacing w:after="0"/>
              <w:rPr>
                <w:sz w:val="20"/>
                <w:szCs w:val="20"/>
                <w:color w:val="auto"/>
              </w:rPr>
            </w:pPr>
            <w:r>
              <w:rPr>
                <w:rFonts w:ascii="Arial" w:cs="Arial" w:eastAsia="Arial" w:hAnsi="Arial"/>
                <w:sz w:val="3"/>
                <w:szCs w:val="3"/>
                <w:color w:val="FFFFFF"/>
              </w:rPr>
              <w:t>Represents the amount of data powering our AI models, which</w:t>
            </w:r>
          </w:p>
        </w:tc>
        <w:tc>
          <w:tcPr>
            <w:tcW w:w="280" w:type="dxa"/>
            <w:vAlign w:val="bottom"/>
          </w:tcPr>
          <w:p>
            <w:pPr>
              <w:spacing w:after="0"/>
              <w:rPr>
                <w:sz w:val="2"/>
                <w:szCs w:val="2"/>
                <w:color w:val="auto"/>
              </w:rPr>
            </w:pPr>
          </w:p>
        </w:tc>
        <w:tc>
          <w:tcPr>
            <w:tcW w:w="5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and accuracy. See the section titled</w:t>
            </w:r>
          </w:p>
        </w:tc>
        <w:tc>
          <w:tcPr>
            <w:tcW w:w="7260" w:type="dxa"/>
            <w:vAlign w:val="bottom"/>
            <w:gridSpan w:val="4"/>
          </w:tcPr>
          <w:p>
            <w:pPr>
              <w:ind w:left="140"/>
              <w:spacing w:after="0"/>
              <w:rPr>
                <w:sz w:val="20"/>
                <w:szCs w:val="20"/>
                <w:color w:val="auto"/>
              </w:rPr>
            </w:pPr>
            <w:r>
              <w:rPr>
                <w:rFonts w:ascii="Arial" w:cs="Arial" w:eastAsia="Arial" w:hAnsi="Arial"/>
                <w:sz w:val="3"/>
                <w:szCs w:val="3"/>
                <w:color w:val="FFFFFF"/>
              </w:rPr>
              <w:t>–Evolution of Upstart’includesAIModel” for more information.</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(2)</w:t>
            </w:r>
          </w:p>
        </w:tc>
        <w:tc>
          <w:tcPr>
            <w:tcW w:w="9020" w:type="dxa"/>
            <w:vAlign w:val="bottom"/>
            <w:gridSpan w:val="5"/>
          </w:tcPr>
          <w:p>
            <w:pPr>
              <w:spacing w:after="0"/>
              <w:rPr>
                <w:sz w:val="20"/>
                <w:szCs w:val="20"/>
                <w:color w:val="auto"/>
              </w:rPr>
            </w:pPr>
            <w:r>
              <w:rPr>
                <w:rFonts w:ascii="Arial" w:cs="Arial" w:eastAsia="Arial" w:hAnsi="Arial"/>
                <w:sz w:val="3"/>
                <w:szCs w:val="3"/>
                <w:color w:val="FFFFFF"/>
              </w:rPr>
              <w:t>Number of Loans Transacted. W“Businessdefinethe Number of Loans Transacted as the transaction volume, measured by number of loans facilitated on our platform, between a borrower and originating</w:t>
            </w:r>
          </w:p>
        </w:tc>
        <w:tc>
          <w:tcPr>
            <w:tcW w:w="0" w:type="dxa"/>
            <w:vAlign w:val="bottom"/>
          </w:tcPr>
          <w:p>
            <w:pPr>
              <w:spacing w:after="0" w:line="20" w:lineRule="exact"/>
              <w:rPr>
                <w:sz w:val="1"/>
                <w:szCs w:val="1"/>
                <w:color w:val="auto"/>
              </w:rPr>
            </w:pPr>
          </w:p>
        </w:tc>
      </w:tr>
      <w:tr>
        <w:trPr>
          <w:trHeight w:val="34"/>
        </w:trPr>
        <w:tc>
          <w:tcPr>
            <w:tcW w:w="1920" w:type="dxa"/>
            <w:vAlign w:val="bottom"/>
            <w:gridSpan w:val="2"/>
          </w:tcPr>
          <w:p>
            <w:pPr>
              <w:spacing w:after="0"/>
              <w:rPr>
                <w:sz w:val="20"/>
                <w:szCs w:val="20"/>
                <w:color w:val="auto"/>
              </w:rPr>
            </w:pPr>
            <w:r>
              <w:rPr>
                <w:rFonts w:ascii="Arial" w:cs="Arial" w:eastAsia="Arial" w:hAnsi="Arial"/>
                <w:sz w:val="3"/>
                <w:szCs w:val="3"/>
                <w:color w:val="FFFFFF"/>
              </w:rPr>
              <w:t>bank.</w:t>
            </w: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160" w:type="dxa"/>
            <w:vAlign w:val="bottom"/>
            <w:gridSpan w:val="2"/>
            <w:vMerge w:val="restart"/>
          </w:tcPr>
          <w:p>
            <w:pPr>
              <w:ind w:left="20"/>
              <w:spacing w:after="0" w:line="68" w:lineRule="exact"/>
              <w:rPr>
                <w:sz w:val="20"/>
                <w:szCs w:val="20"/>
                <w:color w:val="auto"/>
              </w:rPr>
            </w:pPr>
            <w:r>
              <w:rPr>
                <w:rFonts w:ascii="Arial" w:cs="Arial" w:eastAsia="Arial" w:hAnsi="Arial"/>
                <w:sz w:val="7"/>
                <w:szCs w:val="7"/>
                <w:color w:val="FFFFFF"/>
              </w:rPr>
              <w:t>their respective underwriting policies and evaluated their hypothetical loss rates and approval rates using Upstart’s applicant base in late</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(3)</w:t>
            </w:r>
          </w:p>
        </w:tc>
        <w:tc>
          <w:tcPr>
            <w:tcW w:w="2860" w:type="dxa"/>
            <w:vAlign w:val="bottom"/>
            <w:gridSpan w:val="3"/>
          </w:tcPr>
          <w:p>
            <w:pPr>
              <w:spacing w:after="0"/>
              <w:rPr>
                <w:sz w:val="20"/>
                <w:szCs w:val="20"/>
                <w:color w:val="auto"/>
              </w:rPr>
            </w:pPr>
            <w:r>
              <w:rPr>
                <w:rFonts w:ascii="Arial" w:cs="Arial" w:eastAsia="Arial" w:hAnsi="Arial"/>
                <w:sz w:val="3"/>
                <w:szCs w:val="3"/>
                <w:color w:val="FFFFFF"/>
              </w:rPr>
              <w:t>In an internal study, Upstart replicated three bank models</w:t>
            </w:r>
          </w:p>
        </w:tc>
        <w:tc>
          <w:tcPr>
            <w:tcW w:w="6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6"/>
          </w:tcPr>
          <w:p>
            <w:pPr>
              <w:spacing w:after="0"/>
              <w:rPr>
                <w:sz w:val="20"/>
                <w:szCs w:val="20"/>
                <w:color w:val="auto"/>
              </w:rPr>
            </w:pPr>
            <w:r>
              <w:rPr>
                <w:rFonts w:ascii="Arial" w:cs="Arial" w:eastAsia="Arial" w:hAnsi="Arial"/>
                <w:sz w:val="3"/>
                <w:szCs w:val="3"/>
                <w:color w:val="FFFFFF"/>
              </w:rPr>
              <w:t>2017. To compare the hypothetical loss rates between Upstart’usingmodel and each of the replicated bank models, Upstart held approval rates constant at the rate called for by each bank’s respective</w:t>
            </w:r>
          </w:p>
        </w:tc>
        <w:tc>
          <w:tcPr>
            <w:tcW w:w="0" w:type="dxa"/>
            <w:vAlign w:val="bottom"/>
          </w:tcPr>
          <w:p>
            <w:pPr>
              <w:spacing w:after="0" w:line="20" w:lineRule="exact"/>
              <w:rPr>
                <w:sz w:val="1"/>
                <w:szCs w:val="1"/>
                <w:color w:val="auto"/>
              </w:rPr>
            </w:pPr>
          </w:p>
        </w:tc>
      </w:tr>
      <w:tr>
        <w:trPr>
          <w:trHeight w:val="34"/>
        </w:trPr>
        <w:tc>
          <w:tcPr>
            <w:tcW w:w="9180" w:type="dxa"/>
            <w:vAlign w:val="bottom"/>
            <w:gridSpan w:val="6"/>
          </w:tcPr>
          <w:p>
            <w:pPr>
              <w:spacing w:after="0"/>
              <w:rPr>
                <w:sz w:val="20"/>
                <w:szCs w:val="20"/>
                <w:color w:val="auto"/>
              </w:rPr>
            </w:pPr>
            <w:r>
              <w:rPr>
                <w:rFonts w:ascii="Arial" w:cs="Arial" w:eastAsia="Arial" w:hAnsi="Arial"/>
                <w:sz w:val="3"/>
                <w:szCs w:val="3"/>
                <w:color w:val="FFFFFF"/>
              </w:rPr>
              <w:t>underwriting policy. Such result represents the average rate of improvement exhibited by Upstart’s platform against each of the three respective bank models.</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(4)</w:t>
            </w:r>
          </w:p>
        </w:tc>
        <w:tc>
          <w:tcPr>
            <w:tcW w:w="2220" w:type="dxa"/>
            <w:vAlign w:val="bottom"/>
            <w:gridSpan w:val="2"/>
          </w:tcPr>
          <w:p>
            <w:pPr>
              <w:spacing w:after="0"/>
              <w:rPr>
                <w:sz w:val="20"/>
                <w:szCs w:val="20"/>
                <w:color w:val="auto"/>
              </w:rPr>
            </w:pPr>
            <w:r>
              <w:rPr>
                <w:rFonts w:ascii="Arial" w:cs="Arial" w:eastAsia="Arial" w:hAnsi="Arial"/>
                <w:sz w:val="3"/>
                <w:szCs w:val="3"/>
                <w:color w:val="FFFFFF"/>
              </w:rPr>
              <w:t>Based on the change in Conversion Rate from</w:t>
            </w:r>
          </w:p>
        </w:tc>
        <w:tc>
          <w:tcPr>
            <w:tcW w:w="6800" w:type="dxa"/>
            <w:vAlign w:val="bottom"/>
            <w:gridSpan w:val="3"/>
          </w:tcPr>
          <w:p>
            <w:pPr>
              <w:ind w:left="120"/>
              <w:spacing w:after="0"/>
              <w:rPr>
                <w:sz w:val="20"/>
                <w:szCs w:val="20"/>
                <w:color w:val="auto"/>
              </w:rPr>
            </w:pPr>
            <w:r>
              <w:rPr>
                <w:rFonts w:ascii="Arial" w:cs="Arial" w:eastAsia="Arial" w:hAnsi="Arial"/>
                <w:sz w:val="3"/>
                <w:szCs w:val="3"/>
                <w:color w:val="FFFFFF"/>
              </w:rPr>
              <w:t>1, 2014 to September 30, 2020. We define Conversion Rate as the Number of Loans Transacted in a period divided by the number of rate inquiries</w:t>
            </w:r>
          </w:p>
        </w:tc>
        <w:tc>
          <w:tcPr>
            <w:tcW w:w="0" w:type="dxa"/>
            <w:vAlign w:val="bottom"/>
          </w:tcPr>
          <w:p>
            <w:pPr>
              <w:spacing w:after="0" w:line="20" w:lineRule="exact"/>
              <w:rPr>
                <w:sz w:val="1"/>
                <w:szCs w:val="1"/>
                <w:color w:val="auto"/>
              </w:rPr>
            </w:pPr>
          </w:p>
        </w:tc>
      </w:tr>
      <w:tr>
        <w:trPr>
          <w:trHeight w:val="34"/>
        </w:trPr>
        <w:tc>
          <w:tcPr>
            <w:tcW w:w="3300" w:type="dxa"/>
            <w:vAlign w:val="bottom"/>
            <w:gridSpan w:val="5"/>
          </w:tcPr>
          <w:p>
            <w:pPr>
              <w:spacing w:after="0"/>
              <w:rPr>
                <w:sz w:val="20"/>
                <w:szCs w:val="20"/>
                <w:color w:val="auto"/>
              </w:rPr>
            </w:pPr>
            <w:r>
              <w:rPr>
                <w:rFonts w:ascii="Arial" w:cs="Arial" w:eastAsia="Arial" w:hAnsi="Arial"/>
                <w:sz w:val="3"/>
                <w:szCs w:val="3"/>
                <w:color w:val="FFFFFF"/>
              </w:rPr>
              <w:t>received in the same period, which we record whenMayborrower requests</w:t>
            </w:r>
          </w:p>
        </w:tc>
        <w:tc>
          <w:tcPr>
            <w:tcW w:w="5880" w:type="dxa"/>
            <w:vAlign w:val="bottom"/>
          </w:tcPr>
          <w:p>
            <w:pPr>
              <w:ind w:left="40"/>
              <w:spacing w:after="0"/>
              <w:rPr>
                <w:sz w:val="20"/>
                <w:szCs w:val="20"/>
                <w:color w:val="auto"/>
              </w:rPr>
            </w:pPr>
            <w:r>
              <w:rPr>
                <w:rFonts w:ascii="Arial" w:cs="Arial" w:eastAsia="Arial" w:hAnsi="Arial"/>
                <w:sz w:val="3"/>
                <w:szCs w:val="3"/>
                <w:color w:val="FFFFFF"/>
              </w:rPr>
              <w:t>loan offer on our platform.</w:t>
            </w:r>
          </w:p>
        </w:tc>
        <w:tc>
          <w:tcPr>
            <w:tcW w:w="0" w:type="dxa"/>
            <w:vAlign w:val="bottom"/>
          </w:tcPr>
          <w:p>
            <w:pPr>
              <w:spacing w:after="0" w:line="20" w:lineRule="exact"/>
              <w:rPr>
                <w:sz w:val="1"/>
                <w:szCs w:val="1"/>
                <w:color w:val="auto"/>
              </w:rPr>
            </w:pPr>
          </w:p>
        </w:tc>
      </w:tr>
      <w:tr>
        <w:trPr>
          <w:trHeight w:val="34"/>
        </w:trPr>
        <w:tc>
          <w:tcPr>
            <w:tcW w:w="160" w:type="dxa"/>
            <w:vAlign w:val="bottom"/>
          </w:tcPr>
          <w:p>
            <w:pPr>
              <w:spacing w:after="0"/>
              <w:rPr>
                <w:sz w:val="20"/>
                <w:szCs w:val="20"/>
                <w:color w:val="auto"/>
              </w:rPr>
            </w:pPr>
            <w:r>
              <w:rPr>
                <w:rFonts w:ascii="Arial" w:cs="Arial" w:eastAsia="Arial" w:hAnsi="Arial"/>
                <w:sz w:val="3"/>
                <w:szCs w:val="3"/>
                <w:color w:val="FFFFFF"/>
              </w:rPr>
              <w:t>(5)</w:t>
            </w:r>
          </w:p>
        </w:tc>
        <w:tc>
          <w:tcPr>
            <w:tcW w:w="9020" w:type="dxa"/>
            <w:vAlign w:val="bottom"/>
            <w:gridSpan w:val="5"/>
          </w:tcPr>
          <w:p>
            <w:pPr>
              <w:spacing w:after="0"/>
              <w:rPr>
                <w:sz w:val="20"/>
                <w:szCs w:val="20"/>
                <w:color w:val="auto"/>
              </w:rPr>
            </w:pPr>
            <w:r>
              <w:rPr>
                <w:rFonts w:ascii="Arial" w:cs="Arial" w:eastAsia="Arial" w:hAnsi="Arial"/>
                <w:sz w:val="3"/>
                <w:szCs w:val="3"/>
                <w:color w:val="FFFFFF"/>
              </w:rPr>
              <w:t>Percentage of Loans Fully Automated. W define Percentage of Loans Fully Automated as the total number of loans in a given period originated end-to-end (from initial rate request to final funding)</w:t>
            </w:r>
          </w:p>
        </w:tc>
        <w:tc>
          <w:tcPr>
            <w:tcW w:w="0" w:type="dxa"/>
            <w:vAlign w:val="bottom"/>
          </w:tcPr>
          <w:p>
            <w:pPr>
              <w:spacing w:after="0" w:line="20" w:lineRule="exact"/>
              <w:rPr>
                <w:sz w:val="1"/>
                <w:szCs w:val="1"/>
                <w:color w:val="auto"/>
              </w:rPr>
            </w:pPr>
          </w:p>
        </w:tc>
      </w:tr>
      <w:tr>
        <w:trPr>
          <w:trHeight w:val="34"/>
        </w:trPr>
        <w:tc>
          <w:tcPr>
            <w:tcW w:w="9180" w:type="dxa"/>
            <w:vAlign w:val="bottom"/>
            <w:gridSpan w:val="6"/>
          </w:tcPr>
          <w:p>
            <w:pPr>
              <w:spacing w:after="0"/>
              <w:rPr>
                <w:sz w:val="20"/>
                <w:szCs w:val="20"/>
                <w:color w:val="auto"/>
              </w:rPr>
            </w:pPr>
            <w:r>
              <w:rPr>
                <w:rFonts w:ascii="Arial" w:cs="Arial" w:eastAsia="Arial" w:hAnsi="Arial"/>
                <w:sz w:val="3"/>
                <w:szCs w:val="3"/>
                <w:color w:val="FFFFFF"/>
              </w:rPr>
              <w:t>with no human involvement divided by the Number of Loans Transacted in the same period.</w:t>
            </w:r>
          </w:p>
        </w:tc>
        <w:tc>
          <w:tcPr>
            <w:tcW w:w="0" w:type="dxa"/>
            <w:vAlign w:val="bottom"/>
          </w:tcPr>
          <w:p>
            <w:pPr>
              <w:spacing w:after="0" w:line="20" w:lineRule="exact"/>
              <w:rPr>
                <w:sz w:val="1"/>
                <w:szCs w:val="1"/>
                <w:color w:val="auto"/>
              </w:rPr>
            </w:pPr>
          </w:p>
        </w:tc>
      </w:tr>
      <w:tr>
        <w:trPr>
          <w:trHeight w:val="144"/>
        </w:trPr>
        <w:tc>
          <w:tcPr>
            <w:tcW w:w="160" w:type="dxa"/>
            <w:vAlign w:val="bottom"/>
          </w:tcPr>
          <w:p>
            <w:pPr>
              <w:spacing w:after="0"/>
              <w:rPr>
                <w:sz w:val="20"/>
                <w:szCs w:val="20"/>
                <w:color w:val="auto"/>
              </w:rPr>
            </w:pPr>
            <w:r>
              <w:rPr>
                <w:rFonts w:ascii="Arial" w:cs="Arial" w:eastAsia="Arial" w:hAnsi="Arial"/>
                <w:sz w:val="11"/>
                <w:szCs w:val="11"/>
                <w:color w:val="FFFFFF"/>
              </w:rPr>
              <w:t>(6)</w:t>
            </w:r>
          </w:p>
        </w:tc>
        <w:tc>
          <w:tcPr>
            <w:tcW w:w="9020" w:type="dxa"/>
            <w:vAlign w:val="bottom"/>
            <w:gridSpan w:val="5"/>
          </w:tcPr>
          <w:p>
            <w:pPr>
              <w:spacing w:after="0"/>
              <w:rPr>
                <w:sz w:val="20"/>
                <w:szCs w:val="20"/>
                <w:color w:val="auto"/>
              </w:rPr>
            </w:pPr>
            <w:r>
              <w:rPr>
                <w:rFonts w:ascii="Arial" w:cs="Arial" w:eastAsia="Arial" w:hAnsi="Arial"/>
                <w:sz w:val="11"/>
                <w:szCs w:val="11"/>
                <w:color w:val="FFFFFF"/>
              </w:rPr>
              <w:t>We were GAAP profitable in the fourth quarter of 2019 and the first and third quarters of 2020.</w:t>
            </w:r>
          </w:p>
        </w:tc>
        <w:tc>
          <w:tcPr>
            <w:tcW w:w="0" w:type="dxa"/>
            <w:vAlign w:val="bottom"/>
          </w:tcPr>
          <w:p>
            <w:pPr>
              <w:spacing w:after="0"/>
              <w:rPr>
                <w:sz w:val="1"/>
                <w:szCs w:val="1"/>
                <w:color w:val="auto"/>
              </w:rPr>
            </w:pPr>
          </w:p>
        </w:tc>
      </w:tr>
    </w:tbl>
    <w:p>
      <w:pPr>
        <w:sectPr>
          <w:pgSz w:w="11900" w:h="16838" w:orient="portrait"/>
          <w:cols w:equalWidth="0" w:num="1">
            <w:col w:w="10200"/>
          </w:cols>
          <w:pgMar w:left="320" w:top="407" w:right="137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811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51755" cy="681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7499"/>
        <w:spacing w:after="0"/>
        <w:rPr>
          <w:sz w:val="20"/>
          <w:szCs w:val="20"/>
          <w:color w:val="auto"/>
        </w:rPr>
      </w:pPr>
      <w:r>
        <w:rPr>
          <w:rFonts w:ascii="Arial" w:cs="Arial" w:eastAsia="Arial" w:hAnsi="Arial"/>
          <w:sz w:val="11"/>
          <w:szCs w:val="11"/>
          <w:color w:val="FFFFFF"/>
        </w:rPr>
        <w:t>You are more than your credit score</w:t>
      </w:r>
    </w:p>
    <w:p>
      <w:pPr>
        <w:sectPr>
          <w:pgSz w:w="11900" w:h="16838" w:orient="portrait"/>
          <w:cols w:equalWidth="0" w:num="1">
            <w:col w:w="10139"/>
          </w:cols>
          <w:pgMar w:left="320" w:top="407" w:right="1440"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186055</wp:posOffset>
            </wp:positionV>
            <wp:extent cx="5151755" cy="6711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ectPr>
          <w:pgSz w:w="11900" w:h="16838" w:orient="portrait"/>
          <w:cols w:equalWidth="0" w:num="1">
            <w:col w:w="10139"/>
          </w:cols>
          <w:pgMar w:left="320" w:top="407"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180" w:type="dxa"/>
            <w:vAlign w:val="bottom"/>
            <w:gridSpan w:val="2"/>
          </w:tcPr>
          <w:p>
            <w:pPr>
              <w:spacing w:after="0"/>
              <w:rPr>
                <w:sz w:val="20"/>
                <w:szCs w:val="20"/>
                <w:color w:val="auto"/>
              </w:rPr>
            </w:pPr>
            <w:r>
              <w:rPr>
                <w:rFonts w:ascii="Arial" w:cs="Arial" w:eastAsia="Arial" w:hAnsi="Arial"/>
                <w:sz w:val="11"/>
                <w:szCs w:val="11"/>
                <w:color w:val="FFFFFF"/>
              </w:rPr>
              <w:t>FOUNDERS’ LETTER</w:t>
            </w:r>
          </w:p>
        </w:tc>
        <w:tc>
          <w:tcPr>
            <w:tcW w:w="1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40" w:type="dxa"/>
            <w:vAlign w:val="bottom"/>
          </w:tcPr>
          <w:p>
            <w:pPr>
              <w:spacing w:after="0"/>
              <w:rPr>
                <w:sz w:val="20"/>
                <w:szCs w:val="20"/>
                <w:color w:val="auto"/>
              </w:rPr>
            </w:pPr>
            <w:r>
              <w:rPr>
                <w:rFonts w:ascii="Arial" w:cs="Arial" w:eastAsia="Arial" w:hAnsi="Arial"/>
                <w:sz w:val="3"/>
                <w:szCs w:val="3"/>
                <w:color w:val="FFFFFF"/>
              </w:rPr>
              <w:t>I</w:t>
            </w:r>
          </w:p>
        </w:tc>
        <w:tc>
          <w:tcPr>
            <w:tcW w:w="2760" w:type="dxa"/>
            <w:vAlign w:val="bottom"/>
            <w:gridSpan w:val="2"/>
          </w:tcPr>
          <w:p>
            <w:pPr>
              <w:ind w:left="120"/>
              <w:spacing w:after="0"/>
              <w:rPr>
                <w:sz w:val="20"/>
                <w:szCs w:val="20"/>
                <w:color w:val="auto"/>
              </w:rPr>
            </w:pPr>
            <w:r>
              <w:rPr>
                <w:rFonts w:ascii="Arial" w:cs="Arial" w:eastAsia="Arial" w:hAnsi="Arial"/>
                <w:sz w:val="3"/>
                <w:szCs w:val="3"/>
                <w:color w:val="FFFFFF"/>
              </w:rPr>
              <w:t>Google   2012 to found Upstart with Anna and Paul.</w:t>
            </w:r>
          </w:p>
        </w:tc>
        <w:tc>
          <w:tcPr>
            <w:tcW w:w="1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Wleftwere convinced that technology and data science could improve access to affordable credit, but we were a little fuzzy on the details. It seemed obvious that there was room for improvement: Why</w:t>
            </w: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should a credit score invented 30 years ago, prior to the emergence of cloud computing and modern data science, decide who is approved for  loan and who isn’t?</w:t>
            </w: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I was confident that the types of technologies and analytics we were developing at Google for very different reasons could be useful to this vast but incredibly inefficient industry. And done properly, such</w:t>
            </w:r>
          </w:p>
        </w:tc>
        <w:tc>
          <w:tcPr>
            <w:tcW w:w="0" w:type="dxa"/>
            <w:vAlign w:val="bottom"/>
          </w:tcPr>
          <w:p>
            <w:pPr>
              <w:spacing w:after="0" w:line="20" w:lineRule="exact"/>
              <w:rPr>
                <w:sz w:val="1"/>
                <w:szCs w:val="1"/>
                <w:color w:val="auto"/>
              </w:rPr>
            </w:pPr>
          </w:p>
        </w:tc>
      </w:tr>
      <w:tr>
        <w:trPr>
          <w:trHeight w:val="34"/>
        </w:trPr>
        <w:tc>
          <w:tcPr>
            <w:tcW w:w="2900" w:type="dxa"/>
            <w:vAlign w:val="bottom"/>
            <w:gridSpan w:val="3"/>
          </w:tcPr>
          <w:p>
            <w:pPr>
              <w:spacing w:after="0"/>
              <w:rPr>
                <w:sz w:val="20"/>
                <w:szCs w:val="20"/>
                <w:color w:val="auto"/>
              </w:rPr>
            </w:pPr>
            <w:r>
              <w:rPr>
                <w:rFonts w:ascii="Arial" w:cs="Arial" w:eastAsia="Arial" w:hAnsi="Arial"/>
                <w:sz w:val="3"/>
                <w:szCs w:val="3"/>
                <w:color w:val="FFFFFF"/>
              </w:rPr>
              <w:t>a system could reduce the cost of borrowing for millions.</w:t>
            </w:r>
          </w:p>
        </w:tc>
        <w:tc>
          <w:tcPr>
            <w:tcW w:w="1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180" w:type="dxa"/>
            <w:vAlign w:val="bottom"/>
            <w:gridSpan w:val="2"/>
          </w:tcPr>
          <w:p>
            <w:pPr>
              <w:spacing w:after="0"/>
              <w:rPr>
                <w:sz w:val="20"/>
                <w:szCs w:val="20"/>
                <w:color w:val="auto"/>
              </w:rPr>
            </w:pPr>
            <w:r>
              <w:rPr>
                <w:rFonts w:ascii="Arial" w:cs="Arial" w:eastAsia="Arial" w:hAnsi="Arial"/>
                <w:sz w:val="3"/>
                <w:szCs w:val="3"/>
                <w:color w:val="FFFFFF"/>
              </w:rPr>
              <w:t>Why</w:t>
            </w:r>
          </w:p>
        </w:tc>
        <w:tc>
          <w:tcPr>
            <w:tcW w:w="17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5"/>
          </w:tcPr>
          <w:p>
            <w:pPr>
              <w:spacing w:after="0"/>
              <w:rPr>
                <w:sz w:val="20"/>
                <w:szCs w:val="20"/>
                <w:color w:val="auto"/>
              </w:rPr>
            </w:pPr>
            <w:r>
              <w:rPr>
                <w:rFonts w:ascii="Arial" w:cs="Arial" w:eastAsia="Arial" w:hAnsi="Arial"/>
                <w:sz w:val="3"/>
                <w:szCs w:val="3"/>
                <w:color w:val="FFFFFF"/>
              </w:rPr>
              <w:t>You don’credit?go into credit to be loved. With five thousand years of colorful history, there’s no shortage of reasons to be concerned for borrowers and suspicious of lenders. The business of lending suffers</w:t>
            </w:r>
          </w:p>
        </w:tc>
        <w:tc>
          <w:tcPr>
            <w:tcW w:w="0" w:type="dxa"/>
            <w:vAlign w:val="bottom"/>
          </w:tcPr>
          <w:p>
            <w:pPr>
              <w:spacing w:after="0" w:line="20" w:lineRule="exact"/>
              <w:rPr>
                <w:sz w:val="1"/>
                <w:szCs w:val="1"/>
                <w:color w:val="auto"/>
              </w:rPr>
            </w:pPr>
          </w:p>
        </w:tc>
      </w:tr>
      <w:tr>
        <w:trPr>
          <w:trHeight w:val="34"/>
        </w:trPr>
        <w:tc>
          <w:tcPr>
            <w:tcW w:w="2900" w:type="dxa"/>
            <w:vAlign w:val="bottom"/>
            <w:gridSpan w:val="3"/>
          </w:tcPr>
          <w:p>
            <w:pPr>
              <w:spacing w:after="0"/>
              <w:rPr>
                <w:sz w:val="20"/>
                <w:szCs w:val="20"/>
                <w:color w:val="auto"/>
              </w:rPr>
            </w:pPr>
            <w:r>
              <w:rPr>
                <w:rFonts w:ascii="Arial" w:cs="Arial" w:eastAsia="Arial" w:hAnsi="Arial"/>
                <w:sz w:val="3"/>
                <w:szCs w:val="3"/>
                <w:color w:val="FFFFFF"/>
              </w:rPr>
              <w:t>from self-inflicted reputational damage brought on by</w:t>
            </w:r>
          </w:p>
        </w:tc>
        <w:tc>
          <w:tcPr>
            <w:tcW w:w="6280" w:type="dxa"/>
            <w:vAlign w:val="bottom"/>
            <w:gridSpan w:val="2"/>
          </w:tcPr>
          <w:p>
            <w:pPr>
              <w:ind w:left="140"/>
              <w:spacing w:after="0"/>
              <w:rPr>
                <w:sz w:val="20"/>
                <w:szCs w:val="20"/>
                <w:color w:val="auto"/>
              </w:rPr>
            </w:pPr>
            <w:r>
              <w:rPr>
                <w:rFonts w:ascii="Arial" w:cs="Arial" w:eastAsia="Arial" w:hAnsi="Arial"/>
                <w:sz w:val="3"/>
                <w:szCs w:val="3"/>
                <w:color w:val="FFFFFF"/>
              </w:rPr>
              <w:t>stories of borrower exploitation. For all the right reasons, it’s among the most heavily regulated industries.</w:t>
            </w:r>
          </w:p>
        </w:tc>
        <w:tc>
          <w:tcPr>
            <w:tcW w:w="0" w:type="dxa"/>
            <w:vAlign w:val="bottom"/>
          </w:tcPr>
          <w:p>
            <w:pPr>
              <w:spacing w:after="0" w:line="20" w:lineRule="exact"/>
              <w:rPr>
                <w:sz w:val="1"/>
                <w:szCs w:val="1"/>
                <w:color w:val="auto"/>
              </w:rPr>
            </w:pPr>
          </w:p>
        </w:tc>
      </w:tr>
      <w:tr>
        <w:trPr>
          <w:trHeight w:val="34"/>
        </w:trPr>
        <w:tc>
          <w:tcPr>
            <w:tcW w:w="140" w:type="dxa"/>
            <w:vAlign w:val="bottom"/>
          </w:tcPr>
          <w:p>
            <w:pPr>
              <w:spacing w:after="0"/>
              <w:rPr>
                <w:sz w:val="20"/>
                <w:szCs w:val="20"/>
                <w:color w:val="auto"/>
              </w:rPr>
            </w:pPr>
            <w:r>
              <w:rPr>
                <w:rFonts w:ascii="Arial" w:cs="Arial" w:eastAsia="Arial" w:hAnsi="Arial"/>
                <w:sz w:val="3"/>
                <w:szCs w:val="3"/>
                <w:color w:val="FFFFFF"/>
              </w:rPr>
              <w:t>W</w:t>
            </w:r>
          </w:p>
        </w:tc>
        <w:tc>
          <w:tcPr>
            <w:tcW w:w="9040" w:type="dxa"/>
            <w:vAlign w:val="bottom"/>
            <w:gridSpan w:val="4"/>
          </w:tcPr>
          <w:p>
            <w:pPr>
              <w:ind w:left="40"/>
              <w:spacing w:after="0"/>
              <w:rPr>
                <w:sz w:val="20"/>
                <w:szCs w:val="20"/>
                <w:color w:val="auto"/>
              </w:rPr>
            </w:pPr>
            <w:r>
              <w:rPr>
                <w:rFonts w:ascii="Arial" w:cs="Arial" w:eastAsia="Arial" w:hAnsi="Arial"/>
                <w:sz w:val="3"/>
                <w:szCs w:val="3"/>
                <w:color w:val="FFFFFF"/>
              </w:rPr>
              <w:t>can dream about living in  world where credit isn’uncountablenecessary—where each of us has the money we need to live the life we want. But like it or not, money is a core ingredient of our lives, and the</w:t>
            </w:r>
          </w:p>
        </w:tc>
        <w:tc>
          <w:tcPr>
            <w:tcW w:w="0" w:type="dxa"/>
            <w:vAlign w:val="bottom"/>
          </w:tcPr>
          <w:p>
            <w:pPr>
              <w:spacing w:after="0" w:line="20" w:lineRule="exact"/>
              <w:rPr>
                <w:sz w:val="1"/>
                <w:szCs w:val="1"/>
                <w:color w:val="auto"/>
              </w:rPr>
            </w:pPr>
          </w:p>
        </w:tc>
      </w:tr>
      <w:tr>
        <w:trPr>
          <w:trHeight w:val="34"/>
        </w:trPr>
        <w:tc>
          <w:tcPr>
            <w:tcW w:w="1180" w:type="dxa"/>
            <w:vAlign w:val="bottom"/>
            <w:gridSpan w:val="2"/>
          </w:tcPr>
          <w:p>
            <w:pPr>
              <w:spacing w:after="0"/>
              <w:rPr>
                <w:sz w:val="20"/>
                <w:szCs w:val="20"/>
                <w:color w:val="auto"/>
              </w:rPr>
            </w:pPr>
            <w:r>
              <w:rPr>
                <w:rFonts w:ascii="Arial" w:cs="Arial" w:eastAsia="Arial" w:hAnsi="Arial"/>
                <w:sz w:val="3"/>
                <w:szCs w:val="3"/>
                <w:color w:val="FFFFFF"/>
              </w:rPr>
              <w:t>need to borrow money is</w:t>
            </w:r>
          </w:p>
        </w:tc>
        <w:tc>
          <w:tcPr>
            <w:tcW w:w="1720" w:type="dxa"/>
            <w:vAlign w:val="bottom"/>
          </w:tcPr>
          <w:p>
            <w:pPr>
              <w:ind w:left="60"/>
              <w:spacing w:after="0"/>
              <w:rPr>
                <w:sz w:val="20"/>
                <w:szCs w:val="20"/>
                <w:color w:val="auto"/>
              </w:rPr>
            </w:pPr>
            <w:r>
              <w:rPr>
                <w:rFonts w:ascii="Arial" w:cs="Arial" w:eastAsia="Arial" w:hAnsi="Arial"/>
                <w:sz w:val="3"/>
                <w:szCs w:val="3"/>
                <w:color w:val="FFFFFF"/>
              </w:rPr>
              <w:t>reality for virtually all Americans.</w:t>
            </w:r>
          </w:p>
        </w:tc>
        <w:tc>
          <w:tcPr>
            <w:tcW w:w="1600" w:type="dxa"/>
            <w:vAlign w:val="bottom"/>
          </w:tcPr>
          <w:p>
            <w:pPr>
              <w:spacing w:after="0"/>
              <w:rPr>
                <w:sz w:val="2"/>
                <w:szCs w:val="2"/>
                <w:color w:val="auto"/>
              </w:rPr>
            </w:pPr>
          </w:p>
        </w:tc>
        <w:tc>
          <w:tcPr>
            <w:tcW w:w="4680" w:type="dxa"/>
            <w:vAlign w:val="bottom"/>
            <w:vMerge w:val="restart"/>
          </w:tcPr>
          <w:p>
            <w:pPr>
              <w:ind w:left="200"/>
              <w:spacing w:after="0" w:line="33" w:lineRule="exact"/>
              <w:rPr>
                <w:sz w:val="20"/>
                <w:szCs w:val="20"/>
                <w:color w:val="auto"/>
              </w:rPr>
            </w:pPr>
            <w:r>
              <w:rPr>
                <w:rFonts w:ascii="Arial" w:cs="Arial" w:eastAsia="Arial" w:hAnsi="Arial"/>
                <w:sz w:val="3"/>
                <w:szCs w:val="3"/>
                <w:color w:val="FFFFFF"/>
              </w:rPr>
              <w:t>credit is an enabler of the American dream. Purchasing a home or car, starting a business, pursuing</w:t>
            </w:r>
          </w:p>
        </w:tc>
        <w:tc>
          <w:tcPr>
            <w:tcW w:w="0" w:type="dxa"/>
            <w:vAlign w:val="bottom"/>
          </w:tcPr>
          <w:p>
            <w:pPr>
              <w:spacing w:after="0" w:line="20" w:lineRule="exact"/>
              <w:rPr>
                <w:sz w:val="1"/>
                <w:szCs w:val="1"/>
                <w:color w:val="auto"/>
              </w:rPr>
            </w:pPr>
          </w:p>
        </w:tc>
      </w:tr>
      <w:tr>
        <w:trPr>
          <w:trHeight w:val="0"/>
        </w:trPr>
        <w:tc>
          <w:tcPr>
            <w:tcW w:w="4500" w:type="dxa"/>
            <w:vAlign w:val="bottom"/>
            <w:gridSpan w:val="4"/>
          </w:tcPr>
          <w:p>
            <w:pPr>
              <w:spacing w:after="0" w:line="67" w:lineRule="exact"/>
              <w:rPr>
                <w:sz w:val="20"/>
                <w:szCs w:val="20"/>
                <w:color w:val="auto"/>
              </w:rPr>
            </w:pPr>
            <w:r>
              <w:rPr>
                <w:rFonts w:ascii="Arial" w:cs="Arial" w:eastAsia="Arial" w:hAnsi="Arial"/>
                <w:sz w:val="7"/>
                <w:szCs w:val="7"/>
                <w:color w:val="FFFFFF"/>
              </w:rPr>
              <w:t>Despite its checkered past, it’s clear that credit is  cornerstone of the economy and access to af</w:t>
            </w:r>
          </w:p>
        </w:tc>
        <w:tc>
          <w:tcPr>
            <w:tcW w:w="4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40"/>
        <w:spacing w:after="0" w:line="21" w:lineRule="auto"/>
        <w:tabs>
          <w:tab w:leader="none" w:pos="5300" w:val="left"/>
        </w:tabs>
        <w:rPr>
          <w:sz w:val="20"/>
          <w:szCs w:val="20"/>
          <w:color w:val="auto"/>
        </w:rPr>
      </w:pPr>
      <w:r>
        <w:rPr>
          <w:rFonts w:ascii="Arial" w:cs="Arial" w:eastAsia="Arial" w:hAnsi="Arial"/>
          <w:sz w:val="1"/>
          <w:szCs w:val="1"/>
          <w:color w:val="FFFFFF"/>
        </w:rPr>
        <w:t>are</w:t>
      </w:r>
      <w:r>
        <w:rPr>
          <w:sz w:val="20"/>
          <w:szCs w:val="20"/>
          <w:color w:val="auto"/>
        </w:rPr>
        <w:tab/>
      </w:r>
      <w:r>
        <w:rPr>
          <w:rFonts w:ascii="Arial" w:cs="Arial" w:eastAsia="Arial" w:hAnsi="Arial"/>
          <w:sz w:val="1"/>
          <w:szCs w:val="1"/>
          <w:color w:val="FFFFFF"/>
        </w:rPr>
        <w:t>fordable</w:t>
      </w:r>
    </w:p>
    <w:p>
      <w:pPr>
        <w:ind w:left="1020"/>
        <w:spacing w:after="0"/>
        <w:rPr>
          <w:sz w:val="20"/>
          <w:szCs w:val="20"/>
          <w:color w:val="auto"/>
        </w:rPr>
      </w:pPr>
      <w:r>
        <w:rPr>
          <w:rFonts w:ascii="Arial" w:cs="Arial" w:eastAsia="Arial" w:hAnsi="Arial"/>
          <w:sz w:val="8"/>
          <w:szCs w:val="8"/>
          <w:color w:val="FFFFFF"/>
        </w:rPr>
        <w:t>Simplyacollegeput,degree,creditrelocatingunlocksopportunitytoanewcity—theseandmobility—andthebuildingthustheblocksprice ofof lifecreditthatequalsareouttheofpricereachof thethoseAmericanwithoutdream.access to affordable credit.</w:t>
      </w:r>
    </w:p>
    <w:p>
      <w:pPr>
        <w:sectPr>
          <w:pgSz w:w="11900" w:h="16838" w:orient="portrait"/>
          <w:cols w:equalWidth="0" w:num="1">
            <w:col w:w="10200"/>
          </w:cols>
          <w:pgMar w:left="320" w:top="407" w:right="137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20" w:type="dxa"/>
            <w:vAlign w:val="bottom"/>
          </w:tcPr>
          <w:p>
            <w:pPr>
              <w:spacing w:after="0"/>
              <w:rPr>
                <w:sz w:val="20"/>
                <w:szCs w:val="20"/>
                <w:color w:val="auto"/>
              </w:rPr>
            </w:pPr>
            <w:r>
              <w:rPr>
                <w:rFonts w:ascii="Arial" w:cs="Arial" w:eastAsia="Arial" w:hAnsi="Arial"/>
                <w:sz w:val="11"/>
                <w:szCs w:val="11"/>
                <w:color w:val="FFFFFF"/>
              </w:rPr>
              <w:t>Lend</w:t>
            </w:r>
          </w:p>
        </w:tc>
        <w:tc>
          <w:tcPr>
            <w:tcW w:w="600" w:type="dxa"/>
            <w:vAlign w:val="bottom"/>
          </w:tcPr>
          <w:p>
            <w:pPr>
              <w:ind w:left="100"/>
              <w:spacing w:after="0"/>
              <w:rPr>
                <w:sz w:val="20"/>
                <w:szCs w:val="20"/>
                <w:color w:val="auto"/>
              </w:rPr>
            </w:pPr>
            <w:r>
              <w:rPr>
                <w:rFonts w:ascii="Arial" w:cs="Arial" w:eastAsia="Arial" w:hAnsi="Arial"/>
                <w:sz w:val="11"/>
                <w:szCs w:val="11"/>
                <w:color w:val="FFFFFF"/>
              </w:rPr>
              <w:t>is broken</w:t>
            </w:r>
          </w:p>
        </w:tc>
        <w:tc>
          <w:tcPr>
            <w:tcW w:w="22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Considering how central lending is to the economy, it’s stunning how ineffective current approaches to credit origination are. In June of 2020, commercial banks in the US issued almost $15 trillion in</w:t>
            </w:r>
          </w:p>
        </w:tc>
        <w:tc>
          <w:tcPr>
            <w:tcW w:w="0" w:type="dxa"/>
            <w:vAlign w:val="bottom"/>
          </w:tcPr>
          <w:p>
            <w:pPr>
              <w:spacing w:after="0" w:line="20" w:lineRule="exact"/>
              <w:rPr>
                <w:sz w:val="1"/>
                <w:szCs w:val="1"/>
                <w:color w:val="auto"/>
              </w:rPr>
            </w:pPr>
          </w:p>
        </w:tc>
      </w:tr>
      <w:tr>
        <w:trPr>
          <w:trHeight w:val="34"/>
        </w:trPr>
        <w:tc>
          <w:tcPr>
            <w:tcW w:w="3160" w:type="dxa"/>
            <w:vAlign w:val="bottom"/>
            <w:gridSpan w:val="3"/>
          </w:tcPr>
          <w:p>
            <w:pPr>
              <w:spacing w:after="0"/>
              <w:rPr>
                <w:sz w:val="20"/>
                <w:szCs w:val="20"/>
                <w:color w:val="auto"/>
              </w:rPr>
            </w:pPr>
            <w:r>
              <w:rPr>
                <w:rFonts w:ascii="Arial" w:cs="Arial" w:eastAsia="Arial" w:hAnsi="Arial"/>
                <w:sz w:val="3"/>
                <w:szCs w:val="3"/>
                <w:color w:val="FFFFFF"/>
              </w:rPr>
              <w:t>loans.1 Yet the models used to predict whether  loan will be repaid</w:t>
            </w:r>
          </w:p>
        </w:tc>
        <w:tc>
          <w:tcPr>
            <w:tcW w:w="3820" w:type="dxa"/>
            <w:vAlign w:val="bottom"/>
          </w:tcPr>
          <w:p>
            <w:pPr>
              <w:ind w:left="100"/>
              <w:spacing w:after="0"/>
              <w:rPr>
                <w:sz w:val="20"/>
                <w:szCs w:val="20"/>
                <w:color w:val="auto"/>
              </w:rPr>
            </w:pPr>
            <w:r>
              <w:rPr>
                <w:rFonts w:ascii="Arial" w:cs="Arial" w:eastAsia="Arial" w:hAnsi="Arial"/>
                <w:sz w:val="3"/>
                <w:szCs w:val="3"/>
                <w:color w:val="FFFFFF"/>
              </w:rPr>
              <w:t>much closer to a roll of the dice than to an omniscient lending deity.</w:t>
            </w: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 w:type="dxa"/>
            <w:vAlign w:val="bottom"/>
            <w:gridSpan w:val="2"/>
          </w:tcPr>
          <w:p>
            <w:pPr>
              <w:spacing w:after="0"/>
              <w:rPr>
                <w:sz w:val="20"/>
                <w:szCs w:val="20"/>
                <w:color w:val="auto"/>
              </w:rPr>
            </w:pPr>
            <w:r>
              <w:rPr>
                <w:rFonts w:ascii="Arial" w:cs="Arial" w:eastAsia="Arial" w:hAnsi="Arial"/>
                <w:sz w:val="3"/>
                <w:szCs w:val="3"/>
                <w:color w:val="FFFFFF"/>
              </w:rPr>
              <w:t>By way of</w:t>
            </w:r>
          </w:p>
        </w:tc>
        <w:tc>
          <w:tcPr>
            <w:tcW w:w="8280" w:type="dxa"/>
            <w:vAlign w:val="bottom"/>
            <w:gridSpan w:val="4"/>
          </w:tcPr>
          <w:p>
            <w:pPr>
              <w:ind w:left="20"/>
              <w:spacing w:after="0"/>
              <w:rPr>
                <w:sz w:val="20"/>
                <w:szCs w:val="20"/>
                <w:color w:val="auto"/>
              </w:rPr>
            </w:pPr>
            <w:r>
              <w:rPr>
                <w:rFonts w:ascii="Arial" w:cs="Arial" w:eastAsia="Arial" w:hAnsi="Arial"/>
                <w:sz w:val="3"/>
                <w:szCs w:val="3"/>
                <w:color w:val="FFFFFF"/>
              </w:rPr>
              <w:t>four in five Americans have never defaulted on areloan, yet less than half have a credit score that would qualify them for the low rates that banks offer.2 The implication is</w:t>
            </w:r>
          </w:p>
        </w:tc>
        <w:tc>
          <w:tcPr>
            <w:tcW w:w="0" w:type="dxa"/>
            <w:vAlign w:val="bottom"/>
          </w:tcPr>
          <w:p>
            <w:pPr>
              <w:spacing w:after="0" w:line="20" w:lineRule="exact"/>
              <w:rPr>
                <w:sz w:val="1"/>
                <w:szCs w:val="1"/>
                <w:color w:val="auto"/>
              </w:rPr>
            </w:pPr>
          </w:p>
        </w:tc>
      </w:tr>
      <w:tr>
        <w:trPr>
          <w:trHeight w:val="34"/>
        </w:trPr>
        <w:tc>
          <w:tcPr>
            <w:tcW w:w="6980" w:type="dxa"/>
            <w:vAlign w:val="bottom"/>
            <w:gridSpan w:val="4"/>
          </w:tcPr>
          <w:p>
            <w:pPr>
              <w:spacing w:after="0"/>
              <w:rPr>
                <w:sz w:val="20"/>
                <w:szCs w:val="20"/>
                <w:color w:val="auto"/>
              </w:rPr>
            </w:pPr>
            <w:r>
              <w:rPr>
                <w:rFonts w:ascii="Arial" w:cs="Arial" w:eastAsia="Arial" w:hAnsi="Arial"/>
                <w:sz w:val="3"/>
                <w:szCs w:val="3"/>
                <w:color w:val="FFFFFF"/>
              </w:rPr>
              <w:t>eye-opening:example,with smarter credit model, lenders could approve almost twice as many borrowers, with fewer defaults.</w:t>
            </w: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Limitations of legacy credit systems affect most of us: First, they offer loans to many people who fail to pay them back, which is harmful to both consumers and lenders. Second, they decline to offer</w:t>
            </w:r>
          </w:p>
        </w:tc>
        <w:tc>
          <w:tcPr>
            <w:tcW w:w="0" w:type="dxa"/>
            <w:vAlign w:val="bottom"/>
          </w:tcPr>
          <w:p>
            <w:pPr>
              <w:spacing w:after="0" w:line="20" w:lineRule="exact"/>
              <w:rPr>
                <w:sz w:val="1"/>
                <w:szCs w:val="1"/>
                <w:color w:val="auto"/>
              </w:rPr>
            </w:pPr>
          </w:p>
        </w:tc>
      </w:tr>
      <w:tr>
        <w:trPr>
          <w:trHeight w:val="34"/>
        </w:trPr>
        <w:tc>
          <w:tcPr>
            <w:tcW w:w="920" w:type="dxa"/>
            <w:vAlign w:val="bottom"/>
            <w:gridSpan w:val="2"/>
          </w:tcPr>
          <w:p>
            <w:pPr>
              <w:spacing w:after="0"/>
              <w:rPr>
                <w:sz w:val="20"/>
                <w:szCs w:val="20"/>
                <w:color w:val="auto"/>
              </w:rPr>
            </w:pPr>
            <w:r>
              <w:rPr>
                <w:rFonts w:ascii="Arial" w:cs="Arial" w:eastAsia="Arial" w:hAnsi="Arial"/>
                <w:sz w:val="3"/>
                <w:szCs w:val="3"/>
                <w:color w:val="FFFFFF"/>
              </w:rPr>
              <w:t>loans to people who</w:t>
            </w:r>
          </w:p>
        </w:tc>
        <w:tc>
          <w:tcPr>
            <w:tcW w:w="8280" w:type="dxa"/>
            <w:vAlign w:val="bottom"/>
            <w:gridSpan w:val="4"/>
          </w:tcPr>
          <w:p>
            <w:pPr>
              <w:ind w:left="100"/>
              <w:spacing w:after="0"/>
              <w:rPr>
                <w:sz w:val="20"/>
                <w:szCs w:val="20"/>
                <w:color w:val="auto"/>
              </w:rPr>
            </w:pPr>
            <w:r>
              <w:rPr>
                <w:rFonts w:ascii="Arial" w:cs="Arial" w:eastAsia="Arial" w:hAnsi="Arial"/>
                <w:sz w:val="3"/>
                <w:szCs w:val="3"/>
                <w:color w:val="FFFFFF"/>
              </w:rPr>
              <w:t>ould successfully pay them back if given the chance, also harmful to consumers and lenders. And finally, even those who repay their loans pay too much in interest, because they</w:t>
            </w:r>
          </w:p>
        </w:tc>
        <w:tc>
          <w:tcPr>
            <w:tcW w:w="0" w:type="dxa"/>
            <w:vAlign w:val="bottom"/>
          </w:tcPr>
          <w:p>
            <w:pPr>
              <w:spacing w:after="0" w:line="20" w:lineRule="exact"/>
              <w:rPr>
                <w:sz w:val="1"/>
                <w:szCs w:val="1"/>
                <w:color w:val="auto"/>
              </w:rPr>
            </w:pPr>
          </w:p>
        </w:tc>
      </w:tr>
      <w:tr>
        <w:trPr>
          <w:trHeight w:val="34"/>
        </w:trPr>
        <w:tc>
          <w:tcPr>
            <w:tcW w:w="320" w:type="dxa"/>
            <w:vAlign w:val="bottom"/>
          </w:tcPr>
          <w:p>
            <w:pPr>
              <w:spacing w:after="0"/>
              <w:rPr>
                <w:sz w:val="2"/>
                <w:szCs w:val="2"/>
                <w:color w:val="auto"/>
              </w:rPr>
            </w:pPr>
          </w:p>
        </w:tc>
        <w:tc>
          <w:tcPr>
            <w:tcW w:w="2840" w:type="dxa"/>
            <w:vAlign w:val="bottom"/>
            <w:gridSpan w:val="2"/>
          </w:tcPr>
          <w:p>
            <w:pPr>
              <w:ind w:left="140"/>
              <w:spacing w:after="0"/>
              <w:rPr>
                <w:sz w:val="20"/>
                <w:szCs w:val="20"/>
                <w:color w:val="auto"/>
              </w:rPr>
            </w:pPr>
            <w:r>
              <w:rPr>
                <w:rFonts w:ascii="Arial" w:cs="Arial" w:eastAsia="Arial" w:hAnsi="Arial"/>
                <w:sz w:val="3"/>
                <w:szCs w:val="3"/>
                <w:color w:val="FFFFFF"/>
              </w:rPr>
              <w:t>borrowers who default.</w:t>
            </w:r>
          </w:p>
        </w:tc>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subsidizeIt’accepted as immutable that lending is  cyclical industry whose performance depends wholly on the macro-economic environment. A corollary of this belief holds that, aside from modest efficiency</w:t>
            </w: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improvements, technology can’t alter the fundamentals of lending. Lenders staffed by disciplined teams with solid analytics will do fine when times are good. But like gravity, it will all come crashing</w:t>
            </w:r>
          </w:p>
        </w:tc>
        <w:tc>
          <w:tcPr>
            <w:tcW w:w="0" w:type="dxa"/>
            <w:vAlign w:val="bottom"/>
          </w:tcPr>
          <w:p>
            <w:pPr>
              <w:spacing w:after="0" w:line="20" w:lineRule="exact"/>
              <w:rPr>
                <w:sz w:val="1"/>
                <w:szCs w:val="1"/>
                <w:color w:val="auto"/>
              </w:rPr>
            </w:pPr>
          </w:p>
        </w:tc>
      </w:tr>
      <w:tr>
        <w:trPr>
          <w:trHeight w:val="34"/>
        </w:trPr>
        <w:tc>
          <w:tcPr>
            <w:tcW w:w="3160" w:type="dxa"/>
            <w:vAlign w:val="bottom"/>
            <w:gridSpan w:val="3"/>
          </w:tcPr>
          <w:p>
            <w:pPr>
              <w:spacing w:after="0"/>
              <w:rPr>
                <w:sz w:val="20"/>
                <w:szCs w:val="20"/>
                <w:color w:val="auto"/>
              </w:rPr>
            </w:pPr>
            <w:r>
              <w:rPr>
                <w:rFonts w:ascii="Arial" w:cs="Arial" w:eastAsia="Arial" w:hAnsi="Arial"/>
                <w:sz w:val="3"/>
                <w:szCs w:val="3"/>
                <w:color w:val="FFFFFF"/>
              </w:rPr>
              <w:t>down at the next recession.</w:t>
            </w:r>
          </w:p>
        </w:tc>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vMerge w:val="restart"/>
          </w:tcPr>
          <w:p>
            <w:pPr>
              <w:ind w:left="260"/>
              <w:spacing w:after="0" w:line="68" w:lineRule="exact"/>
              <w:rPr>
                <w:sz w:val="20"/>
                <w:szCs w:val="20"/>
                <w:color w:val="auto"/>
              </w:rPr>
            </w:pPr>
            <w:r>
              <w:rPr>
                <w:rFonts w:ascii="Arial" w:cs="Arial" w:eastAsia="Arial" w:hAnsi="Arial"/>
                <w:sz w:val="7"/>
                <w:szCs w:val="7"/>
                <w:color w:val="FFFFFF"/>
              </w:rPr>
              <w:t>are evident, lenders are quick</w:t>
            </w:r>
          </w:p>
        </w:tc>
        <w:tc>
          <w:tcPr>
            <w:tcW w:w="0" w:type="dxa"/>
            <w:vAlign w:val="bottom"/>
          </w:tcPr>
          <w:p>
            <w:pPr>
              <w:spacing w:after="0" w:line="20" w:lineRule="exact"/>
              <w:rPr>
                <w:sz w:val="1"/>
                <w:szCs w:val="1"/>
                <w:color w:val="auto"/>
              </w:rPr>
            </w:pPr>
          </w:p>
        </w:tc>
      </w:tr>
      <w:tr>
        <w:trPr>
          <w:trHeight w:val="34"/>
        </w:trPr>
        <w:tc>
          <w:tcPr>
            <w:tcW w:w="7620" w:type="dxa"/>
            <w:vAlign w:val="bottom"/>
            <w:gridSpan w:val="5"/>
          </w:tcPr>
          <w:p>
            <w:pPr>
              <w:spacing w:after="0"/>
              <w:rPr>
                <w:sz w:val="20"/>
                <w:szCs w:val="20"/>
                <w:color w:val="auto"/>
              </w:rPr>
            </w:pPr>
            <w:r>
              <w:rPr>
                <w:rFonts w:ascii="Arial" w:cs="Arial" w:eastAsia="Arial" w:hAnsi="Arial"/>
                <w:sz w:val="3"/>
                <w:szCs w:val="3"/>
                <w:color w:val="FFFFFF"/>
              </w:rPr>
              <w:t>These beliefs lead to an intense and ultimately fruitless effort in boardrooms across the country to predict the timing of the next recession. When the first signs of a</w:t>
            </w:r>
          </w:p>
        </w:tc>
        <w:tc>
          <w:tcPr>
            <w:tcW w:w="15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to raise the drawbridge and batten down the hatches. These impulsive reactions invariably mean that access to credit for consumers and businesses dries up just whenslowdownit’needed most.</w:t>
            </w:r>
          </w:p>
        </w:tc>
        <w:tc>
          <w:tcPr>
            <w:tcW w:w="0" w:type="dxa"/>
            <w:vAlign w:val="bottom"/>
          </w:tcPr>
          <w:p>
            <w:pPr>
              <w:spacing w:after="0" w:line="20" w:lineRule="exact"/>
              <w:rPr>
                <w:sz w:val="1"/>
                <w:szCs w:val="1"/>
                <w:color w:val="auto"/>
              </w:rPr>
            </w:pPr>
          </w:p>
        </w:tc>
      </w:tr>
      <w:tr>
        <w:trPr>
          <w:trHeight w:val="34"/>
        </w:trPr>
        <w:tc>
          <w:tcPr>
            <w:tcW w:w="3160" w:type="dxa"/>
            <w:vAlign w:val="bottom"/>
            <w:gridSpan w:val="3"/>
          </w:tcPr>
          <w:p>
            <w:pPr>
              <w:ind w:left="80"/>
              <w:spacing w:after="0"/>
              <w:rPr>
                <w:sz w:val="20"/>
                <w:szCs w:val="20"/>
                <w:color w:val="auto"/>
              </w:rPr>
            </w:pPr>
            <w:r>
              <w:rPr>
                <w:rFonts w:ascii="Arial" w:cs="Arial" w:eastAsia="Arial" w:hAnsi="Arial"/>
                <w:sz w:val="3"/>
                <w:szCs w:val="3"/>
                <w:color w:val="FFFFFF"/>
              </w:rPr>
              <w:t>rtificial intelligence is the fix</w:t>
            </w:r>
          </w:p>
        </w:tc>
        <w:tc>
          <w:tcPr>
            <w:tcW w:w="3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200" w:type="dxa"/>
            <w:vAlign w:val="bottom"/>
            <w:gridSpan w:val="6"/>
          </w:tcPr>
          <w:p>
            <w:pPr>
              <w:spacing w:after="0"/>
              <w:rPr>
                <w:sz w:val="20"/>
                <w:szCs w:val="20"/>
                <w:color w:val="auto"/>
              </w:rPr>
            </w:pPr>
            <w:r>
              <w:rPr>
                <w:rFonts w:ascii="Arial" w:cs="Arial" w:eastAsia="Arial" w:hAnsi="Arial"/>
                <w:sz w:val="3"/>
                <w:szCs w:val="3"/>
                <w:color w:val="FFFFFF"/>
              </w:rPr>
              <w:t>AI has the potential to add $13 trillion to the global economy by 2030 and is broadly considered one of the most important developments in the history of technology.3 Last year, Amazon’s Jeff Bezos said</w:t>
            </w:r>
          </w:p>
        </w:tc>
        <w:tc>
          <w:tcPr>
            <w:tcW w:w="0" w:type="dxa"/>
            <w:vAlign w:val="bottom"/>
          </w:tcPr>
          <w:p>
            <w:pPr>
              <w:spacing w:after="0" w:line="20" w:lineRule="exact"/>
              <w:rPr>
                <w:sz w:val="1"/>
                <w:szCs w:val="1"/>
                <w:color w:val="auto"/>
              </w:rPr>
            </w:pPr>
          </w:p>
        </w:tc>
      </w:tr>
      <w:tr>
        <w:trPr>
          <w:trHeight w:val="34"/>
        </w:trPr>
        <w:tc>
          <w:tcPr>
            <w:tcW w:w="6980" w:type="dxa"/>
            <w:vAlign w:val="bottom"/>
            <w:gridSpan w:val="4"/>
          </w:tcPr>
          <w:p>
            <w:pPr>
              <w:spacing w:after="0"/>
              <w:rPr>
                <w:sz w:val="20"/>
                <w:szCs w:val="20"/>
                <w:color w:val="auto"/>
              </w:rPr>
            </w:pPr>
            <w:r>
              <w:rPr>
                <w:rFonts w:ascii="Arial" w:cs="Arial" w:eastAsia="Arial" w:hAnsi="Arial"/>
                <w:sz w:val="3"/>
                <w:szCs w:val="3"/>
                <w:color w:val="FFFFFF"/>
              </w:rPr>
              <w:t>“we’re at the beginning of a golden age of AI. Recent advancements have already led to invention that previously lived in the realm of science fiction.”</w:t>
            </w:r>
          </w:p>
        </w:tc>
        <w:tc>
          <w:tcPr>
            <w:tcW w:w="2220" w:type="dxa"/>
            <w:vAlign w:val="bottom"/>
            <w:gridSpan w:val="2"/>
            <w:vMerge w:val="restart"/>
          </w:tcPr>
          <w:p>
            <w:pPr>
              <w:ind w:left="140"/>
              <w:spacing w:after="0" w:line="33" w:lineRule="exact"/>
              <w:rPr>
                <w:sz w:val="20"/>
                <w:szCs w:val="20"/>
                <w:color w:val="auto"/>
              </w:rPr>
            </w:pPr>
            <w:r>
              <w:rPr>
                <w:rFonts w:ascii="Arial" w:cs="Arial" w:eastAsia="Arial" w:hAnsi="Arial"/>
                <w:sz w:val="3"/>
                <w:szCs w:val="3"/>
                <w:color w:val="FFFFFF"/>
              </w:rPr>
              <w:t>there is an almost unlimited supply of data</w:t>
            </w:r>
          </w:p>
        </w:tc>
        <w:tc>
          <w:tcPr>
            <w:tcW w:w="0" w:type="dxa"/>
            <w:vAlign w:val="bottom"/>
          </w:tcPr>
          <w:p>
            <w:pPr>
              <w:spacing w:after="0" w:line="20" w:lineRule="exact"/>
              <w:rPr>
                <w:sz w:val="1"/>
                <w:szCs w:val="1"/>
                <w:color w:val="auto"/>
              </w:rPr>
            </w:pPr>
          </w:p>
        </w:tc>
      </w:tr>
      <w:tr>
        <w:trPr>
          <w:trHeight w:val="0"/>
        </w:trPr>
        <w:tc>
          <w:tcPr>
            <w:tcW w:w="6980" w:type="dxa"/>
            <w:vAlign w:val="bottom"/>
            <w:gridSpan w:val="4"/>
          </w:tcPr>
          <w:p>
            <w:pPr>
              <w:spacing w:after="0" w:line="67" w:lineRule="exact"/>
              <w:rPr>
                <w:sz w:val="20"/>
                <w:szCs w:val="20"/>
                <w:color w:val="auto"/>
              </w:rPr>
            </w:pPr>
            <w:r>
              <w:rPr>
                <w:rFonts w:ascii="Arial" w:cs="Arial" w:eastAsia="Arial" w:hAnsi="Arial"/>
                <w:sz w:val="7"/>
                <w:szCs w:val="7"/>
                <w:color w:val="FFFFFF"/>
              </w:rPr>
              <w:t>Credit is a compelling and obvious use case for AI. First, lending involves sophisticated decisioning for events that occur millions of times each day.</w:t>
            </w:r>
          </w:p>
        </w:tc>
        <w:tc>
          <w:tcPr>
            <w:tcW w:w="22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20"/>
        <w:spacing w:after="0" w:line="204" w:lineRule="auto"/>
        <w:rPr>
          <w:sz w:val="20"/>
          <w:szCs w:val="20"/>
          <w:color w:val="auto"/>
        </w:rPr>
      </w:pPr>
      <w:r>
        <w:rPr>
          <w:rFonts w:ascii="Arial" w:cs="Arial" w:eastAsia="Arial" w:hAnsi="Arial"/>
          <w:sz w:val="7"/>
          <w:szCs w:val="7"/>
          <w:color w:val="FFFFFF"/>
        </w:rPr>
        <w:t>thatdramatic.hasthe potential to improve the accuracy of credit decisions. Third, given the costs and risks associated with lending, as well as the scale of the industrySecond, the potential economic wins from AI are</w:t>
      </w:r>
    </w:p>
    <w:p>
      <w:pPr>
        <w:ind w:left="1020" w:right="2520"/>
        <w:spacing w:after="0"/>
        <w:rPr>
          <w:sz w:val="20"/>
          <w:szCs w:val="20"/>
          <w:color w:val="auto"/>
        </w:rPr>
      </w:pPr>
      <w:r>
        <w:rPr>
          <w:rFonts w:ascii="Arial" w:cs="Arial" w:eastAsia="Arial" w:hAnsi="Arial"/>
          <w:sz w:val="5"/>
          <w:szCs w:val="5"/>
          <w:color w:val="FFFFFF"/>
        </w:rPr>
        <w:t>21 antageScoresBasedStatista:onValueUpstartofLoansretrospectiveofallCommercialstudycompletedBanksinintheDecemberUnitedStates2019,fromwhichMarchdefined2014accesstoAugusttoprime2020,creditSeptemberasindividuals2018. with credit reports with V of 720 or above.</w:t>
      </w:r>
    </w:p>
    <w:p>
      <w:pPr>
        <w:spacing w:after="0" w:line="44" w:lineRule="exact"/>
        <w:rPr>
          <w:sz w:val="20"/>
          <w:szCs w:val="20"/>
          <w:color w:val="auto"/>
        </w:rPr>
      </w:pPr>
    </w:p>
    <w:p>
      <w:pPr>
        <w:ind w:left="1020"/>
        <w:spacing w:after="0"/>
        <w:rPr>
          <w:sz w:val="20"/>
          <w:szCs w:val="20"/>
          <w:color w:val="auto"/>
        </w:rPr>
      </w:pPr>
      <w:r>
        <w:rPr>
          <w:rFonts w:ascii="Arial" w:cs="Arial" w:eastAsia="Arial" w:hAnsi="Arial"/>
          <w:sz w:val="11"/>
          <w:szCs w:val="11"/>
          <w:color w:val="FFFFFF"/>
        </w:rPr>
        <w:t>II3 McKinsey Global Institute, or McKinsey, Notes From the AI Frontier: Modeling the Impact of AI on the World Economy, September 2018.</w:t>
      </w:r>
    </w:p>
    <w:p>
      <w:pPr>
        <w:sectPr>
          <w:pgSz w:w="11900" w:h="16838" w:orient="portrait"/>
          <w:cols w:equalWidth="0" w:num="1">
            <w:col w:w="10220"/>
          </w:cols>
          <w:pgMar w:left="320" w:top="407" w:right="135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9180" w:type="dxa"/>
            <w:vAlign w:val="bottom"/>
            <w:gridSpan w:val="8"/>
          </w:tcPr>
          <w:p>
            <w:pPr>
              <w:spacing w:after="0"/>
              <w:rPr>
                <w:sz w:val="20"/>
                <w:szCs w:val="20"/>
                <w:color w:val="auto"/>
              </w:rPr>
            </w:pPr>
            <w:r>
              <w:rPr>
                <w:rFonts w:ascii="Arial" w:cs="Arial" w:eastAsia="Arial" w:hAnsi="Arial"/>
                <w:sz w:val="11"/>
                <w:szCs w:val="11"/>
                <w:color w:val="FFFFFF"/>
                <w:w w:val="93"/>
              </w:rPr>
              <w:t>How does AI change lending? It starts by vastly expanding the information used to inform a credit decision. Then, it utilizes sophisticated machine learning algorithms that can tease out the relationships</w:t>
            </w:r>
          </w:p>
        </w:tc>
      </w:tr>
      <w:tr>
        <w:trPr>
          <w:trHeight w:val="34"/>
        </w:trPr>
        <w:tc>
          <w:tcPr>
            <w:tcW w:w="6220" w:type="dxa"/>
            <w:vAlign w:val="bottom"/>
            <w:gridSpan w:val="6"/>
          </w:tcPr>
          <w:p>
            <w:pPr>
              <w:spacing w:after="0"/>
              <w:rPr>
                <w:sz w:val="20"/>
                <w:szCs w:val="20"/>
                <w:color w:val="auto"/>
              </w:rPr>
            </w:pPr>
            <w:r>
              <w:rPr>
                <w:rFonts w:ascii="Arial" w:cs="Arial" w:eastAsia="Arial" w:hAnsi="Arial"/>
                <w:sz w:val="3"/>
                <w:szCs w:val="3"/>
                <w:color w:val="FFFFFF"/>
              </w:rPr>
              <w:t>between hundreds or even thousands of variables. And finally, the system learns and improves on its own, optimizing in response to</w:t>
            </w:r>
          </w:p>
        </w:tc>
        <w:tc>
          <w:tcPr>
            <w:tcW w:w="2960" w:type="dxa"/>
            <w:vAlign w:val="bottom"/>
            <w:gridSpan w:val="2"/>
          </w:tcPr>
          <w:p>
            <w:pPr>
              <w:ind w:left="20"/>
              <w:spacing w:after="0"/>
              <w:rPr>
                <w:sz w:val="20"/>
                <w:szCs w:val="20"/>
                <w:color w:val="auto"/>
              </w:rPr>
            </w:pPr>
            <w:r>
              <w:rPr>
                <w:rFonts w:ascii="Arial" w:cs="Arial" w:eastAsia="Arial" w:hAnsi="Arial"/>
                <w:sz w:val="3"/>
                <w:szCs w:val="3"/>
                <w:color w:val="FFFFFF"/>
              </w:rPr>
              <w:t>loan-level repayment and delinquency data. Our own AI system</w:t>
            </w:r>
          </w:p>
        </w:tc>
      </w:tr>
      <w:tr>
        <w:trPr>
          <w:trHeight w:val="34"/>
        </w:trPr>
        <w:tc>
          <w:tcPr>
            <w:tcW w:w="2920" w:type="dxa"/>
            <w:vAlign w:val="bottom"/>
            <w:gridSpan w:val="5"/>
          </w:tcPr>
          <w:p>
            <w:pPr>
              <w:spacing w:after="0"/>
              <w:rPr>
                <w:sz w:val="20"/>
                <w:szCs w:val="20"/>
                <w:color w:val="auto"/>
              </w:rPr>
            </w:pPr>
            <w:r>
              <w:rPr>
                <w:rFonts w:ascii="Arial" w:cs="Arial" w:eastAsia="Arial" w:hAnsi="Arial"/>
                <w:sz w:val="3"/>
                <w:szCs w:val="3"/>
                <w:color w:val="FFFFFF"/>
              </w:rPr>
              <w:t>is trained on almost 15 billion cells of performance data and</w:t>
            </w:r>
          </w:p>
        </w:tc>
        <w:tc>
          <w:tcPr>
            <w:tcW w:w="3300" w:type="dxa"/>
            <w:vAlign w:val="bottom"/>
          </w:tcPr>
          <w:p>
            <w:pPr>
              <w:ind w:left="220"/>
              <w:spacing w:after="0"/>
              <w:rPr>
                <w:sz w:val="20"/>
                <w:szCs w:val="20"/>
                <w:color w:val="auto"/>
              </w:rPr>
            </w:pPr>
            <w:r>
              <w:rPr>
                <w:rFonts w:ascii="Arial" w:cs="Arial" w:eastAsia="Arial" w:hAnsi="Arial"/>
                <w:sz w:val="3"/>
                <w:szCs w:val="3"/>
                <w:color w:val="FFFFFF"/>
              </w:rPr>
              <w:t>the specific likelihood of default or prepayment for each monthdailyof</w:t>
            </w:r>
          </w:p>
        </w:tc>
        <w:tc>
          <w:tcPr>
            <w:tcW w:w="580" w:type="dxa"/>
            <w:vAlign w:val="bottom"/>
          </w:tcPr>
          <w:p>
            <w:pPr>
              <w:spacing w:after="0"/>
              <w:rPr>
                <w:sz w:val="20"/>
                <w:szCs w:val="20"/>
                <w:color w:val="auto"/>
              </w:rPr>
            </w:pPr>
            <w:r>
              <w:rPr>
                <w:rFonts w:ascii="Arial" w:cs="Arial" w:eastAsia="Arial" w:hAnsi="Arial"/>
                <w:sz w:val="3"/>
                <w:szCs w:val="3"/>
                <w:color w:val="FFFFFF"/>
              </w:rPr>
              <w:t>loan term.4</w:t>
            </w:r>
          </w:p>
        </w:tc>
        <w:tc>
          <w:tcPr>
            <w:tcW w:w="2380" w:type="dxa"/>
            <w:vAlign w:val="bottom"/>
          </w:tcPr>
          <w:p>
            <w:pPr>
              <w:spacing w:after="0"/>
              <w:rPr>
                <w:sz w:val="2"/>
                <w:szCs w:val="2"/>
                <w:color w:val="auto"/>
              </w:rPr>
            </w:pP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As the number of variables and volume of training data in Upstart’predictsmodel have grown over time, we’ve been able to implement increasingly sophisticated machine learning algorithms, which in turn</w:t>
            </w:r>
          </w:p>
        </w:tc>
      </w:tr>
      <w:tr>
        <w:trPr>
          <w:trHeight w:val="34"/>
        </w:trPr>
        <w:tc>
          <w:tcPr>
            <w:tcW w:w="6800" w:type="dxa"/>
            <w:vAlign w:val="bottom"/>
            <w:gridSpan w:val="7"/>
          </w:tcPr>
          <w:p>
            <w:pPr>
              <w:spacing w:after="0"/>
              <w:rPr>
                <w:sz w:val="20"/>
                <w:szCs w:val="20"/>
                <w:color w:val="auto"/>
              </w:rPr>
            </w:pPr>
            <w:r>
              <w:rPr>
                <w:rFonts w:ascii="Arial" w:cs="Arial" w:eastAsia="Arial" w:hAnsi="Arial"/>
                <w:sz w:val="3"/>
                <w:szCs w:val="3"/>
                <w:color w:val="FFFFFF"/>
              </w:rPr>
              <w:t>improve the accuracy of our model and efficiency of our funnel. As good as our AI platform is today, it only scratches the surface of the accuracy</w:t>
            </w:r>
          </w:p>
        </w:tc>
        <w:tc>
          <w:tcPr>
            <w:tcW w:w="2380" w:type="dxa"/>
            <w:vAlign w:val="bottom"/>
          </w:tcPr>
          <w:p>
            <w:pPr>
              <w:ind w:left="60"/>
              <w:spacing w:after="0"/>
              <w:rPr>
                <w:sz w:val="20"/>
                <w:szCs w:val="20"/>
                <w:color w:val="auto"/>
              </w:rPr>
            </w:pPr>
            <w:r>
              <w:rPr>
                <w:rFonts w:ascii="Arial" w:cs="Arial" w:eastAsia="Arial" w:hAnsi="Arial"/>
                <w:sz w:val="3"/>
                <w:szCs w:val="3"/>
                <w:color w:val="FFFFFF"/>
              </w:rPr>
              <w:t>that are possible.</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Applied across the entire credit origination funnel, AI can reduce friction, eliminate costs, and mitigate risks associated with lending. The result is gainssuperior customer experience and improved economics</w:t>
            </w:r>
          </w:p>
        </w:tc>
      </w:tr>
      <w:tr>
        <w:trPr>
          <w:trHeight w:val="34"/>
        </w:trPr>
        <w:tc>
          <w:tcPr>
            <w:tcW w:w="2920" w:type="dxa"/>
            <w:vAlign w:val="bottom"/>
            <w:gridSpan w:val="5"/>
          </w:tcPr>
          <w:p>
            <w:pPr>
              <w:spacing w:after="0"/>
              <w:rPr>
                <w:sz w:val="20"/>
                <w:szCs w:val="20"/>
                <w:color w:val="auto"/>
              </w:rPr>
            </w:pPr>
            <w:r>
              <w:rPr>
                <w:rFonts w:ascii="Arial" w:cs="Arial" w:eastAsia="Arial" w:hAnsi="Arial"/>
                <w:sz w:val="3"/>
                <w:szCs w:val="3"/>
                <w:color w:val="FFFFFF"/>
              </w:rPr>
              <w:t>that can be shared between borrowers and lenders.</w:t>
            </w:r>
          </w:p>
        </w:tc>
        <w:tc>
          <w:tcPr>
            <w:tcW w:w="3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The wins from AI lending are compelling. Studies we completed with several large US banks suggested that Upstart’s model could approve up to three times the number of borrowers at the same loss</w:t>
            </w:r>
          </w:p>
        </w:tc>
      </w:tr>
      <w:tr>
        <w:trPr>
          <w:trHeight w:val="34"/>
        </w:trPr>
        <w:tc>
          <w:tcPr>
            <w:tcW w:w="9180" w:type="dxa"/>
            <w:vAlign w:val="bottom"/>
            <w:gridSpan w:val="8"/>
          </w:tcPr>
          <w:p>
            <w:pPr>
              <w:ind w:left="40"/>
              <w:spacing w:after="0"/>
              <w:rPr>
                <w:sz w:val="20"/>
                <w:szCs w:val="20"/>
                <w:color w:val="auto"/>
              </w:rPr>
            </w:pPr>
            <w:r>
              <w:rPr>
                <w:rFonts w:ascii="Arial" w:cs="Arial" w:eastAsia="Arial" w:hAnsi="Arial"/>
                <w:sz w:val="3"/>
                <w:szCs w:val="3"/>
                <w:color w:val="FFFFFF"/>
              </w:rPr>
              <w:t>ates as traditional models.5 Furthermore, improvements to our AI models have increased throughput of our borrower funnel by a factor of 10 since we began more than eight years ago, driving long-term</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reductions in acquisition cost and improvements to our unit economics. These improvements led to our first profitable quarter in Q4 2019 (and  net loss of $466,000 for the full-year 2019).</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What ab ut those ugly recessions? Lenders would do well to put away their crystal balls and instead focus on predicting which borrowers will pay them back in any environment. While the probability of</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default for a borrower may vary by as much as 2X6 depending on the state of the economy, our experience suggests that risk associated with two borrowers with similar credit scores can vary by at least</w:t>
            </w:r>
          </w:p>
        </w:tc>
      </w:tr>
      <w:tr>
        <w:trPr>
          <w:trHeight w:val="68"/>
        </w:trPr>
        <w:tc>
          <w:tcPr>
            <w:tcW w:w="320" w:type="dxa"/>
            <w:vAlign w:val="bottom"/>
            <w:gridSpan w:val="2"/>
          </w:tcPr>
          <w:p>
            <w:pPr>
              <w:spacing w:after="0" w:line="68" w:lineRule="exact"/>
              <w:rPr>
                <w:sz w:val="20"/>
                <w:szCs w:val="20"/>
                <w:color w:val="auto"/>
              </w:rPr>
            </w:pPr>
            <w:r>
              <w:rPr>
                <w:rFonts w:ascii="Arial" w:cs="Arial" w:eastAsia="Arial" w:hAnsi="Arial"/>
                <w:sz w:val="7"/>
                <w:szCs w:val="7"/>
                <w:color w:val="FFFFFF"/>
              </w:rPr>
              <w:t>10X.7</w:t>
            </w:r>
          </w:p>
        </w:tc>
        <w:tc>
          <w:tcPr>
            <w:tcW w:w="5900" w:type="dxa"/>
            <w:vAlign w:val="bottom"/>
            <w:gridSpan w:val="4"/>
          </w:tcPr>
          <w:p>
            <w:pPr>
              <w:ind w:left="300"/>
              <w:spacing w:after="0" w:line="68" w:lineRule="exact"/>
              <w:rPr>
                <w:sz w:val="20"/>
                <w:szCs w:val="20"/>
                <w:color w:val="auto"/>
              </w:rPr>
            </w:pPr>
            <w:r>
              <w:rPr>
                <w:rFonts w:ascii="Arial" w:cs="Arial" w:eastAsia="Arial" w:hAnsi="Arial"/>
                <w:sz w:val="7"/>
                <w:szCs w:val="7"/>
                <w:color w:val="FFFFFF"/>
              </w:rPr>
              <w:t>with an AI-based system, banks can lend responsibly in any environment, with a system that responds quickly and</w:t>
            </w:r>
          </w:p>
        </w:tc>
        <w:tc>
          <w:tcPr>
            <w:tcW w:w="2960" w:type="dxa"/>
            <w:vAlign w:val="bottom"/>
            <w:gridSpan w:val="2"/>
          </w:tcPr>
          <w:p>
            <w:pPr>
              <w:ind w:left="160"/>
              <w:spacing w:after="0" w:line="68" w:lineRule="exact"/>
              <w:rPr>
                <w:sz w:val="20"/>
                <w:szCs w:val="20"/>
                <w:color w:val="auto"/>
              </w:rPr>
            </w:pPr>
            <w:r>
              <w:rPr>
                <w:rFonts w:ascii="Arial" w:cs="Arial" w:eastAsia="Arial" w:hAnsi="Arial"/>
                <w:sz w:val="7"/>
                <w:szCs w:val="7"/>
                <w:color w:val="FFFFFF"/>
              </w:rPr>
              <w:t>to changes in employment levels and economic output. This</w:t>
            </w:r>
          </w:p>
        </w:tc>
      </w:tr>
      <w:tr>
        <w:trPr>
          <w:trHeight w:val="34"/>
        </w:trPr>
        <w:tc>
          <w:tcPr>
            <w:tcW w:w="9180" w:type="dxa"/>
            <w:vAlign w:val="bottom"/>
            <w:gridSpan w:val="8"/>
          </w:tcPr>
          <w:p>
            <w:pPr>
              <w:spacing w:after="0"/>
              <w:rPr>
                <w:sz w:val="20"/>
                <w:szCs w:val="20"/>
                <w:color w:val="auto"/>
              </w:rPr>
            </w:pPr>
            <w:r>
              <w:rPr>
                <w:rFonts w:ascii="Arial" w:cs="Arial" w:eastAsia="Arial" w:hAnsi="Arial"/>
                <w:sz w:val="3"/>
                <w:szCs w:val="3"/>
                <w:color w:val="FFFFFF"/>
              </w:rPr>
              <w:t>Furthermore,isn’justtheory: during the employment shock of the recent COVID-19 pandemic, unemployment increased from about 4% to 14%intelligentlyjusta few weeks. While this led to a temporary decrease in loan</w:t>
            </w:r>
          </w:p>
        </w:tc>
      </w:tr>
      <w:tr>
        <w:trPr>
          <w:trHeight w:val="34"/>
        </w:trPr>
        <w:tc>
          <w:tcPr>
            <w:tcW w:w="1280" w:type="dxa"/>
            <w:vAlign w:val="bottom"/>
            <w:gridSpan w:val="3"/>
          </w:tcPr>
          <w:p>
            <w:pPr>
              <w:spacing w:after="0"/>
              <w:rPr>
                <w:sz w:val="20"/>
                <w:szCs w:val="20"/>
                <w:color w:val="auto"/>
              </w:rPr>
            </w:pPr>
            <w:r>
              <w:rPr>
                <w:rFonts w:ascii="Arial" w:cs="Arial" w:eastAsia="Arial" w:hAnsi="Arial"/>
                <w:sz w:val="3"/>
                <w:szCs w:val="3"/>
                <w:color w:val="FFFFFF"/>
              </w:rPr>
              <w:t>originations and in the</w:t>
            </w:r>
          </w:p>
        </w:tc>
        <w:tc>
          <w:tcPr>
            <w:tcW w:w="7900" w:type="dxa"/>
            <w:vAlign w:val="bottom"/>
            <w:gridSpan w:val="5"/>
          </w:tcPr>
          <w:p>
            <w:pPr>
              <w:ind w:left="300"/>
              <w:spacing w:after="0"/>
              <w:rPr>
                <w:sz w:val="20"/>
                <w:szCs w:val="20"/>
                <w:color w:val="auto"/>
              </w:rPr>
            </w:pPr>
            <w:r>
              <w:rPr>
                <w:rFonts w:ascii="Arial" w:cs="Arial" w:eastAsia="Arial" w:hAnsi="Arial"/>
                <w:sz w:val="3"/>
                <w:szCs w:val="3"/>
                <w:color w:val="FFFFFF"/>
              </w:rPr>
              <w:t>of loan funding as well as a potential for increased losses, Upstart partner banks experienced immaterial impact to the performance of their loans.8</w:t>
            </w:r>
          </w:p>
        </w:tc>
      </w:tr>
      <w:tr>
        <w:trPr>
          <w:trHeight w:val="34"/>
        </w:trPr>
        <w:tc>
          <w:tcPr>
            <w:tcW w:w="80" w:type="dxa"/>
            <w:vAlign w:val="bottom"/>
          </w:tcPr>
          <w:p>
            <w:pPr>
              <w:spacing w:after="0"/>
              <w:rPr>
                <w:sz w:val="20"/>
                <w:szCs w:val="20"/>
                <w:color w:val="auto"/>
              </w:rPr>
            </w:pPr>
            <w:r>
              <w:rPr>
                <w:rFonts w:ascii="Arial" w:cs="Arial" w:eastAsia="Arial" w:hAnsi="Arial"/>
                <w:sz w:val="3"/>
                <w:szCs w:val="3"/>
                <w:color w:val="FFFFFF"/>
              </w:rPr>
              <w:t>4</w:t>
            </w:r>
          </w:p>
        </w:tc>
        <w:tc>
          <w:tcPr>
            <w:tcW w:w="240" w:type="dxa"/>
            <w:vAlign w:val="bottom"/>
          </w:tcPr>
          <w:p>
            <w:pPr>
              <w:spacing w:after="0"/>
              <w:rPr>
                <w:sz w:val="2"/>
                <w:szCs w:val="2"/>
                <w:color w:val="auto"/>
              </w:rPr>
            </w:pPr>
          </w:p>
        </w:tc>
        <w:tc>
          <w:tcPr>
            <w:tcW w:w="5900" w:type="dxa"/>
            <w:vAlign w:val="bottom"/>
            <w:gridSpan w:val="4"/>
          </w:tcPr>
          <w:p>
            <w:pPr>
              <w:ind w:left="380"/>
              <w:spacing w:after="0"/>
              <w:rPr>
                <w:sz w:val="20"/>
                <w:szCs w:val="20"/>
                <w:color w:val="auto"/>
              </w:rPr>
            </w:pPr>
            <w:r>
              <w:rPr>
                <w:rFonts w:ascii="Arial" w:cs="Arial" w:eastAsia="Arial" w:hAnsi="Arial"/>
                <w:sz w:val="3"/>
                <w:szCs w:val="3"/>
                <w:color w:val="FFFFFF"/>
              </w:rPr>
              <w:t>data is definedavailabilityas combination of payment events and model input variables.</w:t>
            </w: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7"/>
        </w:trPr>
        <w:tc>
          <w:tcPr>
            <w:tcW w:w="9180" w:type="dxa"/>
            <w:vAlign w:val="bottom"/>
            <w:gridSpan w:val="8"/>
          </w:tcPr>
          <w:p>
            <w:pPr>
              <w:spacing w:after="0"/>
              <w:rPr>
                <w:sz w:val="20"/>
                <w:szCs w:val="20"/>
                <w:color w:val="auto"/>
              </w:rPr>
            </w:pPr>
            <w:r>
              <w:rPr>
                <w:rFonts w:ascii="Arial" w:cs="Arial" w:eastAsia="Arial" w:hAnsi="Arial"/>
                <w:sz w:val="1"/>
                <w:szCs w:val="1"/>
                <w:color w:val="FFFFFF"/>
              </w:rPr>
              <w:t>2017.PerformanceTcompare the hypothetical approval rates between Upstart’s model and each of the replicated bank models, Upstart held loss rates constant at the rate called for by each bank’s respective</w:t>
            </w:r>
          </w:p>
        </w:tc>
      </w:tr>
      <w:tr>
        <w:trPr>
          <w:trHeight w:val="17"/>
        </w:trPr>
        <w:tc>
          <w:tcPr>
            <w:tcW w:w="80" w:type="dxa"/>
            <w:vAlign w:val="bottom"/>
          </w:tcPr>
          <w:p>
            <w:pPr>
              <w:spacing w:after="0"/>
              <w:rPr>
                <w:sz w:val="20"/>
                <w:szCs w:val="20"/>
                <w:color w:val="auto"/>
              </w:rPr>
            </w:pPr>
            <w:r>
              <w:rPr>
                <w:rFonts w:ascii="Arial" w:cs="Arial" w:eastAsia="Arial" w:hAnsi="Arial"/>
                <w:sz w:val="1"/>
                <w:szCs w:val="1"/>
                <w:color w:val="FFFFFF"/>
              </w:rPr>
              <w:t>5</w:t>
            </w:r>
          </w:p>
        </w:tc>
        <w:tc>
          <w:tcPr>
            <w:tcW w:w="240" w:type="dxa"/>
            <w:vAlign w:val="bottom"/>
          </w:tcPr>
          <w:p>
            <w:pPr>
              <w:ind w:left="20"/>
              <w:spacing w:after="0"/>
              <w:rPr>
                <w:sz w:val="20"/>
                <w:szCs w:val="20"/>
                <w:color w:val="auto"/>
              </w:rPr>
            </w:pPr>
            <w:r>
              <w:rPr>
                <w:rFonts w:ascii="Arial" w:cs="Arial" w:eastAsia="Arial" w:hAnsi="Arial"/>
                <w:sz w:val="1"/>
                <w:szCs w:val="1"/>
                <w:color w:val="FFFFFF"/>
              </w:rPr>
              <w:t>In</w:t>
            </w:r>
          </w:p>
        </w:tc>
        <w:tc>
          <w:tcPr>
            <w:tcW w:w="8860" w:type="dxa"/>
            <w:vAlign w:val="bottom"/>
            <w:gridSpan w:val="6"/>
          </w:tcPr>
          <w:p>
            <w:pPr>
              <w:ind w:left="20"/>
              <w:spacing w:after="0"/>
              <w:rPr>
                <w:sz w:val="20"/>
                <w:szCs w:val="20"/>
                <w:color w:val="auto"/>
              </w:rPr>
            </w:pPr>
            <w:r>
              <w:rPr>
                <w:rFonts w:ascii="Arial" w:cs="Arial" w:eastAsia="Arial" w:hAnsi="Arial"/>
                <w:sz w:val="1"/>
                <w:szCs w:val="1"/>
                <w:color w:val="FFFFFF"/>
              </w:rPr>
              <w:t>internal study, Upstart replicated three bank models using their respective underwriting policies and evaluated their hypothetical loss rates and approval rates using Upstart’s applicant base in late</w:t>
            </w:r>
          </w:p>
        </w:tc>
      </w:tr>
      <w:tr>
        <w:trPr>
          <w:trHeight w:val="68"/>
        </w:trPr>
        <w:tc>
          <w:tcPr>
            <w:tcW w:w="9180" w:type="dxa"/>
            <w:vAlign w:val="bottom"/>
            <w:gridSpan w:val="8"/>
          </w:tcPr>
          <w:p>
            <w:pPr>
              <w:spacing w:after="0" w:line="68" w:lineRule="exact"/>
              <w:rPr>
                <w:sz w:val="20"/>
                <w:szCs w:val="20"/>
                <w:color w:val="auto"/>
              </w:rPr>
            </w:pPr>
            <w:r>
              <w:rPr>
                <w:rFonts w:ascii="Arial" w:cs="Arial" w:eastAsia="Arial" w:hAnsi="Arial"/>
                <w:sz w:val="7"/>
                <w:szCs w:val="7"/>
                <w:color w:val="FFFFFF"/>
              </w:rPr>
              <w:t>underwriting policy. Such result represents the average rate of improvement exhibited by Upstart’s platform against each of the three respective bank models.</w:t>
            </w:r>
          </w:p>
        </w:tc>
      </w:tr>
      <w:tr>
        <w:trPr>
          <w:trHeight w:val="34"/>
        </w:trPr>
        <w:tc>
          <w:tcPr>
            <w:tcW w:w="80" w:type="dxa"/>
            <w:vAlign w:val="bottom"/>
          </w:tcPr>
          <w:p>
            <w:pPr>
              <w:spacing w:after="0"/>
              <w:rPr>
                <w:sz w:val="20"/>
                <w:szCs w:val="20"/>
                <w:color w:val="auto"/>
              </w:rPr>
            </w:pPr>
            <w:r>
              <w:rPr>
                <w:rFonts w:ascii="Arial" w:cs="Arial" w:eastAsia="Arial" w:hAnsi="Arial"/>
                <w:sz w:val="3"/>
                <w:szCs w:val="3"/>
                <w:color w:val="FFFFFF"/>
              </w:rPr>
              <w:t>6</w:t>
            </w:r>
          </w:p>
        </w:tc>
        <w:tc>
          <w:tcPr>
            <w:tcW w:w="1720" w:type="dxa"/>
            <w:vAlign w:val="bottom"/>
            <w:gridSpan w:val="3"/>
          </w:tcPr>
          <w:p>
            <w:pPr>
              <w:ind w:left="20"/>
              <w:spacing w:after="0"/>
              <w:rPr>
                <w:sz w:val="20"/>
                <w:szCs w:val="20"/>
                <w:color w:val="auto"/>
              </w:rPr>
            </w:pPr>
            <w:r>
              <w:rPr>
                <w:rFonts w:ascii="Arial" w:cs="Arial" w:eastAsia="Arial" w:hAnsi="Arial"/>
                <w:sz w:val="3"/>
                <w:szCs w:val="3"/>
                <w:color w:val="FFFFFF"/>
              </w:rPr>
              <w:t>Based on a comparison of loss rates</w:t>
            </w:r>
          </w:p>
        </w:tc>
        <w:tc>
          <w:tcPr>
            <w:tcW w:w="7380" w:type="dxa"/>
            <w:vAlign w:val="bottom"/>
            <w:gridSpan w:val="4"/>
          </w:tcPr>
          <w:p>
            <w:pPr>
              <w:ind w:left="80"/>
              <w:spacing w:after="0"/>
              <w:rPr>
                <w:sz w:val="20"/>
                <w:szCs w:val="20"/>
                <w:color w:val="auto"/>
              </w:rPr>
            </w:pPr>
            <w:r>
              <w:rPr>
                <w:rFonts w:ascii="Arial" w:cs="Arial" w:eastAsia="Arial" w:hAnsi="Arial"/>
                <w:sz w:val="3"/>
                <w:szCs w:val="3"/>
                <w:color w:val="FFFFFF"/>
              </w:rPr>
              <w:t>60 day past due credit card accounts from 2004-2006 and 2009 using data obtained from Canals-Cerda and Kerr, Working Paper No. 15-08 Credit Risk Modeling</w:t>
            </w:r>
          </w:p>
        </w:tc>
      </w:tr>
      <w:tr>
        <w:trPr>
          <w:trHeight w:val="34"/>
        </w:trPr>
        <w:tc>
          <w:tcPr>
            <w:tcW w:w="6220" w:type="dxa"/>
            <w:vAlign w:val="bottom"/>
            <w:gridSpan w:val="6"/>
          </w:tcPr>
          <w:p>
            <w:pPr>
              <w:spacing w:after="0"/>
              <w:rPr>
                <w:sz w:val="20"/>
                <w:szCs w:val="20"/>
                <w:color w:val="auto"/>
              </w:rPr>
            </w:pPr>
            <w:r>
              <w:rPr>
                <w:rFonts w:ascii="Arial" w:cs="Arial" w:eastAsia="Arial" w:hAnsi="Arial"/>
                <w:sz w:val="3"/>
                <w:szCs w:val="3"/>
                <w:color w:val="FFFFFF"/>
              </w:rPr>
              <w:t>in Segmented Portfolios: An Application to Credit Cards, Federal Reserve Bank of Philadelphia, February 2015.</w:t>
            </w: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34"/>
        </w:trPr>
        <w:tc>
          <w:tcPr>
            <w:tcW w:w="80" w:type="dxa"/>
            <w:vAlign w:val="bottom"/>
          </w:tcPr>
          <w:p>
            <w:pPr>
              <w:spacing w:after="0"/>
              <w:rPr>
                <w:sz w:val="20"/>
                <w:szCs w:val="20"/>
                <w:color w:val="auto"/>
              </w:rPr>
            </w:pPr>
            <w:r>
              <w:rPr>
                <w:rFonts w:ascii="Arial" w:cs="Arial" w:eastAsia="Arial" w:hAnsi="Arial"/>
                <w:sz w:val="3"/>
                <w:szCs w:val="3"/>
                <w:color w:val="FFFFFF"/>
              </w:rPr>
              <w:t>7</w:t>
            </w:r>
          </w:p>
        </w:tc>
        <w:tc>
          <w:tcPr>
            <w:tcW w:w="9100" w:type="dxa"/>
            <w:vAlign w:val="bottom"/>
            <w:gridSpan w:val="7"/>
          </w:tcPr>
          <w:p>
            <w:pPr>
              <w:ind w:left="20"/>
              <w:spacing w:after="0"/>
              <w:rPr>
                <w:sz w:val="20"/>
                <w:szCs w:val="20"/>
                <w:color w:val="auto"/>
              </w:rPr>
            </w:pPr>
            <w:r>
              <w:rPr>
                <w:rFonts w:ascii="Arial" w:cs="Arial" w:eastAsia="Arial" w:hAnsi="Arial"/>
                <w:sz w:val="3"/>
                <w:szCs w:val="3"/>
                <w:color w:val="FFFFFF"/>
              </w:rPr>
              <w:t>Based on an internal Upstart study conducted in June 2020 comparing annualized loss rates of all Upstart-powered loans originated in 2018 by segments based on the borrower’s FICO credit score and</w:t>
            </w:r>
          </w:p>
        </w:tc>
      </w:tr>
      <w:tr>
        <w:trPr>
          <w:trHeight w:val="34"/>
        </w:trPr>
        <w:tc>
          <w:tcPr>
            <w:tcW w:w="1280" w:type="dxa"/>
            <w:vAlign w:val="bottom"/>
            <w:gridSpan w:val="3"/>
          </w:tcPr>
          <w:p>
            <w:pPr>
              <w:spacing w:after="0"/>
              <w:rPr>
                <w:sz w:val="20"/>
                <w:szCs w:val="20"/>
                <w:color w:val="auto"/>
              </w:rPr>
            </w:pPr>
            <w:r>
              <w:rPr>
                <w:rFonts w:ascii="Arial" w:cs="Arial" w:eastAsia="Arial" w:hAnsi="Arial"/>
                <w:sz w:val="3"/>
                <w:szCs w:val="3"/>
                <w:color w:val="FFFFFF"/>
              </w:rPr>
              <w:t>the risk tier assigned by</w:t>
            </w:r>
          </w:p>
        </w:tc>
        <w:tc>
          <w:tcPr>
            <w:tcW w:w="1640" w:type="dxa"/>
            <w:vAlign w:val="bottom"/>
            <w:gridSpan w:val="2"/>
          </w:tcPr>
          <w:p>
            <w:pPr>
              <w:ind w:left="180"/>
              <w:spacing w:after="0"/>
              <w:rPr>
                <w:sz w:val="20"/>
                <w:szCs w:val="20"/>
                <w:color w:val="auto"/>
              </w:rPr>
            </w:pPr>
            <w:r>
              <w:rPr>
                <w:rFonts w:ascii="Arial" w:cs="Arial" w:eastAsia="Arial" w:hAnsi="Arial"/>
                <w:sz w:val="3"/>
                <w:szCs w:val="3"/>
                <w:color w:val="FFFFFF"/>
              </w:rPr>
              <w:t>at origination.</w:t>
            </w:r>
          </w:p>
        </w:tc>
        <w:tc>
          <w:tcPr>
            <w:tcW w:w="3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178"/>
        </w:trPr>
        <w:tc>
          <w:tcPr>
            <w:tcW w:w="80" w:type="dxa"/>
            <w:vAlign w:val="bottom"/>
          </w:tcPr>
          <w:p>
            <w:pPr>
              <w:spacing w:after="0"/>
              <w:rPr>
                <w:sz w:val="20"/>
                <w:szCs w:val="20"/>
                <w:color w:val="auto"/>
              </w:rPr>
            </w:pPr>
            <w:r>
              <w:rPr>
                <w:rFonts w:ascii="Arial" w:cs="Arial" w:eastAsia="Arial" w:hAnsi="Arial"/>
                <w:sz w:val="11"/>
                <w:szCs w:val="11"/>
                <w:color w:val="FFFFFF"/>
                <w:w w:val="97"/>
              </w:rPr>
              <w:t>8</w:t>
            </w:r>
          </w:p>
        </w:tc>
        <w:tc>
          <w:tcPr>
            <w:tcW w:w="6140" w:type="dxa"/>
            <w:vAlign w:val="bottom"/>
            <w:gridSpan w:val="5"/>
          </w:tcPr>
          <w:p>
            <w:pPr>
              <w:ind w:left="20"/>
              <w:spacing w:after="0"/>
              <w:rPr>
                <w:sz w:val="20"/>
                <w:szCs w:val="20"/>
                <w:color w:val="auto"/>
              </w:rPr>
            </w:pPr>
            <w:r>
              <w:rPr>
                <w:rFonts w:ascii="Arial" w:cs="Arial" w:eastAsia="Arial" w:hAnsi="Arial"/>
                <w:sz w:val="11"/>
                <w:szCs w:val="11"/>
                <w:color w:val="FFFFFF"/>
                <w:w w:val="92"/>
              </w:rPr>
              <w:t>Bureau of Labor Statistics,Upstart.S. Department of Labor, News Release: The Employment Situation - August 2020, September 2020.</w:t>
            </w:r>
          </w:p>
        </w:tc>
        <w:tc>
          <w:tcPr>
            <w:tcW w:w="580" w:type="dxa"/>
            <w:vAlign w:val="bottom"/>
          </w:tcPr>
          <w:p>
            <w:pPr>
              <w:spacing w:after="0"/>
              <w:rPr>
                <w:sz w:val="15"/>
                <w:szCs w:val="15"/>
                <w:color w:val="auto"/>
              </w:rPr>
            </w:pPr>
          </w:p>
        </w:tc>
        <w:tc>
          <w:tcPr>
            <w:tcW w:w="2380" w:type="dxa"/>
            <w:vAlign w:val="bottom"/>
          </w:tcPr>
          <w:p>
            <w:pPr>
              <w:spacing w:after="0"/>
              <w:rPr>
                <w:sz w:val="15"/>
                <w:szCs w:val="15"/>
                <w:color w:val="auto"/>
              </w:rPr>
            </w:pPr>
          </w:p>
        </w:tc>
      </w:tr>
    </w:tbl>
    <w:p>
      <w:pPr>
        <w:sectPr>
          <w:pgSz w:w="11900" w:h="16838" w:orient="portrait"/>
          <w:cols w:equalWidth="0" w:num="1">
            <w:col w:w="10200"/>
          </w:cols>
          <w:pgMar w:left="320" w:top="407" w:right="137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9160" w:type="dxa"/>
            <w:vAlign w:val="bottom"/>
            <w:gridSpan w:val="5"/>
          </w:tcPr>
          <w:p>
            <w:pPr>
              <w:spacing w:after="0"/>
              <w:rPr>
                <w:sz w:val="20"/>
                <w:szCs w:val="20"/>
                <w:color w:val="auto"/>
              </w:rPr>
            </w:pPr>
            <w:r>
              <w:rPr>
                <w:rFonts w:ascii="Arial" w:cs="Arial" w:eastAsia="Arial" w:hAnsi="Arial"/>
                <w:sz w:val="11"/>
                <w:szCs w:val="11"/>
                <w:color w:val="FFFFFF"/>
                <w:w w:val="95"/>
              </w:rPr>
              <w:t>W don’t expect every future cycle to behave the same in terms of government stimulus and consumer dynamics. And while our model has not yet been extensively tested in  down-cycle economy or</w:t>
            </w:r>
          </w:p>
        </w:tc>
        <w:tc>
          <w:tcPr>
            <w:tcW w:w="0" w:type="dxa"/>
            <w:vAlign w:val="bottom"/>
          </w:tcPr>
          <w:p>
            <w:pPr>
              <w:spacing w:after="0"/>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recession without significant government assistance, we do expect the relative strengths of AI demonstrated during this cycle to persist. Nevertheless, it will take time for banks and capital markets to</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develop confidence necessary to continue lending through cycles, as evidenced by the fact that the COVID-19 pandemic led to a significant but temporary reduction in bank lending and loan funding on</w:t>
            </w:r>
          </w:p>
        </w:tc>
        <w:tc>
          <w:tcPr>
            <w:tcW w:w="0" w:type="dxa"/>
            <w:vAlign w:val="bottom"/>
          </w:tcPr>
          <w:p>
            <w:pPr>
              <w:spacing w:after="0" w:line="20" w:lineRule="exact"/>
              <w:rPr>
                <w:sz w:val="1"/>
                <w:szCs w:val="1"/>
                <w:color w:val="auto"/>
              </w:rPr>
            </w:pPr>
          </w:p>
        </w:tc>
      </w:tr>
      <w:tr>
        <w:trPr>
          <w:trHeight w:val="34"/>
        </w:trPr>
        <w:tc>
          <w:tcPr>
            <w:tcW w:w="1280" w:type="dxa"/>
            <w:vAlign w:val="bottom"/>
          </w:tcPr>
          <w:p>
            <w:pPr>
              <w:spacing w:after="0"/>
              <w:rPr>
                <w:sz w:val="20"/>
                <w:szCs w:val="20"/>
                <w:color w:val="auto"/>
              </w:rPr>
            </w:pPr>
            <w:r>
              <w:rPr>
                <w:rFonts w:ascii="Arial" w:cs="Arial" w:eastAsia="Arial" w:hAnsi="Arial"/>
                <w:sz w:val="3"/>
                <w:szCs w:val="3"/>
                <w:color w:val="FFFFFF"/>
              </w:rPr>
              <w:t>our platform.</w:t>
            </w: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While we expect AI to disrupt virtually all forms of credit globally Upstart is focused today on the US consumer market (and on personal loans in particular). There were more than $4.2 trillion in credit</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outstanding in December 2019 across mortgages, HELOCs, auto loans, credit cards, personal loans, and student loans - and virtually all could have been improved with AI.9</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In June 2020, we announced the expansion of our AI platform into auto lending, and the first Upstart-powered auto loan was originated in September 2020. The auto lending market is both large - at least</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five times the size of the personal loan market - and inefficient, with millions of borrowers paying interest rates that don’t reflect their true risk. 10 This is an ideal next opportunity for Upstart.</w:t>
            </w:r>
          </w:p>
        </w:tc>
        <w:tc>
          <w:tcPr>
            <w:tcW w:w="0" w:type="dxa"/>
            <w:vAlign w:val="bottom"/>
          </w:tcPr>
          <w:p>
            <w:pPr>
              <w:spacing w:after="0" w:line="20" w:lineRule="exact"/>
              <w:rPr>
                <w:sz w:val="1"/>
                <w:szCs w:val="1"/>
                <w:color w:val="auto"/>
              </w:rPr>
            </w:pPr>
          </w:p>
        </w:tc>
      </w:tr>
      <w:tr>
        <w:trPr>
          <w:trHeight w:val="34"/>
        </w:trPr>
        <w:tc>
          <w:tcPr>
            <w:tcW w:w="1280" w:type="dxa"/>
            <w:vAlign w:val="bottom"/>
          </w:tcPr>
          <w:p>
            <w:pPr>
              <w:spacing w:after="0"/>
              <w:rPr>
                <w:sz w:val="20"/>
                <w:szCs w:val="20"/>
                <w:color w:val="auto"/>
              </w:rPr>
            </w:pPr>
            <w:r>
              <w:rPr>
                <w:rFonts w:ascii="Arial" w:cs="Arial" w:eastAsia="Arial" w:hAnsi="Arial"/>
                <w:sz w:val="3"/>
                <w:szCs w:val="3"/>
                <w:color w:val="FFFFFF"/>
              </w:rPr>
              <w:t>Why now, why Upstart?</w:t>
            </w: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380" w:type="dxa"/>
            <w:vAlign w:val="bottom"/>
            <w:gridSpan w:val="2"/>
            <w:vMerge w:val="restart"/>
          </w:tcPr>
          <w:p>
            <w:pPr>
              <w:ind w:left="60"/>
              <w:spacing w:after="0" w:line="68" w:lineRule="exact"/>
              <w:rPr>
                <w:sz w:val="20"/>
                <w:szCs w:val="20"/>
                <w:color w:val="auto"/>
              </w:rPr>
            </w:pPr>
            <w:r>
              <w:rPr>
                <w:rFonts w:ascii="Arial" w:cs="Arial" w:eastAsia="Arial" w:hAnsi="Arial"/>
                <w:sz w:val="7"/>
                <w:szCs w:val="7"/>
                <w:color w:val="FFFFFF"/>
              </w:rPr>
              <w:t>“better mousetrap” in credit only to fail the test of time. 11 So it’s fair to ask what’ changed and why now is the time for AI lending.</w:t>
            </w:r>
          </w:p>
        </w:tc>
        <w:tc>
          <w:tcPr>
            <w:tcW w:w="0" w:type="dxa"/>
            <w:vAlign w:val="bottom"/>
          </w:tcPr>
          <w:p>
            <w:pPr>
              <w:spacing w:after="0" w:line="20" w:lineRule="exact"/>
              <w:rPr>
                <w:sz w:val="1"/>
                <w:szCs w:val="1"/>
                <w:color w:val="auto"/>
              </w:rPr>
            </w:pPr>
          </w:p>
        </w:tc>
      </w:tr>
      <w:tr>
        <w:trPr>
          <w:trHeight w:val="34"/>
        </w:trPr>
        <w:tc>
          <w:tcPr>
            <w:tcW w:w="2780" w:type="dxa"/>
            <w:vAlign w:val="bottom"/>
            <w:gridSpan w:val="3"/>
          </w:tcPr>
          <w:p>
            <w:pPr>
              <w:spacing w:after="0"/>
              <w:rPr>
                <w:sz w:val="20"/>
                <w:szCs w:val="20"/>
                <w:color w:val="auto"/>
              </w:rPr>
            </w:pPr>
            <w:r>
              <w:rPr>
                <w:rFonts w:ascii="Arial" w:cs="Arial" w:eastAsia="Arial" w:hAnsi="Arial"/>
                <w:sz w:val="3"/>
                <w:szCs w:val="3"/>
                <w:color w:val="FFFFFF"/>
              </w:rPr>
              <w:t>History is littered with compan es who claimed to have built</w:t>
            </w:r>
          </w:p>
        </w:tc>
        <w:tc>
          <w:tcPr>
            <w:tcW w:w="63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First, the building blocks for this transformation came into place only in the last decade or so. The science underpinning AI has gone from research labs to mainstream in just a few years. And cloud</w:t>
            </w:r>
          </w:p>
        </w:tc>
        <w:tc>
          <w:tcPr>
            <w:tcW w:w="0" w:type="dxa"/>
            <w:vAlign w:val="bottom"/>
          </w:tcPr>
          <w:p>
            <w:pPr>
              <w:spacing w:after="0" w:line="20" w:lineRule="exact"/>
              <w:rPr>
                <w:sz w:val="1"/>
                <w:szCs w:val="1"/>
                <w:color w:val="auto"/>
              </w:rPr>
            </w:pPr>
          </w:p>
        </w:tc>
      </w:tr>
      <w:tr>
        <w:trPr>
          <w:trHeight w:val="34"/>
        </w:trPr>
        <w:tc>
          <w:tcPr>
            <w:tcW w:w="4440" w:type="dxa"/>
            <w:vAlign w:val="bottom"/>
            <w:gridSpan w:val="4"/>
          </w:tcPr>
          <w:p>
            <w:pPr>
              <w:spacing w:after="0"/>
              <w:rPr>
                <w:sz w:val="20"/>
                <w:szCs w:val="20"/>
                <w:color w:val="auto"/>
              </w:rPr>
            </w:pPr>
            <w:r>
              <w:rPr>
                <w:rFonts w:ascii="Arial" w:cs="Arial" w:eastAsia="Arial" w:hAnsi="Arial"/>
                <w:sz w:val="3"/>
                <w:szCs w:val="3"/>
                <w:color w:val="FFFFFF"/>
              </w:rPr>
              <w:t>computing has unlocked the ability to apply the enormous power of computation required by AI</w:t>
            </w:r>
          </w:p>
        </w:tc>
        <w:tc>
          <w:tcPr>
            <w:tcW w:w="4720" w:type="dxa"/>
            <w:vAlign w:val="bottom"/>
          </w:tcPr>
          <w:p>
            <w:pPr>
              <w:ind w:left="120"/>
              <w:spacing w:after="0"/>
              <w:rPr>
                <w:sz w:val="20"/>
                <w:szCs w:val="20"/>
                <w:color w:val="auto"/>
              </w:rPr>
            </w:pPr>
            <w:r>
              <w:rPr>
                <w:rFonts w:ascii="Arial" w:cs="Arial" w:eastAsia="Arial" w:hAnsi="Arial"/>
                <w:sz w:val="3"/>
                <w:szCs w:val="3"/>
                <w:color w:val="FFFFFF"/>
              </w:rPr>
              <w:t>single credit decision in just  few seconds.</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Second, change is hard, and change at the core of credit is really hard. The data science, the regulatory hurdles, the financial risk-add these up and it’s no secret why the pre-eminent lending institutions in</w:t>
            </w:r>
          </w:p>
        </w:tc>
        <w:tc>
          <w:tcPr>
            <w:tcW w:w="0" w:type="dxa"/>
            <w:vAlign w:val="bottom"/>
          </w:tcPr>
          <w:p>
            <w:pPr>
              <w:spacing w:after="0" w:line="20" w:lineRule="exact"/>
              <w:rPr>
                <w:sz w:val="1"/>
                <w:szCs w:val="1"/>
                <w:color w:val="auto"/>
              </w:rPr>
            </w:pPr>
          </w:p>
        </w:tc>
      </w:tr>
      <w:tr>
        <w:trPr>
          <w:trHeight w:val="34"/>
        </w:trPr>
        <w:tc>
          <w:tcPr>
            <w:tcW w:w="2780" w:type="dxa"/>
            <w:vAlign w:val="bottom"/>
            <w:gridSpan w:val="3"/>
          </w:tcPr>
          <w:p>
            <w:pPr>
              <w:spacing w:after="0"/>
              <w:rPr>
                <w:sz w:val="20"/>
                <w:szCs w:val="20"/>
                <w:color w:val="auto"/>
              </w:rPr>
            </w:pPr>
            <w:r>
              <w:rPr>
                <w:rFonts w:ascii="Arial" w:cs="Arial" w:eastAsia="Arial" w:hAnsi="Arial"/>
                <w:sz w:val="3"/>
                <w:szCs w:val="3"/>
                <w:color w:val="FFFFFF"/>
              </w:rPr>
              <w:t>the US (banks) have yet to take on the challenge of building</w:t>
            </w:r>
          </w:p>
        </w:tc>
        <w:tc>
          <w:tcPr>
            <w:tcW w:w="1660" w:type="dxa"/>
            <w:vAlign w:val="bottom"/>
          </w:tcPr>
          <w:p>
            <w:pPr>
              <w:ind w:left="100"/>
              <w:spacing w:after="0"/>
              <w:rPr>
                <w:sz w:val="20"/>
                <w:szCs w:val="20"/>
                <w:color w:val="auto"/>
              </w:rPr>
            </w:pPr>
            <w:r>
              <w:rPr>
                <w:rFonts w:ascii="Arial" w:cs="Arial" w:eastAsia="Arial" w:hAnsi="Arial"/>
                <w:sz w:val="3"/>
                <w:szCs w:val="3"/>
                <w:color w:val="FFFFFF"/>
              </w:rPr>
              <w:t>AI model.</w:t>
            </w:r>
          </w:p>
        </w:tc>
        <w:tc>
          <w:tcPr>
            <w:tcW w:w="4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At Upstart, we built the right team to take on this challenge and paired it with the right mission to inspire us. Every single day, we focus maniacally on helping our bank partners approve more borrowers</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ind w:left="120"/>
              <w:spacing w:after="0"/>
              <w:rPr>
                <w:sz w:val="20"/>
                <w:szCs w:val="20"/>
                <w:color w:val="auto"/>
              </w:rPr>
            </w:pPr>
            <w:r>
              <w:rPr>
                <w:rFonts w:ascii="Arial" w:cs="Arial" w:eastAsia="Arial" w:hAnsi="Arial"/>
                <w:sz w:val="3"/>
                <w:szCs w:val="3"/>
                <w:color w:val="FFFFFF"/>
              </w:rPr>
              <w:t>lower rates while eliminating every bit of friction associated with the process. With our eight-year head start, we believe our AI lending platform is well-positioned to help power one of the largest</w:t>
            </w:r>
          </w:p>
        </w:tc>
        <w:tc>
          <w:tcPr>
            <w:tcW w:w="0" w:type="dxa"/>
            <w:vAlign w:val="bottom"/>
          </w:tcPr>
          <w:p>
            <w:pPr>
              <w:spacing w:after="0" w:line="20" w:lineRule="exact"/>
              <w:rPr>
                <w:sz w:val="1"/>
                <w:szCs w:val="1"/>
                <w:color w:val="auto"/>
              </w:rPr>
            </w:pPr>
          </w:p>
        </w:tc>
      </w:tr>
      <w:tr>
        <w:trPr>
          <w:trHeight w:val="34"/>
        </w:trPr>
        <w:tc>
          <w:tcPr>
            <w:tcW w:w="2780" w:type="dxa"/>
            <w:vAlign w:val="bottom"/>
            <w:gridSpan w:val="3"/>
          </w:tcPr>
          <w:p>
            <w:pPr>
              <w:spacing w:after="0"/>
              <w:rPr>
                <w:sz w:val="20"/>
                <w:szCs w:val="20"/>
                <w:color w:val="auto"/>
              </w:rPr>
            </w:pPr>
            <w:r>
              <w:rPr>
                <w:rFonts w:ascii="Arial" w:cs="Arial" w:eastAsia="Arial" w:hAnsi="Arial"/>
                <w:sz w:val="3"/>
                <w:szCs w:val="3"/>
                <w:color w:val="FFFFFF"/>
              </w:rPr>
              <w:t>transformations facing the financi l services industry.</w:t>
            </w:r>
          </w:p>
        </w:tc>
        <w:tc>
          <w:tcPr>
            <w:tcW w:w="16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1800" w:type="dxa"/>
            <w:vAlign w:val="bottom"/>
            <w:gridSpan w:val="2"/>
          </w:tcPr>
          <w:p>
            <w:pPr>
              <w:spacing w:after="0"/>
              <w:rPr>
                <w:sz w:val="20"/>
                <w:szCs w:val="20"/>
                <w:color w:val="auto"/>
              </w:rPr>
            </w:pPr>
            <w:r>
              <w:rPr>
                <w:rFonts w:ascii="Arial" w:cs="Arial" w:eastAsia="Arial" w:hAnsi="Arial"/>
                <w:sz w:val="3"/>
                <w:szCs w:val="3"/>
                <w:color w:val="FFFFFF"/>
              </w:rPr>
              <w:t>6 Based on a comparison of loss rates</w:t>
            </w:r>
          </w:p>
        </w:tc>
        <w:tc>
          <w:tcPr>
            <w:tcW w:w="7360" w:type="dxa"/>
            <w:vAlign w:val="bottom"/>
            <w:gridSpan w:val="3"/>
          </w:tcPr>
          <w:p>
            <w:pPr>
              <w:ind w:left="80"/>
              <w:spacing w:after="0"/>
              <w:rPr>
                <w:sz w:val="20"/>
                <w:szCs w:val="20"/>
                <w:color w:val="auto"/>
              </w:rPr>
            </w:pPr>
            <w:r>
              <w:rPr>
                <w:rFonts w:ascii="Arial" w:cs="Arial" w:eastAsia="Arial" w:hAnsi="Arial"/>
                <w:sz w:val="3"/>
                <w:szCs w:val="3"/>
                <w:color w:val="FFFFFF"/>
              </w:rPr>
              <w:t>60 day past due credit card accounts from 2004-2006 and 2009 using data obtained from Canals-Cerda and Kerr, Working Paper No. 15-08 Credit Risk Modeling</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in Segmented Portfolios: An Application to Credit Cards, Federal Reserve Bank of Philadelphia, February 2015.</w:t>
            </w:r>
          </w:p>
        </w:tc>
        <w:tc>
          <w:tcPr>
            <w:tcW w:w="0" w:type="dxa"/>
            <w:vAlign w:val="bottom"/>
          </w:tcPr>
          <w:p>
            <w:pPr>
              <w:spacing w:after="0" w:line="20" w:lineRule="exact"/>
              <w:rPr>
                <w:sz w:val="1"/>
                <w:szCs w:val="1"/>
                <w:color w:val="auto"/>
              </w:rPr>
            </w:pPr>
          </w:p>
        </w:tc>
      </w:tr>
      <w:tr>
        <w:trPr>
          <w:trHeight w:val="34"/>
        </w:trPr>
        <w:tc>
          <w:tcPr>
            <w:tcW w:w="9160" w:type="dxa"/>
            <w:vAlign w:val="bottom"/>
            <w:gridSpan w:val="5"/>
          </w:tcPr>
          <w:p>
            <w:pPr>
              <w:spacing w:after="0"/>
              <w:rPr>
                <w:sz w:val="20"/>
                <w:szCs w:val="20"/>
                <w:color w:val="auto"/>
              </w:rPr>
            </w:pPr>
            <w:r>
              <w:rPr>
                <w:rFonts w:ascii="Arial" w:cs="Arial" w:eastAsia="Arial" w:hAnsi="Arial"/>
                <w:sz w:val="3"/>
                <w:szCs w:val="3"/>
                <w:color w:val="FFFFFF"/>
              </w:rPr>
              <w:t>7 Based on an internal Upstart study conducted in June 2020 comparing annualized loss rates of all Upstart-powered loans originated in 2018 by segments based on the borrower’s FICO credit score and</w:t>
            </w:r>
          </w:p>
        </w:tc>
        <w:tc>
          <w:tcPr>
            <w:tcW w:w="0" w:type="dxa"/>
            <w:vAlign w:val="bottom"/>
          </w:tcPr>
          <w:p>
            <w:pPr>
              <w:spacing w:after="0" w:line="20" w:lineRule="exact"/>
              <w:rPr>
                <w:sz w:val="1"/>
                <w:szCs w:val="1"/>
                <w:color w:val="auto"/>
              </w:rPr>
            </w:pPr>
          </w:p>
        </w:tc>
      </w:tr>
      <w:tr>
        <w:trPr>
          <w:trHeight w:val="0"/>
        </w:trPr>
        <w:tc>
          <w:tcPr>
            <w:tcW w:w="1280" w:type="dxa"/>
            <w:vAlign w:val="bottom"/>
          </w:tcPr>
          <w:p>
            <w:pPr>
              <w:spacing w:after="0" w:line="67" w:lineRule="exact"/>
              <w:rPr>
                <w:sz w:val="20"/>
                <w:szCs w:val="20"/>
                <w:color w:val="auto"/>
              </w:rPr>
            </w:pPr>
            <w:r>
              <w:rPr>
                <w:rFonts w:ascii="Arial" w:cs="Arial" w:eastAsia="Arial" w:hAnsi="Arial"/>
                <w:sz w:val="7"/>
                <w:szCs w:val="7"/>
                <w:color w:val="FFFFFF"/>
              </w:rPr>
              <w:t>the risk tier assigned by</w:t>
            </w:r>
          </w:p>
        </w:tc>
        <w:tc>
          <w:tcPr>
            <w:tcW w:w="1500" w:type="dxa"/>
            <w:vAlign w:val="bottom"/>
            <w:gridSpan w:val="2"/>
          </w:tcPr>
          <w:p>
            <w:pPr>
              <w:ind w:left="180"/>
              <w:spacing w:after="0" w:line="67" w:lineRule="exact"/>
              <w:rPr>
                <w:sz w:val="20"/>
                <w:szCs w:val="20"/>
                <w:color w:val="auto"/>
              </w:rPr>
            </w:pPr>
            <w:r>
              <w:rPr>
                <w:rFonts w:ascii="Arial" w:cs="Arial" w:eastAsia="Arial" w:hAnsi="Arial"/>
                <w:sz w:val="7"/>
                <w:szCs w:val="7"/>
                <w:color w:val="FFFFFF"/>
              </w:rPr>
              <w:t>at origination.</w:t>
            </w:r>
          </w:p>
        </w:tc>
        <w:tc>
          <w:tcPr>
            <w:tcW w:w="16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34"/>
        </w:trPr>
        <w:tc>
          <w:tcPr>
            <w:tcW w:w="80" w:type="dxa"/>
            <w:vAlign w:val="bottom"/>
          </w:tcPr>
          <w:p>
            <w:pPr>
              <w:jc w:val="right"/>
              <w:spacing w:after="0"/>
              <w:rPr>
                <w:sz w:val="20"/>
                <w:szCs w:val="20"/>
                <w:color w:val="auto"/>
              </w:rPr>
            </w:pPr>
            <w:r>
              <w:rPr>
                <w:rFonts w:ascii="Arial" w:cs="Arial" w:eastAsia="Arial" w:hAnsi="Arial"/>
                <w:sz w:val="10"/>
                <w:szCs w:val="10"/>
                <w:color w:val="FFFFFF"/>
                <w:w w:val="71"/>
              </w:rPr>
              <w:t>8</w:t>
            </w:r>
          </w:p>
        </w:tc>
        <w:tc>
          <w:tcPr>
            <w:tcW w:w="5880" w:type="dxa"/>
            <w:vAlign w:val="bottom"/>
          </w:tcPr>
          <w:p>
            <w:pPr>
              <w:ind w:left="20"/>
              <w:spacing w:after="0"/>
              <w:rPr>
                <w:sz w:val="20"/>
                <w:szCs w:val="20"/>
                <w:color w:val="auto"/>
              </w:rPr>
            </w:pPr>
            <w:r>
              <w:rPr>
                <w:rFonts w:ascii="Arial" w:cs="Arial" w:eastAsia="Arial" w:hAnsi="Arial"/>
                <w:sz w:val="11"/>
                <w:szCs w:val="11"/>
                <w:color w:val="FFFFFF"/>
                <w:w w:val="89"/>
              </w:rPr>
              <w:t>Bureau of Labor Statistics,Upstart. . Department of Labor, News Release: The Employment Situation - August 2020, September 2020.</w:t>
            </w:r>
          </w:p>
        </w:tc>
      </w:tr>
      <w:tr>
        <w:trPr>
          <w:trHeight w:val="0"/>
        </w:trPr>
        <w:tc>
          <w:tcPr>
            <w:tcW w:w="80" w:type="dxa"/>
            <w:vAlign w:val="bottom"/>
          </w:tcPr>
          <w:p>
            <w:pPr>
              <w:jc w:val="right"/>
              <w:spacing w:after="0" w:line="33" w:lineRule="exact"/>
              <w:rPr>
                <w:sz w:val="20"/>
                <w:szCs w:val="20"/>
                <w:color w:val="auto"/>
              </w:rPr>
            </w:pPr>
            <w:r>
              <w:rPr>
                <w:rFonts w:ascii="Arial" w:cs="Arial" w:eastAsia="Arial" w:hAnsi="Arial"/>
                <w:sz w:val="3"/>
                <w:szCs w:val="3"/>
                <w:color w:val="FFFFFF"/>
              </w:rPr>
              <w:t>9</w:t>
            </w:r>
          </w:p>
        </w:tc>
        <w:tc>
          <w:tcPr>
            <w:tcW w:w="5880" w:type="dxa"/>
            <w:vAlign w:val="bottom"/>
          </w:tcPr>
          <w:p>
            <w:pPr>
              <w:ind w:left="20"/>
              <w:spacing w:after="0" w:line="33" w:lineRule="exact"/>
              <w:rPr>
                <w:sz w:val="20"/>
                <w:szCs w:val="20"/>
                <w:color w:val="auto"/>
              </w:rPr>
            </w:pPr>
            <w:r>
              <w:rPr>
                <w:rFonts w:ascii="Arial" w:cs="Arial" w:eastAsia="Arial" w:hAnsi="Arial"/>
                <w:sz w:val="3"/>
                <w:szCs w:val="3"/>
                <w:color w:val="FFFFFF"/>
              </w:rPr>
              <w:t>The Federal Reserve Board, Statistical Release: Consumer Credit, or Federal Reserve Consumer Credit, December 2019.</w:t>
            </w:r>
          </w:p>
        </w:tc>
      </w:tr>
    </w:tbl>
    <w:p>
      <w:pPr>
        <w:ind w:left="1020"/>
        <w:spacing w:after="0" w:line="181" w:lineRule="auto"/>
        <w:rPr>
          <w:sz w:val="20"/>
          <w:szCs w:val="20"/>
          <w:color w:val="auto"/>
        </w:rPr>
      </w:pPr>
      <w:r>
        <w:rPr>
          <w:rFonts w:ascii="Arial" w:cs="Arial" w:eastAsia="Arial" w:hAnsi="Arial"/>
          <w:sz w:val="2"/>
          <w:szCs w:val="2"/>
          <w:color w:val="FFFFFF"/>
        </w:rPr>
        <w:t>10</w:t>
      </w:r>
      <w:r>
        <w:rPr>
          <w:rFonts w:ascii="Arial" w:cs="Arial" w:eastAsia="Arial" w:hAnsi="Arial"/>
          <w:sz w:val="4"/>
          <w:szCs w:val="4"/>
          <w:color w:val="FFFFFF"/>
          <w:vertAlign w:val="superscript"/>
        </w:rPr>
        <w:t>2020</w:t>
      </w:r>
      <w:r>
        <w:rPr>
          <w:rFonts w:ascii="Arial" w:cs="Arial" w:eastAsia="Arial" w:hAnsi="Arial"/>
          <w:sz w:val="2"/>
          <w:szCs w:val="2"/>
          <w:color w:val="FFFFFF"/>
        </w:rPr>
        <w:t>Based. on an internal Upstart study conducted in July 2020. Market size data obtained from Matt Komos, TransUnion: Consumer Credit Origination, Balance and Delinquency Trends: Q1 2020, June</w:t>
      </w:r>
    </w:p>
    <w:p>
      <w:pPr>
        <w:ind w:left="1020"/>
        <w:spacing w:after="0"/>
        <w:rPr>
          <w:sz w:val="20"/>
          <w:szCs w:val="20"/>
          <w:color w:val="auto"/>
        </w:rPr>
      </w:pPr>
      <w:r>
        <w:rPr>
          <w:rFonts w:ascii="Arial" w:cs="Arial" w:eastAsia="Arial" w:hAnsi="Arial"/>
          <w:sz w:val="11"/>
          <w:szCs w:val="11"/>
          <w:color w:val="FFFFFF"/>
        </w:rPr>
        <w:t>11 Hansell, Saul, Technology; U.S. Seizes Bank Business of Web Credit Card Issuer, The New York Times, February 2002.</w:t>
      </w:r>
    </w:p>
    <w:p>
      <w:pPr>
        <w:sectPr>
          <w:pgSz w:w="11900" w:h="16838" w:orient="portrait"/>
          <w:cols w:equalWidth="0" w:num="1">
            <w:col w:w="10180"/>
          </w:cols>
          <w:pgMar w:left="320" w:top="407" w:right="139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440" w:type="dxa"/>
            <w:vAlign w:val="bottom"/>
            <w:gridSpan w:val="2"/>
          </w:tcPr>
          <w:p>
            <w:pPr>
              <w:spacing w:after="0"/>
              <w:rPr>
                <w:sz w:val="20"/>
                <w:szCs w:val="20"/>
                <w:color w:val="auto"/>
              </w:rPr>
            </w:pPr>
            <w:r>
              <w:rPr>
                <w:rFonts w:ascii="Arial" w:cs="Arial" w:eastAsia="Arial" w:hAnsi="Arial"/>
                <w:sz w:val="11"/>
                <w:szCs w:val="11"/>
                <w:color w:val="FFFFFF"/>
              </w:rPr>
              <w:t>A partner to banks</w:t>
            </w:r>
          </w:p>
        </w:tc>
        <w:tc>
          <w:tcPr>
            <w:tcW w:w="45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While many Fintech companies aspire to become the bank of the future, we’re not one of them. Instead of competing with banks, we decided to partner with them, helping banks navigate and thrive</w:t>
            </w: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through one of the most foundational technology transformations in history.</w:t>
            </w:r>
          </w:p>
        </w:tc>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For our first four years, we worked with  single bank partner, Cross River Bank, to build our models and refine our processes. We decided at that point to partner with banks rather than to become one, so</w:t>
            </w: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began to work with other banks. As of today, there are 10 banks on our platform, though Cross River Bank still originated 89% of our volume in 2019 and 72% in the first three quarters of 2020.</w:t>
            </w: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While a handful of our country’s largest banks may aspire to build an AI-powered lending platform, thousands of others will look to form strong and reliable technology partnerships in order to secure</w:t>
            </w: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their future. W aim to partner with them.</w:t>
            </w:r>
          </w:p>
        </w:tc>
        <w:tc>
          <w:tcPr>
            <w:tcW w:w="4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What motivates</w:t>
            </w:r>
          </w:p>
        </w:tc>
        <w:tc>
          <w:tcPr>
            <w:tcW w:w="4520" w:type="dxa"/>
            <w:vAlign w:val="bottom"/>
            <w:vMerge w:val="restart"/>
          </w:tcPr>
          <w:p>
            <w:pPr>
              <w:ind w:left="20"/>
              <w:spacing w:after="0" w:line="68" w:lineRule="exact"/>
              <w:rPr>
                <w:sz w:val="20"/>
                <w:szCs w:val="20"/>
                <w:color w:val="auto"/>
              </w:rPr>
            </w:pPr>
            <w:r>
              <w:rPr>
                <w:rFonts w:ascii="Arial" w:cs="Arial" w:eastAsia="Arial" w:hAnsi="Arial"/>
                <w:sz w:val="7"/>
                <w:szCs w:val="7"/>
                <w:color w:val="FFFFFF"/>
              </w:rPr>
              <w:t>day in and day out. But Paul, Anna and I are still here. We’re different people, from different</w:t>
            </w:r>
          </w:p>
        </w:tc>
        <w:tc>
          <w:tcPr>
            <w:tcW w:w="1220" w:type="dxa"/>
            <w:vAlign w:val="bottom"/>
            <w:vMerge w:val="restart"/>
          </w:tcPr>
          <w:p>
            <w:pPr>
              <w:ind w:left="300"/>
              <w:spacing w:after="0" w:line="68" w:lineRule="exact"/>
              <w:rPr>
                <w:sz w:val="20"/>
                <w:szCs w:val="20"/>
                <w:color w:val="auto"/>
              </w:rPr>
            </w:pPr>
            <w:r>
              <w:rPr>
                <w:rFonts w:ascii="Arial" w:cs="Arial" w:eastAsia="Arial" w:hAnsi="Arial"/>
                <w:sz w:val="7"/>
                <w:szCs w:val="7"/>
                <w:color w:val="FFFFFF"/>
              </w:rPr>
              <w:t>and even different</w:t>
            </w:r>
          </w:p>
        </w:tc>
        <w:tc>
          <w:tcPr>
            <w:tcW w:w="0" w:type="dxa"/>
            <w:vAlign w:val="bottom"/>
          </w:tcPr>
          <w:p>
            <w:pPr>
              <w:spacing w:after="0" w:line="20" w:lineRule="exact"/>
              <w:rPr>
                <w:sz w:val="1"/>
                <w:szCs w:val="1"/>
                <w:color w:val="auto"/>
              </w:rPr>
            </w:pPr>
          </w:p>
        </w:tc>
      </w:tr>
      <w:tr>
        <w:trPr>
          <w:trHeight w:val="34"/>
        </w:trPr>
        <w:tc>
          <w:tcPr>
            <w:tcW w:w="3440" w:type="dxa"/>
            <w:vAlign w:val="bottom"/>
            <w:gridSpan w:val="2"/>
          </w:tcPr>
          <w:p>
            <w:pPr>
              <w:spacing w:after="0"/>
              <w:rPr>
                <w:sz w:val="20"/>
                <w:szCs w:val="20"/>
                <w:color w:val="auto"/>
              </w:rPr>
            </w:pPr>
            <w:r>
              <w:rPr>
                <w:rFonts w:ascii="Arial" w:cs="Arial" w:eastAsia="Arial" w:hAnsi="Arial"/>
                <w:sz w:val="3"/>
                <w:szCs w:val="3"/>
                <w:color w:val="FFFFFF"/>
              </w:rPr>
              <w:t>Eight years in, it’us unusual for three founders   continue to</w:t>
            </w:r>
          </w:p>
        </w:tc>
        <w:tc>
          <w:tcPr>
            <w:tcW w:w="452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4"/>
        </w:trPr>
        <w:tc>
          <w:tcPr>
            <w:tcW w:w="9180" w:type="dxa"/>
            <w:vAlign w:val="bottom"/>
            <w:gridSpan w:val="4"/>
          </w:tcPr>
          <w:p>
            <w:pPr>
              <w:spacing w:after="0"/>
              <w:rPr>
                <w:sz w:val="20"/>
                <w:szCs w:val="20"/>
                <w:color w:val="auto"/>
              </w:rPr>
            </w:pPr>
            <w:r>
              <w:rPr>
                <w:rFonts w:ascii="Arial" w:cs="Arial" w:eastAsia="Arial" w:hAnsi="Arial"/>
                <w:sz w:val="3"/>
                <w:szCs w:val="3"/>
                <w:color w:val="FFFFFF"/>
              </w:rPr>
              <w:t>generations. But we figured out how to work together to buildlead companythat none of us could have built alone. We do have some things in common-we each come from backgroundsmodestbackground, where</w:t>
            </w:r>
          </w:p>
        </w:tc>
        <w:tc>
          <w:tcPr>
            <w:tcW w:w="0" w:type="dxa"/>
            <w:vAlign w:val="bottom"/>
          </w:tcPr>
          <w:p>
            <w:pPr>
              <w:spacing w:after="0" w:line="20" w:lineRule="exact"/>
              <w:rPr>
                <w:sz w:val="1"/>
                <w:szCs w:val="1"/>
                <w:color w:val="auto"/>
              </w:rPr>
            </w:pPr>
          </w:p>
        </w:tc>
      </w:tr>
      <w:tr>
        <w:trPr>
          <w:trHeight w:val="0"/>
        </w:trPr>
        <w:tc>
          <w:tcPr>
            <w:tcW w:w="300" w:type="dxa"/>
            <w:vAlign w:val="bottom"/>
          </w:tcPr>
          <w:p>
            <w:pPr>
              <w:spacing w:after="0" w:line="67" w:lineRule="exact"/>
              <w:rPr>
                <w:sz w:val="20"/>
                <w:szCs w:val="20"/>
                <w:color w:val="auto"/>
              </w:rPr>
            </w:pPr>
            <w:r>
              <w:rPr>
                <w:rFonts w:ascii="Arial" w:cs="Arial" w:eastAsia="Arial" w:hAnsi="Arial"/>
                <w:sz w:val="7"/>
                <w:szCs w:val="7"/>
                <w:color w:val="FFFFFF"/>
              </w:rPr>
              <w:t>af</w:t>
            </w:r>
          </w:p>
        </w:tc>
        <w:tc>
          <w:tcPr>
            <w:tcW w:w="3140" w:type="dxa"/>
            <w:vAlign w:val="bottom"/>
          </w:tcPr>
          <w:p>
            <w:pPr>
              <w:ind w:left="200"/>
              <w:spacing w:after="0" w:line="67" w:lineRule="exact"/>
              <w:rPr>
                <w:sz w:val="20"/>
                <w:szCs w:val="20"/>
                <w:color w:val="auto"/>
              </w:rPr>
            </w:pPr>
            <w:r>
              <w:rPr>
                <w:rFonts w:ascii="Arial" w:cs="Arial" w:eastAsia="Arial" w:hAnsi="Arial"/>
                <w:sz w:val="7"/>
                <w:szCs w:val="7"/>
                <w:color w:val="FFFFFF"/>
              </w:rPr>
              <w:t>credit was central to our unique pursuit of the American dream.</w:t>
            </w:r>
          </w:p>
        </w:tc>
        <w:tc>
          <w:tcPr>
            <w:tcW w:w="4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20" w:right="60"/>
        <w:spacing w:after="0"/>
        <w:rPr>
          <w:sz w:val="20"/>
          <w:szCs w:val="20"/>
          <w:color w:val="auto"/>
        </w:rPr>
      </w:pPr>
      <w:r>
        <w:rPr>
          <w:rFonts w:ascii="Arial" w:cs="Arial" w:eastAsia="Arial" w:hAnsi="Arial"/>
          <w:sz w:val="3"/>
          <w:szCs w:val="3"/>
          <w:color w:val="FFFFFF"/>
        </w:rPr>
        <w:t>Wfordablehave “true north” at Upstart-to bring more people into the world where the credit system works, to unlock opportunity and mobility for them so that money isn’t a daily concern, and to write a story about lending of which we can all be proud.</w:t>
      </w:r>
    </w:p>
    <w:p>
      <w:pPr>
        <w:ind w:left="1020"/>
        <w:spacing w:after="0"/>
        <w:rPr>
          <w:sz w:val="20"/>
          <w:szCs w:val="20"/>
          <w:color w:val="auto"/>
        </w:rPr>
      </w:pPr>
      <w:r>
        <w:rPr>
          <w:rFonts w:ascii="Arial" w:cs="Arial" w:eastAsia="Arial" w:hAnsi="Arial"/>
          <w:sz w:val="11"/>
          <w:szCs w:val="11"/>
          <w:color w:val="FFFFFF"/>
        </w:rPr>
        <w:t>Dave on behalf of Paul and Anna</w:t>
      </w:r>
    </w:p>
    <w:p>
      <w:pPr>
        <w:sectPr>
          <w:pgSz w:w="11900" w:h="16838" w:orient="portrait"/>
          <w:cols w:equalWidth="0" w:num="1">
            <w:col w:w="10200"/>
          </w:cols>
          <w:pgMar w:left="320" w:top="407" w:right="137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8820" w:type="dxa"/>
            <w:vAlign w:val="bottom"/>
          </w:tcPr>
          <w:p>
            <w:pPr>
              <w:ind w:left="3800"/>
              <w:spacing w:after="0"/>
              <w:rPr>
                <w:sz w:val="20"/>
                <w:szCs w:val="20"/>
                <w:color w:val="auto"/>
              </w:rPr>
            </w:pPr>
            <w:r>
              <w:rPr>
                <w:rFonts w:ascii="Arial" w:cs="Arial" w:eastAsia="Arial" w:hAnsi="Arial"/>
                <w:sz w:val="15"/>
                <w:szCs w:val="15"/>
                <w:b w:val="1"/>
                <w:bCs w:val="1"/>
                <w:color w:val="auto"/>
              </w:rPr>
              <w:t>TABLE OF CONTENTS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820" w:type="dxa"/>
            <w:vAlign w:val="bottom"/>
          </w:tcPr>
          <w:p>
            <w:pPr>
              <w:ind w:left="4200"/>
              <w:spacing w:after="0"/>
              <w:rPr>
                <w:sz w:val="20"/>
                <w:szCs w:val="20"/>
                <w:color w:val="auto"/>
              </w:rPr>
            </w:pPr>
            <w:r>
              <w:rPr>
                <w:rFonts w:ascii="Arial" w:cs="Arial" w:eastAsia="Arial" w:hAnsi="Arial"/>
                <w:sz w:val="15"/>
                <w:szCs w:val="15"/>
                <w:b w:val="1"/>
                <w:bCs w:val="1"/>
                <w:color w:val="auto"/>
              </w:rPr>
              <w:t>Prospectus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20" w:type="dxa"/>
            <w:vAlign w:val="bottom"/>
            <w:vMerge w:val="restart"/>
          </w:tcPr>
          <w:p>
            <w:pPr>
              <w:spacing w:after="0"/>
              <w:rPr>
                <w:rFonts w:ascii="Arial" w:cs="Arial" w:eastAsia="Arial" w:hAnsi="Arial"/>
                <w:sz w:val="15"/>
                <w:szCs w:val="15"/>
                <w:u w:val="single" w:color="auto"/>
                <w:color w:val="0000EE"/>
              </w:rPr>
            </w:pPr>
            <w:hyperlink w:anchor="page11">
              <w:r>
                <w:rPr>
                  <w:rFonts w:ascii="Arial" w:cs="Arial" w:eastAsia="Arial" w:hAnsi="Arial"/>
                  <w:sz w:val="15"/>
                  <w:szCs w:val="15"/>
                  <w:u w:val="single" w:color="auto"/>
                  <w:color w:val="0000EE"/>
                </w:rPr>
                <w:t>Prospectus 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0"/>
        </w:trPr>
        <w:tc>
          <w:tcPr>
            <w:tcW w:w="8820" w:type="dxa"/>
            <w:vAlign w:val="bottom"/>
            <w:vMerge w:val="continue"/>
          </w:tcPr>
          <w:p>
            <w:pPr>
              <w:spacing w:after="0"/>
              <w:rPr>
                <w:sz w:val="13"/>
                <w:szCs w:val="13"/>
                <w:color w:val="auto"/>
              </w:rPr>
            </w:pPr>
          </w:p>
        </w:tc>
        <w:tc>
          <w:tcPr>
            <w:tcW w:w="32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Risk Factors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96">
              <w:r>
                <w:rPr>
                  <w:rFonts w:ascii="Arial" w:cs="Arial" w:eastAsia="Arial" w:hAnsi="Arial"/>
                  <w:sz w:val="15"/>
                  <w:szCs w:val="15"/>
                  <w:u w:val="single" w:color="auto"/>
                  <w:color w:val="0000EE"/>
                </w:rPr>
                <w:t>Special Note Regarding Forward-Looking Statements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98">
              <w:r>
                <w:rPr>
                  <w:rFonts w:ascii="Arial" w:cs="Arial" w:eastAsia="Arial" w:hAnsi="Arial"/>
                  <w:sz w:val="15"/>
                  <w:szCs w:val="15"/>
                  <w:u w:val="single" w:color="auto"/>
                  <w:color w:val="0000EE"/>
                </w:rPr>
                <w:t>Industry, Market and Other Data</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0">
              <w:r>
                <w:rPr>
                  <w:rFonts w:ascii="Arial" w:cs="Arial" w:eastAsia="Arial" w:hAnsi="Arial"/>
                  <w:sz w:val="15"/>
                  <w:szCs w:val="15"/>
                  <w:u w:val="single" w:color="auto"/>
                  <w:color w:val="0000EE"/>
                </w:rPr>
                <w:t>Use of Proceeds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1">
              <w:r>
                <w:rPr>
                  <w:rFonts w:ascii="Arial" w:cs="Arial" w:eastAsia="Arial" w:hAnsi="Arial"/>
                  <w:sz w:val="15"/>
                  <w:szCs w:val="15"/>
                  <w:u w:val="single" w:color="auto"/>
                  <w:color w:val="0000EE"/>
                </w:rPr>
                <w:t>Dividend Policy</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Capitalization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4">
              <w:r>
                <w:rPr>
                  <w:rFonts w:ascii="Arial" w:cs="Arial" w:eastAsia="Arial" w:hAnsi="Arial"/>
                  <w:sz w:val="15"/>
                  <w:szCs w:val="15"/>
                  <w:u w:val="single" w:color="auto"/>
                  <w:color w:val="0000EE"/>
                </w:rPr>
                <w:t>Dilution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07">
              <w:r>
                <w:rPr>
                  <w:rFonts w:ascii="Arial" w:cs="Arial" w:eastAsia="Arial" w:hAnsi="Arial"/>
                  <w:sz w:val="15"/>
                  <w:szCs w:val="15"/>
                  <w:u w:val="single" w:color="auto"/>
                  <w:color w:val="0000EE"/>
                </w:rPr>
                <w:t>Selected Consolidated Financial and Other Data</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10">
              <w:r>
                <w:rPr>
                  <w:rFonts w:ascii="Arial" w:cs="Arial" w:eastAsia="Arial" w:hAnsi="Arial"/>
                  <w:sz w:val="15"/>
                  <w:szCs w:val="15"/>
                  <w:u w:val="single" w:color="auto"/>
                  <w:color w:val="0000EE"/>
                </w:rPr>
                <w:t>Management’s Discussion and Analysis of Financial Condition and Results of Operations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47">
              <w:r>
                <w:rPr>
                  <w:rFonts w:ascii="Arial" w:cs="Arial" w:eastAsia="Arial" w:hAnsi="Arial"/>
                  <w:sz w:val="15"/>
                  <w:szCs w:val="15"/>
                  <w:u w:val="single" w:color="auto"/>
                  <w:color w:val="0000EE"/>
                </w:rPr>
                <w:t>Business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77">
              <w:r>
                <w:rPr>
                  <w:rFonts w:ascii="Arial" w:cs="Arial" w:eastAsia="Arial" w:hAnsi="Arial"/>
                  <w:sz w:val="15"/>
                  <w:szCs w:val="15"/>
                  <w:u w:val="single" w:color="auto"/>
                  <w:color w:val="0000EE"/>
                </w:rPr>
                <w:t>Management</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167</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188">
              <w:r>
                <w:rPr>
                  <w:rFonts w:ascii="Arial" w:cs="Arial" w:eastAsia="Arial" w:hAnsi="Arial"/>
                  <w:sz w:val="15"/>
                  <w:szCs w:val="15"/>
                  <w:u w:val="single" w:color="auto"/>
                  <w:color w:val="0000EE"/>
                </w:rPr>
                <w:t>Executive Compensation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178</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04">
              <w:r>
                <w:rPr>
                  <w:rFonts w:ascii="Arial" w:cs="Arial" w:eastAsia="Arial" w:hAnsi="Arial"/>
                  <w:sz w:val="15"/>
                  <w:szCs w:val="15"/>
                  <w:u w:val="single" w:color="auto"/>
                  <w:color w:val="0000EE"/>
                </w:rPr>
                <w:t>Certain Relationships and Related Party Transactions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10">
              <w:r>
                <w:rPr>
                  <w:rFonts w:ascii="Arial" w:cs="Arial" w:eastAsia="Arial" w:hAnsi="Arial"/>
                  <w:sz w:val="15"/>
                  <w:szCs w:val="15"/>
                  <w:u w:val="single" w:color="auto"/>
                  <w:color w:val="0000EE"/>
                </w:rPr>
                <w:t>Principal and Selling Stockholders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14">
              <w:r>
                <w:rPr>
                  <w:rFonts w:ascii="Arial" w:cs="Arial" w:eastAsia="Arial" w:hAnsi="Arial"/>
                  <w:sz w:val="15"/>
                  <w:szCs w:val="15"/>
                  <w:u w:val="single" w:color="auto"/>
                  <w:color w:val="0000EE"/>
                </w:rPr>
                <w:t>Description of Capital Stock</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20">
              <w:r>
                <w:rPr>
                  <w:rFonts w:ascii="Arial" w:cs="Arial" w:eastAsia="Arial" w:hAnsi="Arial"/>
                  <w:sz w:val="15"/>
                  <w:szCs w:val="15"/>
                  <w:u w:val="single" w:color="auto"/>
                  <w:color w:val="0000EE"/>
                </w:rPr>
                <w:t>Shares Eligible for Future Sale</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23">
              <w:r>
                <w:rPr>
                  <w:rFonts w:ascii="Arial" w:cs="Arial" w:eastAsia="Arial" w:hAnsi="Arial"/>
                  <w:sz w:val="15"/>
                  <w:szCs w:val="15"/>
                  <w:u w:val="single" w:color="auto"/>
                  <w:color w:val="0000EE"/>
                </w:rPr>
                <w:t>Material U.S. Federal Income Tax Consequences to Non-U.S. Holders of Our Common Stock</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28">
              <w:r>
                <w:rPr>
                  <w:rFonts w:ascii="Arial" w:cs="Arial" w:eastAsia="Arial" w:hAnsi="Arial"/>
                  <w:sz w:val="15"/>
                  <w:szCs w:val="15"/>
                  <w:u w:val="single" w:color="auto"/>
                  <w:color w:val="0000EE"/>
                </w:rPr>
                <w:t>Underwriting</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218</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Validity of Common Stock</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Experts</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69"/>
        </w:trPr>
        <w:tc>
          <w:tcPr>
            <w:tcW w:w="8820" w:type="dxa"/>
            <w:vAlign w:val="bottom"/>
          </w:tcPr>
          <w:p>
            <w:pPr>
              <w:spacing w:after="0" w:line="169" w:lineRule="exact"/>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Where You Can Find Additional Information</w:t>
              </w:r>
            </w:hyperlink>
          </w:p>
        </w:tc>
        <w:tc>
          <w:tcPr>
            <w:tcW w:w="34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80"/>
        </w:trPr>
        <w:tc>
          <w:tcPr>
            <w:tcW w:w="8820" w:type="dxa"/>
            <w:vAlign w:val="bottom"/>
          </w:tcPr>
          <w:p>
            <w:pPr>
              <w:spacing w:after="0"/>
              <w:rPr>
                <w:rFonts w:ascii="Arial" w:cs="Arial" w:eastAsia="Arial" w:hAnsi="Arial"/>
                <w:sz w:val="15"/>
                <w:szCs w:val="15"/>
                <w:u w:val="single" w:color="auto"/>
                <w:color w:val="0000EE"/>
              </w:rPr>
            </w:pPr>
            <w:hyperlink w:anchor="page236">
              <w:r>
                <w:rPr>
                  <w:rFonts w:ascii="Arial" w:cs="Arial" w:eastAsia="Arial" w:hAnsi="Arial"/>
                  <w:sz w:val="15"/>
                  <w:szCs w:val="15"/>
                  <w:u w:val="single" w:color="auto"/>
                  <w:color w:val="0000EE"/>
                </w:rPr>
                <w:t>Index to Consolidated Financial Statements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186690</wp:posOffset>
            </wp:positionV>
            <wp:extent cx="12306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020" w:firstLine="460"/>
        <w:spacing w:after="0" w:line="246" w:lineRule="auto"/>
        <w:rPr>
          <w:sz w:val="20"/>
          <w:szCs w:val="20"/>
          <w:color w:val="auto"/>
        </w:rPr>
      </w:pPr>
      <w:r>
        <w:rPr>
          <w:rFonts w:ascii="Arial" w:cs="Arial" w:eastAsia="Arial" w:hAnsi="Arial"/>
          <w:sz w:val="15"/>
          <w:szCs w:val="15"/>
          <w:b w:val="1"/>
          <w:bCs w:val="1"/>
          <w:color w:val="auto"/>
        </w:rPr>
        <w:t>Through and including January 9,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178435</wp:posOffset>
            </wp:positionV>
            <wp:extent cx="12306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063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Neither we, the selling stockholders nor any of the underwriters have authorized anyone to provide any information or to make any representations other than those contained in this prospectus or in any free writing prospectuses we have prepared. We, the selling stockholders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0220"/>
          </w:cols>
          <w:pgMar w:left="320" w:top="407" w:right="135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842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3905" cy="4842510"/>
                    </a:xfrm>
                    <a:prstGeom prst="rect">
                      <a:avLst/>
                    </a:prstGeom>
                    <a:noFill/>
                  </pic:spPr>
                </pic:pic>
              </a:graphicData>
            </a:graphic>
          </wp:anchor>
        </w:drawing>
      </w:r>
    </w:p>
    <w:p>
      <w:pPr>
        <w:spacing w:after="0" w:line="389"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PROSPECTUS SUMMARY</w:t>
      </w:r>
    </w:p>
    <w:p>
      <w:pPr>
        <w:spacing w:after="0" w:line="179" w:lineRule="exact"/>
        <w:rPr>
          <w:sz w:val="20"/>
          <w:szCs w:val="20"/>
          <w:color w:val="auto"/>
        </w:rPr>
      </w:pPr>
    </w:p>
    <w:p>
      <w:pPr>
        <w:ind w:left="1180" w:right="119" w:firstLine="444"/>
        <w:spacing w:after="0"/>
        <w:rPr>
          <w:sz w:val="20"/>
          <w:szCs w:val="20"/>
          <w:color w:val="auto"/>
        </w:rPr>
      </w:pPr>
      <w:r>
        <w:rPr>
          <w:rFonts w:ascii="Arial" w:cs="Arial" w:eastAsia="Arial" w:hAnsi="Arial"/>
          <w:sz w:val="15"/>
          <w:szCs w:val="15"/>
          <w:i w:val="1"/>
          <w:iCs w:val="1"/>
          <w:color w:val="auto"/>
        </w:rPr>
        <w:t>This summary highlights selected information that is presented in greater detail elsewhere in this prospectus. This summary does not contain all of the information you should consider before investing in our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“Upstart,” “the company,” “we,” “us” and “our” in this prospectus refer to Upstart Holdings, Inc. and its consolidated subsidiaries. Our fiscal year end is December 31, and our fiscal quarters end on March 31, June 30, September 30 and December 31.</w:t>
      </w:r>
    </w:p>
    <w:p>
      <w:pPr>
        <w:spacing w:after="0" w:line="244"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Overview</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Our mission is to enable effortless credit based on true risk.</w:t>
      </w:r>
    </w:p>
    <w:p>
      <w:pPr>
        <w:spacing w:after="0" w:line="177"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We are a leading, cloud-based artificial intelligence lending platform. Artificial intelligence, or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 Since inception, our bank partners have originated over 620,000 personal loans that have generated more than 9 million repayment events. In the nine months ended September 30, 2020, approximately 70% of Upstart-powered loans were entirely automated.</w:t>
      </w:r>
    </w:p>
    <w:p>
      <w:pPr>
        <w:spacing w:after="0" w:line="171" w:lineRule="exact"/>
        <w:rPr>
          <w:sz w:val="20"/>
          <w:szCs w:val="20"/>
          <w:color w:val="auto"/>
        </w:rPr>
      </w:pPr>
    </w:p>
    <w:p>
      <w:pPr>
        <w:ind w:left="1180" w:right="239" w:firstLine="444"/>
        <w:spacing w:after="0" w:line="238" w:lineRule="auto"/>
        <w:rPr>
          <w:sz w:val="20"/>
          <w:szCs w:val="20"/>
          <w:color w:val="auto"/>
        </w:rPr>
      </w:pPr>
      <w:r>
        <w:rPr>
          <w:rFonts w:ascii="Arial" w:cs="Arial" w:eastAsia="Arial" w:hAnsi="Arial"/>
          <w:sz w:val="15"/>
          <w:szCs w:val="15"/>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2"/>
          <w:szCs w:val="12"/>
          <w:color w:val="auto"/>
        </w:rPr>
        <w:t>12</w:t>
      </w:r>
      <w:r>
        <w:rPr>
          <w:rFonts w:ascii="Arial" w:cs="Arial" w:eastAsia="Arial" w:hAnsi="Arial"/>
          <w:sz w:val="15"/>
          <w:szCs w:val="15"/>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2"/>
          <w:szCs w:val="12"/>
          <w:color w:val="auto"/>
        </w:rPr>
        <w:t>13</w:t>
      </w:r>
    </w:p>
    <w:p>
      <w:pPr>
        <w:spacing w:after="0" w:line="170"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The first generation of online lenders focused on bringing credit online. Analogous to earlier internet pioneers, these companies made shopping for and accessing credit simpler and easier for consumers and businesses. It was no longer necessary to stand in line at a bank branch, to sit across the desk from a loan officer and to wait weeks or months for a decision. These lenders enabled the emergence of personal loan products that were previously unprofitable for banks to offer. While they brought the credit process online, they inherited the decision frameworks that banks had used for decades and did not address the more rewarding and challenging opportunity of reinventing the credit decision.</w:t>
      </w:r>
    </w:p>
    <w:p>
      <w:pPr>
        <w:spacing w:after="0" w:line="172" w:lineRule="exact"/>
        <w:rPr>
          <w:sz w:val="20"/>
          <w:szCs w:val="20"/>
          <w:color w:val="auto"/>
        </w:rPr>
      </w:pPr>
    </w:p>
    <w:p>
      <w:pPr>
        <w:ind w:left="1180" w:right="679" w:firstLine="444"/>
        <w:spacing w:after="0" w:line="245"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eight years. We have discrete AI</w:t>
      </w:r>
    </w:p>
    <w:p>
      <w:pPr>
        <w:spacing w:after="0" w:line="54" w:lineRule="exact"/>
        <w:rPr>
          <w:sz w:val="20"/>
          <w:szCs w:val="20"/>
          <w:color w:val="auto"/>
        </w:rPr>
      </w:pPr>
    </w:p>
    <w:p>
      <w:pPr>
        <w:ind w:left="1620" w:hanging="441"/>
        <w:spacing w:after="0"/>
        <w:tabs>
          <w:tab w:leader="none" w:pos="162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Rob Kaufman, myFico Blog: The History of the FICO Score, August 2018.</w:t>
      </w:r>
    </w:p>
    <w:p>
      <w:pPr>
        <w:ind w:left="1620" w:right="299" w:hanging="441"/>
        <w:spacing w:after="0" w:line="182" w:lineRule="auto"/>
        <w:tabs>
          <w:tab w:leader="none" w:pos="1620" w:val="left"/>
        </w:tabs>
        <w:numPr>
          <w:ilvl w:val="0"/>
          <w:numId w:val="2"/>
        </w:numPr>
        <w:rPr>
          <w:rFonts w:ascii="Arial" w:cs="Arial" w:eastAsia="Arial" w:hAnsi="Arial"/>
          <w:sz w:val="20"/>
          <w:szCs w:val="20"/>
          <w:color w:val="auto"/>
          <w:vertAlign w:val="superscript"/>
        </w:rPr>
      </w:pPr>
      <w:r>
        <w:rPr>
          <w:rFonts w:ascii="Arial" w:cs="Arial" w:eastAsia="Arial" w:hAnsi="Arial"/>
          <w:sz w:val="12"/>
          <w:szCs w:val="12"/>
          <w:color w:val="auto"/>
        </w:rPr>
        <w:t>Patrice Ficklin and Paul Watkins, Consumer Financial Protection Bureau Blog: An Update on Credit Access and the Bureau’s First No-Action Letter, August 2019.</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139"/>
          </w:cols>
          <w:pgMar w:left="320" w:top="407" w:right="1440"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13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3905" cy="51358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8" w:lineRule="auto"/>
        <w:rPr>
          <w:sz w:val="20"/>
          <w:szCs w:val="20"/>
          <w:color w:val="auto"/>
        </w:rPr>
      </w:pPr>
      <w:r>
        <w:rPr>
          <w:rFonts w:ascii="Arial" w:cs="Arial" w:eastAsia="Arial" w:hAnsi="Arial"/>
          <w:sz w:val="15"/>
          <w:szCs w:val="15"/>
          <w:color w:val="auto"/>
        </w:rPr>
        <w:t>models that target fee optimization, income fraud, acquisition targeting, loan stacking, prepayment prediction, identity fraud and time-delimited default prediction. Our models incorporate more than 1,600 variables and benefit from a rapidly growing training dataset that currently contains more than 9 million repayment events.</w:t>
      </w:r>
      <w:r>
        <w:rPr>
          <w:rFonts w:ascii="Arial" w:cs="Arial" w:eastAsia="Arial" w:hAnsi="Arial"/>
          <w:sz w:val="12"/>
          <w:szCs w:val="12"/>
          <w:color w:val="auto"/>
        </w:rPr>
        <w:t>14</w:t>
      </w:r>
      <w:r>
        <w:rPr>
          <w:rFonts w:ascii="Arial" w:cs="Arial" w:eastAsia="Arial" w:hAnsi="Arial"/>
          <w:sz w:val="15"/>
          <w:szCs w:val="15"/>
          <w:color w:val="auto"/>
        </w:rPr>
        <w:t xml:space="preserve"> The network effects generated by our constantly improving AI models provide a significant competitive advantage—more training data leads to higher approval rates and lower interest rates at the same loss rate.</w:t>
      </w:r>
    </w:p>
    <w:p>
      <w:pPr>
        <w:spacing w:after="0" w:line="170" w:lineRule="exact"/>
        <w:rPr>
          <w:sz w:val="20"/>
          <w:szCs w:val="20"/>
          <w:color w:val="auto"/>
        </w:rPr>
      </w:pPr>
    </w:p>
    <w:p>
      <w:pPr>
        <w:ind w:left="1180" w:right="139" w:firstLine="444"/>
        <w:spacing w:after="0" w:line="236" w:lineRule="auto"/>
        <w:rPr>
          <w:sz w:val="20"/>
          <w:szCs w:val="20"/>
          <w:color w:val="auto"/>
        </w:rPr>
      </w:pPr>
      <w:r>
        <w:rPr>
          <w:rFonts w:ascii="Arial" w:cs="Arial" w:eastAsia="Arial" w:hAnsi="Arial"/>
          <w:sz w:val="15"/>
          <w:szCs w:val="15"/>
          <w:color w:val="auto"/>
        </w:rPr>
        <w:t>We have been able to demonstrate through several studies that AI lending works. First, in 2019 the Consumer Financial Protection Bureau, or CFPB, reported that a study by Upstart of its data using a methodology specified by the CFPB showed that our AI model approves 27% more borrowers than a high-quality traditional model, with a 16% lower average APR for approved loans.</w:t>
      </w:r>
      <w:r>
        <w:rPr>
          <w:rFonts w:ascii="Arial" w:cs="Arial" w:eastAsia="Arial" w:hAnsi="Arial"/>
          <w:sz w:val="12"/>
          <w:szCs w:val="12"/>
          <w:color w:val="auto"/>
        </w:rPr>
        <w:t>15</w:t>
      </w:r>
      <w:r>
        <w:rPr>
          <w:rFonts w:ascii="Arial" w:cs="Arial" w:eastAsia="Arial" w:hAnsi="Arial"/>
          <w:sz w:val="15"/>
          <w:szCs w:val="15"/>
          <w:color w:val="auto"/>
        </w:rPr>
        <w:t xml:space="preserve"> Second, when compared to credit models from several large banks, our AI models approve approximately 2.7 times as many borrowers at the same loss rate.</w:t>
      </w:r>
      <w:r>
        <w:rPr>
          <w:rFonts w:ascii="Arial" w:cs="Arial" w:eastAsia="Arial" w:hAnsi="Arial"/>
          <w:sz w:val="12"/>
          <w:szCs w:val="12"/>
          <w:color w:val="auto"/>
        </w:rPr>
        <w:t>16</w:t>
      </w:r>
      <w:r>
        <w:rPr>
          <w:rFonts w:ascii="Arial" w:cs="Arial" w:eastAsia="Arial" w:hAnsi="Arial"/>
          <w:sz w:val="15"/>
          <w:szCs w:val="15"/>
          <w:color w:val="auto"/>
        </w:rPr>
        <w:t xml:space="preserve"> Third, for pools of securitized loans, our realized loss rates were only approximately half of those predicted by Kroll, a prominent credit rating agency; over that same time period, realized losses for the same pool of loans were on average only 5% different than our internal forecasts.</w:t>
      </w:r>
      <w:r>
        <w:rPr>
          <w:rFonts w:ascii="Arial" w:cs="Arial" w:eastAsia="Arial" w:hAnsi="Arial"/>
          <w:sz w:val="12"/>
          <w:szCs w:val="12"/>
          <w:color w:val="auto"/>
        </w:rPr>
        <w:t>17</w:t>
      </w:r>
      <w:r>
        <w:rPr>
          <w:rFonts w:ascii="Arial" w:cs="Arial" w:eastAsia="Arial" w:hAnsi="Arial"/>
          <w:sz w:val="15"/>
          <w:szCs w:val="15"/>
          <w:color w:val="auto"/>
        </w:rPr>
        <w:t xml:space="preserve"> And finally, we regularly monitor the accuracy of our AI models in comparison with simple credit score-based models and have observed higher model accuracy across a variety of statistical measures relating to each model’s predictive accuracy.</w:t>
      </w:r>
      <w:r>
        <w:rPr>
          <w:rFonts w:ascii="Arial" w:cs="Arial" w:eastAsia="Arial" w:hAnsi="Arial"/>
          <w:sz w:val="12"/>
          <w:szCs w:val="12"/>
          <w:color w:val="auto"/>
        </w:rPr>
        <w:t>18</w:t>
      </w:r>
    </w:p>
    <w:p>
      <w:pPr>
        <w:spacing w:after="0" w:line="175" w:lineRule="exact"/>
        <w:rPr>
          <w:sz w:val="20"/>
          <w:szCs w:val="20"/>
          <w:color w:val="auto"/>
        </w:rPr>
      </w:pPr>
    </w:p>
    <w:p>
      <w:pPr>
        <w:ind w:left="1180" w:right="159" w:firstLine="444"/>
        <w:spacing w:after="0" w:line="237"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72" w:lineRule="exact"/>
        <w:rPr>
          <w:sz w:val="20"/>
          <w:szCs w:val="20"/>
          <w:color w:val="auto"/>
        </w:rPr>
      </w:pPr>
    </w:p>
    <w:p>
      <w:pPr>
        <w:ind w:left="1180" w:right="159" w:firstLine="444"/>
        <w:spacing w:after="0" w:line="245" w:lineRule="auto"/>
        <w:rPr>
          <w:sz w:val="20"/>
          <w:szCs w:val="20"/>
          <w:color w:val="auto"/>
        </w:rPr>
      </w:pPr>
      <w:r>
        <w:rPr>
          <w:rFonts w:ascii="Arial" w:cs="Arial" w:eastAsia="Arial" w:hAnsi="Arial"/>
          <w:sz w:val="15"/>
          <w:szCs w:val="15"/>
          <w:color w:val="auto"/>
        </w:rPr>
        <w:t>Consumers can discover Upstart-powered loans in one of two ways: either via Upstart.com or through a white-labeled product on our bank partners’ own websites.</w:t>
      </w:r>
    </w:p>
    <w:p>
      <w:pPr>
        <w:spacing w:after="0" w:line="166" w:lineRule="exact"/>
        <w:rPr>
          <w:sz w:val="20"/>
          <w:szCs w:val="20"/>
          <w:color w:val="auto"/>
        </w:rPr>
      </w:pPr>
    </w:p>
    <w:p>
      <w:pPr>
        <w:ind w:left="1180" w:right="139" w:firstLine="444"/>
        <w:spacing w:after="0" w:line="238" w:lineRule="auto"/>
        <w:rPr>
          <w:sz w:val="20"/>
          <w:szCs w:val="20"/>
          <w:color w:val="auto"/>
        </w:rPr>
      </w:pPr>
      <w:r>
        <w:rPr>
          <w:rFonts w:ascii="Arial" w:cs="Arial" w:eastAsia="Arial" w:hAnsi="Arial"/>
          <w:sz w:val="15"/>
          <w:szCs w:val="15"/>
          <w:color w:val="auto"/>
        </w:rPr>
        <w:t>Loans issued through our platform can be retained by our originating bank partners, distributed to our broad base of approximately 100 institutional investors and buyers that invest in Upstart-powered loans or funded by Upstart’s balance sheet. In the third quarter of 2020, 22% of the loans funded through our platform were retained by the originating bank and 76% of loans were purchased by</w:t>
      </w:r>
    </w:p>
    <w:p>
      <w:pPr>
        <w:spacing w:after="0" w:line="60" w:lineRule="exact"/>
        <w:rPr>
          <w:sz w:val="20"/>
          <w:szCs w:val="20"/>
          <w:color w:val="auto"/>
        </w:rPr>
      </w:pPr>
    </w:p>
    <w:p>
      <w:pPr>
        <w:ind w:left="1620" w:hanging="441"/>
        <w:spacing w:after="0"/>
        <w:tabs>
          <w:tab w:leader="none" w:pos="16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References to variables in this prospectus refer to all raw variables and certain combined variables considered in our AI models.</w:t>
      </w:r>
    </w:p>
    <w:p>
      <w:pPr>
        <w:ind w:left="1620" w:hanging="441"/>
        <w:spacing w:after="0" w:line="188" w:lineRule="auto"/>
        <w:tabs>
          <w:tab w:leader="none" w:pos="1620" w:val="left"/>
        </w:tabs>
        <w:numPr>
          <w:ilvl w:val="0"/>
          <w:numId w:val="3"/>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jc w:val="both"/>
        <w:ind w:left="1620" w:right="199" w:hanging="441"/>
        <w:spacing w:after="0" w:line="192" w:lineRule="auto"/>
        <w:tabs>
          <w:tab w:leader="none" w:pos="16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ind w:left="1620" w:right="179" w:hanging="441"/>
        <w:spacing w:after="0" w:line="211" w:lineRule="auto"/>
        <w:tabs>
          <w:tab w:leader="none" w:pos="16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compared the actual realized loss rates of Upstart loans securitized in five securitization transactions between June 2017 and September 2019 and the loss rate predictions for those loans obtained from KBRA Surveillance Reports published by Kroll Bond Rating Agency in December 2019. As compared to Kroll’s loss predictions, actual realized losses were approximately 31% to 71% lower, with an average deviation across all five securitization transactions of -48%. As compared to our internal forecasts, actual realized losses ranged from approximately 35% higher (for the earliest securitization transaction) to approximately 17% lower (for the most recent securitization transaction), with an average absolute deviation across all of five securitization transactions of approximately 13%.</w:t>
      </w:r>
    </w:p>
    <w:p>
      <w:pPr>
        <w:spacing w:after="0" w:line="2" w:lineRule="exact"/>
        <w:rPr>
          <w:rFonts w:ascii="Arial" w:cs="Arial" w:eastAsia="Arial" w:hAnsi="Arial"/>
          <w:sz w:val="20"/>
          <w:szCs w:val="20"/>
          <w:color w:val="auto"/>
          <w:vertAlign w:val="superscript"/>
        </w:rPr>
      </w:pPr>
    </w:p>
    <w:p>
      <w:pPr>
        <w:ind w:left="1620" w:right="179" w:hanging="441"/>
        <w:spacing w:after="0" w:line="216" w:lineRule="auto"/>
        <w:tabs>
          <w:tab w:leader="none" w:pos="16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Upstart compares on a monthly basis its AI models to (i) a FICO-only model and (ii) a “FICO+” model, which considers loan amount, debt-to-income ratio, monthly income, number of inquiries and number of trade accounts in addition to FICO score, which we believe is representative of the model many of our sophisticated competitors would use. To conduct a comparison of the Upstart AI models to the models described in (i) and (ii), we run applicant information through the Upstart AI models, the FICO-only model, and FICO+ model, comparing performance by analyzing five commonly-used statistical metrics, each of which measures the deviation between predicted losses and actual losses for each model. These metrics include: the root mean square error of net present value of losses, normalized logistic loss, ratio of the gini coefficients of predicted to observed rankings, the area under the receiver operating characteristics curve, and the Kolmogorov-Smirnov statistic.</w:t>
      </w:r>
    </w:p>
    <w:p>
      <w:pPr>
        <w:spacing w:after="0" w:line="200" w:lineRule="exact"/>
        <w:rPr>
          <w:sz w:val="20"/>
          <w:szCs w:val="20"/>
          <w:color w:val="auto"/>
        </w:rPr>
      </w:pPr>
    </w:p>
    <w:p>
      <w:pPr>
        <w:spacing w:after="0" w:line="331"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139"/>
          </w:cols>
          <w:pgMar w:left="320" w:top="407" w:right="1440"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42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3905" cy="474218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79"/>
        <w:spacing w:after="0" w:line="237" w:lineRule="auto"/>
        <w:rPr>
          <w:sz w:val="20"/>
          <w:szCs w:val="20"/>
          <w:color w:val="auto"/>
        </w:rPr>
      </w:pPr>
      <w:r>
        <w:rPr>
          <w:rFonts w:ascii="Arial" w:cs="Arial" w:eastAsia="Arial" w:hAnsi="Arial"/>
          <w:sz w:val="15"/>
          <w:szCs w:val="15"/>
          <w:color w:val="auto"/>
        </w:rPr>
        <w:t>institutional investors through our loan funding programs. Our institutional investors and buyers that participate in our loan funding programs, which include Goldman Sachs, PIMCO and funds managed by Morgan Stanley Investment Management, invest in Upstart-powered loans through whole loan purchases, purchases of pass-through certificates and investments in asset-backed securitizations.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2"/>
          <w:szCs w:val="12"/>
          <w:color w:val="auto"/>
        </w:rPr>
        <w:t>19</w:t>
      </w:r>
      <w:r>
        <w:rPr>
          <w:rFonts w:ascii="Arial" w:cs="Arial" w:eastAsia="Arial" w:hAnsi="Arial"/>
          <w:sz w:val="15"/>
          <w:szCs w:val="15"/>
          <w:color w:val="auto"/>
        </w:rPr>
        <w:t xml:space="preserve"> The remaining 2% of loans funded through our platform in the third quarter of 2020 were funded through our balance sheet.</w:t>
      </w:r>
    </w:p>
    <w:p>
      <w:pPr>
        <w:spacing w:after="0" w:line="172" w:lineRule="exact"/>
        <w:rPr>
          <w:sz w:val="20"/>
          <w:szCs w:val="20"/>
          <w:color w:val="auto"/>
        </w:rPr>
      </w:pPr>
    </w:p>
    <w:p>
      <w:pPr>
        <w:ind w:left="1180" w:right="99" w:firstLine="444"/>
        <w:spacing w:after="0" w:line="236" w:lineRule="auto"/>
        <w:rPr>
          <w:sz w:val="20"/>
          <w:szCs w:val="20"/>
          <w:color w:val="auto"/>
        </w:rPr>
      </w:pPr>
      <w:r>
        <w:rPr>
          <w:rFonts w:ascii="Arial" w:cs="Arial" w:eastAsia="Arial" w:hAnsi="Arial"/>
          <w:sz w:val="15"/>
          <w:szCs w:val="15"/>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 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 As of September 30, 2020, we had 10 bank partners. In the nine months ended September 30, 2020, Cross River Bank originated 72% of the loans facilitated on our platform and fees received from Cross River Bank accounted for 65% of our total revenue.</w:t>
      </w:r>
      <w:r>
        <w:rPr>
          <w:rFonts w:ascii="Arial" w:cs="Arial" w:eastAsia="Arial" w:hAnsi="Arial"/>
          <w:sz w:val="12"/>
          <w:szCs w:val="12"/>
          <w:color w:val="auto"/>
        </w:rPr>
        <w:t>20</w:t>
      </w:r>
      <w:r>
        <w:rPr>
          <w:rFonts w:ascii="Arial" w:cs="Arial" w:eastAsia="Arial" w:hAnsi="Arial"/>
          <w:sz w:val="15"/>
          <w:szCs w:val="15"/>
          <w:color w:val="auto"/>
        </w:rPr>
        <w:t xml:space="preserve"> Our current agreement with Cross River Bank began on January 1, 2019 and has an initial four year term, with a renewal term for an additional two years following the initial four year term.</w:t>
      </w:r>
    </w:p>
    <w:p>
      <w:pPr>
        <w:spacing w:after="0" w:line="174" w:lineRule="exact"/>
        <w:rPr>
          <w:sz w:val="20"/>
          <w:szCs w:val="20"/>
          <w:color w:val="auto"/>
        </w:rPr>
      </w:pPr>
    </w:p>
    <w:p>
      <w:pPr>
        <w:ind w:left="1180" w:right="79" w:firstLine="444"/>
        <w:spacing w:after="0" w:line="235" w:lineRule="auto"/>
        <w:rPr>
          <w:sz w:val="20"/>
          <w:szCs w:val="20"/>
          <w:color w:val="auto"/>
        </w:rPr>
      </w:pPr>
      <w:r>
        <w:rPr>
          <w:rFonts w:ascii="Arial" w:cs="Arial" w:eastAsia="Arial" w:hAnsi="Arial"/>
          <w:sz w:val="15"/>
          <w:szCs w:val="15"/>
          <w:color w:val="auto"/>
        </w:rPr>
        <w:t>We have achieved rapid growth while improving our margin profile in recent years. The number of loans facilitated on our platform increased by 88% from 114,125 in 2018 to 215,122 in 2019, and 30% from 136,468 in the nine months ended September 30, 2019 to 176,983 over the same period in 2020. Our revenue for the nine months ended September 30, 2019 and 2020 was</w:t>
      </w:r>
    </w:p>
    <w:p>
      <w:pPr>
        <w:ind w:left="1180" w:right="79"/>
        <w:spacing w:after="0" w:line="245" w:lineRule="auto"/>
        <w:rPr>
          <w:sz w:val="20"/>
          <w:szCs w:val="20"/>
          <w:color w:val="auto"/>
        </w:rPr>
      </w:pPr>
      <w:r>
        <w:rPr>
          <w:rFonts w:ascii="Arial" w:cs="Arial" w:eastAsia="Arial" w:hAnsi="Arial"/>
          <w:sz w:val="15"/>
          <w:szCs w:val="15"/>
          <w:color w:val="auto"/>
        </w:rPr>
        <w:t>$101.6 million and $146.7 million, respectively, representing an increase of 44%. For the nine months ended September 30, 2019 and 2020, our net income (loss) was $(6.5) million and $5.0 million, respectively.</w:t>
      </w:r>
      <w:r>
        <w:rPr>
          <w:rFonts w:ascii="Arial" w:cs="Arial" w:eastAsia="Arial" w:hAnsi="Arial"/>
          <w:sz w:val="12"/>
          <w:szCs w:val="12"/>
          <w:color w:val="auto"/>
        </w:rPr>
        <w:t>21</w:t>
      </w:r>
    </w:p>
    <w:p>
      <w:pPr>
        <w:spacing w:after="0" w:line="238"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Industry Overview</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Affordable Credit is Critical to Unlocking Upward Mobility and Opportunity</w:t>
      </w:r>
    </w:p>
    <w:p>
      <w:pPr>
        <w:spacing w:after="0" w:line="103"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With $3.6 trillion of consumer credit originated between April 2019 and March 2020,</w:t>
      </w:r>
      <w:r>
        <w:rPr>
          <w:rFonts w:ascii="Arial" w:cs="Arial" w:eastAsia="Arial" w:hAnsi="Arial"/>
          <w:sz w:val="12"/>
          <w:szCs w:val="12"/>
          <w:color w:val="auto"/>
        </w:rPr>
        <w:t>22</w:t>
      </w:r>
      <w:r>
        <w:rPr>
          <w:rFonts w:ascii="Arial" w:cs="Arial" w:eastAsia="Arial" w:hAnsi="Arial"/>
          <w:sz w:val="15"/>
          <w:szCs w:val="15"/>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2"/>
          <w:szCs w:val="12"/>
          <w:color w:val="auto"/>
        </w:rPr>
        <w:t>23</w:t>
      </w:r>
      <w:r>
        <w:rPr>
          <w:rFonts w:ascii="Arial" w:cs="Arial" w:eastAsia="Arial" w:hAnsi="Arial"/>
          <w:sz w:val="15"/>
          <w:szCs w:val="15"/>
          <w:color w:val="auto"/>
        </w:rPr>
        <w:t xml:space="preserve"> The average American has approximately $29,800 in personal debt.</w:t>
      </w:r>
      <w:r>
        <w:rPr>
          <w:rFonts w:ascii="Arial" w:cs="Arial" w:eastAsia="Arial" w:hAnsi="Arial"/>
          <w:sz w:val="12"/>
          <w:szCs w:val="12"/>
          <w:color w:val="auto"/>
        </w:rPr>
        <w:t>24</w:t>
      </w:r>
      <w:r>
        <w:rPr>
          <w:rFonts w:ascii="Arial" w:cs="Arial" w:eastAsia="Arial" w:hAnsi="Arial"/>
          <w:sz w:val="15"/>
          <w:szCs w:val="15"/>
          <w:color w:val="auto"/>
        </w:rPr>
        <w:t xml:space="preserve"> While access to affordable credit has allowed Americans to purchase and improve their homes, buy cars, pay for college tuition and cover emergency expenses, high interest</w:t>
      </w:r>
    </w:p>
    <w:p>
      <w:pPr>
        <w:spacing w:after="0" w:line="152" w:lineRule="exact"/>
        <w:rPr>
          <w:sz w:val="20"/>
          <w:szCs w:val="20"/>
          <w:color w:val="auto"/>
        </w:rPr>
      </w:pPr>
    </w:p>
    <w:p>
      <w:pPr>
        <w:ind w:left="1620" w:right="179" w:hanging="441"/>
        <w:spacing w:after="0" w:line="201" w:lineRule="auto"/>
        <w:tabs>
          <w:tab w:leader="none" w:pos="1620"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See the sections titled “Management’s Discussion and Analysis of Financial Condition and Results of Operations—Liquidity and Capital Resources—Term loans and revolving loan facilities”, “Business—Institutional Investors” and Note 7 to our consolidated financial statements for more information about our loan funding programs, including the role of our warehouse credit facilities and special purpose entities and our arrangements with institutional investors. See “Note 3. Securitizations and Variable Interest Entities” to our consolidated financial statements for additional information regarding transactions with our VIEs.</w:t>
      </w:r>
    </w:p>
    <w:p>
      <w:pPr>
        <w:spacing w:after="0" w:line="1" w:lineRule="exact"/>
        <w:rPr>
          <w:rFonts w:ascii="Arial" w:cs="Arial" w:eastAsia="Arial" w:hAnsi="Arial"/>
          <w:sz w:val="20"/>
          <w:szCs w:val="20"/>
          <w:color w:val="auto"/>
          <w:vertAlign w:val="superscript"/>
        </w:rPr>
      </w:pPr>
    </w:p>
    <w:p>
      <w:pPr>
        <w:ind w:left="1620" w:hanging="441"/>
        <w:spacing w:after="0" w:line="188" w:lineRule="auto"/>
        <w:tabs>
          <w:tab w:leader="none" w:pos="1620" w:val="left"/>
        </w:tabs>
        <w:numPr>
          <w:ilvl w:val="0"/>
          <w:numId w:val="4"/>
        </w:numPr>
        <w:rPr>
          <w:rFonts w:ascii="Arial" w:cs="Arial" w:eastAsia="Arial" w:hAnsi="Arial"/>
          <w:sz w:val="15"/>
          <w:szCs w:val="15"/>
          <w:color w:val="auto"/>
          <w:vertAlign w:val="superscript"/>
        </w:rPr>
      </w:pPr>
      <w:r>
        <w:rPr>
          <w:rFonts w:ascii="Arial" w:cs="Arial" w:eastAsia="Arial" w:hAnsi="Arial"/>
          <w:sz w:val="10"/>
          <w:szCs w:val="10"/>
          <w:color w:val="auto"/>
        </w:rPr>
        <w:t>See the section titled “Business—Bank Partnerships” for more information about our arrangements with CRB and other bank partners.</w:t>
      </w:r>
    </w:p>
    <w:p>
      <w:pPr>
        <w:ind w:left="1620" w:hanging="441"/>
        <w:spacing w:after="0" w:line="188" w:lineRule="auto"/>
        <w:tabs>
          <w:tab w:leader="none" w:pos="1620" w:val="left"/>
        </w:tabs>
        <w:numPr>
          <w:ilvl w:val="0"/>
          <w:numId w:val="4"/>
        </w:numPr>
        <w:rPr>
          <w:rFonts w:ascii="Arial" w:cs="Arial" w:eastAsia="Arial" w:hAnsi="Arial"/>
          <w:sz w:val="15"/>
          <w:szCs w:val="15"/>
          <w:color w:val="auto"/>
          <w:vertAlign w:val="superscript"/>
        </w:rPr>
      </w:pPr>
      <w:r>
        <w:rPr>
          <w:rFonts w:ascii="Arial" w:cs="Arial" w:eastAsia="Arial" w:hAnsi="Arial"/>
          <w:sz w:val="10"/>
          <w:szCs w:val="10"/>
          <w:color w:val="auto"/>
        </w:rPr>
        <w:t>Unless otherwise noted, “net loss” refers to “net loss attributable to Upstart Holdings, Inc. common stockholders.”</w:t>
      </w:r>
    </w:p>
    <w:p>
      <w:pPr>
        <w:ind w:left="1620" w:hanging="441"/>
        <w:spacing w:after="0" w:line="188" w:lineRule="auto"/>
        <w:tabs>
          <w:tab w:leader="none" w:pos="1620" w:val="left"/>
        </w:tabs>
        <w:numPr>
          <w:ilvl w:val="0"/>
          <w:numId w:val="4"/>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620" w:hanging="441"/>
        <w:spacing w:after="0" w:line="188" w:lineRule="auto"/>
        <w:tabs>
          <w:tab w:leader="none" w:pos="1620" w:val="left"/>
        </w:tabs>
        <w:numPr>
          <w:ilvl w:val="0"/>
          <w:numId w:val="4"/>
        </w:numPr>
        <w:rPr>
          <w:rFonts w:ascii="Arial" w:cs="Arial" w:eastAsia="Arial" w:hAnsi="Arial"/>
          <w:sz w:val="15"/>
          <w:szCs w:val="15"/>
          <w:color w:val="auto"/>
          <w:vertAlign w:val="superscript"/>
        </w:rPr>
      </w:pPr>
      <w:r>
        <w:rPr>
          <w:rFonts w:ascii="Arial" w:cs="Arial" w:eastAsia="Arial" w:hAnsi="Arial"/>
          <w:sz w:val="10"/>
          <w:szCs w:val="10"/>
          <w:color w:val="auto"/>
        </w:rPr>
        <w:t>Kirsten Wysen, Open Source Solutions: Why Credit Scores and Payday Lending Matter for Health, October 2019.</w:t>
      </w:r>
    </w:p>
    <w:p>
      <w:pPr>
        <w:ind w:left="1620" w:hanging="441"/>
        <w:spacing w:after="0" w:line="188" w:lineRule="auto"/>
        <w:tabs>
          <w:tab w:leader="none" w:pos="1620" w:val="left"/>
        </w:tabs>
        <w:numPr>
          <w:ilvl w:val="0"/>
          <w:numId w:val="4"/>
        </w:numPr>
        <w:rPr>
          <w:rFonts w:ascii="Arial" w:cs="Arial" w:eastAsia="Arial" w:hAnsi="Arial"/>
          <w:sz w:val="16"/>
          <w:szCs w:val="16"/>
          <w:color w:val="auto"/>
          <w:vertAlign w:val="superscript"/>
        </w:rPr>
      </w:pPr>
      <w:r>
        <w:rPr>
          <w:rFonts w:ascii="Arial" w:cs="Arial" w:eastAsia="Arial" w:hAnsi="Arial"/>
          <w:sz w:val="10"/>
          <w:szCs w:val="10"/>
          <w:color w:val="auto"/>
        </w:rPr>
        <w:t>Northwestern Mutual, 2019 Planning &amp; Progress Study: The Debt Debacle, 2019.</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139"/>
          </w:cols>
          <w:pgMar w:left="320" w:top="407" w:right="1440"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31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3905" cy="43129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459"/>
        <w:spacing w:after="0"/>
        <w:rPr>
          <w:sz w:val="20"/>
          <w:szCs w:val="20"/>
          <w:color w:val="auto"/>
        </w:rPr>
      </w:pPr>
      <w:r>
        <w:rPr>
          <w:rFonts w:ascii="Arial" w:cs="Arial" w:eastAsia="Arial" w:hAnsi="Arial"/>
          <w:sz w:val="15"/>
          <w:szCs w:val="15"/>
          <w:color w:val="auto"/>
        </w:rPr>
        <w:t>rates can negatively impact a consumer’s financial health. The U.S. Federal Reserve reports that on average, 10% of household disposable personal income is spent on debt repayment.</w:t>
      </w:r>
      <w:r>
        <w:rPr>
          <w:rFonts w:ascii="Arial" w:cs="Arial" w:eastAsia="Arial" w:hAnsi="Arial"/>
          <w:sz w:val="12"/>
          <w:szCs w:val="12"/>
          <w:color w:val="auto"/>
        </w:rPr>
        <w:t>25</w:t>
      </w:r>
      <w:r>
        <w:rPr>
          <w:rFonts w:ascii="Arial" w:cs="Arial" w:eastAsia="Arial" w:hAnsi="Arial"/>
          <w:sz w:val="15"/>
          <w:szCs w:val="15"/>
          <w:color w:val="auto"/>
        </w:rPr>
        <w:t xml:space="preserve"> In addition, 16% of Americans spend 50% to 100% of their monthly income repaying debt.</w:t>
      </w:r>
      <w:r>
        <w:rPr>
          <w:rFonts w:ascii="Arial" w:cs="Arial" w:eastAsia="Arial" w:hAnsi="Arial"/>
          <w:sz w:val="12"/>
          <w:szCs w:val="12"/>
          <w:color w:val="auto"/>
        </w:rPr>
        <w:t>26</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Affordable Credit Is Inaccessible for Millions because Existing Systems Fail to Accurately Quantify Risk</w:t>
      </w:r>
    </w:p>
    <w:p>
      <w:pPr>
        <w:spacing w:after="0" w:line="103"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27</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28</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29</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w:t>
      </w:r>
    </w:p>
    <w:p>
      <w:pPr>
        <w:spacing w:after="0" w:line="172"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30</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hanging="441"/>
        <w:spacing w:after="0"/>
        <w:tabs>
          <w:tab w:leader="none" w:pos="1620"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The Federal Reserve Board, Household Debt Service and Financial Obligations Ratios, or Federal Reserve Household Debt, December 2019.</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620" w:hanging="441"/>
        <w:spacing w:after="0" w:line="188" w:lineRule="auto"/>
        <w:tabs>
          <w:tab w:leader="none" w:pos="1620" w:val="left"/>
        </w:tabs>
        <w:numPr>
          <w:ilvl w:val="0"/>
          <w:numId w:val="5"/>
        </w:numPr>
        <w:rPr>
          <w:rFonts w:ascii="Arial" w:cs="Arial" w:eastAsia="Arial" w:hAnsi="Arial"/>
          <w:sz w:val="15"/>
          <w:szCs w:val="15"/>
          <w:color w:val="auto"/>
          <w:vertAlign w:val="superscript"/>
        </w:rPr>
      </w:pPr>
      <w:r>
        <w:rPr>
          <w:rFonts w:ascii="Arial" w:cs="Arial" w:eastAsia="Arial" w:hAnsi="Arial"/>
          <w:sz w:val="10"/>
          <w:szCs w:val="10"/>
          <w:color w:val="auto"/>
        </w:rPr>
        <w:t>Naeem Siddiqi, Intelligent Credit Scoring: Building and Implementing Better Credit Risk Scorecards—2</w:t>
      </w:r>
      <w:r>
        <w:rPr>
          <w:rFonts w:ascii="Arial" w:cs="Arial" w:eastAsia="Arial" w:hAnsi="Arial"/>
          <w:sz w:val="15"/>
          <w:szCs w:val="15"/>
          <w:color w:val="auto"/>
          <w:vertAlign w:val="superscript"/>
        </w:rPr>
        <w:t>nd</w:t>
      </w:r>
      <w:r>
        <w:rPr>
          <w:rFonts w:ascii="Arial" w:cs="Arial" w:eastAsia="Arial" w:hAnsi="Arial"/>
          <w:sz w:val="10"/>
          <w:szCs w:val="10"/>
          <w:color w:val="auto"/>
        </w:rPr>
        <w:t xml:space="preserve"> Edition, 2017.</w:t>
      </w:r>
    </w:p>
    <w:p>
      <w:pPr>
        <w:ind w:left="1620" w:hanging="441"/>
        <w:spacing w:after="0" w:line="188" w:lineRule="auto"/>
        <w:tabs>
          <w:tab w:leader="none" w:pos="1620" w:val="left"/>
        </w:tabs>
        <w:numPr>
          <w:ilvl w:val="0"/>
          <w:numId w:val="5"/>
        </w:numPr>
        <w:rPr>
          <w:rFonts w:ascii="Arial" w:cs="Arial" w:eastAsia="Arial" w:hAnsi="Arial"/>
          <w:sz w:val="16"/>
          <w:szCs w:val="16"/>
          <w:color w:val="auto"/>
          <w:vertAlign w:val="superscript"/>
        </w:rPr>
      </w:pPr>
      <w:r>
        <w:rPr>
          <w:rFonts w:ascii="Arial" w:cs="Arial" w:eastAsia="Arial" w:hAnsi="Arial"/>
          <w:sz w:val="10"/>
          <w:szCs w:val="10"/>
          <w:color w:val="auto"/>
        </w:rPr>
        <w:t>The study defined access to prime credit as individuals with credit reports with VantageScores of 720 or above.</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139"/>
          </w:cols>
          <w:pgMar w:left="320" w:top="407"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92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3905" cy="4992370"/>
                    </a:xfrm>
                    <a:prstGeom prst="rect">
                      <a:avLst/>
                    </a:prstGeom>
                    <a:noFill/>
                  </pic:spPr>
                </pic:pic>
              </a:graphicData>
            </a:graphic>
          </wp:anchor>
        </w:drawing>
      </w:r>
    </w:p>
    <w:p>
      <w:pPr>
        <w:spacing w:after="0" w:line="389"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Banks Will Continue to be at the Forefront of Consumer Lending</w:t>
      </w:r>
    </w:p>
    <w:p>
      <w:pPr>
        <w:spacing w:after="0" w:line="105" w:lineRule="exact"/>
        <w:rPr>
          <w:sz w:val="20"/>
          <w:szCs w:val="20"/>
          <w:color w:val="auto"/>
        </w:rPr>
      </w:pPr>
    </w:p>
    <w:p>
      <w:pPr>
        <w:ind w:left="1180" w:right="179" w:firstLine="444"/>
        <w:spacing w:after="0" w:line="237"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31</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Banks Must Undergo a Digital Transformation to Remain Competitive</w:t>
      </w:r>
    </w:p>
    <w:p>
      <w:pPr>
        <w:spacing w:after="0" w:line="103" w:lineRule="exact"/>
        <w:rPr>
          <w:sz w:val="20"/>
          <w:szCs w:val="20"/>
          <w:color w:val="auto"/>
        </w:rPr>
      </w:pPr>
    </w:p>
    <w:p>
      <w:pPr>
        <w:ind w:left="1180" w:right="199" w:firstLine="444"/>
        <w:spacing w:after="0" w:line="238" w:lineRule="auto"/>
        <w:rPr>
          <w:sz w:val="20"/>
          <w:szCs w:val="20"/>
          <w:color w:val="auto"/>
        </w:rPr>
      </w:pPr>
      <w:r>
        <w:rPr>
          <w:rFonts w:ascii="Arial" w:cs="Arial" w:eastAsia="Arial" w:hAnsi="Arial"/>
          <w:sz w:val="15"/>
          <w:szCs w:val="15"/>
          <w:color w:val="auto"/>
        </w:rPr>
        <w:t>The largest four U.S. banks spend an estimated $38 billion on technology and innovation annually.</w:t>
      </w:r>
      <w:r>
        <w:rPr>
          <w:rFonts w:ascii="Arial" w:cs="Arial" w:eastAsia="Arial" w:hAnsi="Arial"/>
          <w:sz w:val="12"/>
          <w:szCs w:val="12"/>
          <w:color w:val="auto"/>
        </w:rPr>
        <w:t>32</w:t>
      </w:r>
      <w:r>
        <w:rPr>
          <w:rFonts w:ascii="Arial" w:cs="Arial" w:eastAsia="Arial" w:hAnsi="Arial"/>
          <w:sz w:val="15"/>
          <w:szCs w:val="15"/>
          <w:color w:val="auto"/>
        </w:rPr>
        <w:t xml:space="preserve"> These four banks may attempt to build AI lending models over time, once general market acceptance has been achieved. However, outside the largest four banks, there are approximately 5,200 FDIC insured institutions</w:t>
      </w:r>
      <w:r>
        <w:rPr>
          <w:rFonts w:ascii="Arial" w:cs="Arial" w:eastAsia="Arial" w:hAnsi="Arial"/>
          <w:sz w:val="12"/>
          <w:szCs w:val="12"/>
          <w:color w:val="auto"/>
        </w:rPr>
        <w:t>33</w:t>
      </w:r>
      <w:r>
        <w:rPr>
          <w:rFonts w:ascii="Arial" w:cs="Arial" w:eastAsia="Arial" w:hAnsi="Arial"/>
          <w:sz w:val="15"/>
          <w:szCs w:val="15"/>
          <w:color w:val="auto"/>
        </w:rPr>
        <w:t xml:space="preserve"> that are at risk of falling behind. Despite holding over $8 trillion in deposits,</w:t>
      </w:r>
      <w:r>
        <w:rPr>
          <w:rFonts w:ascii="Arial" w:cs="Arial" w:eastAsia="Arial" w:hAnsi="Arial"/>
          <w:sz w:val="12"/>
          <w:szCs w:val="12"/>
          <w:color w:val="auto"/>
        </w:rPr>
        <w:t>34</w:t>
      </w:r>
      <w:r>
        <w:rPr>
          <w:rFonts w:ascii="Arial" w:cs="Arial" w:eastAsia="Arial" w:hAnsi="Arial"/>
          <w:sz w:val="15"/>
          <w:szCs w:val="15"/>
          <w:color w:val="auto"/>
        </w:rPr>
        <w:t xml:space="preserve"> we believe these banks, particularly small to medium-sized banks, have outdated technology and lack the technical resources of larger banks to fund the digitization process.</w:t>
      </w:r>
    </w:p>
    <w:p>
      <w:pPr>
        <w:spacing w:after="0" w:line="170" w:lineRule="exact"/>
        <w:rPr>
          <w:sz w:val="20"/>
          <w:szCs w:val="20"/>
          <w:color w:val="auto"/>
        </w:rPr>
      </w:pPr>
    </w:p>
    <w:p>
      <w:pPr>
        <w:ind w:left="1180" w:right="119" w:firstLine="444"/>
        <w:spacing w:after="0" w:line="239" w:lineRule="auto"/>
        <w:rPr>
          <w:sz w:val="20"/>
          <w:szCs w:val="20"/>
          <w:color w:val="auto"/>
        </w:rPr>
      </w:pPr>
      <w:r>
        <w:rPr>
          <w:rFonts w:ascii="Arial" w:cs="Arial" w:eastAsia="Arial" w:hAnsi="Arial"/>
          <w:sz w:val="15"/>
          <w:szCs w:val="15"/>
          <w:color w:val="auto"/>
        </w:rPr>
        <w:t>At the same time, consumers are increasingly seeking digital, personalized and automated experiences.</w:t>
      </w:r>
      <w:r>
        <w:rPr>
          <w:rFonts w:ascii="Arial" w:cs="Arial" w:eastAsia="Arial" w:hAnsi="Arial"/>
          <w:sz w:val="12"/>
          <w:szCs w:val="12"/>
          <w:color w:val="auto"/>
        </w:rPr>
        <w:t>35</w:t>
      </w:r>
      <w:r>
        <w:rPr>
          <w:rFonts w:ascii="Arial" w:cs="Arial" w:eastAsia="Arial" w:hAnsi="Arial"/>
          <w:sz w:val="15"/>
          <w:szCs w:val="15"/>
          <w:color w:val="auto"/>
        </w:rPr>
        <w:t xml:space="preserve"> A 2017 Bain survey found that approximately 50% of the U.S. population would be comfortable buying financial products from technology companies.</w:t>
      </w:r>
      <w:r>
        <w:rPr>
          <w:rFonts w:ascii="Arial" w:cs="Arial" w:eastAsia="Arial" w:hAnsi="Arial"/>
          <w:sz w:val="12"/>
          <w:szCs w:val="12"/>
          <w:color w:val="auto"/>
        </w:rPr>
        <w:t>36</w:t>
      </w:r>
      <w:r>
        <w:rPr>
          <w:rFonts w:ascii="Arial" w:cs="Arial" w:eastAsia="Arial" w:hAnsi="Arial"/>
          <w:sz w:val="15"/>
          <w:szCs w:val="15"/>
          <w:color w:val="auto"/>
        </w:rPr>
        <w:t xml:space="preserve"> We believe that as consumers, both young and old, move their financial lives online, small and medium-sized banks will be increasingly ill-equipped to serve them.</w:t>
      </w:r>
    </w:p>
    <w:p>
      <w:pPr>
        <w:spacing w:after="0" w:line="171" w:lineRule="exact"/>
        <w:rPr>
          <w:sz w:val="20"/>
          <w:szCs w:val="20"/>
          <w:color w:val="auto"/>
        </w:rPr>
      </w:pPr>
    </w:p>
    <w:p>
      <w:pPr>
        <w:ind w:left="1180" w:right="299" w:firstLine="444"/>
        <w:spacing w:after="0"/>
        <w:rPr>
          <w:sz w:val="20"/>
          <w:szCs w:val="20"/>
          <w:color w:val="auto"/>
        </w:rPr>
      </w:pPr>
      <w:r>
        <w:rPr>
          <w:rFonts w:ascii="Arial" w:cs="Arial" w:eastAsia="Arial" w:hAnsi="Arial"/>
          <w:sz w:val="15"/>
          <w:szCs w:val="15"/>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Increasing Recognition from Regulators</w:t>
      </w:r>
    </w:p>
    <w:p>
      <w:pPr>
        <w:spacing w:after="0" w:line="105"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Many regulators including the Federal Deposit Insurance Corporation, or FDIC, the Office of the Comptroller of the Currency, or OCC, the Federal Reserve and the CFPB increasingly recognize the opportunity to modernize techniques used in lending.</w:t>
      </w:r>
      <w:r>
        <w:rPr>
          <w:rFonts w:ascii="Arial" w:cs="Arial" w:eastAsia="Arial" w:hAnsi="Arial"/>
          <w:sz w:val="12"/>
          <w:szCs w:val="12"/>
          <w:color w:val="auto"/>
        </w:rPr>
        <w:t>37</w:t>
      </w:r>
      <w:r>
        <w:rPr>
          <w:rFonts w:ascii="Arial" w:cs="Arial" w:eastAsia="Arial" w:hAnsi="Arial"/>
          <w:sz w:val="15"/>
          <w:szCs w:val="15"/>
          <w:color w:val="auto"/>
        </w:rPr>
        <w:t xml:space="preserve"> In December 2019, these agencies issued an inter-agency report in support of the use of alternative data in lending decisions.</w:t>
      </w:r>
      <w:r>
        <w:rPr>
          <w:rFonts w:ascii="Arial" w:cs="Arial" w:eastAsia="Arial" w:hAnsi="Arial"/>
          <w:sz w:val="12"/>
          <w:szCs w:val="12"/>
          <w:color w:val="auto"/>
        </w:rPr>
        <w:t>38</w:t>
      </w:r>
      <w:r>
        <w:rPr>
          <w:rFonts w:ascii="Arial" w:cs="Arial" w:eastAsia="Arial" w:hAnsi="Arial"/>
          <w:sz w:val="15"/>
          <w:szCs w:val="15"/>
          <w:color w:val="auto"/>
        </w:rPr>
        <w:t xml:space="preserve"> Additionally, in November 2019, the CFPB director noted that despite external uncertainty regarding how AI will fit into</w:t>
      </w:r>
    </w:p>
    <w:p>
      <w:pPr>
        <w:spacing w:after="0" w:line="60" w:lineRule="exact"/>
        <w:rPr>
          <w:sz w:val="20"/>
          <w:szCs w:val="20"/>
          <w:color w:val="auto"/>
        </w:rPr>
      </w:pPr>
    </w:p>
    <w:p>
      <w:pPr>
        <w:ind w:left="1620" w:hanging="441"/>
        <w:spacing w:after="0"/>
        <w:tabs>
          <w:tab w:leader="none" w:pos="162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Federal Home Loan Bank of San Francisco, Cost of Funds Index, December 2019.</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Adrian D. Garcia, Bankrate: JPM, Big Banks Spend Billions on Tech but Innovation Lags, July 2018.</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Federal Deposit Insurance Corporation, or FDIC, Statistics on Depository Institutions, December 2019.</w:t>
      </w:r>
    </w:p>
    <w:p>
      <w:pPr>
        <w:ind w:left="1620" w:right="239" w:hanging="441"/>
        <w:spacing w:after="0" w:line="182" w:lineRule="auto"/>
        <w:tabs>
          <w:tab w:leader="none" w:pos="1620" w:val="left"/>
        </w:tabs>
        <w:numPr>
          <w:ilvl w:val="0"/>
          <w:numId w:val="6"/>
        </w:numPr>
        <w:rPr>
          <w:rFonts w:ascii="Arial" w:cs="Arial" w:eastAsia="Arial" w:hAnsi="Arial"/>
          <w:sz w:val="19"/>
          <w:szCs w:val="19"/>
          <w:color w:val="auto"/>
          <w:vertAlign w:val="superscript"/>
        </w:rPr>
      </w:pPr>
      <w:r>
        <w:rPr>
          <w:rFonts w:ascii="Arial" w:cs="Arial" w:eastAsia="Arial" w:hAnsi="Arial"/>
          <w:sz w:val="12"/>
          <w:szCs w:val="12"/>
          <w:color w:val="auto"/>
        </w:rPr>
        <w:t>The dollar amount of deposits held by banks, other than the largest four banks, was aggregated by Upstart using data provided by the FDIC; see the section titled “Industry, Market and Other Data.”</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Bain &amp; Company, Inc., or Bain, Evolving the Customer Experience in Banking, 2017. PricewaterhouseCoopers LLP, or PwC, Experience Is Everything: Here’s</w:t>
      </w:r>
    </w:p>
    <w:p>
      <w:pPr>
        <w:ind w:left="1620" w:right="479"/>
        <w:spacing w:after="0" w:line="235" w:lineRule="auto"/>
        <w:rPr>
          <w:rFonts w:ascii="Arial" w:cs="Arial" w:eastAsia="Arial" w:hAnsi="Arial"/>
          <w:sz w:val="15"/>
          <w:szCs w:val="15"/>
          <w:color w:val="auto"/>
          <w:vertAlign w:val="superscript"/>
        </w:rPr>
      </w:pPr>
      <w:r>
        <w:rPr>
          <w:rFonts w:ascii="Arial" w:cs="Arial" w:eastAsia="Arial" w:hAnsi="Arial"/>
          <w:sz w:val="12"/>
          <w:szCs w:val="12"/>
          <w:color w:val="auto"/>
        </w:rPr>
        <w:t>How To Get It Right, 2018. RedPoint Global and the Harris Poll, or RedPoint Global, Addressing the Gaps in Customer Experience: A Benchmark Study Exploring the Ever Evolving Customer Experience and How Marketers and Consumers Are Adapting, March 2019.</w:t>
      </w:r>
    </w:p>
    <w:p>
      <w:pPr>
        <w:ind w:left="1620" w:hanging="441"/>
        <w:spacing w:after="0" w:line="188" w:lineRule="auto"/>
        <w:tabs>
          <w:tab w:leader="none" w:pos="1620" w:val="left"/>
        </w:tabs>
        <w:numPr>
          <w:ilvl w:val="0"/>
          <w:numId w:val="6"/>
        </w:numPr>
        <w:rPr>
          <w:rFonts w:ascii="Arial" w:cs="Arial" w:eastAsia="Arial" w:hAnsi="Arial"/>
          <w:sz w:val="15"/>
          <w:szCs w:val="15"/>
          <w:color w:val="auto"/>
          <w:vertAlign w:val="superscript"/>
        </w:rPr>
      </w:pPr>
      <w:r>
        <w:rPr>
          <w:rFonts w:ascii="Arial" w:cs="Arial" w:eastAsia="Arial" w:hAnsi="Arial"/>
          <w:sz w:val="10"/>
          <w:szCs w:val="10"/>
          <w:color w:val="auto"/>
        </w:rPr>
        <w:t>Bain; see the section titled “Industry, Market and Other Data.”</w:t>
      </w:r>
    </w:p>
    <w:p>
      <w:pPr>
        <w:ind w:left="1620" w:right="99" w:hanging="441"/>
        <w:spacing w:after="0" w:line="192" w:lineRule="auto"/>
        <w:tabs>
          <w:tab w:leader="none" w:pos="1620"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or FDIC Interagency Statement, December 2019.</w:t>
      </w:r>
    </w:p>
    <w:p>
      <w:pPr>
        <w:ind w:left="1620" w:hanging="441"/>
        <w:spacing w:after="0" w:line="188" w:lineRule="auto"/>
        <w:tabs>
          <w:tab w:leader="none" w:pos="1620"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FDIC Interagency Statement;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139"/>
          </w:cols>
          <w:pgMar w:left="320" w:top="407" w:right="1440"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70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3905" cy="447040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180" w:right="119"/>
        <w:spacing w:after="0" w:line="237" w:lineRule="auto"/>
        <w:rPr>
          <w:sz w:val="20"/>
          <w:szCs w:val="20"/>
          <w:color w:val="auto"/>
        </w:rPr>
      </w:pPr>
      <w:r>
        <w:rPr>
          <w:rFonts w:ascii="Arial" w:cs="Arial" w:eastAsia="Arial" w:hAnsi="Arial"/>
          <w:sz w:val="15"/>
          <w:szCs w:val="15"/>
          <w:color w:val="auto"/>
        </w:rPr>
        <w:t>regulatory frameworks, the CFPB is focused on ensuring a path to regulatory clarity because it recognizes the value AI lending products can offer consumers.</w:t>
      </w:r>
      <w:r>
        <w:rPr>
          <w:rFonts w:ascii="Arial" w:cs="Arial" w:eastAsia="Arial" w:hAnsi="Arial"/>
          <w:sz w:val="12"/>
          <w:szCs w:val="12"/>
          <w:color w:val="auto"/>
        </w:rPr>
        <w:t>39</w:t>
      </w:r>
      <w:r>
        <w:rPr>
          <w:rFonts w:ascii="Arial" w:cs="Arial" w:eastAsia="Arial" w:hAnsi="Arial"/>
          <w:sz w:val="15"/>
          <w:szCs w:val="15"/>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2"/>
          <w:szCs w:val="12"/>
          <w:color w:val="auto"/>
        </w:rPr>
        <w:t>40</w:t>
      </w:r>
      <w:r>
        <w:rPr>
          <w:rFonts w:ascii="Arial" w:cs="Arial" w:eastAsia="Arial" w:hAnsi="Arial"/>
          <w:sz w:val="15"/>
          <w:szCs w:val="15"/>
          <w:color w:val="auto"/>
        </w:rPr>
        <w:t xml:space="preserve"> This no-action letter expired on December 1, 2020. On November 30, 2020, the CFPB issued a new no-action letter to Upstart under the CFPB’s revised 2018 policy on no-action letters. This new no-action letter, which will expire on November 30, 2023, covers the use of our Al model to underwrite and price unsecured closed-end loans, and is conditional on our implementation of a Model Risk Assessment Plan that was developed with the CFPB.</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AI Opportunity</w:t>
      </w:r>
    </w:p>
    <w:p>
      <w:pPr>
        <w:spacing w:after="0" w:line="103" w:lineRule="exact"/>
        <w:rPr>
          <w:sz w:val="20"/>
          <w:szCs w:val="20"/>
          <w:color w:val="auto"/>
        </w:rPr>
      </w:pPr>
    </w:p>
    <w:p>
      <w:pPr>
        <w:ind w:left="1180" w:right="339" w:firstLine="444"/>
        <w:spacing w:after="0" w:line="241" w:lineRule="auto"/>
        <w:rPr>
          <w:sz w:val="20"/>
          <w:szCs w:val="20"/>
          <w:color w:val="auto"/>
        </w:rPr>
      </w:pPr>
      <w:r>
        <w:rPr>
          <w:rFonts w:ascii="Arial" w:cs="Arial" w:eastAsia="Arial" w:hAnsi="Arial"/>
          <w:sz w:val="15"/>
          <w:szCs w:val="15"/>
          <w:color w:val="auto"/>
        </w:rPr>
        <w:t>AI has the potential to add $13 trillion to the current global economic output by 2030, a 16% increase over today’s output.</w:t>
      </w:r>
      <w:r>
        <w:rPr>
          <w:rFonts w:ascii="Arial" w:cs="Arial" w:eastAsia="Arial" w:hAnsi="Arial"/>
          <w:sz w:val="12"/>
          <w:szCs w:val="12"/>
          <w:color w:val="auto"/>
        </w:rPr>
        <w:t>41</w:t>
      </w:r>
      <w:r>
        <w:rPr>
          <w:rFonts w:ascii="Arial" w:cs="Arial" w:eastAsia="Arial" w:hAnsi="Arial"/>
          <w:sz w:val="15"/>
          <w:szCs w:val="15"/>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2"/>
          <w:szCs w:val="12"/>
          <w:color w:val="auto"/>
        </w:rPr>
        <w:t>42</w:t>
      </w:r>
      <w:r>
        <w:rPr>
          <w:rFonts w:ascii="Arial" w:cs="Arial" w:eastAsia="Arial" w:hAnsi="Arial"/>
          <w:sz w:val="15"/>
          <w:szCs w:val="15"/>
          <w:color w:val="auto"/>
        </w:rPr>
        <w:t xml:space="preserve"> We believe the lending industry will follow this path.</w:t>
      </w:r>
    </w:p>
    <w:p>
      <w:pPr>
        <w:spacing w:after="0" w:line="170"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Lending is a compelling application for AI. First, it involves sophisticated decisioning for events that occur millions of times each day. Second, there is an almost unlimited supply of data that has the 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70" w:lineRule="exact"/>
        <w:rPr>
          <w:sz w:val="20"/>
          <w:szCs w:val="20"/>
          <w:color w:val="auto"/>
        </w:rPr>
      </w:pPr>
    </w:p>
    <w:p>
      <w:pPr>
        <w:ind w:left="1180" w:right="99" w:firstLine="444"/>
        <w:spacing w:after="0" w:line="236" w:lineRule="auto"/>
        <w:rPr>
          <w:sz w:val="20"/>
          <w:szCs w:val="20"/>
          <w:color w:val="auto"/>
        </w:rPr>
      </w:pPr>
      <w:r>
        <w:rPr>
          <w:rFonts w:ascii="Arial" w:cs="Arial" w:eastAsia="Arial" w:hAnsi="Arial"/>
          <w:sz w:val="15"/>
          <w:szCs w:val="15"/>
          <w:color w:val="auto"/>
        </w:rPr>
        <w:t>With our eight-year head start, our AI lending platform is well-positioned to power a significant portion of the U.S. credit market. To date, we have focused on the unsecured personal loan market, one of the fastest-growing segment of consumer credit.</w:t>
      </w:r>
      <w:r>
        <w:rPr>
          <w:rFonts w:ascii="Arial" w:cs="Arial" w:eastAsia="Arial" w:hAnsi="Arial"/>
          <w:sz w:val="12"/>
          <w:szCs w:val="12"/>
          <w:color w:val="auto"/>
        </w:rPr>
        <w:t>43</w:t>
      </w:r>
      <w:r>
        <w:rPr>
          <w:rFonts w:ascii="Arial" w:cs="Arial" w:eastAsia="Arial" w:hAnsi="Arial"/>
          <w:sz w:val="15"/>
          <w:szCs w:val="15"/>
          <w:color w:val="auto"/>
        </w:rPr>
        <w:t xml:space="preserve"> From April 2019 to March 2020, there were $118 billion</w:t>
      </w:r>
      <w:r>
        <w:rPr>
          <w:rFonts w:ascii="Arial" w:cs="Arial" w:eastAsia="Arial" w:hAnsi="Arial"/>
          <w:sz w:val="12"/>
          <w:szCs w:val="12"/>
          <w:color w:val="auto"/>
        </w:rPr>
        <w:t>44</w:t>
      </w:r>
      <w:r>
        <w:rPr>
          <w:rFonts w:ascii="Arial" w:cs="Arial" w:eastAsia="Arial" w:hAnsi="Arial"/>
          <w:sz w:val="15"/>
          <w:szCs w:val="15"/>
          <w:color w:val="auto"/>
        </w:rPr>
        <w:t xml:space="preserve"> in U.S. unsecured personal loan originations, representing 8% growth over the prior year. In the same period, we facilitated the origination of $3.5 billion in unsecured personal loans, or less than 5% of the total market.</w:t>
      </w:r>
      <w:r>
        <w:rPr>
          <w:rFonts w:ascii="Arial" w:cs="Arial" w:eastAsia="Arial" w:hAnsi="Arial"/>
          <w:sz w:val="12"/>
          <w:szCs w:val="12"/>
          <w:color w:val="auto"/>
        </w:rPr>
        <w:t>45</w:t>
      </w:r>
      <w:r>
        <w:rPr>
          <w:rFonts w:ascii="Arial" w:cs="Arial" w:eastAsia="Arial" w:hAnsi="Arial"/>
          <w:sz w:val="15"/>
          <w:szCs w:val="15"/>
          <w:color w:val="auto"/>
        </w:rPr>
        <w:t xml:space="preserve"> We not only have a large opportunity to capture market share in unsecured personal loans, but by applying our AI models and technology to adjacent opportunities, we believe we are well-positioned to address the U.S. auto loan, credit card and mortgage markets. From April 2019 to March 2020, there were $625 billion in U.S. auto loan originations, $363 billion in U.S. credit card originations and $ 2.5 trillion in U.S. mortgage originations.</w:t>
      </w:r>
      <w:r>
        <w:rPr>
          <w:rFonts w:ascii="Arial" w:cs="Arial" w:eastAsia="Arial" w:hAnsi="Arial"/>
          <w:sz w:val="12"/>
          <w:szCs w:val="12"/>
          <w:color w:val="auto"/>
        </w:rPr>
        <w:t>46</w:t>
      </w:r>
      <w:r>
        <w:rPr>
          <w:rFonts w:ascii="Arial" w:cs="Arial" w:eastAsia="Arial" w:hAnsi="Arial"/>
          <w:sz w:val="15"/>
          <w:szCs w:val="15"/>
          <w:color w:val="auto"/>
        </w:rPr>
        <w:t xml:space="preserve"> In June 2020, we began offering auto loans on our platform, and in September 2020, the first auto loan was originated through the Upstart platform. Over time, we believe we are also capable of capturing market share in student loans, point-of-sales loans and Home Equity Lines of Credit, or HELOCs.</w:t>
      </w:r>
    </w:p>
    <w:p>
      <w:pPr>
        <w:spacing w:after="0" w:line="62" w:lineRule="exact"/>
        <w:rPr>
          <w:sz w:val="20"/>
          <w:szCs w:val="20"/>
          <w:color w:val="auto"/>
        </w:rPr>
      </w:pPr>
    </w:p>
    <w:p>
      <w:pPr>
        <w:ind w:left="1620" w:hanging="441"/>
        <w:spacing w:after="0"/>
        <w:tabs>
          <w:tab w:leader="none" w:pos="1620"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Kathleen L. Kraninger, Consumer Financial Protection Bureau: Director Kraninger’s Remarks at TCH-BPI Conference, November 2019.</w:t>
      </w:r>
    </w:p>
    <w:p>
      <w:pPr>
        <w:ind w:left="1620" w:right="199" w:hanging="441"/>
        <w:spacing w:after="0" w:line="182" w:lineRule="auto"/>
        <w:tabs>
          <w:tab w:leader="none" w:pos="1620" w:val="left"/>
        </w:tabs>
        <w:numPr>
          <w:ilvl w:val="0"/>
          <w:numId w:val="7"/>
        </w:numPr>
        <w:rPr>
          <w:rFonts w:ascii="Arial" w:cs="Arial" w:eastAsia="Arial" w:hAnsi="Arial"/>
          <w:sz w:val="19"/>
          <w:szCs w:val="19"/>
          <w:color w:val="auto"/>
          <w:vertAlign w:val="superscript"/>
        </w:rPr>
      </w:pPr>
      <w:r>
        <w:rPr>
          <w:rFonts w:ascii="Arial" w:cs="Arial" w:eastAsia="Arial" w:hAnsi="Arial"/>
          <w:sz w:val="12"/>
          <w:szCs w:val="12"/>
          <w:color w:val="auto"/>
        </w:rPr>
        <w:t>Consumer Financial Protection Bureau, No-Action Letter to Upstart Network, Inc. dated September 14, 2017, and as modified on September 11, 2020, or the CFPB No-Action Letter.</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Eldar Beiseitov, Federal Reserve Bank of St. Louis: Unsecured Personal Loans Get a Boost From Fintech Lenders, July 2019.</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620" w:hanging="441"/>
        <w:spacing w:after="0" w:line="188" w:lineRule="auto"/>
        <w:tabs>
          <w:tab w:leader="none" w:pos="1620" w:val="left"/>
        </w:tabs>
        <w:numPr>
          <w:ilvl w:val="0"/>
          <w:numId w:val="7"/>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620" w:hanging="441"/>
        <w:spacing w:after="0" w:line="188" w:lineRule="auto"/>
        <w:tabs>
          <w:tab w:leader="none" w:pos="1620" w:val="left"/>
        </w:tabs>
        <w:numPr>
          <w:ilvl w:val="0"/>
          <w:numId w:val="7"/>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139"/>
          </w:cols>
          <w:pgMar w:left="320" w:top="407" w:right="1440"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971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3905" cy="497141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AI Lending Platform</w:t>
      </w:r>
    </w:p>
    <w:p>
      <w:pPr>
        <w:spacing w:after="0" w:line="10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Our AI models are central to our value proposition and unique position in the industry. Our models incorporate more than 1,600 variables, which are analogous to the columns in a spreadsheet. They have been trained by more than 9 million repayment events, analogous to rows of data in a spreadsheet. Interpreting these almost 15 billion cells of data are increasingly sophisticated machine learning algorithms that enable a more predictive model.</w:t>
      </w:r>
    </w:p>
    <w:p>
      <w:pPr>
        <w:spacing w:after="0" w:line="172" w:lineRule="exact"/>
        <w:rPr>
          <w:sz w:val="20"/>
          <w:szCs w:val="20"/>
          <w:color w:val="auto"/>
        </w:rPr>
      </w:pPr>
    </w:p>
    <w:p>
      <w:pPr>
        <w:ind w:left="1180" w:right="79" w:firstLine="444"/>
        <w:spacing w:after="0" w:line="237" w:lineRule="auto"/>
        <w:rPr>
          <w:sz w:val="20"/>
          <w:szCs w:val="20"/>
          <w:color w:val="auto"/>
        </w:rPr>
      </w:pPr>
      <w:r>
        <w:rPr>
          <w:rFonts w:ascii="Arial" w:cs="Arial" w:eastAsia="Arial" w:hAnsi="Arial"/>
          <w:sz w:val="15"/>
          <w:szCs w:val="15"/>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“Business—Evolution of Upstart’s AI Model.”</w:t>
      </w:r>
    </w:p>
    <w:p>
      <w:pPr>
        <w:spacing w:after="0" w:line="171" w:lineRule="exact"/>
        <w:rPr>
          <w:sz w:val="20"/>
          <w:szCs w:val="20"/>
          <w:color w:val="auto"/>
        </w:rPr>
      </w:pPr>
    </w:p>
    <w:p>
      <w:pPr>
        <w:ind w:left="1180" w:right="159" w:firstLine="444"/>
        <w:spacing w:after="0" w:line="237"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172" w:lineRule="exact"/>
        <w:rPr>
          <w:sz w:val="20"/>
          <w:szCs w:val="20"/>
          <w:color w:val="auto"/>
        </w:rPr>
      </w:pPr>
    </w:p>
    <w:p>
      <w:pPr>
        <w:ind w:left="1180" w:right="159" w:firstLine="444"/>
        <w:spacing w:after="0" w:line="237" w:lineRule="auto"/>
        <w:rPr>
          <w:sz w:val="20"/>
          <w:szCs w:val="20"/>
          <w:color w:val="auto"/>
        </w:rPr>
      </w:pPr>
      <w:r>
        <w:rPr>
          <w:rFonts w:ascii="Arial" w:cs="Arial" w:eastAsia="Arial" w:hAnsi="Arial"/>
          <w:sz w:val="15"/>
          <w:szCs w:val="15"/>
          <w:color w:val="auto"/>
        </w:rPr>
        <w:t>Our platform benefits from powerful flywheel effects that drive continuous improvements as our business scales. Our platform benefits first from increasingly sophisticated models, variable expansion and rapid growth of training data. Upgrades to our platform allow us to offer higher approval rates and lower interest rates to consumers, which increases the number of borrowers on our platform. Upgrades to our platform also lead to better borrower selection, which lowers losses and lowers interest rates to borrowers. The flywheel effect created by self-reinforcing AI increases the economic opportunity that can be shared by borrowers and lenders over time.</w:t>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Upstart’s AI Flywheel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139"/>
          </w:cols>
          <w:pgMar w:left="320" w:top="407" w:right="1440"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450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3905" cy="545020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Ecosystem</w:t>
      </w:r>
    </w:p>
    <w:p>
      <w:pPr>
        <w:spacing w:after="0" w:line="105"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72"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white-labeled interface on their own website or mobile application. Consumers on our platform are generally offered unsecured personal loans ranging from $1,000 to $50,000 in size, at APRs typically ranging from approximately 6.5% to 35.99%, with terms typically ranging from three to five years, with a monthly repayment schedule and no prepayment penalty.</w:t>
      </w:r>
    </w:p>
    <w:p>
      <w:pPr>
        <w:spacing w:after="0" w:line="170" w:lineRule="exact"/>
        <w:rPr>
          <w:sz w:val="20"/>
          <w:szCs w:val="20"/>
          <w:color w:val="auto"/>
        </w:rPr>
      </w:pPr>
    </w:p>
    <w:p>
      <w:pPr>
        <w:jc w:val="both"/>
        <w:ind w:left="1180" w:right="259" w:firstLine="444"/>
        <w:spacing w:after="0"/>
        <w:rPr>
          <w:sz w:val="20"/>
          <w:szCs w:val="20"/>
          <w:color w:val="auto"/>
        </w:rPr>
      </w:pPr>
      <w:r>
        <w:rPr>
          <w:rFonts w:ascii="Arial" w:cs="Arial" w:eastAsia="Arial" w:hAnsi="Arial"/>
          <w:sz w:val="15"/>
          <w:szCs w:val="15"/>
          <w:color w:val="auto"/>
        </w:rPr>
        <w:t>On the funding side, our bank partners can retain loans that align with their business and risk objectives, while the remainder can be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Upstart’s Ecosystem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Value Proposition to Consumers</w:t>
      </w:r>
    </w:p>
    <w:p>
      <w:pPr>
        <w:spacing w:after="0" w:line="100" w:lineRule="exact"/>
        <w:rPr>
          <w:sz w:val="20"/>
          <w:szCs w:val="20"/>
          <w:color w:val="auto"/>
        </w:rPr>
      </w:pPr>
    </w:p>
    <w:p>
      <w:pPr>
        <w:ind w:left="1780" w:right="99" w:hanging="161"/>
        <w:spacing w:after="0" w:line="246" w:lineRule="auto"/>
        <w:tabs>
          <w:tab w:leader="none" w:pos="178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Higher approval rates and lower interest rates</w:t>
      </w:r>
      <w:r>
        <w:rPr>
          <w:rFonts w:ascii="Arial" w:cs="Arial" w:eastAsia="Arial" w:hAnsi="Arial"/>
          <w:sz w:val="15"/>
          <w:szCs w:val="15"/>
          <w:color w:val="auto"/>
        </w:rPr>
        <w:t>—The CFPB reported that a study by Upstart of its data using a methodology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by the CFPB, showed that our AI model approves 27% more borrowers than high-quality traditional lending models with a 16% lower average APR for approved loans.</w:t>
      </w:r>
      <w:r>
        <w:rPr>
          <w:rFonts w:ascii="Arial" w:cs="Arial" w:eastAsia="Arial" w:hAnsi="Arial"/>
          <w:sz w:val="12"/>
          <w:szCs w:val="12"/>
          <w:color w:val="auto"/>
        </w:rPr>
        <w:t>47</w:t>
      </w:r>
      <w:r>
        <w:rPr>
          <w:rFonts w:ascii="Arial" w:cs="Arial" w:eastAsia="Arial" w:hAnsi="Arial"/>
          <w:sz w:val="15"/>
          <w:szCs w:val="15"/>
          <w:color w:val="auto"/>
        </w:rPr>
        <w:t xml:space="preserve"> Our analyses suggest that our loan offers have improved significantly over time relative to those of competitors.</w:t>
      </w:r>
      <w:r>
        <w:rPr>
          <w:rFonts w:ascii="Arial" w:cs="Arial" w:eastAsia="Arial" w:hAnsi="Arial"/>
          <w:sz w:val="12"/>
          <w:szCs w:val="12"/>
          <w:color w:val="auto"/>
        </w:rPr>
        <w:t>48</w:t>
      </w:r>
    </w:p>
    <w:p>
      <w:pPr>
        <w:spacing w:after="0" w:line="53" w:lineRule="exact"/>
        <w:rPr>
          <w:sz w:val="20"/>
          <w:szCs w:val="20"/>
          <w:color w:val="auto"/>
        </w:rPr>
      </w:pPr>
    </w:p>
    <w:p>
      <w:pPr>
        <w:ind w:left="1620" w:hanging="441"/>
        <w:spacing w:after="0"/>
        <w:tabs>
          <w:tab w:leader="none" w:pos="1620" w:val="left"/>
        </w:tabs>
        <w:numPr>
          <w:ilvl w:val="0"/>
          <w:numId w:val="9"/>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620" w:right="199" w:hanging="441"/>
        <w:spacing w:after="0" w:line="182" w:lineRule="auto"/>
        <w:tabs>
          <w:tab w:leader="none" w:pos="1620" w:val="left"/>
        </w:tabs>
        <w:numPr>
          <w:ilvl w:val="0"/>
          <w:numId w:val="9"/>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200" w:lineRule="exact"/>
        <w:rPr>
          <w:sz w:val="20"/>
          <w:szCs w:val="20"/>
          <w:color w:val="auto"/>
        </w:rPr>
      </w:pPr>
    </w:p>
    <w:p>
      <w:pPr>
        <w:spacing w:after="0" w:line="328"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139"/>
          </w:cols>
          <w:pgMar w:left="320" w:top="407" w:right="1440"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70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3905" cy="4770755"/>
                    </a:xfrm>
                    <a:prstGeom prst="rect">
                      <a:avLst/>
                    </a:prstGeom>
                    <a:noFill/>
                  </pic:spPr>
                </pic:pic>
              </a:graphicData>
            </a:graphic>
          </wp:anchor>
        </w:drawing>
      </w:r>
    </w:p>
    <w:p>
      <w:pPr>
        <w:spacing w:after="0" w:line="391" w:lineRule="exact"/>
        <w:rPr>
          <w:sz w:val="20"/>
          <w:szCs w:val="20"/>
          <w:color w:val="auto"/>
        </w:rPr>
      </w:pPr>
    </w:p>
    <w:p>
      <w:pPr>
        <w:ind w:left="1780" w:right="159" w:hanging="161"/>
        <w:spacing w:after="0" w:line="241" w:lineRule="auto"/>
        <w:tabs>
          <w:tab w:leader="none" w:pos="1780" w:val="left"/>
        </w:tabs>
        <w:numPr>
          <w:ilvl w:val="0"/>
          <w:numId w:val="10"/>
        </w:numPr>
        <w:rPr>
          <w:rFonts w:ascii="Arial" w:cs="Arial" w:eastAsia="Arial" w:hAnsi="Arial"/>
          <w:sz w:val="15"/>
          <w:szCs w:val="15"/>
          <w:color w:val="auto"/>
        </w:rPr>
      </w:pPr>
      <w:r>
        <w:rPr>
          <w:rFonts w:ascii="Arial" w:cs="Arial" w:eastAsia="Arial" w:hAnsi="Arial"/>
          <w:sz w:val="15"/>
          <w:szCs w:val="15"/>
          <w:i w:val="1"/>
          <w:iCs w:val="1"/>
          <w:color w:val="auto"/>
        </w:rPr>
        <w:t>Superior digital experience</w:t>
      </w:r>
      <w:r>
        <w:rPr>
          <w:rFonts w:ascii="Arial" w:cs="Arial" w:eastAsia="Arial" w:hAnsi="Arial"/>
          <w:sz w:val="15"/>
          <w:szCs w:val="15"/>
          <w:color w:val="auto"/>
        </w:rPr>
        <w:t>—Whether consumers apply for a loan through Upstart.com or directly through a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website, the application experience is streamlined into a single application process and the loan offers provided are firm. In the third quarter of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43"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Value Proposition to Bank Partners</w:t>
      </w:r>
    </w:p>
    <w:p>
      <w:pPr>
        <w:spacing w:after="0" w:line="100" w:lineRule="exact"/>
        <w:rPr>
          <w:sz w:val="20"/>
          <w:szCs w:val="20"/>
          <w:color w:val="auto"/>
        </w:rPr>
      </w:pPr>
    </w:p>
    <w:p>
      <w:pPr>
        <w:ind w:left="1780" w:right="279" w:hanging="161"/>
        <w:spacing w:after="0" w:line="251" w:lineRule="auto"/>
        <w:tabs>
          <w:tab w:leader="none" w:pos="17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Competitive digital lending experience</w:t>
      </w:r>
      <w:r>
        <w:rPr>
          <w:rFonts w:ascii="Arial" w:cs="Arial" w:eastAsia="Arial" w:hAnsi="Arial"/>
          <w:sz w:val="15"/>
          <w:szCs w:val="15"/>
          <w:color w:val="auto"/>
        </w:rPr>
        <w:t>—We provide regional banks and credit unions with a cost effective way to compete</w:t>
      </w:r>
      <w:r>
        <w:rPr>
          <w:rFonts w:ascii="Arial" w:cs="Arial" w:eastAsia="Arial" w:hAnsi="Arial"/>
          <w:sz w:val="15"/>
          <w:szCs w:val="15"/>
          <w:i w:val="1"/>
          <w:iCs w:val="1"/>
          <w:color w:val="auto"/>
        </w:rPr>
        <w:t xml:space="preserve"> </w:t>
      </w:r>
      <w:r>
        <w:rPr>
          <w:rFonts w:ascii="Arial" w:cs="Arial" w:eastAsia="Arial" w:hAnsi="Arial"/>
          <w:sz w:val="15"/>
          <w:szCs w:val="15"/>
          <w:color w:val="auto"/>
        </w:rPr>
        <w:t>with the technology budgets of their much larger competitors. The Net Promoter Scores, or NPS, for our bank partners’ lending programs are approximately 79, well above published benchmarks for the largest banks.</w:t>
      </w:r>
      <w:r>
        <w:rPr>
          <w:rFonts w:ascii="Arial" w:cs="Arial" w:eastAsia="Arial" w:hAnsi="Arial"/>
          <w:sz w:val="12"/>
          <w:szCs w:val="12"/>
          <w:color w:val="auto"/>
        </w:rPr>
        <w:t>49</w:t>
      </w:r>
    </w:p>
    <w:p>
      <w:pPr>
        <w:spacing w:after="0" w:line="67" w:lineRule="exact"/>
        <w:rPr>
          <w:rFonts w:ascii="Arial" w:cs="Arial" w:eastAsia="Arial" w:hAnsi="Arial"/>
          <w:sz w:val="15"/>
          <w:szCs w:val="15"/>
          <w:color w:val="auto"/>
        </w:rPr>
      </w:pPr>
    </w:p>
    <w:p>
      <w:pPr>
        <w:jc w:val="both"/>
        <w:ind w:left="1780" w:right="159" w:hanging="161"/>
        <w:spacing w:after="0" w:line="251" w:lineRule="auto"/>
        <w:tabs>
          <w:tab w:leader="none" w:pos="17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Expanded customer base</w:t>
      </w:r>
      <w:r>
        <w:rPr>
          <w:rFonts w:ascii="Arial" w:cs="Arial" w:eastAsia="Arial" w:hAnsi="Arial"/>
          <w:sz w:val="15"/>
          <w:szCs w:val="15"/>
          <w:color w:val="auto"/>
        </w:rPr>
        <w:t>—We refer customers that apply for loans through Upstart.com to our bank partners, helping them</w:t>
      </w:r>
      <w:r>
        <w:rPr>
          <w:rFonts w:ascii="Arial" w:cs="Arial" w:eastAsia="Arial" w:hAnsi="Arial"/>
          <w:sz w:val="15"/>
          <w:szCs w:val="15"/>
          <w:i w:val="1"/>
          <w:iCs w:val="1"/>
          <w:color w:val="auto"/>
        </w:rPr>
        <w:t xml:space="preserve"> </w:t>
      </w:r>
      <w:r>
        <w:rPr>
          <w:rFonts w:ascii="Arial" w:cs="Arial" w:eastAsia="Arial" w:hAnsi="Arial"/>
          <w:sz w:val="15"/>
          <w:szCs w:val="15"/>
          <w:color w:val="auto"/>
        </w:rPr>
        <w:t>grow both loan volumes and number of customers. The most common age of Upstart-referred borrowers in the third quarter of 2020 was 28 years old, a compelling demographic that is often challenging for banks to access.</w:t>
      </w:r>
    </w:p>
    <w:p>
      <w:pPr>
        <w:spacing w:after="0" w:line="67" w:lineRule="exact"/>
        <w:rPr>
          <w:rFonts w:ascii="Arial" w:cs="Arial" w:eastAsia="Arial" w:hAnsi="Arial"/>
          <w:sz w:val="15"/>
          <w:szCs w:val="15"/>
          <w:color w:val="auto"/>
        </w:rPr>
      </w:pPr>
    </w:p>
    <w:p>
      <w:pPr>
        <w:ind w:left="1780" w:right="419" w:hanging="161"/>
        <w:spacing w:after="0" w:line="267" w:lineRule="auto"/>
        <w:tabs>
          <w:tab w:leader="none" w:pos="17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Lower loss rates</w:t>
      </w:r>
      <w:r>
        <w:rPr>
          <w:rFonts w:ascii="Arial" w:cs="Arial" w:eastAsia="Arial" w:hAnsi="Arial"/>
          <w:sz w:val="15"/>
          <w:szCs w:val="15"/>
          <w:color w:val="auto"/>
        </w:rPr>
        <w:t>—An internal study comparing our model to that of several large U.S. banks found that our model could</w:t>
      </w:r>
      <w:r>
        <w:rPr>
          <w:rFonts w:ascii="Arial" w:cs="Arial" w:eastAsia="Arial" w:hAnsi="Arial"/>
          <w:sz w:val="15"/>
          <w:szCs w:val="15"/>
          <w:i w:val="1"/>
          <w:iCs w:val="1"/>
          <w:color w:val="auto"/>
        </w:rPr>
        <w:t xml:space="preserve"> </w:t>
      </w:r>
      <w:r>
        <w:rPr>
          <w:rFonts w:ascii="Arial" w:cs="Arial" w:eastAsia="Arial" w:hAnsi="Arial"/>
          <w:sz w:val="15"/>
          <w:szCs w:val="15"/>
          <w:color w:val="auto"/>
        </w:rPr>
        <w:t>enable these banks to lower loss rates by almost 75% while keeping approval rates constant.</w:t>
      </w:r>
      <w:r>
        <w:rPr>
          <w:rFonts w:ascii="Arial" w:cs="Arial" w:eastAsia="Arial" w:hAnsi="Arial"/>
          <w:sz w:val="12"/>
          <w:szCs w:val="12"/>
          <w:color w:val="auto"/>
        </w:rPr>
        <w:t>50</w:t>
      </w:r>
    </w:p>
    <w:p>
      <w:pPr>
        <w:spacing w:after="0" w:line="55" w:lineRule="exact"/>
        <w:rPr>
          <w:rFonts w:ascii="Arial" w:cs="Arial" w:eastAsia="Arial" w:hAnsi="Arial"/>
          <w:sz w:val="15"/>
          <w:szCs w:val="15"/>
          <w:color w:val="auto"/>
        </w:rPr>
      </w:pPr>
    </w:p>
    <w:p>
      <w:pPr>
        <w:ind w:left="1780" w:right="459" w:hanging="161"/>
        <w:spacing w:after="0" w:line="267" w:lineRule="auto"/>
        <w:tabs>
          <w:tab w:leader="none" w:pos="17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New product offering</w:t>
      </w:r>
      <w:r>
        <w:rPr>
          <w:rFonts w:ascii="Arial" w:cs="Arial" w:eastAsia="Arial" w:hAnsi="Arial"/>
          <w:sz w:val="15"/>
          <w:szCs w:val="15"/>
          <w:color w:val="auto"/>
        </w:rPr>
        <w:t>—Personal loans are one of the fastest-growing segment of credit in the U.S.</w:t>
      </w:r>
      <w:r>
        <w:rPr>
          <w:rFonts w:ascii="Arial" w:cs="Arial" w:eastAsia="Arial" w:hAnsi="Arial"/>
          <w:sz w:val="12"/>
          <w:szCs w:val="12"/>
          <w:color w:val="auto"/>
        </w:rPr>
        <w:t>51</w:t>
      </w:r>
      <w:r>
        <w:rPr>
          <w:rFonts w:ascii="Arial" w:cs="Arial" w:eastAsia="Arial" w:hAnsi="Arial"/>
          <w:sz w:val="15"/>
          <w:szCs w:val="15"/>
          <w:i w:val="1"/>
          <w:iCs w:val="1"/>
          <w:color w:val="auto"/>
        </w:rPr>
        <w:t xml:space="preserve"> </w:t>
      </w:r>
      <w:r>
        <w:rPr>
          <w:rFonts w:ascii="Arial" w:cs="Arial" w:eastAsia="Arial" w:hAnsi="Arial"/>
          <w:sz w:val="15"/>
          <w:szCs w:val="15"/>
          <w:color w:val="auto"/>
        </w:rPr>
        <w:t>Our platform helps</w:t>
      </w:r>
      <w:r>
        <w:rPr>
          <w:rFonts w:ascii="Arial" w:cs="Arial" w:eastAsia="Arial" w:hAnsi="Arial"/>
          <w:sz w:val="15"/>
          <w:szCs w:val="15"/>
          <w:i w:val="1"/>
          <w:iCs w:val="1"/>
          <w:color w:val="auto"/>
        </w:rPr>
        <w:t xml:space="preserve"> </w:t>
      </w:r>
      <w:r>
        <w:rPr>
          <w:rFonts w:ascii="Arial" w:cs="Arial" w:eastAsia="Arial" w:hAnsi="Arial"/>
          <w:sz w:val="15"/>
          <w:szCs w:val="15"/>
          <w:color w:val="auto"/>
        </w:rPr>
        <w:t>banks provide a product their customers want, rather than letting customers seek loans from competitors.</w:t>
      </w:r>
    </w:p>
    <w:p>
      <w:pPr>
        <w:spacing w:after="0" w:line="55" w:lineRule="exact"/>
        <w:rPr>
          <w:rFonts w:ascii="Arial" w:cs="Arial" w:eastAsia="Arial" w:hAnsi="Arial"/>
          <w:sz w:val="15"/>
          <w:szCs w:val="15"/>
          <w:color w:val="auto"/>
        </w:rPr>
      </w:pPr>
    </w:p>
    <w:p>
      <w:pPr>
        <w:ind w:left="1780" w:right="379" w:hanging="161"/>
        <w:spacing w:after="0" w:line="251" w:lineRule="auto"/>
        <w:tabs>
          <w:tab w:leader="none" w:pos="1780" w:val="left"/>
        </w:tabs>
        <w:numPr>
          <w:ilvl w:val="0"/>
          <w:numId w:val="11"/>
        </w:numPr>
        <w:rPr>
          <w:rFonts w:ascii="Arial" w:cs="Arial" w:eastAsia="Arial" w:hAnsi="Arial"/>
          <w:sz w:val="15"/>
          <w:szCs w:val="15"/>
          <w:color w:val="auto"/>
        </w:rPr>
      </w:pPr>
      <w:r>
        <w:rPr>
          <w:rFonts w:ascii="Arial" w:cs="Arial" w:eastAsia="Arial" w:hAnsi="Arial"/>
          <w:sz w:val="15"/>
          <w:szCs w:val="15"/>
          <w:i w:val="1"/>
          <w:iCs w:val="1"/>
          <w:color w:val="auto"/>
        </w:rPr>
        <w:t>Institutional investor acceptance</w:t>
      </w:r>
      <w:r>
        <w:rPr>
          <w:rFonts w:ascii="Arial" w:cs="Arial" w:eastAsia="Arial" w:hAnsi="Arial"/>
          <w:sz w:val="15"/>
          <w:szCs w:val="15"/>
          <w:color w:val="auto"/>
        </w:rPr>
        <w:t>—Analyses by credit rating agencies, loan and bond buying institutions, and credit</w:t>
      </w:r>
      <w:r>
        <w:rPr>
          <w:rFonts w:ascii="Arial" w:cs="Arial" w:eastAsia="Arial" w:hAnsi="Arial"/>
          <w:sz w:val="15"/>
          <w:szCs w:val="15"/>
          <w:i w:val="1"/>
          <w:iCs w:val="1"/>
          <w:color w:val="auto"/>
        </w:rPr>
        <w:t xml:space="preserve"> </w:t>
      </w:r>
      <w:r>
        <w:rPr>
          <w:rFonts w:ascii="Arial" w:cs="Arial" w:eastAsia="Arial" w:hAnsi="Arial"/>
          <w:sz w:val="15"/>
          <w:szCs w:val="15"/>
          <w:color w:val="auto"/>
        </w:rPr>
        <w:t>underwriters help banks gain confidence that Upstart-powered loans are subject to significant and constant scrutiny from experts, the results of which are often publicly available.</w:t>
      </w:r>
    </w:p>
    <w:p>
      <w:pPr>
        <w:spacing w:after="0" w:line="23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Competitive Strengths</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Constantly Improving AI Models</w:t>
      </w:r>
    </w:p>
    <w:p>
      <w:pPr>
        <w:spacing w:after="0" w:line="105" w:lineRule="exact"/>
        <w:rPr>
          <w:sz w:val="20"/>
          <w:szCs w:val="20"/>
          <w:color w:val="auto"/>
        </w:rPr>
      </w:pPr>
    </w:p>
    <w:p>
      <w:pPr>
        <w:ind w:left="1180" w:right="319" w:firstLine="444"/>
        <w:spacing w:after="0" w:line="238" w:lineRule="auto"/>
        <w:rPr>
          <w:sz w:val="20"/>
          <w:szCs w:val="20"/>
          <w:color w:val="auto"/>
        </w:rPr>
      </w:pPr>
      <w:r>
        <w:rPr>
          <w:rFonts w:ascii="Arial" w:cs="Arial" w:eastAsia="Arial" w:hAnsi="Arial"/>
          <w:sz w:val="15"/>
          <w:szCs w:val="15"/>
          <w:color w:val="auto"/>
        </w:rPr>
        <w:t>We have been building and refining our AI models for more than eight years, and they have led directly to our growth and profitability. Our models currently incorporate more than 1,600 variables and are trained by more than 9 million repayment events. Beyond the advantages accrued by our constantly growing volume of training data, our data science team continues to update our modeling</w:t>
      </w:r>
    </w:p>
    <w:p>
      <w:pPr>
        <w:spacing w:after="0" w:line="154" w:lineRule="exact"/>
        <w:rPr>
          <w:sz w:val="20"/>
          <w:szCs w:val="20"/>
          <w:color w:val="auto"/>
        </w:rPr>
      </w:pPr>
    </w:p>
    <w:p>
      <w:pPr>
        <w:ind w:left="1620" w:right="119" w:hanging="441"/>
        <w:spacing w:after="0" w:line="207" w:lineRule="auto"/>
        <w:tabs>
          <w:tab w:leader="none" w:pos="1620" w:val="left"/>
        </w:tabs>
        <w:numPr>
          <w:ilvl w:val="0"/>
          <w:numId w:val="12"/>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The disclosed figure represents the weighted average of the Net Promoter Scores of each of our bank partners in the third quarter of 2020.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 For further information, see the section titled “Industry, Market and Other Data.”</w:t>
      </w:r>
    </w:p>
    <w:p>
      <w:pPr>
        <w:spacing w:after="0" w:line="1" w:lineRule="exact"/>
        <w:rPr>
          <w:rFonts w:ascii="Arial" w:cs="Arial" w:eastAsia="Arial" w:hAnsi="Arial"/>
          <w:sz w:val="20"/>
          <w:szCs w:val="20"/>
          <w:color w:val="auto"/>
          <w:vertAlign w:val="superscript"/>
        </w:rPr>
      </w:pPr>
    </w:p>
    <w:p>
      <w:pPr>
        <w:ind w:left="1620" w:right="199" w:hanging="441"/>
        <w:spacing w:after="0" w:line="201" w:lineRule="auto"/>
        <w:tabs>
          <w:tab w:leader="none" w:pos="1620" w:val="left"/>
        </w:tabs>
        <w:numPr>
          <w:ilvl w:val="0"/>
          <w:numId w:val="12"/>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0"/>
          <w:szCs w:val="20"/>
          <w:color w:val="auto"/>
          <w:vertAlign w:val="superscript"/>
        </w:rPr>
      </w:pPr>
    </w:p>
    <w:p>
      <w:pPr>
        <w:ind w:left="1620" w:hanging="441"/>
        <w:spacing w:after="0" w:line="188" w:lineRule="auto"/>
        <w:tabs>
          <w:tab w:leader="none" w:pos="1620" w:val="left"/>
        </w:tabs>
        <w:numPr>
          <w:ilvl w:val="0"/>
          <w:numId w:val="12"/>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139"/>
          </w:cols>
          <w:pgMar w:left="320" w:top="407" w:right="1440"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4292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3905" cy="54292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180" w:right="279"/>
        <w:spacing w:after="0"/>
        <w:rPr>
          <w:sz w:val="20"/>
          <w:szCs w:val="20"/>
          <w:color w:val="auto"/>
        </w:rPr>
      </w:pPr>
      <w:r>
        <w:rPr>
          <w:rFonts w:ascii="Arial" w:cs="Arial" w:eastAsia="Arial" w:hAnsi="Arial"/>
          <w:sz w:val="15"/>
          <w:szCs w:val="15"/>
          <w:color w:val="auto"/>
        </w:rPr>
        <w:t>techniques regularly. Model and technology improvements have increased our conversion rate from the initial rate inquiry to funded loan by a factor of ten since inception. We have a pipeline of potential model improvements that we expect will further increase our conversion rates in the future.</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Flexible Two-Sided Ecosystem</w:t>
      </w:r>
    </w:p>
    <w:p>
      <w:pPr>
        <w:spacing w:after="0" w:line="105" w:lineRule="exact"/>
        <w:rPr>
          <w:sz w:val="20"/>
          <w:szCs w:val="20"/>
          <w:color w:val="auto"/>
        </w:rPr>
      </w:pPr>
    </w:p>
    <w:p>
      <w:pPr>
        <w:ind w:left="1180" w:right="419" w:firstLine="444"/>
        <w:spacing w:after="0"/>
        <w:rPr>
          <w:sz w:val="20"/>
          <w:szCs w:val="20"/>
          <w:color w:val="auto"/>
        </w:rPr>
      </w:pPr>
      <w:r>
        <w:rPr>
          <w:rFonts w:ascii="Arial" w:cs="Arial" w:eastAsia="Arial" w:hAnsi="Arial"/>
          <w:sz w:val="15"/>
          <w:szCs w:val="15"/>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70" w:lineRule="exact"/>
        <w:rPr>
          <w:sz w:val="20"/>
          <w:szCs w:val="20"/>
          <w:color w:val="auto"/>
        </w:rPr>
      </w:pPr>
    </w:p>
    <w:p>
      <w:pPr>
        <w:ind w:left="1180" w:right="239" w:firstLine="444"/>
        <w:spacing w:after="0"/>
        <w:rPr>
          <w:sz w:val="20"/>
          <w:szCs w:val="20"/>
          <w:color w:val="auto"/>
        </w:rPr>
      </w:pPr>
      <w:r>
        <w:rPr>
          <w:rFonts w:ascii="Arial" w:cs="Arial" w:eastAsia="Arial" w:hAnsi="Arial"/>
          <w:sz w:val="15"/>
          <w:szCs w:val="15"/>
          <w:color w:val="auto"/>
        </w:rPr>
        <w:t>With an expanding list of bank partners, we can solve the borrowing needs of an increasingly diverse array of consumers. As more banks leverage the Upstart platform, consumers benefit from better offers of credit, while experiencing a consistently high-quality experience.</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Capital Efficient Fee-Based Business</w:t>
      </w:r>
    </w:p>
    <w:p>
      <w:pPr>
        <w:spacing w:after="0" w:line="105" w:lineRule="exact"/>
        <w:rPr>
          <w:sz w:val="20"/>
          <w:szCs w:val="20"/>
          <w:color w:val="auto"/>
        </w:rPr>
      </w:pPr>
    </w:p>
    <w:p>
      <w:pPr>
        <w:ind w:left="1180" w:right="199" w:firstLine="444"/>
        <w:spacing w:after="0"/>
        <w:rPr>
          <w:sz w:val="20"/>
          <w:szCs w:val="20"/>
          <w:color w:val="auto"/>
        </w:rPr>
      </w:pPr>
      <w:r>
        <w:rPr>
          <w:rFonts w:ascii="Arial" w:cs="Arial" w:eastAsia="Arial" w:hAnsi="Arial"/>
          <w:sz w:val="15"/>
          <w:szCs w:val="15"/>
          <w:color w:val="auto"/>
        </w:rPr>
        <w:t>In the third quarter of 2020, we generated 96% of revenue from fees from banks and loan servicing. We have also achieved a high degree of automation, with approximately 70% of Upstart-powered loans approved instantly and fully automated in the third quarter of 2020, driving operating leverage and improving unit economics.</w:t>
      </w:r>
    </w:p>
    <w:p>
      <w:pPr>
        <w:spacing w:after="0" w:line="242"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Regulatory Compliance</w:t>
      </w:r>
    </w:p>
    <w:p>
      <w:pPr>
        <w:spacing w:after="0" w:line="10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 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2"/>
          <w:szCs w:val="12"/>
          <w:color w:val="auto"/>
        </w:rPr>
        <w:t>52</w:t>
      </w:r>
    </w:p>
    <w:p>
      <w:pPr>
        <w:spacing w:after="0" w:line="168" w:lineRule="exact"/>
        <w:rPr>
          <w:sz w:val="20"/>
          <w:szCs w:val="20"/>
          <w:color w:val="auto"/>
        </w:rPr>
      </w:pPr>
    </w:p>
    <w:p>
      <w:pPr>
        <w:ind w:left="1180" w:right="159" w:firstLine="444"/>
        <w:spacing w:after="0" w:line="239" w:lineRule="auto"/>
        <w:rPr>
          <w:sz w:val="20"/>
          <w:szCs w:val="20"/>
          <w:color w:val="auto"/>
        </w:rPr>
      </w:pPr>
      <w:r>
        <w:rPr>
          <w:rFonts w:ascii="Arial" w:cs="Arial" w:eastAsia="Arial" w:hAnsi="Arial"/>
          <w:sz w:val="15"/>
          <w:szCs w:val="15"/>
          <w:color w:val="auto"/>
        </w:rPr>
        <w:t>In September 2017, we received the CFPB’s first no-action letter.</w:t>
      </w:r>
      <w:r>
        <w:rPr>
          <w:rFonts w:ascii="Arial" w:cs="Arial" w:eastAsia="Arial" w:hAnsi="Arial"/>
          <w:sz w:val="12"/>
          <w:szCs w:val="12"/>
          <w:color w:val="auto"/>
        </w:rPr>
        <w:t>53</w:t>
      </w:r>
      <w:r>
        <w:rPr>
          <w:rFonts w:ascii="Arial" w:cs="Arial" w:eastAsia="Arial" w:hAnsi="Arial"/>
          <w:sz w:val="15"/>
          <w:szCs w:val="15"/>
          <w:color w:val="auto"/>
        </w:rPr>
        <w:t xml:space="preserve"> The CFPB issues no-action letters to reduce potential regulatory uncertainty for innovative products that may offer significant consumer benefit.</w:t>
      </w:r>
      <w:r>
        <w:rPr>
          <w:rFonts w:ascii="Arial" w:cs="Arial" w:eastAsia="Arial" w:hAnsi="Arial"/>
          <w:sz w:val="12"/>
          <w:szCs w:val="12"/>
          <w:color w:val="auto"/>
        </w:rPr>
        <w:t>54</w:t>
      </w:r>
      <w:r>
        <w:rPr>
          <w:rFonts w:ascii="Arial" w:cs="Arial" w:eastAsia="Arial" w:hAnsi="Arial"/>
          <w:sz w:val="15"/>
          <w:szCs w:val="15"/>
          <w:color w:val="auto"/>
        </w:rPr>
        <w:t xml:space="preserve"> On November 30, 2020, at the expiration of our first no-action letter, we received a new no-action letter from the CFPB, which expires on November 30, 2023. At this time, we do not know of any other lending platforms that have received similar no-action letters for fair lending from the CFPB.</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Our Growth Strategy</w:t>
      </w:r>
    </w:p>
    <w:p>
      <w:pPr>
        <w:spacing w:after="0" w:line="87"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Model Improvements</w:t>
      </w:r>
    </w:p>
    <w:p>
      <w:pPr>
        <w:spacing w:after="0" w:line="105"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 A more efficient funnel also has the effect of enabling new marketing and acquisition channels that may not have been economical in the past, providing a second-order growth driver.</w:t>
      </w:r>
    </w:p>
    <w:p>
      <w:pPr>
        <w:spacing w:after="0" w:line="364" w:lineRule="exact"/>
        <w:rPr>
          <w:sz w:val="20"/>
          <w:szCs w:val="20"/>
          <w:color w:val="auto"/>
        </w:rPr>
      </w:pPr>
    </w:p>
    <w:p>
      <w:pPr>
        <w:ind w:left="1620" w:hanging="441"/>
        <w:spacing w:after="0"/>
        <w:tabs>
          <w:tab w:leader="none" w:pos="1620" w:val="left"/>
        </w:tabs>
        <w:numPr>
          <w:ilvl w:val="0"/>
          <w:numId w:val="13"/>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620" w:hanging="441"/>
        <w:spacing w:after="0" w:line="188" w:lineRule="auto"/>
        <w:tabs>
          <w:tab w:leader="none" w:pos="1620" w:val="left"/>
        </w:tabs>
        <w:numPr>
          <w:ilvl w:val="0"/>
          <w:numId w:val="13"/>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620" w:hanging="441"/>
        <w:spacing w:after="0" w:line="188" w:lineRule="auto"/>
        <w:tabs>
          <w:tab w:leader="none" w:pos="1620" w:val="left"/>
        </w:tabs>
        <w:numPr>
          <w:ilvl w:val="0"/>
          <w:numId w:val="13"/>
        </w:numPr>
        <w:rPr>
          <w:rFonts w:ascii="Arial" w:cs="Arial" w:eastAsia="Arial" w:hAnsi="Arial"/>
          <w:sz w:val="16"/>
          <w:szCs w:val="16"/>
          <w:color w:val="auto"/>
          <w:vertAlign w:val="superscript"/>
        </w:rPr>
      </w:pPr>
      <w:r>
        <w:rPr>
          <w:rFonts w:ascii="Arial" w:cs="Arial" w:eastAsia="Arial" w:hAnsi="Arial"/>
          <w:sz w:val="10"/>
          <w:szCs w:val="10"/>
          <w:color w:val="auto"/>
        </w:rPr>
        <w:t>Consumer Financial Protection Bureau, Policy on No-Action Letters, September 2019.</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139"/>
          </w:cols>
          <w:pgMar w:left="320" w:top="407"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5149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3905" cy="5149850"/>
                    </a:xfrm>
                    <a:prstGeom prst="rect">
                      <a:avLst/>
                    </a:prstGeom>
                    <a:noFill/>
                  </pic:spPr>
                </pic:pic>
              </a:graphicData>
            </a:graphic>
          </wp:anchor>
        </w:drawing>
      </w:r>
    </w:p>
    <w:p>
      <w:pPr>
        <w:spacing w:after="0" w:line="389"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More Efficient Funding</w:t>
      </w:r>
    </w:p>
    <w:p>
      <w:pPr>
        <w:spacing w:after="0" w:line="10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regularly, as credit rating agencies and loan and residual buyers gain confidence in the credit performance of Upstart-powered loans.</w:t>
      </w:r>
    </w:p>
    <w:p>
      <w:pPr>
        <w:spacing w:after="0" w:line="170" w:lineRule="exact"/>
        <w:rPr>
          <w:sz w:val="20"/>
          <w:szCs w:val="20"/>
          <w:color w:val="auto"/>
        </w:rPr>
      </w:pPr>
    </w:p>
    <w:p>
      <w:pPr>
        <w:ind w:left="1180" w:right="119" w:firstLine="444"/>
        <w:spacing w:after="0" w:line="245" w:lineRule="auto"/>
        <w:rPr>
          <w:sz w:val="20"/>
          <w:szCs w:val="20"/>
          <w:color w:val="auto"/>
        </w:rPr>
      </w:pPr>
      <w:r>
        <w:rPr>
          <w:rFonts w:ascii="Arial" w:cs="Arial" w:eastAsia="Arial" w:hAnsi="Arial"/>
          <w:sz w:val="15"/>
          <w:szCs w:val="15"/>
          <w:color w:val="auto"/>
        </w:rPr>
        <w:t>Our internal data suggests that each 100 basis point reduction in interest rate offered to the consumer increases conversion by 15%.</w:t>
      </w:r>
      <w:r>
        <w:rPr>
          <w:rFonts w:ascii="Arial" w:cs="Arial" w:eastAsia="Arial" w:hAnsi="Arial"/>
          <w:sz w:val="12"/>
          <w:szCs w:val="12"/>
          <w:color w:val="auto"/>
        </w:rPr>
        <w:t>55</w:t>
      </w:r>
      <w:r>
        <w:rPr>
          <w:rFonts w:ascii="Arial" w:cs="Arial" w:eastAsia="Arial" w:hAnsi="Arial"/>
          <w:sz w:val="15"/>
          <w:szCs w:val="15"/>
          <w:color w:val="auto"/>
        </w:rPr>
        <w:t xml:space="preserve"> Therefore, reduced cost of funding can be a direct driver of growth.</w:t>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Bank Distribution</w:t>
      </w:r>
    </w:p>
    <w:p>
      <w:pPr>
        <w:spacing w:after="0" w:line="105" w:lineRule="exact"/>
        <w:rPr>
          <w:sz w:val="20"/>
          <w:szCs w:val="20"/>
          <w:color w:val="auto"/>
        </w:rPr>
      </w:pPr>
    </w:p>
    <w:p>
      <w:pPr>
        <w:ind w:left="1180" w:right="119" w:firstLine="444"/>
        <w:spacing w:after="0" w:line="238" w:lineRule="auto"/>
        <w:rPr>
          <w:sz w:val="20"/>
          <w:szCs w:val="20"/>
          <w:color w:val="auto"/>
        </w:rPr>
      </w:pPr>
      <w:r>
        <w:rPr>
          <w:rFonts w:ascii="Arial" w:cs="Arial" w:eastAsia="Arial" w:hAnsi="Arial"/>
          <w:sz w:val="15"/>
          <w:szCs w:val="15"/>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white-labeled versions of Upstart to serve their new and existing customers directly.</w:t>
      </w:r>
    </w:p>
    <w:p>
      <w:pPr>
        <w:spacing w:after="0" w:line="244" w:lineRule="exact"/>
        <w:rPr>
          <w:sz w:val="20"/>
          <w:szCs w:val="20"/>
          <w:color w:val="auto"/>
        </w:rPr>
      </w:pPr>
    </w:p>
    <w:p>
      <w:pPr>
        <w:ind w:left="1620"/>
        <w:spacing w:after="0"/>
        <w:rPr>
          <w:sz w:val="20"/>
          <w:szCs w:val="20"/>
          <w:color w:val="auto"/>
        </w:rPr>
      </w:pPr>
      <w:r>
        <w:rPr>
          <w:rFonts w:ascii="Arial" w:cs="Arial" w:eastAsia="Arial" w:hAnsi="Arial"/>
          <w:sz w:val="15"/>
          <w:szCs w:val="15"/>
          <w:b w:val="1"/>
          <w:bCs w:val="1"/>
          <w:i w:val="1"/>
          <w:iCs w:val="1"/>
          <w:color w:val="auto"/>
        </w:rPr>
        <w:t>New Products</w:t>
      </w:r>
    </w:p>
    <w:p>
      <w:pPr>
        <w:spacing w:after="0" w:line="103" w:lineRule="exact"/>
        <w:rPr>
          <w:sz w:val="20"/>
          <w:szCs w:val="20"/>
          <w:color w:val="auto"/>
        </w:rPr>
      </w:pPr>
    </w:p>
    <w:p>
      <w:pPr>
        <w:ind w:left="1180" w:right="219" w:firstLine="444"/>
        <w:spacing w:after="0" w:line="238" w:lineRule="auto"/>
        <w:rPr>
          <w:sz w:val="20"/>
          <w:szCs w:val="20"/>
          <w:color w:val="auto"/>
        </w:rPr>
      </w:pPr>
      <w:r>
        <w:rPr>
          <w:rFonts w:ascii="Arial" w:cs="Arial" w:eastAsia="Arial" w:hAnsi="Arial"/>
          <w:sz w:val="15"/>
          <w:szCs w:val="15"/>
          <w:color w:val="auto"/>
        </w:rPr>
        <w:t>Personal loans are one of the fastest-growing segment of consumer credit in the U.S., but they are far from the largest.</w:t>
      </w:r>
      <w:r>
        <w:rPr>
          <w:rFonts w:ascii="Arial" w:cs="Arial" w:eastAsia="Arial" w:hAnsi="Arial"/>
          <w:sz w:val="12"/>
          <w:szCs w:val="12"/>
          <w:color w:val="auto"/>
        </w:rPr>
        <w:t>56</w:t>
      </w:r>
      <w:r>
        <w:rPr>
          <w:rFonts w:ascii="Arial" w:cs="Arial" w:eastAsia="Arial" w:hAnsi="Arial"/>
          <w:sz w:val="15"/>
          <w:szCs w:val="15"/>
          <w:color w:val="auto"/>
        </w:rPr>
        <w:t xml:space="preserve"> As we apply our AI models and technology to other credit verticals, we will be able to serve the needs of more consumers and to play a broader technology enablement role for our bank partners. There is significant opportunity to expand from personal loans to auto loans, credit cards, mortgages, student loans, point-of-sale loans and HELOCs. In June 2020, we began offering auto loans on our platform, and in September 2020, the first auto loan was originated through the Upstart platform.</w:t>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Risk Factors Summary</w:t>
      </w:r>
    </w:p>
    <w:p>
      <w:pPr>
        <w:spacing w:after="0" w:line="105" w:lineRule="exact"/>
        <w:rPr>
          <w:sz w:val="20"/>
          <w:szCs w:val="20"/>
          <w:color w:val="auto"/>
        </w:rPr>
      </w:pPr>
    </w:p>
    <w:p>
      <w:pPr>
        <w:ind w:left="1180" w:right="439" w:firstLine="444"/>
        <w:spacing w:after="0" w:line="245" w:lineRule="auto"/>
        <w:rPr>
          <w:sz w:val="20"/>
          <w:szCs w:val="20"/>
          <w:color w:val="auto"/>
        </w:rPr>
      </w:pPr>
      <w:r>
        <w:rPr>
          <w:rFonts w:ascii="Arial" w:cs="Arial" w:eastAsia="Arial" w:hAnsi="Arial"/>
          <w:sz w:val="15"/>
          <w:szCs w:val="15"/>
          <w:color w:val="auto"/>
        </w:rPr>
        <w:t>Our business is subject to numerous risks and uncertainties, including those highlighted in the section titled “Risk Factors” immediately following this prospectus summary. These risks include, but are not limited to, the following:</w:t>
      </w:r>
    </w:p>
    <w:p>
      <w:pPr>
        <w:spacing w:after="0" w:line="87" w:lineRule="exact"/>
        <w:rPr>
          <w:sz w:val="20"/>
          <w:szCs w:val="20"/>
          <w:color w:val="auto"/>
        </w:rPr>
      </w:pPr>
    </w:p>
    <w:p>
      <w:pPr>
        <w:ind w:left="1780" w:right="919" w:hanging="161"/>
        <w:spacing w:after="0" w:line="245" w:lineRule="auto"/>
        <w:tabs>
          <w:tab w:leader="none" w:pos="1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are a rapidly growing company with a relatively limited operating history, which may result in increased risks, uncertainties, expenses and difficulties, and makes it difficult to evaluate our future prospects.</w:t>
      </w:r>
    </w:p>
    <w:p>
      <w:pPr>
        <w:spacing w:after="0" w:line="87" w:lineRule="exact"/>
        <w:rPr>
          <w:rFonts w:ascii="Arial" w:cs="Arial" w:eastAsia="Arial" w:hAnsi="Arial"/>
          <w:sz w:val="15"/>
          <w:szCs w:val="15"/>
          <w:color w:val="auto"/>
        </w:rPr>
      </w:pPr>
    </w:p>
    <w:p>
      <w:pPr>
        <w:ind w:left="1780" w:right="239" w:hanging="161"/>
        <w:spacing w:after="0" w:line="245" w:lineRule="auto"/>
        <w:tabs>
          <w:tab w:leader="none" w:pos="1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revenue growth rate and financial performance in recent periods may not be indicative of future performance and such growth may slow over time.</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COVID-19 pandemic has harmed and could continue to harm our business, financial condition and results of operations.</w:t>
      </w:r>
    </w:p>
    <w:p>
      <w:pPr>
        <w:spacing w:after="0" w:line="109" w:lineRule="exact"/>
        <w:rPr>
          <w:rFonts w:ascii="Arial" w:cs="Arial" w:eastAsia="Arial" w:hAnsi="Arial"/>
          <w:sz w:val="14"/>
          <w:szCs w:val="14"/>
          <w:color w:val="auto"/>
        </w:rPr>
      </w:pPr>
    </w:p>
    <w:p>
      <w:pPr>
        <w:ind w:left="1780" w:right="419" w:hanging="161"/>
        <w:spacing w:after="0" w:line="245" w:lineRule="auto"/>
        <w:tabs>
          <w:tab w:leader="none" w:pos="1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we fail to effectively manage our growth, our business, financial condition and results of operations could be adversely affected.</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We have incurred net losses in the past, and we may not be able to maintain or increase our profitability in the future.</w:t>
      </w:r>
    </w:p>
    <w:p>
      <w:pPr>
        <w:spacing w:after="0" w:line="260" w:lineRule="exact"/>
        <w:rPr>
          <w:sz w:val="20"/>
          <w:szCs w:val="20"/>
          <w:color w:val="auto"/>
        </w:rPr>
      </w:pPr>
    </w:p>
    <w:p>
      <w:pPr>
        <w:ind w:left="1620" w:right="99" w:hanging="441"/>
        <w:spacing w:after="0" w:line="192" w:lineRule="auto"/>
        <w:tabs>
          <w:tab w:leader="none" w:pos="1620"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In a series of internal studies conducted in April 2016, September 2016 and January 2018, Upstart compared changes in conversion rates between test groups of Upstart loan applicants when loan offer APRs were increased or decreased for certain groups. The average change in conversion rates across the three studies is presented.</w:t>
      </w:r>
    </w:p>
    <w:p>
      <w:pPr>
        <w:ind w:left="1620" w:hanging="441"/>
        <w:spacing w:after="0" w:line="188" w:lineRule="auto"/>
        <w:tabs>
          <w:tab w:leader="none" w:pos="1620" w:val="left"/>
        </w:tabs>
        <w:numPr>
          <w:ilvl w:val="0"/>
          <w:numId w:val="15"/>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139"/>
          </w:cols>
          <w:pgMar w:left="320" w:top="407" w:right="1440"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704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3905" cy="467042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780" w:hanging="161"/>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quarterly results are likely to fluctuate and as a result may adversely affect the trading price of our common stock.</w:t>
      </w:r>
    </w:p>
    <w:p>
      <w:pPr>
        <w:spacing w:after="0" w:line="97" w:lineRule="exact"/>
        <w:rPr>
          <w:rFonts w:ascii="Arial" w:cs="Arial" w:eastAsia="Arial" w:hAnsi="Arial"/>
          <w:sz w:val="15"/>
          <w:szCs w:val="15"/>
          <w:color w:val="auto"/>
        </w:rPr>
      </w:pPr>
    </w:p>
    <w:p>
      <w:pPr>
        <w:ind w:left="1780" w:right="459" w:hanging="161"/>
        <w:spacing w:after="0" w:line="245"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87" w:lineRule="exact"/>
        <w:rPr>
          <w:rFonts w:ascii="Arial" w:cs="Arial" w:eastAsia="Arial" w:hAnsi="Arial"/>
          <w:sz w:val="15"/>
          <w:szCs w:val="15"/>
          <w:color w:val="auto"/>
        </w:rPr>
      </w:pPr>
    </w:p>
    <w:p>
      <w:pPr>
        <w:ind w:left="1780" w:right="179" w:hanging="161"/>
        <w:spacing w:after="0" w:line="245"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Cross River Bank and one other bank partner account for a substantial portion of the total number of loans facilitated by our platform and our revenue.</w:t>
      </w:r>
    </w:p>
    <w:p>
      <w:pPr>
        <w:spacing w:after="0" w:line="87" w:lineRule="exact"/>
        <w:rPr>
          <w:rFonts w:ascii="Arial" w:cs="Arial" w:eastAsia="Arial" w:hAnsi="Arial"/>
          <w:sz w:val="15"/>
          <w:szCs w:val="15"/>
          <w:color w:val="auto"/>
        </w:rPr>
      </w:pPr>
    </w:p>
    <w:p>
      <w:pPr>
        <w:ind w:left="1780" w:right="739" w:hanging="161"/>
        <w:spacing w:after="0" w:line="245"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sales and onboarding process of new bank partners could take longer than expected, leading to fluctuations or variability in expected revenues and results of operations.</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business may be adversely affected by economic conditions and other factors that we cannot control.</w:t>
      </w:r>
    </w:p>
    <w:p>
      <w:pPr>
        <w:spacing w:after="0" w:line="97" w:lineRule="exact"/>
        <w:rPr>
          <w:rFonts w:ascii="Arial" w:cs="Arial" w:eastAsia="Arial" w:hAnsi="Arial"/>
          <w:sz w:val="15"/>
          <w:szCs w:val="15"/>
          <w:color w:val="auto"/>
        </w:rPr>
      </w:pPr>
    </w:p>
    <w:p>
      <w:pPr>
        <w:ind w:left="1780" w:right="319" w:hanging="161"/>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91"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If we are unable to maintain a diverse and robust loan funding program, our growth prospects, business, financial condition and results of operations could be adversely affected.</w:t>
      </w:r>
    </w:p>
    <w:p>
      <w:pPr>
        <w:spacing w:after="0" w:line="87" w:lineRule="exact"/>
        <w:rPr>
          <w:rFonts w:ascii="Arial" w:cs="Arial" w:eastAsia="Arial" w:hAnsi="Arial"/>
          <w:sz w:val="15"/>
          <w:szCs w:val="15"/>
          <w:color w:val="auto"/>
        </w:rPr>
      </w:pPr>
    </w:p>
    <w:p>
      <w:pPr>
        <w:ind w:left="1780" w:right="159" w:hanging="161"/>
        <w:spacing w:after="0" w:line="245"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87" w:lineRule="exact"/>
        <w:rPr>
          <w:rFonts w:ascii="Arial" w:cs="Arial" w:eastAsia="Arial" w:hAnsi="Arial"/>
          <w:sz w:val="15"/>
          <w:szCs w:val="15"/>
          <w:color w:val="auto"/>
        </w:rPr>
      </w:pPr>
    </w:p>
    <w:p>
      <w:pPr>
        <w:ind w:left="1780" w:right="119" w:hanging="161"/>
        <w:spacing w:after="0" w:line="280" w:lineRule="auto"/>
        <w:tabs>
          <w:tab w:leader="none" w:pos="17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rely on strategic relationships with loan aggregators to attract applicants to our platform, and if we cannot maintain effective relationships with loan aggregators or successfully replace their services, our business could be adversely affected.</w:t>
      </w:r>
    </w:p>
    <w:p>
      <w:pPr>
        <w:spacing w:after="0" w:line="63" w:lineRule="exact"/>
        <w:rPr>
          <w:rFonts w:ascii="Arial" w:cs="Arial" w:eastAsia="Arial" w:hAnsi="Arial"/>
          <w:sz w:val="14"/>
          <w:szCs w:val="14"/>
          <w:color w:val="auto"/>
        </w:rPr>
      </w:pPr>
    </w:p>
    <w:p>
      <w:pPr>
        <w:jc w:val="both"/>
        <w:ind w:left="1780" w:right="179" w:hanging="161"/>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Channels for Disclosure of Information</w:t>
      </w:r>
    </w:p>
    <w:p>
      <w:pPr>
        <w:spacing w:after="0" w:line="105" w:lineRule="exact"/>
        <w:rPr>
          <w:sz w:val="20"/>
          <w:szCs w:val="20"/>
          <w:color w:val="auto"/>
        </w:rPr>
      </w:pPr>
    </w:p>
    <w:p>
      <w:pPr>
        <w:ind w:left="1180" w:right="99" w:firstLine="444"/>
        <w:spacing w:after="0" w:line="238" w:lineRule="auto"/>
        <w:rPr>
          <w:sz w:val="20"/>
          <w:szCs w:val="20"/>
          <w:color w:val="auto"/>
        </w:rPr>
      </w:pPr>
      <w:r>
        <w:rPr>
          <w:rFonts w:ascii="Arial" w:cs="Arial" w:eastAsia="Arial" w:hAnsi="Arial"/>
          <w:sz w:val="15"/>
          <w:szCs w:val="15"/>
          <w:color w:val="auto"/>
        </w:rPr>
        <w:t>Investors, the media and others should note that, following the completion of this offering, we intend to announce material information to the public through filings with the Securities and Exchange Commission, or the SEC, our corporate blog at Upstart.com/blog, the investor relations page on our website, press releases, our Twitter account (@Upstart), our Facebook page, our LinkedIn page, public conference calls or webcasts.</w:t>
      </w:r>
    </w:p>
    <w:p>
      <w:pPr>
        <w:spacing w:after="0" w:line="172" w:lineRule="exact"/>
        <w:rPr>
          <w:sz w:val="20"/>
          <w:szCs w:val="20"/>
          <w:color w:val="auto"/>
        </w:rPr>
      </w:pPr>
    </w:p>
    <w:p>
      <w:pPr>
        <w:ind w:left="1180" w:right="259" w:firstLine="444"/>
        <w:spacing w:after="0" w:line="245" w:lineRule="auto"/>
        <w:rPr>
          <w:sz w:val="20"/>
          <w:szCs w:val="20"/>
          <w:color w:val="auto"/>
        </w:rPr>
      </w:pPr>
      <w:r>
        <w:rPr>
          <w:rFonts w:ascii="Arial" w:cs="Arial" w:eastAsia="Arial" w:hAnsi="Arial"/>
          <w:sz w:val="15"/>
          <w:szCs w:val="15"/>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66" w:lineRule="exact"/>
        <w:rPr>
          <w:sz w:val="20"/>
          <w:szCs w:val="20"/>
          <w:color w:val="auto"/>
        </w:rPr>
      </w:pPr>
    </w:p>
    <w:p>
      <w:pPr>
        <w:ind w:left="1180" w:right="579" w:firstLine="444"/>
        <w:spacing w:after="0" w:line="245" w:lineRule="auto"/>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139"/>
          </w:cols>
          <w:pgMar w:left="320" w:top="407" w:right="1440"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70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3905" cy="4670425"/>
                    </a:xfrm>
                    <a:prstGeom prst="rect">
                      <a:avLst/>
                    </a:prstGeom>
                    <a:noFill/>
                  </pic:spPr>
                </pic:pic>
              </a:graphicData>
            </a:graphic>
          </wp:anchor>
        </w:drawing>
      </w:r>
    </w:p>
    <w:p>
      <w:pPr>
        <w:spacing w:after="0" w:line="389"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Corporate Information</w:t>
      </w:r>
    </w:p>
    <w:p>
      <w:pPr>
        <w:spacing w:after="0" w:line="105" w:lineRule="exact"/>
        <w:rPr>
          <w:sz w:val="20"/>
          <w:szCs w:val="20"/>
          <w:color w:val="auto"/>
        </w:rPr>
      </w:pPr>
    </w:p>
    <w:p>
      <w:pPr>
        <w:ind w:left="1180" w:right="119" w:firstLine="444"/>
        <w:spacing w:after="0" w:line="237" w:lineRule="auto"/>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Our principal executive offices are located at 2950 S. Delaware Street, Suite 300, San Mateo, California 94403, and our telephone number is (650) 204-1000. Our website address is www.Upstart.com. Information contained on, or that can be accessed through, our website does not constitute part of this prospectus and inclusions of our website address in this prospectus are inactive textual references only. You should not consider information contained on our website to be part of this prospectus or in deciding whether to purchase shares of our common stock.</w:t>
      </w:r>
    </w:p>
    <w:p>
      <w:pPr>
        <w:spacing w:after="0" w:line="172" w:lineRule="exact"/>
        <w:rPr>
          <w:sz w:val="20"/>
          <w:szCs w:val="20"/>
          <w:color w:val="auto"/>
        </w:rPr>
      </w:pPr>
    </w:p>
    <w:p>
      <w:pPr>
        <w:ind w:left="1180" w:right="219" w:firstLine="444"/>
        <w:spacing w:after="0"/>
        <w:rPr>
          <w:sz w:val="20"/>
          <w:szCs w:val="20"/>
          <w:color w:val="auto"/>
        </w:rPr>
      </w:pPr>
      <w:r>
        <w:rPr>
          <w:rFonts w:ascii="Arial" w:cs="Arial" w:eastAsia="Arial" w:hAnsi="Arial"/>
          <w:sz w:val="15"/>
          <w:szCs w:val="15"/>
          <w:color w:val="auto"/>
        </w:rPr>
        <w:t>Upstart, our logo, and our other registered or common law trademarks, service marks, or trade names appearing in this prospectus are the property of Upstart Holdings, Inc. or one of its subsidiaries. Other trademarks and trade names referred to in this prospectus are the property of their respective owners.</w:t>
      </w:r>
    </w:p>
    <w:p>
      <w:pPr>
        <w:spacing w:after="0" w:line="24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JOBS Act</w:t>
      </w:r>
    </w:p>
    <w:p>
      <w:pPr>
        <w:spacing w:after="0" w:line="105" w:lineRule="exact"/>
        <w:rPr>
          <w:sz w:val="20"/>
          <w:szCs w:val="20"/>
          <w:color w:val="auto"/>
        </w:rPr>
      </w:pPr>
    </w:p>
    <w:p>
      <w:pPr>
        <w:jc w:val="both"/>
        <w:ind w:left="1180" w:right="99" w:firstLine="444"/>
        <w:spacing w:after="0"/>
        <w:rPr>
          <w:sz w:val="20"/>
          <w:szCs w:val="20"/>
          <w:color w:val="auto"/>
        </w:rPr>
      </w:pPr>
      <w:r>
        <w:rPr>
          <w:rFonts w:ascii="Arial" w:cs="Arial" w:eastAsia="Arial" w:hAnsi="Arial"/>
          <w:sz w:val="15"/>
          <w:szCs w:val="15"/>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91" w:lineRule="exact"/>
        <w:rPr>
          <w:sz w:val="20"/>
          <w:szCs w:val="20"/>
          <w:color w:val="auto"/>
        </w:rPr>
      </w:pPr>
    </w:p>
    <w:p>
      <w:pPr>
        <w:ind w:left="1780" w:right="33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reduced obligations with respect to financial data, including presenting only two years of audited financial statements and only two years of selected financial data;</w:t>
      </w:r>
    </w:p>
    <w:p>
      <w:pPr>
        <w:spacing w:after="0" w:line="87" w:lineRule="exact"/>
        <w:rPr>
          <w:rFonts w:ascii="Arial" w:cs="Arial" w:eastAsia="Arial" w:hAnsi="Arial"/>
          <w:sz w:val="15"/>
          <w:szCs w:val="15"/>
          <w:color w:val="auto"/>
        </w:rPr>
      </w:pPr>
    </w:p>
    <w:p>
      <w:pPr>
        <w:ind w:left="1780" w:right="9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an exception from compliance with the auditor attestation requirements of Section 404 of the Sarbanes-Oxley Act of 2002, or the Sarbanes-Oxley Act;</w:t>
      </w:r>
    </w:p>
    <w:p>
      <w:pPr>
        <w:spacing w:after="0" w:line="87" w:lineRule="exact"/>
        <w:rPr>
          <w:rFonts w:ascii="Arial" w:cs="Arial" w:eastAsia="Arial" w:hAnsi="Arial"/>
          <w:sz w:val="15"/>
          <w:szCs w:val="15"/>
          <w:color w:val="auto"/>
        </w:rPr>
      </w:pPr>
    </w:p>
    <w:p>
      <w:pPr>
        <w:ind w:left="1780" w:right="75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reduced disclosure about our executive compensation arrangements in our periodic reports, proxy statements, and registration statements; and</w:t>
      </w:r>
    </w:p>
    <w:p>
      <w:pPr>
        <w:spacing w:after="0" w:line="87" w:lineRule="exact"/>
        <w:rPr>
          <w:rFonts w:ascii="Arial" w:cs="Arial" w:eastAsia="Arial" w:hAnsi="Arial"/>
          <w:sz w:val="15"/>
          <w:szCs w:val="15"/>
          <w:color w:val="auto"/>
        </w:rPr>
      </w:pPr>
    </w:p>
    <w:p>
      <w:pPr>
        <w:ind w:left="1780" w:right="319" w:hanging="161"/>
        <w:spacing w:after="0" w:line="245" w:lineRule="auto"/>
        <w:tabs>
          <w:tab w:leader="none" w:pos="17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exemptions from the requirements of holding non-binding advisory votes on executive compensation or golden parachute arrangements.</w:t>
      </w:r>
    </w:p>
    <w:p>
      <w:pPr>
        <w:spacing w:after="0" w:line="166"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We may take advantage of these provisions for up to five years or such earlier time that we no longer qualify as an emerging growth company. We would cease to be an emerging growth company if we have more than $1.07 billion in annual revenues,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72" w:lineRule="exact"/>
        <w:rPr>
          <w:sz w:val="20"/>
          <w:szCs w:val="20"/>
          <w:color w:val="auto"/>
        </w:rPr>
      </w:pPr>
    </w:p>
    <w:p>
      <w:pPr>
        <w:ind w:left="1180" w:right="99" w:firstLine="444"/>
        <w:spacing w:after="0" w:line="237" w:lineRule="auto"/>
        <w:rPr>
          <w:sz w:val="20"/>
          <w:szCs w:val="20"/>
          <w:color w:val="auto"/>
        </w:rPr>
      </w:pPr>
      <w:r>
        <w:rPr>
          <w:rFonts w:ascii="Arial" w:cs="Arial" w:eastAsia="Arial" w:hAnsi="Arial"/>
          <w:sz w:val="15"/>
          <w:szCs w:val="15"/>
          <w:color w:val="auto"/>
        </w:rPr>
        <w:t>In addition, under the JOBS Act, emerging growth companies can delay adopting new or revised accounting standards until such time as those standards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spacing w:after="0" w:line="200" w:lineRule="exact"/>
        <w:rPr>
          <w:sz w:val="20"/>
          <w:szCs w:val="20"/>
          <w:color w:val="auto"/>
        </w:rPr>
      </w:pPr>
    </w:p>
    <w:p>
      <w:pPr>
        <w:spacing w:after="0" w:line="332"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139"/>
          </w:cols>
          <w:pgMar w:left="320" w:top="407" w:right="1440"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6202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3905" cy="4620260"/>
                    </a:xfrm>
                    <a:prstGeom prst="rect">
                      <a:avLst/>
                    </a:prstGeom>
                    <a:noFill/>
                  </pic:spPr>
                </pic:pic>
              </a:graphicData>
            </a:graphic>
          </wp:anchor>
        </w:drawing>
      </w:r>
    </w:p>
    <w:p>
      <w:pPr>
        <w:spacing w:after="0" w:line="389" w:lineRule="exact"/>
        <w:rPr>
          <w:sz w:val="20"/>
          <w:szCs w:val="20"/>
          <w:color w:val="auto"/>
        </w:rPr>
      </w:pPr>
    </w:p>
    <w:p>
      <w:pPr>
        <w:jc w:val="right"/>
        <w:ind w:right="4059"/>
        <w:spacing w:after="0"/>
        <w:rPr>
          <w:sz w:val="20"/>
          <w:szCs w:val="20"/>
          <w:color w:val="auto"/>
        </w:rPr>
      </w:pPr>
      <w:r>
        <w:rPr>
          <w:rFonts w:ascii="Arial" w:cs="Arial" w:eastAsia="Arial" w:hAnsi="Arial"/>
          <w:sz w:val="15"/>
          <w:szCs w:val="15"/>
          <w:b w:val="1"/>
          <w:bCs w:val="1"/>
          <w:color w:val="auto"/>
        </w:rPr>
        <w:t>The Offering</w:t>
      </w:r>
    </w:p>
    <w:p>
      <w:pPr>
        <w:sectPr>
          <w:pgSz w:w="11900" w:h="16838" w:orient="portrait"/>
          <w:cols w:equalWidth="0" w:num="1">
            <w:col w:w="10139"/>
          </w:cols>
          <w:pgMar w:left="320" w:top="407" w:right="1440" w:bottom="1440" w:gutter="0" w:footer="0" w:header="0"/>
        </w:sectPr>
      </w:pPr>
    </w:p>
    <w:p>
      <w:pPr>
        <w:spacing w:after="0" w:line="21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Common stock offered by us</w:t>
      </w:r>
    </w:p>
    <w:p>
      <w:pPr>
        <w:spacing w:after="0" w:line="75" w:lineRule="exact"/>
        <w:rPr>
          <w:sz w:val="20"/>
          <w:szCs w:val="20"/>
          <w:color w:val="auto"/>
        </w:rPr>
      </w:pPr>
    </w:p>
    <w:p>
      <w:pPr>
        <w:ind w:left="1180" w:right="1100"/>
        <w:spacing w:after="0" w:line="344" w:lineRule="auto"/>
        <w:rPr>
          <w:sz w:val="20"/>
          <w:szCs w:val="20"/>
          <w:color w:val="auto"/>
        </w:rPr>
      </w:pPr>
      <w:r>
        <w:rPr>
          <w:rFonts w:ascii="Arial" w:cs="Arial" w:eastAsia="Arial" w:hAnsi="Arial"/>
          <w:sz w:val="15"/>
          <w:szCs w:val="15"/>
          <w:color w:val="auto"/>
        </w:rPr>
        <w:t>Common stock offered by the selling stockholders Common stock to be outstanding after this offering</w:t>
      </w:r>
    </w:p>
    <w:p>
      <w:pPr>
        <w:spacing w:after="0" w:line="1" w:lineRule="exact"/>
        <w:rPr>
          <w:sz w:val="20"/>
          <w:szCs w:val="20"/>
          <w:color w:val="auto"/>
        </w:rPr>
      </w:pPr>
    </w:p>
    <w:p>
      <w:pPr>
        <w:ind w:left="1280" w:hanging="89"/>
        <w:spacing w:after="0" w:line="245" w:lineRule="auto"/>
        <w:rPr>
          <w:sz w:val="20"/>
          <w:szCs w:val="20"/>
          <w:color w:val="auto"/>
        </w:rPr>
      </w:pPr>
      <w:r>
        <w:rPr>
          <w:rFonts w:ascii="Arial" w:cs="Arial" w:eastAsia="Arial" w:hAnsi="Arial"/>
          <w:sz w:val="15"/>
          <w:szCs w:val="15"/>
          <w:color w:val="auto"/>
        </w:rPr>
        <w:t>Option to purchase additional shares of common stock from certain selling stockholders</w:t>
      </w:r>
    </w:p>
    <w:p>
      <w:pPr>
        <w:spacing w:after="0" w:line="223"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Indication of interest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9,000,000 shares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3,015,690 shares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color w:val="auto"/>
        </w:rPr>
        <w:t>72,460,881 shares</w:t>
      </w:r>
    </w:p>
    <w:p>
      <w:pPr>
        <w:spacing w:after="0" w:line="75" w:lineRule="exact"/>
        <w:rPr>
          <w:sz w:val="20"/>
          <w:szCs w:val="20"/>
          <w:color w:val="auto"/>
        </w:rPr>
      </w:pPr>
    </w:p>
    <w:p>
      <w:pPr>
        <w:ind w:right="119"/>
        <w:spacing w:after="0"/>
        <w:rPr>
          <w:sz w:val="20"/>
          <w:szCs w:val="20"/>
          <w:color w:val="auto"/>
        </w:rPr>
      </w:pPr>
      <w:r>
        <w:rPr>
          <w:rFonts w:ascii="Arial" w:cs="Arial" w:eastAsia="Arial" w:hAnsi="Arial"/>
          <w:sz w:val="15"/>
          <w:szCs w:val="15"/>
          <w:color w:val="auto"/>
        </w:rPr>
        <w:t>Certain selling stockholders have granted the underwriters an option, exercisable for 30 days from the date of this prospectus, to purchase up to 1,802,353 additional shares.</w:t>
      </w:r>
    </w:p>
    <w:p>
      <w:pPr>
        <w:spacing w:after="0" w:line="57" w:lineRule="exact"/>
        <w:rPr>
          <w:sz w:val="20"/>
          <w:szCs w:val="20"/>
          <w:color w:val="auto"/>
        </w:rPr>
      </w:pPr>
    </w:p>
    <w:p>
      <w:pPr>
        <w:ind w:right="139"/>
        <w:spacing w:after="0" w:line="237" w:lineRule="auto"/>
        <w:rPr>
          <w:sz w:val="20"/>
          <w:szCs w:val="20"/>
          <w:color w:val="auto"/>
        </w:rPr>
      </w:pPr>
      <w:r>
        <w:rPr>
          <w:rFonts w:ascii="Arial" w:cs="Arial" w:eastAsia="Arial" w:hAnsi="Arial"/>
          <w:sz w:val="15"/>
          <w:szCs w:val="15"/>
          <w:color w:val="auto"/>
        </w:rPr>
        <w:t>We estimate that the net proceeds to us from the sale of shares of our common stock in this offering will be approximately $158.5 million, based upon the initial public offering price of $20.00 per share and after deducting underwriting discounts and commissions and estimated offering expenses payable by us. We will not receive any of the proceeds from the sale of common stock by the selling stockholders in this offering.</w:t>
      </w:r>
    </w:p>
    <w:p>
      <w:pPr>
        <w:spacing w:after="0" w:line="58" w:lineRule="exact"/>
        <w:rPr>
          <w:sz w:val="20"/>
          <w:szCs w:val="20"/>
          <w:color w:val="auto"/>
        </w:rPr>
      </w:pPr>
    </w:p>
    <w:p>
      <w:pPr>
        <w:ind w:right="99"/>
        <w:spacing w:after="0" w:line="236"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common stock, and enable access to the public equity markets for us and our stockholders. We intend to use the net proceeds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 See the section titled “Use of Proceeds” for additional information.</w:t>
      </w:r>
    </w:p>
    <w:p>
      <w:pPr>
        <w:spacing w:after="0" w:line="60" w:lineRule="exact"/>
        <w:rPr>
          <w:sz w:val="20"/>
          <w:szCs w:val="20"/>
          <w:color w:val="auto"/>
        </w:rPr>
      </w:pPr>
    </w:p>
    <w:p>
      <w:pPr>
        <w:ind w:right="99"/>
        <w:spacing w:after="0" w:line="236"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w:t>
      </w:r>
    </w:p>
    <w:p>
      <w:pPr>
        <w:spacing w:after="0" w:line="200" w:lineRule="exact"/>
        <w:rPr>
          <w:sz w:val="20"/>
          <w:szCs w:val="20"/>
          <w:color w:val="auto"/>
        </w:rPr>
      </w:pPr>
    </w:p>
    <w:p>
      <w:pPr>
        <w:sectPr>
          <w:pgSz w:w="11900" w:h="16838" w:orient="portrait"/>
          <w:cols w:equalWidth="0" w:num="2">
            <w:col w:w="5640" w:space="140"/>
            <w:col w:w="4359"/>
          </w:cols>
          <w:pgMar w:left="320" w:top="407" w:right="1440" w:bottom="1440" w:gutter="0" w:footer="0" w:header="0"/>
          <w:type w:val="continuous"/>
        </w:sectPr>
      </w:pPr>
    </w:p>
    <w:p>
      <w:pPr>
        <w:spacing w:after="0" w:line="334"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139"/>
          </w:cols>
          <w:pgMar w:left="320" w:top="407" w:right="1440" w:bottom="1440" w:gutter="0" w:footer="0" w:header="0"/>
          <w:type w:val="continuous"/>
        </w:sectPr>
      </w:pPr>
    </w:p>
    <w:bookmarkStart w:id="24" w:name="page25"/>
    <w:bookmarkEnd w:id="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799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3905" cy="479933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780"/>
        <w:spacing w:after="0"/>
        <w:rPr>
          <w:sz w:val="20"/>
          <w:szCs w:val="20"/>
          <w:color w:val="auto"/>
        </w:rPr>
      </w:pPr>
      <w:r>
        <w:rPr>
          <w:rFonts w:ascii="Arial" w:cs="Arial" w:eastAsia="Arial" w:hAnsi="Arial"/>
          <w:sz w:val="15"/>
          <w:szCs w:val="15"/>
          <w:color w:val="auto"/>
        </w:rPr>
        <w:t>to such entities as they will from any other shares of common</w:t>
      </w:r>
    </w:p>
    <w:p>
      <w:pPr>
        <w:ind w:left="5780"/>
        <w:spacing w:after="0"/>
        <w:rPr>
          <w:sz w:val="20"/>
          <w:szCs w:val="20"/>
          <w:color w:val="auto"/>
        </w:rPr>
      </w:pPr>
      <w:r>
        <w:rPr>
          <w:rFonts w:ascii="Arial" w:cs="Arial" w:eastAsia="Arial" w:hAnsi="Arial"/>
          <w:sz w:val="15"/>
          <w:szCs w:val="15"/>
          <w:color w:val="auto"/>
        </w:rPr>
        <w:t>stock sold to the public in this offering.</w:t>
      </w:r>
    </w:p>
    <w:p>
      <w:pPr>
        <w:sectPr>
          <w:pgSz w:w="11900" w:h="16838" w:orient="portrait"/>
          <w:cols w:equalWidth="0" w:num="1">
            <w:col w:w="10139"/>
          </w:cols>
          <w:pgMar w:left="320" w:top="407" w:right="1440" w:bottom="1440" w:gutter="0" w:footer="0" w:header="0"/>
        </w:sectPr>
      </w:pPr>
    </w:p>
    <w:p>
      <w:pPr>
        <w:spacing w:after="0" w:line="75"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Concentration of ownership</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19"/>
        <w:spacing w:after="0" w:line="238" w:lineRule="auto"/>
        <w:rPr>
          <w:sz w:val="20"/>
          <w:szCs w:val="20"/>
          <w:color w:val="auto"/>
        </w:rPr>
      </w:pPr>
      <w:r>
        <w:rPr>
          <w:rFonts w:ascii="Arial" w:cs="Arial" w:eastAsia="Arial" w:hAnsi="Arial"/>
          <w:sz w:val="15"/>
          <w:szCs w:val="15"/>
          <w:color w:val="auto"/>
        </w:rPr>
        <w:t>Upon completion of this offering, our executive officers, directors, and holders of 5% or more of our common stock will beneficially own, in the aggregate, approximately 62.7% of the outstanding shares of our common stock.</w:t>
      </w:r>
    </w:p>
    <w:p>
      <w:pPr>
        <w:spacing w:after="0" w:line="56" w:lineRule="exact"/>
        <w:rPr>
          <w:sz w:val="20"/>
          <w:szCs w:val="20"/>
          <w:color w:val="auto"/>
        </w:rPr>
      </w:pPr>
    </w:p>
    <w:p>
      <w:pPr>
        <w:sectPr>
          <w:pgSz w:w="11900" w:h="16838" w:orient="portrait"/>
          <w:cols w:equalWidth="0" w:num="2">
            <w:col w:w="5060" w:space="720"/>
            <w:col w:w="4359"/>
          </w:cols>
          <w:pgMar w:left="320" w:top="407" w:right="1440" w:bottom="1440" w:gutter="0" w:footer="0" w:header="0"/>
          <w:type w:val="continuous"/>
        </w:sectPr>
      </w:pPr>
    </w:p>
    <w:p>
      <w:pPr>
        <w:spacing w:after="0" w:line="3"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See “Risk Factors” and the other information included in this</w:t>
      </w:r>
    </w:p>
    <w:p>
      <w:pPr>
        <w:spacing w:after="0" w:line="235" w:lineRule="auto"/>
        <w:rPr>
          <w:sz w:val="20"/>
          <w:szCs w:val="20"/>
          <w:color w:val="auto"/>
        </w:rPr>
      </w:pPr>
      <w:r>
        <w:rPr>
          <w:rFonts w:ascii="Arial" w:cs="Arial" w:eastAsia="Arial" w:hAnsi="Arial"/>
          <w:sz w:val="15"/>
          <w:szCs w:val="15"/>
          <w:color w:val="auto"/>
        </w:rPr>
        <w:t>prospectus for a discussion of factors you should carefully</w:t>
      </w:r>
    </w:p>
    <w:p>
      <w:pPr>
        <w:spacing w:after="0"/>
        <w:rPr>
          <w:sz w:val="20"/>
          <w:szCs w:val="20"/>
          <w:color w:val="auto"/>
        </w:rPr>
      </w:pPr>
      <w:r>
        <w:rPr>
          <w:rFonts w:ascii="Arial" w:cs="Arial" w:eastAsia="Arial" w:hAnsi="Arial"/>
          <w:sz w:val="15"/>
          <w:szCs w:val="15"/>
          <w:color w:val="auto"/>
        </w:rPr>
        <w:t>consider before deciding to invest in our common stock.</w:t>
      </w:r>
    </w:p>
    <w:p>
      <w:pPr>
        <w:spacing w:after="0" w:line="64" w:lineRule="exact"/>
        <w:rPr>
          <w:sz w:val="20"/>
          <w:szCs w:val="20"/>
          <w:color w:val="auto"/>
        </w:rPr>
      </w:pPr>
    </w:p>
    <w:p>
      <w:pPr>
        <w:sectPr>
          <w:pgSz w:w="11900" w:h="16838" w:orient="portrait"/>
          <w:cols w:equalWidth="0" w:num="2">
            <w:col w:w="5060" w:space="720"/>
            <w:col w:w="4359"/>
          </w:cols>
          <w:pgMar w:left="320" w:top="407" w:right="1440"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“UPST”</w:t>
      </w:r>
    </w:p>
    <w:p>
      <w:pPr>
        <w:spacing w:after="0" w:line="188" w:lineRule="exact"/>
        <w:rPr>
          <w:sz w:val="20"/>
          <w:szCs w:val="20"/>
          <w:color w:val="auto"/>
        </w:rPr>
      </w:pPr>
    </w:p>
    <w:p>
      <w:pPr>
        <w:sectPr>
          <w:pgSz w:w="11900" w:h="16838" w:orient="portrait"/>
          <w:cols w:equalWidth="0" w:num="2">
            <w:col w:w="5060" w:space="720"/>
            <w:col w:w="4359"/>
          </w:cols>
          <w:pgMar w:left="320" w:top="407" w:right="1440" w:bottom="1440" w:gutter="0" w:footer="0" w:header="0"/>
          <w:type w:val="continuous"/>
        </w:sectPr>
      </w:pPr>
    </w:p>
    <w:p>
      <w:pPr>
        <w:ind w:left="1180" w:right="359" w:firstLine="444"/>
        <w:spacing w:after="0" w:line="245" w:lineRule="auto"/>
        <w:rPr>
          <w:sz w:val="20"/>
          <w:szCs w:val="20"/>
          <w:color w:val="auto"/>
        </w:rPr>
      </w:pPr>
      <w:r>
        <w:rPr>
          <w:rFonts w:ascii="Arial" w:cs="Arial" w:eastAsia="Arial" w:hAnsi="Arial"/>
          <w:sz w:val="15"/>
          <w:szCs w:val="15"/>
          <w:color w:val="auto"/>
        </w:rPr>
        <w:t>The number of shares of our common stock that will be outstanding after this offering is based on 63,460,881 shares of our common stock outstanding as of September 30, 2020, and reflects:</w:t>
      </w:r>
    </w:p>
    <w:p>
      <w:pPr>
        <w:spacing w:after="0" w:line="87" w:lineRule="exact"/>
        <w:rPr>
          <w:sz w:val="20"/>
          <w:szCs w:val="20"/>
          <w:color w:val="auto"/>
        </w:rPr>
      </w:pPr>
    </w:p>
    <w:p>
      <w:pPr>
        <w:ind w:left="1780" w:hanging="161"/>
        <w:spacing w:after="0"/>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15,044,707 shares of common stock outstanding;</w:t>
      </w:r>
    </w:p>
    <w:p>
      <w:pPr>
        <w:spacing w:after="0" w:line="97" w:lineRule="exact"/>
        <w:rPr>
          <w:rFonts w:ascii="Arial" w:cs="Arial" w:eastAsia="Arial" w:hAnsi="Arial"/>
          <w:sz w:val="15"/>
          <w:szCs w:val="15"/>
          <w:color w:val="auto"/>
        </w:rPr>
      </w:pPr>
    </w:p>
    <w:p>
      <w:pPr>
        <w:ind w:left="1780" w:right="359" w:hanging="161"/>
        <w:spacing w:after="0"/>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47,349,577 shares of preferred stock that will automatically convert into shares of common stock immediately prior to the completion of this offering pursuant to the terms of our amended and restated certificate of incorporation, or the Capital Stock Conversion;</w:t>
      </w:r>
    </w:p>
    <w:p>
      <w:pPr>
        <w:spacing w:after="0" w:line="91" w:lineRule="exact"/>
        <w:rPr>
          <w:rFonts w:ascii="Arial" w:cs="Arial" w:eastAsia="Arial" w:hAnsi="Arial"/>
          <w:sz w:val="15"/>
          <w:szCs w:val="15"/>
          <w:color w:val="auto"/>
        </w:rPr>
      </w:pPr>
    </w:p>
    <w:p>
      <w:pPr>
        <w:ind w:left="1780" w:right="359" w:hanging="161"/>
        <w:spacing w:after="0"/>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600,208 shares of our Series B preferred stock issued in November 2020 upon the exercise of a warrant that was outstanding as of September 30, 2020, which will automatically convert into shares of common stock in the Capital Stock Conversion; and</w:t>
      </w:r>
    </w:p>
    <w:p>
      <w:pPr>
        <w:spacing w:after="0" w:line="91" w:lineRule="exact"/>
        <w:rPr>
          <w:rFonts w:ascii="Arial" w:cs="Arial" w:eastAsia="Arial" w:hAnsi="Arial"/>
          <w:sz w:val="15"/>
          <w:szCs w:val="15"/>
          <w:color w:val="auto"/>
        </w:rPr>
      </w:pPr>
    </w:p>
    <w:p>
      <w:pPr>
        <w:ind w:left="1780" w:right="419" w:hanging="161"/>
        <w:spacing w:after="0" w:line="245" w:lineRule="auto"/>
        <w:tabs>
          <w:tab w:leader="none" w:pos="17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466,389 shares of our common stock to be issued upon exercise of options to purchase shares of our common stock by certain selling stockholders in connection with the sale of such shares by such selling stockholders in this offering.</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The shares of our common stock outstanding after this offering exclude the following:</w:t>
      </w:r>
    </w:p>
    <w:p>
      <w:pPr>
        <w:spacing w:after="0" w:line="98" w:lineRule="exact"/>
        <w:rPr>
          <w:sz w:val="20"/>
          <w:szCs w:val="20"/>
          <w:color w:val="auto"/>
        </w:rPr>
      </w:pPr>
    </w:p>
    <w:p>
      <w:pPr>
        <w:ind w:left="1780" w:right="419" w:hanging="161"/>
        <w:spacing w:after="0" w:line="245"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18,889,653 shares of our common stock issuable upon the exercise of options to purchase shares of our common stock outstanding as of September 30, 2020, with a weighted-average exercise price of $3.17 per share;</w:t>
      </w:r>
    </w:p>
    <w:p>
      <w:pPr>
        <w:spacing w:after="0" w:line="87" w:lineRule="exact"/>
        <w:rPr>
          <w:rFonts w:ascii="Arial" w:cs="Arial" w:eastAsia="Arial" w:hAnsi="Arial"/>
          <w:sz w:val="15"/>
          <w:szCs w:val="15"/>
          <w:color w:val="auto"/>
        </w:rPr>
      </w:pPr>
    </w:p>
    <w:p>
      <w:pPr>
        <w:ind w:left="1780" w:right="219" w:hanging="161"/>
        <w:spacing w:after="0" w:line="245"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September 30, 2020, with a weighted-average exercise price of $1.77 per share;</w:t>
      </w:r>
    </w:p>
    <w:p>
      <w:pPr>
        <w:spacing w:after="0" w:line="87" w:lineRule="exact"/>
        <w:rPr>
          <w:rFonts w:ascii="Arial" w:cs="Arial" w:eastAsia="Arial" w:hAnsi="Arial"/>
          <w:sz w:val="15"/>
          <w:szCs w:val="15"/>
          <w:color w:val="auto"/>
        </w:rPr>
      </w:pPr>
    </w:p>
    <w:p>
      <w:pPr>
        <w:ind w:left="1780" w:right="499" w:hanging="161"/>
        <w:spacing w:after="0" w:line="245" w:lineRule="auto"/>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1,540,938 shares of our common stock issuable upon the exercise of options to purchase shares of our common stock issued after September 30, 2020, with a weighted-average exercise price of $15.16 per share; and</w:t>
      </w:r>
    </w:p>
    <w:p>
      <w:pPr>
        <w:spacing w:after="0" w:line="87" w:lineRule="exact"/>
        <w:rPr>
          <w:rFonts w:ascii="Arial" w:cs="Arial" w:eastAsia="Arial" w:hAnsi="Arial"/>
          <w:sz w:val="15"/>
          <w:szCs w:val="15"/>
          <w:color w:val="auto"/>
        </w:rPr>
      </w:pPr>
    </w:p>
    <w:p>
      <w:pPr>
        <w:ind w:left="1780" w:hanging="161"/>
        <w:spacing w:after="0"/>
        <w:tabs>
          <w:tab w:leader="none" w:pos="17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10,765,271 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140" w:right="139" w:hanging="341"/>
        <w:spacing w:after="0" w:line="245" w:lineRule="auto"/>
        <w:tabs>
          <w:tab w:leader="none" w:pos="2140" w:val="left"/>
        </w:tabs>
        <w:numPr>
          <w:ilvl w:val="1"/>
          <w:numId w:val="19"/>
        </w:numPr>
        <w:rPr>
          <w:rFonts w:ascii="Arial" w:cs="Arial" w:eastAsia="Arial" w:hAnsi="Arial"/>
          <w:sz w:val="15"/>
          <w:szCs w:val="15"/>
          <w:color w:val="auto"/>
        </w:rPr>
      </w:pPr>
      <w:r>
        <w:rPr>
          <w:rFonts w:ascii="Arial" w:cs="Arial" w:eastAsia="Arial" w:hAnsi="Arial"/>
          <w:sz w:val="15"/>
          <w:szCs w:val="15"/>
          <w:color w:val="auto"/>
        </w:rPr>
        <w:t>5,520,000 shares of our common stock reserved for future issuance under our 2020 Equity Incentive Plan, or our 2020 Plan, which became effective prior to the completion of this offering;</w:t>
      </w:r>
    </w:p>
    <w:p>
      <w:pPr>
        <w:spacing w:after="0" w:line="87" w:lineRule="exact"/>
        <w:rPr>
          <w:rFonts w:ascii="Arial" w:cs="Arial" w:eastAsia="Arial" w:hAnsi="Arial"/>
          <w:sz w:val="15"/>
          <w:szCs w:val="15"/>
          <w:color w:val="auto"/>
        </w:rPr>
      </w:pPr>
    </w:p>
    <w:p>
      <w:pPr>
        <w:ind w:left="2140" w:right="439" w:hanging="341"/>
        <w:spacing w:after="0" w:line="245" w:lineRule="auto"/>
        <w:tabs>
          <w:tab w:leader="none" w:pos="2140" w:val="left"/>
        </w:tabs>
        <w:numPr>
          <w:ilvl w:val="1"/>
          <w:numId w:val="19"/>
        </w:numPr>
        <w:rPr>
          <w:rFonts w:ascii="Arial" w:cs="Arial" w:eastAsia="Arial" w:hAnsi="Arial"/>
          <w:sz w:val="15"/>
          <w:szCs w:val="15"/>
          <w:color w:val="auto"/>
        </w:rPr>
      </w:pPr>
      <w:r>
        <w:rPr>
          <w:rFonts w:ascii="Arial" w:cs="Arial" w:eastAsia="Arial" w:hAnsi="Arial"/>
          <w:sz w:val="15"/>
          <w:szCs w:val="15"/>
          <w:color w:val="auto"/>
        </w:rPr>
        <w:t>3,865,271 shares of our common stock reserved for future issuance under our 2012 Stock Plan, or our 2012 Plan, provided that we will cease granting awards under our 2012 Plan upon the effectiveness of the 2020 Plan; and</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139"/>
          </w:cols>
          <w:pgMar w:left="320" w:top="407" w:right="1440" w:bottom="1440" w:gutter="0" w:footer="0" w:header="0"/>
          <w:type w:val="continuous"/>
        </w:sectPr>
      </w:pPr>
    </w:p>
    <w:bookmarkStart w:id="25" w:name="page26"/>
    <w:bookmarkEnd w:id="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23380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3905" cy="233807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140" w:right="259" w:hanging="341"/>
        <w:spacing w:after="0" w:line="245" w:lineRule="auto"/>
        <w:tabs>
          <w:tab w:leader="none" w:pos="21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1,380,000 shares of our common stock reserved for future issuance under our 2020 Employee Stock Purchase Plan, or our ESPP, which became effective prior to the completion of this offering.</w:t>
      </w:r>
    </w:p>
    <w:p>
      <w:pPr>
        <w:spacing w:after="0" w:line="166" w:lineRule="exact"/>
        <w:rPr>
          <w:sz w:val="20"/>
          <w:szCs w:val="20"/>
          <w:color w:val="auto"/>
        </w:rPr>
      </w:pPr>
    </w:p>
    <w:p>
      <w:pPr>
        <w:ind w:left="1180" w:right="259" w:firstLine="444"/>
        <w:spacing w:after="0" w:line="238" w:lineRule="auto"/>
        <w:rPr>
          <w:sz w:val="20"/>
          <w:szCs w:val="20"/>
          <w:color w:val="auto"/>
        </w:rPr>
      </w:pPr>
      <w:r>
        <w:rPr>
          <w:rFonts w:ascii="Arial" w:cs="Arial" w:eastAsia="Arial" w:hAnsi="Arial"/>
          <w:sz w:val="15"/>
          <w:szCs w:val="15"/>
          <w:color w:val="auto"/>
        </w:rPr>
        <w:t>Each of our 2020 Plan and our ESPP provides for annual automatic increases in the number of shares reserved thereunder, and our 2020 Plan also provides for increases to the number of shares that may be granted thereunder based on awards under our 2012 Plan that expire, are forfeited, or otherwise repurchased by us, as more fully described in the section titled “Executive Compensation—Employee Benefit and Stock Plans.”</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Except as otherwise indicated, all information in this prospectus assumes:</w:t>
      </w:r>
    </w:p>
    <w:p>
      <w:pPr>
        <w:spacing w:after="0" w:line="98" w:lineRule="exact"/>
        <w:rPr>
          <w:sz w:val="20"/>
          <w:szCs w:val="20"/>
          <w:color w:val="auto"/>
        </w:rPr>
      </w:pPr>
    </w:p>
    <w:p>
      <w:pPr>
        <w:ind w:left="1780" w:hanging="161"/>
        <w:spacing w:after="0"/>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Capital Stock Conversion will occur immediately prior to the completion of this offering;</w:t>
      </w:r>
    </w:p>
    <w:p>
      <w:pPr>
        <w:spacing w:after="0" w:line="97" w:lineRule="exact"/>
        <w:rPr>
          <w:rFonts w:ascii="Arial" w:cs="Arial" w:eastAsia="Arial" w:hAnsi="Arial"/>
          <w:sz w:val="15"/>
          <w:szCs w:val="15"/>
          <w:color w:val="auto"/>
        </w:rPr>
      </w:pPr>
    </w:p>
    <w:p>
      <w:pPr>
        <w:ind w:left="1780" w:right="139" w:hanging="161"/>
        <w:spacing w:after="0" w:line="245"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filing and effectiveness of our amended and restated certificate of incorporation in Delaware and the effectiveness of our amended and restated bylaws, will each occur immediately prior to the completion of this offering;</w:t>
      </w:r>
    </w:p>
    <w:p>
      <w:pPr>
        <w:spacing w:after="0" w:line="87" w:lineRule="exact"/>
        <w:rPr>
          <w:rFonts w:ascii="Arial" w:cs="Arial" w:eastAsia="Arial" w:hAnsi="Arial"/>
          <w:sz w:val="15"/>
          <w:szCs w:val="15"/>
          <w:color w:val="auto"/>
        </w:rPr>
      </w:pPr>
    </w:p>
    <w:p>
      <w:pPr>
        <w:ind w:left="1780" w:right="179" w:hanging="161"/>
        <w:spacing w:after="0"/>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exercise or cancellation of outstanding stock options subsequent to September 30, 2020 (other than shares to be issued upon exercise of options to purchase common stock by certain selling stockholders in connection with the sale of such shares by such selling stockholders in this offering); and</w:t>
      </w:r>
    </w:p>
    <w:p>
      <w:pPr>
        <w:spacing w:after="0" w:line="91" w:lineRule="exact"/>
        <w:rPr>
          <w:rFonts w:ascii="Arial" w:cs="Arial" w:eastAsia="Arial" w:hAnsi="Arial"/>
          <w:sz w:val="15"/>
          <w:szCs w:val="15"/>
          <w:color w:val="auto"/>
        </w:rPr>
      </w:pPr>
    </w:p>
    <w:p>
      <w:pPr>
        <w:ind w:left="1780" w:right="139" w:hanging="161"/>
        <w:spacing w:after="0" w:line="245" w:lineRule="auto"/>
        <w:tabs>
          <w:tab w:leader="none" w:pos="1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an additional 1,802,353 shares of our common stock from certain selling stockholders.</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139"/>
          </w:cols>
          <w:pgMar w:left="320" w:top="407" w:right="1440"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491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43905" cy="4491990"/>
                    </a:xfrm>
                    <a:prstGeom prst="rect">
                      <a:avLst/>
                    </a:prstGeom>
                    <a:noFill/>
                  </pic:spPr>
                </pic:pic>
              </a:graphicData>
            </a:graphic>
          </wp:anchor>
        </w:drawing>
      </w:r>
    </w:p>
    <w:p>
      <w:pPr>
        <w:spacing w:after="0" w:line="389"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95" w:lineRule="exact"/>
        <w:rPr>
          <w:sz w:val="20"/>
          <w:szCs w:val="20"/>
          <w:color w:val="auto"/>
        </w:rPr>
      </w:pPr>
    </w:p>
    <w:p>
      <w:pPr>
        <w:ind w:left="1180" w:right="159" w:firstLine="444"/>
        <w:spacing w:after="0" w:line="236" w:lineRule="auto"/>
        <w:rPr>
          <w:sz w:val="20"/>
          <w:szCs w:val="20"/>
          <w:color w:val="auto"/>
        </w:rPr>
      </w:pPr>
      <w:r>
        <w:rPr>
          <w:rFonts w:ascii="Arial" w:cs="Arial" w:eastAsia="Arial" w:hAnsi="Arial"/>
          <w:sz w:val="15"/>
          <w:szCs w:val="15"/>
          <w:color w:val="auto"/>
        </w:rPr>
        <w:t>The following tables summarize our consolidated historical financial and other data. We have derived the summary consolidated statements of operations data for the years ended December 31, 2017, 2018 and 2019 from our audited consolidated financial statements included elsewhere in this prospectus. The summary consolidated statements of operations data for the nine months ended September 30, 2019 and 2020 and the consolidated balance sheet data as of September 30, 2020 have been derived from our unaudited interim consolidated financial statements included elsewhere in this prospectus. The summary consolidated financial data in this section are not intended to replace our consolidated financial statements and related notes, and our historical results are not necessarily indicative of the results that may be expected in the future. The following summary consolidated financial and other data should be read in conjunction with the section titled “Management’s Discussion and Analysis of Financial Condition and Results of Operations” and our consolidated financial statements and related notes included elsewhere in this prospectus. The last day of our fiscal year is December 31. Our fiscal quarters end on March 31, June 30, September 30, and December 31.</w:t>
      </w:r>
    </w:p>
    <w:p>
      <w:pPr>
        <w:spacing w:after="0" w:line="246"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36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Year Ended 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07"/>
        </w:trPr>
        <w:tc>
          <w:tcPr>
            <w:tcW w:w="3640" w:type="dxa"/>
            <w:vAlign w:val="bottom"/>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64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share amounts)</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51,161</w:t>
            </w:r>
          </w:p>
        </w:tc>
        <w:tc>
          <w:tcPr>
            <w:tcW w:w="120" w:type="dxa"/>
            <w:vAlign w:val="bottom"/>
          </w:tcPr>
          <w:p>
            <w:pPr>
              <w:spacing w:after="0"/>
              <w:rPr>
                <w:sz w:val="13"/>
                <w:szCs w:val="13"/>
                <w:color w:val="auto"/>
              </w:rPr>
            </w:pPr>
          </w:p>
        </w:tc>
        <w:tc>
          <w:tcPr>
            <w:tcW w:w="5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540" w:type="dxa"/>
            <w:vAlign w:val="bottom"/>
          </w:tcPr>
          <w:p>
            <w:pPr>
              <w:spacing w:after="0"/>
              <w:rPr>
                <w:sz w:val="13"/>
                <w:szCs w:val="13"/>
                <w:color w:val="auto"/>
              </w:rPr>
            </w:pPr>
          </w:p>
        </w:tc>
        <w:tc>
          <w:tcPr>
            <w:tcW w:w="1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159,847</w:t>
            </w:r>
          </w:p>
        </w:tc>
        <w:tc>
          <w:tcPr>
            <w:tcW w:w="320" w:type="dxa"/>
            <w:vAlign w:val="bottom"/>
          </w:tcPr>
          <w:p>
            <w:pPr>
              <w:spacing w:after="0"/>
              <w:rPr>
                <w:sz w:val="13"/>
                <w:szCs w:val="13"/>
                <w:color w:val="auto"/>
              </w:rPr>
            </w:pP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98,699</w:t>
            </w:r>
          </w:p>
        </w:tc>
        <w:tc>
          <w:tcPr>
            <w:tcW w:w="320" w:type="dxa"/>
            <w:vAlign w:val="bottom"/>
          </w:tcPr>
          <w:p>
            <w:pPr>
              <w:spacing w:after="0"/>
              <w:rPr>
                <w:sz w:val="13"/>
                <w:szCs w:val="13"/>
                <w:color w:val="auto"/>
              </w:rPr>
            </w:pPr>
          </w:p>
        </w:tc>
        <w:tc>
          <w:tcPr>
            <w:tcW w:w="3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144,179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6,128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4,342</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2,918</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2,527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57,289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164,189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101,617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146,706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28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33,838</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61,236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65,113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10,232</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16,593</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24,792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ind w:left="28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5,324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8,415</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11,480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24,651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15,431</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20,399</w:t>
            </w: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30,778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4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64,825</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107,284</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168,764</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109,708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145,334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(7,536)</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(7,971)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(4,575)</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(8,091)</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1,372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330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487</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1,036</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832</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5,497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(1,649)</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line="158" w:lineRule="exact"/>
              <w:rPr>
                <w:sz w:val="20"/>
                <w:szCs w:val="20"/>
                <w:color w:val="auto"/>
              </w:rPr>
            </w:pPr>
            <w:r>
              <w:rPr>
                <w:rFonts w:ascii="Arial" w:cs="Arial" w:eastAsia="Arial" w:hAnsi="Arial"/>
                <w:sz w:val="14"/>
                <w:szCs w:val="14"/>
                <w:color w:val="auto"/>
              </w:rPr>
              <w:t>(3,734)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(1,407)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(2,626)</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40" w:type="dxa"/>
            <w:vAlign w:val="bottom"/>
          </w:tcPr>
          <w:p>
            <w:pPr>
              <w:spacing w:after="0"/>
              <w:rPr>
                <w:sz w:val="20"/>
                <w:szCs w:val="20"/>
                <w:color w:val="auto"/>
              </w:rPr>
            </w:pPr>
            <w:r>
              <w:rPr>
                <w:rFonts w:ascii="Arial" w:cs="Arial" w:eastAsia="Arial" w:hAnsi="Arial"/>
                <w:sz w:val="14"/>
                <w:szCs w:val="14"/>
                <w:color w:val="auto"/>
              </w:rPr>
              <w:t>Net (loss) income before income taxes</w:t>
            </w:r>
          </w:p>
        </w:tc>
        <w:tc>
          <w:tcPr>
            <w:tcW w:w="8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(8,855)</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color w:val="auto"/>
                <w:w w:val="99"/>
              </w:rPr>
              <w:t>(11,218)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(4,946)</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(9,885)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4,552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2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Net (loss) income before attribution to</w:t>
            </w: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40" w:type="dxa"/>
            <w:vAlign w:val="bottom"/>
          </w:tcPr>
          <w:p>
            <w:pPr>
              <w:ind w:left="140"/>
              <w:spacing w:after="0" w:line="156" w:lineRule="exact"/>
              <w:rPr>
                <w:sz w:val="20"/>
                <w:szCs w:val="20"/>
                <w:color w:val="auto"/>
              </w:rPr>
            </w:pPr>
            <w:r>
              <w:rPr>
                <w:rFonts w:ascii="Arial" w:cs="Arial" w:eastAsia="Arial" w:hAnsi="Arial"/>
                <w:sz w:val="14"/>
                <w:szCs w:val="14"/>
                <w:color w:val="auto"/>
              </w:rPr>
              <w:t>noncontrolling interests</w:t>
            </w: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w w:val="99"/>
              </w:rPr>
              <w:t>(8,861)</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500"/>
              <w:spacing w:after="0" w:line="156" w:lineRule="exact"/>
              <w:rPr>
                <w:sz w:val="20"/>
                <w:szCs w:val="20"/>
                <w:color w:val="auto"/>
              </w:rPr>
            </w:pPr>
            <w:r>
              <w:rPr>
                <w:rFonts w:ascii="Arial" w:cs="Arial" w:eastAsia="Arial" w:hAnsi="Arial"/>
                <w:sz w:val="14"/>
                <w:szCs w:val="14"/>
                <w:color w:val="auto"/>
                <w:w w:val="99"/>
              </w:rPr>
              <w:t>(11,218)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(5,020)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80"/>
              <w:spacing w:after="0" w:line="156" w:lineRule="exact"/>
              <w:rPr>
                <w:sz w:val="20"/>
                <w:szCs w:val="20"/>
                <w:color w:val="auto"/>
              </w:rPr>
            </w:pPr>
            <w:r>
              <w:rPr>
                <w:rFonts w:ascii="Arial" w:cs="Arial" w:eastAsia="Arial" w:hAnsi="Arial"/>
                <w:sz w:val="14"/>
                <w:szCs w:val="14"/>
                <w:color w:val="auto"/>
              </w:rPr>
              <w:t>(9,885)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4,552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Net (loss) income attributable to noncontrolling</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w w:val="99"/>
              </w:rPr>
              <w:t>(1,144)</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1,101</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(4,554)</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80"/>
              <w:spacing w:after="0" w:line="156" w:lineRule="exact"/>
              <w:rPr>
                <w:sz w:val="20"/>
                <w:szCs w:val="20"/>
                <w:color w:val="auto"/>
              </w:rPr>
            </w:pPr>
            <w:r>
              <w:rPr>
                <w:rFonts w:ascii="Arial" w:cs="Arial" w:eastAsia="Arial" w:hAnsi="Arial"/>
                <w:sz w:val="14"/>
                <w:szCs w:val="14"/>
                <w:color w:val="auto"/>
              </w:rPr>
              <w:t>(3,368)</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Arial" w:cs="Arial" w:eastAsia="Arial" w:hAnsi="Arial"/>
                <w:sz w:val="13"/>
                <w:szCs w:val="13"/>
                <w:color w:val="auto"/>
              </w:rPr>
              <w:t>Net (loss) income attributable to Upstart Holdings, Inc.</w:t>
            </w: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40" w:type="dxa"/>
            <w:vAlign w:val="bottom"/>
          </w:tcPr>
          <w:p>
            <w:pPr>
              <w:ind w:left="140"/>
              <w:spacing w:after="0" w:line="138" w:lineRule="exact"/>
              <w:rPr>
                <w:sz w:val="20"/>
                <w:szCs w:val="20"/>
                <w:color w:val="auto"/>
              </w:rPr>
            </w:pPr>
            <w:r>
              <w:rPr>
                <w:rFonts w:ascii="Arial" w:cs="Arial" w:eastAsia="Arial" w:hAnsi="Arial"/>
                <w:sz w:val="13"/>
                <w:szCs w:val="13"/>
                <w:color w:val="auto"/>
              </w:rPr>
              <w:t>common stockholders</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54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(7,717)</w:t>
            </w:r>
          </w:p>
        </w:tc>
        <w:tc>
          <w:tcPr>
            <w:tcW w:w="5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500"/>
              <w:spacing w:after="0" w:line="138" w:lineRule="exact"/>
              <w:rPr>
                <w:sz w:val="20"/>
                <w:szCs w:val="20"/>
                <w:color w:val="auto"/>
              </w:rPr>
            </w:pPr>
            <w:r>
              <w:rPr>
                <w:rFonts w:ascii="Arial" w:cs="Arial" w:eastAsia="Arial" w:hAnsi="Arial"/>
                <w:sz w:val="13"/>
                <w:szCs w:val="13"/>
                <w:color w:val="auto"/>
              </w:rPr>
              <w:t>(12,319)</w:t>
            </w:r>
          </w:p>
        </w:tc>
        <w:tc>
          <w:tcPr>
            <w:tcW w:w="1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(466)</w:t>
            </w:r>
          </w:p>
        </w:tc>
        <w:tc>
          <w:tcPr>
            <w:tcW w:w="34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(6,517)</w:t>
            </w:r>
          </w:p>
        </w:tc>
        <w:tc>
          <w:tcPr>
            <w:tcW w:w="36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3"/>
                <w:szCs w:val="13"/>
                <w:color w:val="auto"/>
              </w:rPr>
              <w:t>4,956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139"/>
          </w:cols>
          <w:pgMar w:left="320" w:top="407" w:right="1440"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394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3905" cy="3940810"/>
                    </a:xfrm>
                    <a:prstGeom prst="rect">
                      <a:avLst/>
                    </a:prstGeom>
                    <a:noFill/>
                  </pic:spPr>
                </pic:pic>
              </a:graphicData>
            </a:graphic>
          </wp:anchor>
        </w:drawing>
      </w:r>
    </w:p>
    <w:p>
      <w:pPr>
        <w:spacing w:after="0" w:line="398"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2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gridSpan w:val="7"/>
          </w:tcPr>
          <w:p>
            <w:pPr>
              <w:ind w:left="20"/>
              <w:spacing w:after="0"/>
              <w:rPr>
                <w:sz w:val="20"/>
                <w:szCs w:val="20"/>
                <w:color w:val="auto"/>
              </w:rPr>
            </w:pPr>
            <w:r>
              <w:rPr>
                <w:rFonts w:ascii="Arial" w:cs="Arial" w:eastAsia="Arial" w:hAnsi="Arial"/>
                <w:sz w:val="12"/>
                <w:szCs w:val="12"/>
                <w:b w:val="1"/>
                <w:bCs w:val="1"/>
                <w:color w:val="auto"/>
              </w:rPr>
              <w:t>Nine Months Ended September 30,</w:t>
            </w:r>
          </w:p>
        </w:tc>
        <w:tc>
          <w:tcPr>
            <w:tcW w:w="0" w:type="dxa"/>
            <w:vAlign w:val="bottom"/>
          </w:tcPr>
          <w:p>
            <w:pPr>
              <w:spacing w:after="0"/>
              <w:rPr>
                <w:sz w:val="1"/>
                <w:szCs w:val="1"/>
                <w:color w:val="auto"/>
              </w:rPr>
            </w:pPr>
          </w:p>
        </w:tc>
      </w:tr>
      <w:tr>
        <w:trPr>
          <w:trHeight w:val="107"/>
        </w:trPr>
        <w:tc>
          <w:tcPr>
            <w:tcW w:w="2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2"/>
                <w:szCs w:val="12"/>
                <w:b w:val="1"/>
                <w:bCs w:val="1"/>
                <w:color w:val="auto"/>
              </w:rPr>
              <w:t>2018</w:t>
            </w:r>
          </w:p>
        </w:tc>
        <w:tc>
          <w:tcPr>
            <w:tcW w:w="4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2"/>
                <w:szCs w:val="12"/>
                <w:b w:val="1"/>
                <w:bCs w:val="1"/>
                <w:color w:val="auto"/>
              </w:rPr>
              <w:t>2019</w:t>
            </w:r>
          </w:p>
        </w:tc>
        <w:tc>
          <w:tcPr>
            <w:tcW w:w="3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157"/>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6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share amounts)</w:t>
            </w: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66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Net loss per common share attributable to</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Upstart Holdings, Inc. common</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10"/>
                <w:szCs w:val="10"/>
                <w:color w:val="auto"/>
              </w:rPr>
              <w:t>(2)</w:t>
            </w:r>
          </w:p>
        </w:tc>
        <w:tc>
          <w:tcPr>
            <w:tcW w:w="3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(0.56)</w:t>
            </w:r>
          </w:p>
        </w:tc>
        <w:tc>
          <w:tcPr>
            <w:tcW w:w="5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3"/>
                <w:szCs w:val="13"/>
                <w:color w:val="auto"/>
              </w:rPr>
              <w:t>(0.87)</w:t>
            </w: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(0.03)</w:t>
            </w:r>
          </w:p>
        </w:tc>
        <w:tc>
          <w:tcPr>
            <w:tcW w:w="3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rPr>
              <w:t>(0.46)</w:t>
            </w:r>
          </w:p>
        </w:tc>
        <w:tc>
          <w:tcPr>
            <w:tcW w:w="3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outstanding used in computing net loss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per share attributable to Upstart</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Holdings, Inc. common stockholders,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40"/>
              <w:spacing w:after="0" w:line="138" w:lineRule="exact"/>
              <w:rPr>
                <w:sz w:val="20"/>
                <w:szCs w:val="20"/>
                <w:color w:val="auto"/>
              </w:rPr>
            </w:pPr>
            <w:r>
              <w:rPr>
                <w:rFonts w:ascii="Arial" w:cs="Arial" w:eastAsia="Arial" w:hAnsi="Arial"/>
                <w:sz w:val="13"/>
                <w:szCs w:val="13"/>
                <w:color w:val="auto"/>
              </w:rPr>
              <w:t>basic and diluted</w:t>
            </w:r>
            <w:r>
              <w:rPr>
                <w:rFonts w:ascii="Arial" w:cs="Arial" w:eastAsia="Arial" w:hAnsi="Arial"/>
                <w:sz w:val="10"/>
                <w:szCs w:val="10"/>
                <w:color w:val="auto"/>
              </w:rPr>
              <w:t>(2)</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13,873,810</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8"/>
              </w:rPr>
              <w:t>14,128,183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14,335,611</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14,313,262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14,663,623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attributable to Upstart Holdings, Inc.</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basic</w:t>
            </w:r>
            <w:r>
              <w:rPr>
                <w:rFonts w:ascii="Arial" w:cs="Arial" w:eastAsia="Arial" w:hAnsi="Arial"/>
                <w:sz w:val="10"/>
                <w:szCs w:val="10"/>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0.06</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to compute pro forma net income per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share attributable to Upstart Holdings,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40"/>
              <w:spacing w:after="0" w:line="138" w:lineRule="exact"/>
              <w:rPr>
                <w:sz w:val="20"/>
                <w:szCs w:val="20"/>
                <w:color w:val="auto"/>
              </w:rPr>
            </w:pPr>
            <w:r>
              <w:rPr>
                <w:rFonts w:ascii="Arial" w:cs="Arial" w:eastAsia="Arial" w:hAnsi="Arial"/>
                <w:sz w:val="13"/>
                <w:szCs w:val="13"/>
                <w:color w:val="auto"/>
              </w:rPr>
              <w:t>Inc. common stockholders, basic</w:t>
            </w:r>
            <w:r>
              <w:rPr>
                <w:rFonts w:ascii="Arial" w:cs="Arial" w:eastAsia="Arial" w:hAnsi="Arial"/>
                <w:sz w:val="10"/>
                <w:szCs w:val="10"/>
                <w:color w:val="auto"/>
              </w:rPr>
              <w:t>(2)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62,249,893</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62,613,408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w:t>
            </w: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CEEFF"/>
          </w:tcPr>
          <w:p>
            <w:pPr>
              <w:ind w:left="140"/>
              <w:spacing w:after="0" w:line="136" w:lineRule="exact"/>
              <w:rPr>
                <w:sz w:val="20"/>
                <w:szCs w:val="20"/>
                <w:color w:val="auto"/>
              </w:rPr>
            </w:pPr>
            <w:r>
              <w:rPr>
                <w:rFonts w:ascii="Arial" w:cs="Arial" w:eastAsia="Arial" w:hAnsi="Arial"/>
                <w:sz w:val="13"/>
                <w:szCs w:val="13"/>
                <w:color w:val="auto"/>
              </w:rPr>
              <w:t>attributable to Upstart Holdings, Inc.</w:t>
            </w: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diluted</w:t>
            </w:r>
            <w:r>
              <w:rPr>
                <w:rFonts w:ascii="Arial" w:cs="Arial" w:eastAsia="Arial" w:hAnsi="Arial"/>
                <w:sz w:val="10"/>
                <w:szCs w:val="10"/>
                <w:color w:val="auto"/>
              </w:rPr>
              <w:t>(2)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0.05</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0.09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w:t>
            </w: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6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to compute pro forma net income per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140"/>
              <w:spacing w:after="0" w:line="136" w:lineRule="exact"/>
              <w:rPr>
                <w:sz w:val="20"/>
                <w:szCs w:val="20"/>
                <w:color w:val="auto"/>
              </w:rPr>
            </w:pPr>
            <w:r>
              <w:rPr>
                <w:rFonts w:ascii="Arial" w:cs="Arial" w:eastAsia="Arial" w:hAnsi="Arial"/>
                <w:sz w:val="13"/>
                <w:szCs w:val="13"/>
                <w:color w:val="auto"/>
              </w:rPr>
              <w:t>share attributable to Upstart Holdings,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40"/>
              <w:spacing w:after="0" w:line="138" w:lineRule="exact"/>
              <w:rPr>
                <w:sz w:val="20"/>
                <w:szCs w:val="20"/>
                <w:color w:val="auto"/>
              </w:rPr>
            </w:pPr>
            <w:r>
              <w:rPr>
                <w:rFonts w:ascii="Arial" w:cs="Arial" w:eastAsia="Arial" w:hAnsi="Arial"/>
                <w:sz w:val="13"/>
                <w:szCs w:val="13"/>
                <w:color w:val="auto"/>
              </w:rPr>
              <w:t>Inc. common stockholders, diluted</w:t>
            </w:r>
            <w:r>
              <w:rPr>
                <w:rFonts w:ascii="Arial" w:cs="Arial" w:eastAsia="Arial" w:hAnsi="Arial"/>
                <w:sz w:val="10"/>
                <w:szCs w:val="10"/>
                <w:color w:val="auto"/>
              </w:rPr>
              <w:t>(2)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71,497,924</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color w:val="auto"/>
                <w:w w:val="95"/>
              </w:rPr>
              <w:t>71,733,580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620" w:hanging="441"/>
        <w:spacing w:after="0"/>
        <w:tabs>
          <w:tab w:leader="none" w:pos="16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p>
      <w:pPr>
        <w:spacing w:after="0" w:line="82" w:lineRule="exact"/>
        <w:rPr>
          <w:sz w:val="20"/>
          <w:szCs w:val="20"/>
          <w:color w:val="auto"/>
        </w:rPr>
      </w:pPr>
    </w:p>
    <w:tbl>
      <w:tblPr>
        <w:tblLayout w:type="fixed"/>
        <w:tblInd w:w="1620" w:type="dxa"/>
        <w:tblCellMar>
          <w:top w:w="0" w:type="dxa"/>
          <w:left w:w="0" w:type="dxa"/>
          <w:bottom w:w="0" w:type="dxa"/>
          <w:right w:w="0" w:type="dxa"/>
        </w:tblCellMar>
      </w:tblPr>
      <w:tr>
        <w:trPr>
          <w:trHeight w:val="138"/>
        </w:trPr>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2"/>
                <w:szCs w:val="12"/>
                <w:b w:val="1"/>
                <w:bCs w:val="1"/>
                <w:color w:val="auto"/>
                <w:w w:val="98"/>
              </w:rPr>
              <w:t>Nine Months Ended</w:t>
            </w:r>
          </w:p>
        </w:tc>
        <w:tc>
          <w:tcPr>
            <w:tcW w:w="0" w:type="dxa"/>
            <w:vAlign w:val="bottom"/>
          </w:tcPr>
          <w:p>
            <w:pPr>
              <w:spacing w:after="0"/>
              <w:rPr>
                <w:sz w:val="1"/>
                <w:szCs w:val="1"/>
                <w:color w:val="auto"/>
              </w:rPr>
            </w:pPr>
          </w:p>
        </w:tc>
      </w:tr>
      <w:tr>
        <w:trPr>
          <w:trHeight w:val="145"/>
        </w:trPr>
        <w:tc>
          <w:tcPr>
            <w:tcW w:w="50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2020" w:type="dxa"/>
            <w:vAlign w:val="bottom"/>
            <w:gridSpan w:val="8"/>
          </w:tcPr>
          <w:p>
            <w:pPr>
              <w:jc w:val="right"/>
              <w:ind w:right="44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240" w:type="dxa"/>
            <w:vAlign w:val="bottom"/>
            <w:gridSpan w:val="5"/>
          </w:tcPr>
          <w:p>
            <w:pPr>
              <w:jc w:val="right"/>
              <w:ind w:right="2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020" w:type="dxa"/>
            <w:vAlign w:val="bottom"/>
            <w:tcBorders>
              <w:bottom w:val="single" w:sz="8" w:color="CCEEFF"/>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2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2018</w:t>
            </w: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2019</w:t>
            </w:r>
          </w:p>
        </w:tc>
        <w:tc>
          <w:tcPr>
            <w:tcW w:w="2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02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line="126" w:lineRule="exact"/>
              <w:rPr>
                <w:sz w:val="20"/>
                <w:szCs w:val="20"/>
                <w:color w:val="auto"/>
              </w:rPr>
            </w:pPr>
            <w:r>
              <w:rPr>
                <w:rFonts w:ascii="Arial" w:cs="Arial" w:eastAsia="Arial" w:hAnsi="Arial"/>
                <w:sz w:val="12"/>
                <w:szCs w:val="12"/>
                <w:color w:val="auto"/>
              </w:rPr>
              <w:t>183</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80"/>
              <w:spacing w:after="0" w:line="12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line="126" w:lineRule="exact"/>
              <w:rPr>
                <w:sz w:val="20"/>
                <w:szCs w:val="20"/>
                <w:color w:val="auto"/>
              </w:rPr>
            </w:pPr>
            <w:r>
              <w:rPr>
                <w:rFonts w:ascii="Arial" w:cs="Arial" w:eastAsia="Arial" w:hAnsi="Arial"/>
                <w:sz w:val="12"/>
                <w:szCs w:val="12"/>
                <w:color w:val="auto"/>
              </w:rPr>
              <w:t>157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502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124</w:t>
            </w:r>
          </w:p>
        </w:tc>
        <w:tc>
          <w:tcPr>
            <w:tcW w:w="80" w:type="dxa"/>
            <w:vAlign w:val="bottom"/>
          </w:tcPr>
          <w:p>
            <w:pPr>
              <w:spacing w:after="0"/>
              <w:rPr>
                <w:sz w:val="11"/>
                <w:szCs w:val="11"/>
                <w:color w:val="auto"/>
              </w:rPr>
            </w:pPr>
          </w:p>
        </w:tc>
        <w:tc>
          <w:tcPr>
            <w:tcW w:w="6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178</w:t>
            </w: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433</w:t>
            </w:r>
          </w:p>
        </w:tc>
        <w:tc>
          <w:tcPr>
            <w:tcW w:w="80" w:type="dxa"/>
            <w:vAlign w:val="bottom"/>
          </w:tcPr>
          <w:p>
            <w:pPr>
              <w:spacing w:after="0"/>
              <w:rPr>
                <w:sz w:val="11"/>
                <w:szCs w:val="11"/>
                <w:color w:val="auto"/>
              </w:rPr>
            </w:pPr>
          </w:p>
        </w:tc>
        <w:tc>
          <w:tcPr>
            <w:tcW w:w="70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252</w:t>
            </w:r>
          </w:p>
        </w:tc>
        <w:tc>
          <w:tcPr>
            <w:tcW w:w="100" w:type="dxa"/>
            <w:vAlign w:val="bottom"/>
          </w:tcPr>
          <w:p>
            <w:pPr>
              <w:spacing w:after="0"/>
              <w:rPr>
                <w:sz w:val="11"/>
                <w:szCs w:val="11"/>
                <w:color w:val="auto"/>
              </w:rPr>
            </w:pPr>
          </w:p>
        </w:tc>
        <w:tc>
          <w:tcPr>
            <w:tcW w:w="4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35"/>
        </w:trPr>
        <w:tc>
          <w:tcPr>
            <w:tcW w:w="50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574</w:t>
            </w: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753</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1,803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932</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3,181</w:t>
            </w:r>
          </w:p>
        </w:tc>
        <w:tc>
          <w:tcPr>
            <w:tcW w:w="0" w:type="dxa"/>
            <w:vAlign w:val="bottom"/>
          </w:tcPr>
          <w:p>
            <w:pPr>
              <w:spacing w:after="0"/>
              <w:rPr>
                <w:sz w:val="1"/>
                <w:szCs w:val="1"/>
                <w:color w:val="auto"/>
              </w:rPr>
            </w:pPr>
          </w:p>
        </w:tc>
      </w:tr>
      <w:tr>
        <w:trPr>
          <w:trHeight w:val="135"/>
        </w:trPr>
        <w:tc>
          <w:tcPr>
            <w:tcW w:w="502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560</w:t>
            </w:r>
          </w:p>
        </w:tc>
        <w:tc>
          <w:tcPr>
            <w:tcW w:w="80" w:type="dxa"/>
            <w:vAlign w:val="bottom"/>
          </w:tcPr>
          <w:p>
            <w:pPr>
              <w:spacing w:after="0"/>
              <w:rPr>
                <w:sz w:val="11"/>
                <w:szCs w:val="11"/>
                <w:color w:val="auto"/>
              </w:rPr>
            </w:pPr>
          </w:p>
        </w:tc>
        <w:tc>
          <w:tcPr>
            <w:tcW w:w="6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931</w:t>
            </w:r>
          </w:p>
        </w:tc>
        <w:tc>
          <w:tcPr>
            <w:tcW w:w="80" w:type="dxa"/>
            <w:vAlign w:val="bottom"/>
          </w:tcPr>
          <w:p>
            <w:pPr>
              <w:spacing w:after="0"/>
              <w:rPr>
                <w:sz w:val="11"/>
                <w:szCs w:val="11"/>
                <w:color w:val="auto"/>
              </w:rPr>
            </w:pPr>
          </w:p>
        </w:tc>
        <w:tc>
          <w:tcPr>
            <w:tcW w:w="64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1,292</w:t>
            </w:r>
          </w:p>
        </w:tc>
        <w:tc>
          <w:tcPr>
            <w:tcW w:w="80" w:type="dxa"/>
            <w:vAlign w:val="bottom"/>
          </w:tcPr>
          <w:p>
            <w:pPr>
              <w:spacing w:after="0"/>
              <w:rPr>
                <w:sz w:val="11"/>
                <w:szCs w:val="11"/>
                <w:color w:val="auto"/>
              </w:rPr>
            </w:pPr>
          </w:p>
        </w:tc>
        <w:tc>
          <w:tcPr>
            <w:tcW w:w="700" w:type="dxa"/>
            <w:vAlign w:val="bottom"/>
            <w:gridSpan w:val="2"/>
          </w:tcPr>
          <w:p>
            <w:pPr>
              <w:jc w:val="right"/>
              <w:ind w:right="280"/>
              <w:spacing w:after="0" w:line="136" w:lineRule="exact"/>
              <w:rPr>
                <w:sz w:val="20"/>
                <w:szCs w:val="20"/>
                <w:color w:val="auto"/>
              </w:rPr>
            </w:pPr>
            <w:r>
              <w:rPr>
                <w:rFonts w:ascii="Arial" w:cs="Arial" w:eastAsia="Arial" w:hAnsi="Arial"/>
                <w:sz w:val="12"/>
                <w:szCs w:val="12"/>
                <w:color w:val="auto"/>
              </w:rPr>
              <w:t>863</w:t>
            </w:r>
          </w:p>
        </w:tc>
        <w:tc>
          <w:tcPr>
            <w:tcW w:w="100" w:type="dxa"/>
            <w:vAlign w:val="bottom"/>
          </w:tcPr>
          <w:p>
            <w:pPr>
              <w:spacing w:after="0"/>
              <w:rPr>
                <w:sz w:val="11"/>
                <w:szCs w:val="11"/>
                <w:color w:val="auto"/>
              </w:rPr>
            </w:pPr>
          </w:p>
        </w:tc>
        <w:tc>
          <w:tcPr>
            <w:tcW w:w="4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3"/>
        </w:trPr>
        <w:tc>
          <w:tcPr>
            <w:tcW w:w="5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0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2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1,290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2,045</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64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3,806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2,204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7,102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left="1620" w:right="279" w:hanging="441"/>
        <w:spacing w:after="0" w:line="241" w:lineRule="auto"/>
        <w:tabs>
          <w:tab w:leader="none" w:pos="16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See Note 16 to our consolidated financial statements for an explanation of the calculations of our basic and diluted net loss per share attributable to Upstart Holdings, Inc. common stockholders, pro forma net income per share attributable to Upstart Holdings, Inc. common stockholders and the weighted-average number of shares used in the computation of the per share amounts.</w:t>
      </w: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139"/>
          </w:cols>
          <w:pgMar w:left="320" w:top="407" w:right="1440"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4505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3905" cy="4505960"/>
                    </a:xfrm>
                    <a:prstGeom prst="rect">
                      <a:avLst/>
                    </a:prstGeom>
                    <a:noFill/>
                  </pic:spPr>
                </pic:pic>
              </a:graphicData>
            </a:graphic>
          </wp:anchor>
        </w:drawing>
      </w:r>
    </w:p>
    <w:p>
      <w:pPr>
        <w:spacing w:after="0" w:line="389"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 Data</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45"/>
        </w:trPr>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20" w:type="dxa"/>
            <w:vAlign w:val="bottom"/>
            <w:gridSpan w:val="9"/>
          </w:tcPr>
          <w:p>
            <w:pPr>
              <w:jc w:val="right"/>
              <w:ind w:right="660"/>
              <w:spacing w:after="0"/>
              <w:rPr>
                <w:sz w:val="20"/>
                <w:szCs w:val="20"/>
                <w:color w:val="auto"/>
              </w:rPr>
            </w:pPr>
            <w:r>
              <w:rPr>
                <w:rFonts w:ascii="Arial" w:cs="Arial" w:eastAsia="Arial" w:hAnsi="Arial"/>
                <w:sz w:val="12"/>
                <w:szCs w:val="12"/>
                <w:b w:val="1"/>
                <w:bCs w:val="1"/>
                <w:color w:val="auto"/>
                <w:w w:val="99"/>
              </w:rPr>
              <w:t>As of September 30, 2020</w:t>
            </w:r>
          </w:p>
        </w:tc>
      </w:tr>
      <w:tr>
        <w:trPr>
          <w:trHeight w:val="116"/>
        </w:trPr>
        <w:tc>
          <w:tcPr>
            <w:tcW w:w="53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34"/>
              <w:spacing w:after="0" w:line="117" w:lineRule="exact"/>
              <w:rPr>
                <w:sz w:val="20"/>
                <w:szCs w:val="20"/>
                <w:color w:val="auto"/>
              </w:rPr>
            </w:pPr>
            <w:r>
              <w:rPr>
                <w:rFonts w:ascii="Arial" w:cs="Arial" w:eastAsia="Arial" w:hAnsi="Arial"/>
                <w:sz w:val="12"/>
                <w:szCs w:val="12"/>
                <w:b w:val="1"/>
                <w:bCs w:val="1"/>
                <w:color w:val="auto"/>
                <w:w w:val="96"/>
              </w:rPr>
              <w:t>Pro Forma</w:t>
            </w:r>
          </w:p>
        </w:tc>
        <w:tc>
          <w:tcPr>
            <w:tcW w:w="80" w:type="dxa"/>
            <w:vAlign w:val="bottom"/>
          </w:tcPr>
          <w:p>
            <w:pPr>
              <w:spacing w:after="0"/>
              <w:rPr>
                <w:sz w:val="10"/>
                <w:szCs w:val="10"/>
                <w:color w:val="auto"/>
              </w:rPr>
            </w:pPr>
          </w:p>
        </w:tc>
      </w:tr>
      <w:tr>
        <w:trPr>
          <w:trHeight w:val="131"/>
        </w:trPr>
        <w:tc>
          <w:tcPr>
            <w:tcW w:w="5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380"/>
              <w:spacing w:after="0" w:line="131" w:lineRule="exact"/>
              <w:rPr>
                <w:sz w:val="20"/>
                <w:szCs w:val="20"/>
                <w:color w:val="auto"/>
              </w:rPr>
            </w:pPr>
            <w:r>
              <w:rPr>
                <w:rFonts w:ascii="Arial" w:cs="Arial" w:eastAsia="Arial" w:hAnsi="Arial"/>
                <w:sz w:val="12"/>
                <w:szCs w:val="12"/>
                <w:b w:val="1"/>
                <w:bCs w:val="1"/>
                <w:color w:val="auto"/>
              </w:rPr>
              <w:t>Pro</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0"/>
              <w:spacing w:after="0" w:line="131" w:lineRule="exact"/>
              <w:rPr>
                <w:sz w:val="20"/>
                <w:szCs w:val="20"/>
                <w:color w:val="auto"/>
              </w:rPr>
            </w:pPr>
            <w:r>
              <w:rPr>
                <w:rFonts w:ascii="Arial" w:cs="Arial" w:eastAsia="Arial" w:hAnsi="Arial"/>
                <w:sz w:val="12"/>
                <w:szCs w:val="12"/>
                <w:b w:val="1"/>
                <w:bCs w:val="1"/>
                <w:color w:val="auto"/>
              </w:rPr>
              <w:t>as</w:t>
            </w:r>
          </w:p>
        </w:tc>
      </w:tr>
      <w:tr>
        <w:trPr>
          <w:trHeight w:val="149"/>
        </w:trPr>
        <w:tc>
          <w:tcPr>
            <w:tcW w:w="532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Actual</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tcPr>
          <w:p>
            <w:pPr>
              <w:jc w:val="right"/>
              <w:spacing w:after="0" w:line="150" w:lineRule="exact"/>
              <w:rPr>
                <w:sz w:val="20"/>
                <w:szCs w:val="20"/>
                <w:color w:val="auto"/>
              </w:rPr>
            </w:pPr>
            <w:r>
              <w:rPr>
                <w:rFonts w:ascii="Arial" w:cs="Arial" w:eastAsia="Arial" w:hAnsi="Arial"/>
                <w:sz w:val="11"/>
                <w:szCs w:val="11"/>
                <w:b w:val="1"/>
                <w:bCs w:val="1"/>
                <w:color w:val="auto"/>
              </w:rPr>
              <w:t>Forma</w:t>
            </w:r>
            <w:r>
              <w:rPr>
                <w:rFonts w:ascii="Arial" w:cs="Arial" w:eastAsia="Arial" w:hAnsi="Arial"/>
                <w:sz w:val="17"/>
                <w:szCs w:val="17"/>
                <w:b w:val="1"/>
                <w:bCs w:val="1"/>
                <w:color w:val="auto"/>
                <w:vertAlign w:val="superscript"/>
              </w:rPr>
              <w:t>(1)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(2)(3)</w:t>
            </w:r>
          </w:p>
        </w:tc>
        <w:tc>
          <w:tcPr>
            <w:tcW w:w="80" w:type="dxa"/>
            <w:vAlign w:val="bottom"/>
            <w:tcBorders>
              <w:bottom w:val="single" w:sz="8" w:color="CCEEFF"/>
            </w:tcBorders>
          </w:tcPr>
          <w:p>
            <w:pPr>
              <w:spacing w:after="0"/>
              <w:rPr>
                <w:sz w:val="12"/>
                <w:szCs w:val="12"/>
                <w:color w:val="auto"/>
              </w:rPr>
            </w:pPr>
          </w:p>
        </w:tc>
      </w:tr>
      <w:tr>
        <w:trPr>
          <w:trHeight w:val="149"/>
        </w:trPr>
        <w:tc>
          <w:tcPr>
            <w:tcW w:w="5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53,234</w:t>
            </w:r>
          </w:p>
        </w:tc>
        <w:tc>
          <w:tcPr>
            <w:tcW w:w="1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53,240</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216,238</w:t>
            </w:r>
          </w:p>
        </w:tc>
        <w:tc>
          <w:tcPr>
            <w:tcW w:w="80" w:type="dxa"/>
            <w:vAlign w:val="bottom"/>
            <w:shd w:val="clear" w:color="auto" w:fill="CCEEFF"/>
          </w:tcPr>
          <w:p>
            <w:pPr>
              <w:spacing w:after="0"/>
              <w:rPr>
                <w:sz w:val="12"/>
                <w:szCs w:val="12"/>
                <w:color w:val="auto"/>
              </w:rPr>
            </w:pPr>
          </w:p>
        </w:tc>
      </w:tr>
      <w:tr>
        <w:trPr>
          <w:trHeight w:val="164"/>
        </w:trPr>
        <w:tc>
          <w:tcPr>
            <w:tcW w:w="5320" w:type="dxa"/>
            <w:vAlign w:val="bottom"/>
          </w:tcPr>
          <w:p>
            <w:pPr>
              <w:spacing w:after="0"/>
              <w:rPr>
                <w:sz w:val="20"/>
                <w:szCs w:val="20"/>
                <w:color w:val="auto"/>
              </w:rPr>
            </w:pPr>
            <w:r>
              <w:rPr>
                <w:rFonts w:ascii="Arial" w:cs="Arial" w:eastAsia="Arial" w:hAnsi="Arial"/>
                <w:sz w:val="14"/>
                <w:szCs w:val="14"/>
                <w:color w:val="auto"/>
              </w:rPr>
              <w:t>Loans (at fair value)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122,708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122,708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122,708</w:t>
            </w:r>
          </w:p>
        </w:tc>
        <w:tc>
          <w:tcPr>
            <w:tcW w:w="80" w:type="dxa"/>
            <w:vAlign w:val="bottom"/>
          </w:tcPr>
          <w:p>
            <w:pPr>
              <w:spacing w:after="0"/>
              <w:rPr>
                <w:sz w:val="14"/>
                <w:szCs w:val="14"/>
                <w:color w:val="auto"/>
              </w:rPr>
            </w:pPr>
          </w:p>
        </w:tc>
      </w:tr>
      <w:tr>
        <w:trPr>
          <w:trHeight w:val="84"/>
        </w:trPr>
        <w:tc>
          <w:tcPr>
            <w:tcW w:w="5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309,804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309,810</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467,923</w:t>
            </w:r>
          </w:p>
        </w:tc>
        <w:tc>
          <w:tcPr>
            <w:tcW w:w="80" w:type="dxa"/>
            <w:vAlign w:val="bottom"/>
            <w:shd w:val="clear" w:color="auto" w:fill="CCEEFF"/>
          </w:tcPr>
          <w:p>
            <w:pPr>
              <w:spacing w:after="0"/>
              <w:rPr>
                <w:sz w:val="13"/>
                <w:szCs w:val="13"/>
                <w:color w:val="auto"/>
              </w:rPr>
            </w:pPr>
          </w:p>
        </w:tc>
      </w:tr>
      <w:tr>
        <w:trPr>
          <w:trHeight w:val="254"/>
        </w:trPr>
        <w:tc>
          <w:tcPr>
            <w:tcW w:w="5320" w:type="dxa"/>
            <w:vAlign w:val="bottom"/>
          </w:tcPr>
          <w:p>
            <w:pPr>
              <w:spacing w:after="0"/>
              <w:rPr>
                <w:sz w:val="20"/>
                <w:szCs w:val="20"/>
                <w:color w:val="auto"/>
              </w:rPr>
            </w:pPr>
            <w:r>
              <w:rPr>
                <w:rFonts w:ascii="Arial" w:cs="Arial" w:eastAsia="Arial" w:hAnsi="Arial"/>
                <w:sz w:val="14"/>
                <w:szCs w:val="14"/>
                <w:color w:val="auto"/>
              </w:rPr>
              <w:t>Borrowings</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100,588</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100,588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100,588</w:t>
            </w:r>
          </w:p>
        </w:tc>
        <w:tc>
          <w:tcPr>
            <w:tcW w:w="80" w:type="dxa"/>
            <w:vAlign w:val="bottom"/>
          </w:tcPr>
          <w:p>
            <w:pPr>
              <w:spacing w:after="0"/>
              <w:rPr>
                <w:sz w:val="22"/>
                <w:szCs w:val="22"/>
                <w:color w:val="auto"/>
              </w:rPr>
            </w:pPr>
          </w:p>
        </w:tc>
      </w:tr>
      <w:tr>
        <w:trPr>
          <w:trHeight w:val="84"/>
        </w:trPr>
        <w:tc>
          <w:tcPr>
            <w:tcW w:w="5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194,591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187,134</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187,134</w:t>
            </w:r>
          </w:p>
        </w:tc>
        <w:tc>
          <w:tcPr>
            <w:tcW w:w="80" w:type="dxa"/>
            <w:vAlign w:val="bottom"/>
            <w:shd w:val="clear" w:color="auto" w:fill="CCEEFF"/>
          </w:tcPr>
          <w:p>
            <w:pPr>
              <w:spacing w:after="0"/>
              <w:rPr>
                <w:sz w:val="13"/>
                <w:szCs w:val="13"/>
                <w:color w:val="auto"/>
              </w:rPr>
            </w:pPr>
          </w:p>
        </w:tc>
      </w:tr>
      <w:tr>
        <w:trPr>
          <w:trHeight w:val="248"/>
        </w:trPr>
        <w:tc>
          <w:tcPr>
            <w:tcW w:w="532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162,546</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(70,249)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9"/>
              </w:rPr>
              <w:t>(70,249)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(75,134)</w:t>
            </w:r>
          </w:p>
        </w:tc>
      </w:tr>
      <w:tr>
        <w:trPr>
          <w:trHeight w:val="254"/>
        </w:trPr>
        <w:tc>
          <w:tcPr>
            <w:tcW w:w="532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(47,333)</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122,676</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280,789</w:t>
            </w:r>
          </w:p>
        </w:tc>
        <w:tc>
          <w:tcPr>
            <w:tcW w:w="80" w:type="dxa"/>
            <w:vAlign w:val="bottom"/>
          </w:tcPr>
          <w:p>
            <w:pPr>
              <w:spacing w:after="0"/>
              <w:rPr>
                <w:sz w:val="22"/>
                <w:szCs w:val="22"/>
                <w:color w:val="auto"/>
              </w:rPr>
            </w:pPr>
          </w:p>
        </w:tc>
      </w:tr>
      <w:tr>
        <w:trPr>
          <w:trHeight w:val="84"/>
        </w:trPr>
        <w:tc>
          <w:tcPr>
            <w:tcW w:w="53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convertible preferred stock and stockholders’ (deficit) equity</w:t>
            </w:r>
          </w:p>
        </w:tc>
        <w:tc>
          <w:tcPr>
            <w:tcW w:w="9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309,804</w:t>
            </w:r>
          </w:p>
        </w:tc>
        <w:tc>
          <w:tcPr>
            <w:tcW w:w="1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309,810</w:t>
            </w:r>
          </w:p>
        </w:tc>
        <w:tc>
          <w:tcPr>
            <w:tcW w:w="2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467,923</w:t>
            </w:r>
          </w:p>
        </w:tc>
        <w:tc>
          <w:tcPr>
            <w:tcW w:w="8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jc w:val="both"/>
        <w:ind w:left="1620" w:right="119" w:hanging="441"/>
        <w:spacing w:after="0" w:line="235" w:lineRule="auto"/>
        <w:tabs>
          <w:tab w:leader="none" w:pos="1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 forma column in the balance sheet data table above reflects (a) the Capital Stock Conversion, as if such conversions had occurred on September 30, 2020, (b) the preferred stock issued in November 2020 upon the exercise of a warrant to purchase Series B preferred stock and (c) the filing and effectiveness of our amended and restated certificate of incorporation in Delaware that will become effective immediately prior to the completion of this offering.</w:t>
      </w:r>
    </w:p>
    <w:p>
      <w:pPr>
        <w:ind w:left="1620" w:right="179" w:hanging="441"/>
        <w:spacing w:after="0" w:line="235" w:lineRule="auto"/>
        <w:tabs>
          <w:tab w:leader="none" w:pos="1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pro forma as adjusted column in the balance sheet data table above gives effect to (a) the pro forma adjustments set forth above and (b) the sale and issuance by us of shares of our common stock in this offering, based upon the initial public offering price of $20.00 per share and after deducting underwriting discounts and commissions and estimated offering expenses payable by us and (c) the issuance of 466,389 shares of common stock upon the exercise of options held by certain selling stockholders in connection with the sale of such shares by such selling stockholders in this offering.</w:t>
      </w:r>
    </w:p>
    <w:p>
      <w:pPr>
        <w:ind w:left="1620" w:hanging="441"/>
        <w:spacing w:after="0"/>
        <w:tabs>
          <w:tab w:leader="none" w:pos="1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Pro forma as adjusted cash and total assets each excludes $4.2 million of deferred offering costs that had been paid as of September 30, 2020.</w:t>
      </w: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15"/>
          <w:szCs w:val="15"/>
          <w:b w:val="1"/>
          <w:bCs w:val="1"/>
          <w:color w:val="auto"/>
        </w:rPr>
        <w:t>Key Operating Metrics</w:t>
      </w:r>
    </w:p>
    <w:p>
      <w:pPr>
        <w:spacing w:after="0" w:line="195" w:lineRule="exact"/>
        <w:rPr>
          <w:sz w:val="20"/>
          <w:szCs w:val="20"/>
          <w:color w:val="auto"/>
        </w:rPr>
      </w:pPr>
    </w:p>
    <w:p>
      <w:pPr>
        <w:ind w:left="1180" w:right="199" w:firstLine="444"/>
        <w:spacing w:after="0" w:line="24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7"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5500" w:type="dxa"/>
            <w:vAlign w:val="bottom"/>
          </w:tcPr>
          <w:p>
            <w:pPr>
              <w:spacing w:after="0"/>
              <w:rPr>
                <w:sz w:val="12"/>
                <w:szCs w:val="12"/>
                <w:color w:val="auto"/>
              </w:rPr>
            </w:pPr>
          </w:p>
        </w:tc>
        <w:tc>
          <w:tcPr>
            <w:tcW w:w="2000" w:type="dxa"/>
            <w:vAlign w:val="bottom"/>
            <w:gridSpan w:val="6"/>
          </w:tcPr>
          <w:p>
            <w:pPr>
              <w:ind w:left="200"/>
              <w:spacing w:after="0"/>
              <w:rPr>
                <w:sz w:val="20"/>
                <w:szCs w:val="20"/>
                <w:color w:val="auto"/>
              </w:rPr>
            </w:pPr>
            <w:r>
              <w:rPr>
                <w:rFonts w:ascii="Arial" w:cs="Arial" w:eastAsia="Arial" w:hAnsi="Arial"/>
                <w:sz w:val="12"/>
                <w:szCs w:val="12"/>
                <w:b w:val="1"/>
                <w:bCs w:val="1"/>
                <w:color w:val="auto"/>
              </w:rPr>
              <w:t>Year Ended December 31,</w:t>
            </w:r>
          </w:p>
        </w:tc>
        <w:tc>
          <w:tcPr>
            <w:tcW w:w="138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50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5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136,468</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176,983</w:t>
            </w:r>
          </w:p>
        </w:tc>
        <w:tc>
          <w:tcPr>
            <w:tcW w:w="60" w:type="dxa"/>
            <w:vAlign w:val="bottom"/>
            <w:shd w:val="clear" w:color="auto" w:fill="CCEEFF"/>
          </w:tcPr>
          <w:p>
            <w:pPr>
              <w:spacing w:after="0"/>
              <w:rPr>
                <w:sz w:val="12"/>
                <w:szCs w:val="12"/>
                <w:color w:val="auto"/>
              </w:rPr>
            </w:pPr>
          </w:p>
        </w:tc>
      </w:tr>
      <w:tr>
        <w:trPr>
          <w:trHeight w:val="158"/>
        </w:trPr>
        <w:tc>
          <w:tcPr>
            <w:tcW w:w="550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9.1%</w:t>
            </w: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13.1%</w:t>
            </w:r>
          </w:p>
        </w:tc>
        <w:tc>
          <w:tcPr>
            <w:tcW w:w="1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12.2%</w:t>
            </w:r>
          </w:p>
        </w:tc>
        <w:tc>
          <w:tcPr>
            <w:tcW w:w="12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60" w:type="dxa"/>
            <w:vAlign w:val="bottom"/>
          </w:tcPr>
          <w:p>
            <w:pPr>
              <w:spacing w:after="0"/>
              <w:rPr>
                <w:sz w:val="13"/>
                <w:szCs w:val="13"/>
                <w:color w:val="auto"/>
              </w:rPr>
            </w:pPr>
          </w:p>
        </w:tc>
      </w:tr>
      <w:tr>
        <w:trPr>
          <w:trHeight w:val="158"/>
        </w:trPr>
        <w:tc>
          <w:tcPr>
            <w:tcW w:w="5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r>
    </w:tbl>
    <w:p>
      <w:pPr>
        <w:spacing w:after="0" w:line="180" w:lineRule="exact"/>
        <w:rPr>
          <w:sz w:val="20"/>
          <w:szCs w:val="20"/>
          <w:color w:val="auto"/>
        </w:rPr>
      </w:pPr>
    </w:p>
    <w:p>
      <w:pPr>
        <w:jc w:val="both"/>
        <w:ind w:left="1180" w:right="379" w:firstLine="444"/>
        <w:spacing w:after="0" w:line="24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Operations—Key Operating Metrics” for a description of Number of Loans Transacted, Conversion Rate and Percentage of Loans Fully Automated.</w:t>
      </w: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139"/>
          </w:cols>
          <w:pgMar w:left="320" w:top="407" w:right="1440"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168275</wp:posOffset>
            </wp:positionV>
            <wp:extent cx="5843905" cy="14935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3905" cy="1493520"/>
                    </a:xfrm>
                    <a:prstGeom prst="rect">
                      <a:avLst/>
                    </a:prstGeom>
                    <a:noFill/>
                  </pic:spPr>
                </pic:pic>
              </a:graphicData>
            </a:graphic>
          </wp:anchor>
        </w:drawing>
      </w:r>
    </w:p>
    <w:p>
      <w:pPr>
        <w:spacing w:after="0" w:line="389"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Non-GAAP Financial Measures</w:t>
      </w:r>
    </w:p>
    <w:p>
      <w:pPr>
        <w:spacing w:after="0" w:line="205" w:lineRule="exact"/>
        <w:rPr>
          <w:sz w:val="20"/>
          <w:szCs w:val="20"/>
          <w:color w:val="auto"/>
        </w:rPr>
      </w:pPr>
    </w:p>
    <w:tbl>
      <w:tblPr>
        <w:tblLayout w:type="fixed"/>
        <w:tblInd w:w="1180" w:type="dxa"/>
        <w:tblCellMar>
          <w:top w:w="0" w:type="dxa"/>
          <w:left w:w="0" w:type="dxa"/>
          <w:bottom w:w="0" w:type="dxa"/>
          <w:right w:w="0" w:type="dxa"/>
        </w:tblCellMar>
      </w:tblPr>
      <w:tr>
        <w:trPr>
          <w:trHeight w:val="138"/>
        </w:trPr>
        <w:tc>
          <w:tcPr>
            <w:tcW w:w="3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32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160" w:type="dxa"/>
            <w:vAlign w:val="bottom"/>
          </w:tcPr>
          <w:p>
            <w:pPr>
              <w:spacing w:after="0"/>
              <w:rPr>
                <w:sz w:val="12"/>
                <w:szCs w:val="12"/>
                <w:color w:val="auto"/>
              </w:rPr>
            </w:pPr>
          </w:p>
        </w:tc>
        <w:tc>
          <w:tcPr>
            <w:tcW w:w="1980" w:type="dxa"/>
            <w:vAlign w:val="bottom"/>
            <w:gridSpan w:val="8"/>
          </w:tcPr>
          <w:p>
            <w:pPr>
              <w:jc w:val="center"/>
              <w:spacing w:after="0"/>
              <w:rPr>
                <w:sz w:val="20"/>
                <w:szCs w:val="20"/>
                <w:color w:val="auto"/>
              </w:rPr>
            </w:pPr>
            <w:r>
              <w:rPr>
                <w:rFonts w:ascii="Arial" w:cs="Arial" w:eastAsia="Arial" w:hAnsi="Arial"/>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5"/>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3240" w:type="dxa"/>
            <w:vAlign w:val="bottom"/>
            <w:tcBorders>
              <w:bottom w:val="single" w:sz="8" w:color="CCEEFF"/>
            </w:tcBorders>
            <w:vMerge w:val="continue"/>
          </w:tcPr>
          <w:p>
            <w:pPr>
              <w:spacing w:after="0"/>
              <w:rPr>
                <w:sz w:val="10"/>
                <w:szCs w:val="10"/>
                <w:color w:val="auto"/>
              </w:rPr>
            </w:pPr>
          </w:p>
        </w:tc>
        <w:tc>
          <w:tcPr>
            <w:tcW w:w="216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Contribution Profit</w:t>
            </w:r>
          </w:p>
        </w:tc>
        <w:tc>
          <w:tcPr>
            <w:tcW w:w="2620" w:type="dxa"/>
            <w:vAlign w:val="bottom"/>
            <w:gridSpan w:val="2"/>
            <w:shd w:val="clear" w:color="auto" w:fill="CCEEFF"/>
          </w:tcPr>
          <w:p>
            <w:pPr>
              <w:ind w:left="2160"/>
              <w:spacing w:after="0" w:line="149" w:lineRule="exact"/>
              <w:rPr>
                <w:sz w:val="20"/>
                <w:szCs w:val="20"/>
                <w:color w:val="auto"/>
              </w:rPr>
            </w:pPr>
            <w:r>
              <w:rPr>
                <w:rFonts w:ascii="Arial" w:cs="Arial" w:eastAsia="Arial" w:hAnsi="Arial"/>
                <w:sz w:val="14"/>
                <w:szCs w:val="14"/>
                <w:color w:val="auto"/>
                <w:w w:val="94"/>
              </w:rPr>
              <w:t>$ 9,265</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$13,098</w:t>
            </w:r>
          </w:p>
        </w:tc>
        <w:tc>
          <w:tcPr>
            <w:tcW w:w="1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48,940</w:t>
            </w:r>
          </w:p>
        </w:tc>
        <w:tc>
          <w:tcPr>
            <w:tcW w:w="70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$25,560</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8"/>
              </w:rPr>
              <w:t>$63,697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240" w:type="dxa"/>
            <w:vAlign w:val="bottom"/>
          </w:tcPr>
          <w:p>
            <w:pPr>
              <w:spacing w:after="0"/>
              <w:rPr>
                <w:sz w:val="20"/>
                <w:szCs w:val="20"/>
                <w:color w:val="auto"/>
              </w:rPr>
            </w:pPr>
            <w:r>
              <w:rPr>
                <w:rFonts w:ascii="Arial" w:cs="Arial" w:eastAsia="Arial" w:hAnsi="Arial"/>
                <w:sz w:val="14"/>
                <w:szCs w:val="14"/>
                <w:color w:val="auto"/>
              </w:rPr>
              <w:t>Adjusted EBITDA</w:t>
            </w:r>
          </w:p>
        </w:tc>
        <w:tc>
          <w:tcPr>
            <w:tcW w:w="2780" w:type="dxa"/>
            <w:vAlign w:val="bottom"/>
            <w:gridSpan w:val="3"/>
          </w:tcPr>
          <w:p>
            <w:pPr>
              <w:ind w:left="2160"/>
              <w:spacing w:after="0"/>
              <w:rPr>
                <w:sz w:val="20"/>
                <w:szCs w:val="20"/>
                <w:color w:val="auto"/>
              </w:rPr>
            </w:pPr>
            <w:r>
              <w:rPr>
                <w:rFonts w:ascii="Arial" w:cs="Arial" w:eastAsia="Arial" w:hAnsi="Arial"/>
                <w:sz w:val="14"/>
                <w:szCs w:val="14"/>
                <w:color w:val="auto"/>
              </w:rPr>
              <w:t>$(4,679)</w:t>
            </w:r>
          </w:p>
        </w:tc>
        <w:tc>
          <w:tcPr>
            <w:tcW w:w="760" w:type="dxa"/>
            <w:vAlign w:val="bottom"/>
            <w:gridSpan w:val="3"/>
          </w:tcPr>
          <w:p>
            <w:pPr>
              <w:ind w:left="100"/>
              <w:spacing w:after="0"/>
              <w:rPr>
                <w:sz w:val="20"/>
                <w:szCs w:val="20"/>
                <w:color w:val="auto"/>
              </w:rPr>
            </w:pPr>
            <w:r>
              <w:rPr>
                <w:rFonts w:ascii="Arial" w:cs="Arial" w:eastAsia="Arial" w:hAnsi="Arial"/>
                <w:sz w:val="14"/>
                <w:szCs w:val="14"/>
                <w:color w:val="auto"/>
              </w:rPr>
              <w:t>$ (6,226)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5,595</w:t>
            </w:r>
          </w:p>
        </w:tc>
        <w:tc>
          <w:tcPr>
            <w:tcW w:w="860" w:type="dxa"/>
            <w:vAlign w:val="bottom"/>
            <w:gridSpan w:val="3"/>
          </w:tcPr>
          <w:p>
            <w:pPr>
              <w:ind w:left="200"/>
              <w:spacing w:after="0"/>
              <w:rPr>
                <w:sz w:val="20"/>
                <w:szCs w:val="20"/>
                <w:color w:val="auto"/>
              </w:rPr>
            </w:pPr>
            <w:r>
              <w:rPr>
                <w:rFonts w:ascii="Arial" w:cs="Arial" w:eastAsia="Arial" w:hAnsi="Arial"/>
                <w:sz w:val="14"/>
                <w:szCs w:val="14"/>
                <w:color w:val="auto"/>
              </w:rPr>
              <w:t>$ (1,363)</w:t>
            </w:r>
          </w:p>
        </w:tc>
        <w:tc>
          <w:tcPr>
            <w:tcW w:w="600" w:type="dxa"/>
            <w:vAlign w:val="bottom"/>
            <w:gridSpan w:val="2"/>
          </w:tcPr>
          <w:p>
            <w:pPr>
              <w:jc w:val="center"/>
              <w:ind w:left="32"/>
              <w:spacing w:after="0"/>
              <w:rPr>
                <w:sz w:val="20"/>
                <w:szCs w:val="20"/>
                <w:color w:val="auto"/>
              </w:rPr>
            </w:pPr>
            <w:r>
              <w:rPr>
                <w:rFonts w:ascii="Arial" w:cs="Arial" w:eastAsia="Arial" w:hAnsi="Arial"/>
                <w:sz w:val="14"/>
                <w:szCs w:val="14"/>
                <w:color w:val="auto"/>
                <w:w w:val="98"/>
              </w:rPr>
              <w:t>$16,006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180" w:right="79" w:firstLine="444"/>
        <w:spacing w:after="0" w:line="238" w:lineRule="auto"/>
        <w:rPr>
          <w:sz w:val="20"/>
          <w:szCs w:val="20"/>
          <w:color w:val="auto"/>
        </w:rPr>
      </w:pPr>
      <w:r>
        <w:rPr>
          <w:rFonts w:ascii="Arial" w:cs="Arial" w:eastAsia="Arial" w:hAnsi="Arial"/>
          <w:sz w:val="15"/>
          <w:szCs w:val="15"/>
          <w:color w:val="auto"/>
        </w:rPr>
        <w:t>See the section titled “Selected Consolidated Financial and Other Data—Non-GAAP Financial Measures” for a description of Contribution Profit and Adjusted EBITDA and the section titled “Management’s Discussion and Analysis of Financial Condition and Results of Operations—Reconciliation of Non-GAAP Financial Measures” for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139"/>
          </w:cols>
          <w:pgMar w:left="320" w:top="407" w:right="1440"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RISK FACTORS</w:t>
      </w:r>
    </w:p>
    <w:p>
      <w:pPr>
        <w:spacing w:after="0" w:line="179" w:lineRule="exact"/>
        <w:rPr>
          <w:sz w:val="20"/>
          <w:szCs w:val="20"/>
          <w:color w:val="auto"/>
        </w:rPr>
      </w:pPr>
    </w:p>
    <w:p>
      <w:pPr>
        <w:ind w:left="1020" w:right="79" w:firstLine="460"/>
        <w:spacing w:after="0"/>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244"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77" w:lineRule="exact"/>
        <w:rPr>
          <w:sz w:val="20"/>
          <w:szCs w:val="20"/>
          <w:color w:val="auto"/>
        </w:rPr>
      </w:pPr>
    </w:p>
    <w:p>
      <w:pPr>
        <w:ind w:left="1020" w:right="119"/>
        <w:spacing w:after="0" w:line="252" w:lineRule="auto"/>
        <w:rPr>
          <w:sz w:val="20"/>
          <w:szCs w:val="20"/>
          <w:color w:val="auto"/>
        </w:rPr>
      </w:pPr>
      <w:r>
        <w:rPr>
          <w:rFonts w:ascii="Arial" w:cs="Arial" w:eastAsia="Arial" w:hAnsi="Arial"/>
          <w:sz w:val="15"/>
          <w:szCs w:val="15"/>
          <w:b w:val="1"/>
          <w:bCs w:val="1"/>
          <w:i w:val="1"/>
          <w:iCs w:val="1"/>
          <w:color w:val="auto"/>
        </w:rPr>
        <w:t>Investing in our common stock involves a high degree of risk because our business is subject to numerous risks and uncertainties, as fully described below. The principal factors and uncertainties that make investing in our common stock risky include, among others:</w:t>
      </w:r>
    </w:p>
    <w:p>
      <w:pPr>
        <w:spacing w:after="0" w:line="83" w:lineRule="exact"/>
        <w:rPr>
          <w:sz w:val="20"/>
          <w:szCs w:val="20"/>
          <w:color w:val="auto"/>
        </w:rPr>
      </w:pPr>
    </w:p>
    <w:p>
      <w:pPr>
        <w:ind w:left="1660" w:right="9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are a rapidly growing company with a relatively limited operating history, which may result in increased risks, uncertainties, expenses and difficulties, and makes it difficult to evaluate our future prospects.</w:t>
      </w:r>
    </w:p>
    <w:p>
      <w:pPr>
        <w:spacing w:after="0" w:line="87" w:lineRule="exact"/>
        <w:rPr>
          <w:rFonts w:ascii="Arial" w:cs="Arial" w:eastAsia="Arial" w:hAnsi="Arial"/>
          <w:sz w:val="15"/>
          <w:szCs w:val="15"/>
          <w:color w:val="auto"/>
        </w:rPr>
      </w:pPr>
    </w:p>
    <w:p>
      <w:pPr>
        <w:ind w:left="1660" w:right="35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revenue growth rate and financial performance in recent periods may not be indicative of future performance and such growth may slow over time.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COVID-19 pandemic has harmed and could continue to harm our business, financial condition and results of operations.</w:t>
      </w:r>
    </w:p>
    <w:p>
      <w:pPr>
        <w:spacing w:after="0" w:line="97" w:lineRule="exact"/>
        <w:rPr>
          <w:rFonts w:ascii="Arial" w:cs="Arial" w:eastAsia="Arial" w:hAnsi="Arial"/>
          <w:sz w:val="15"/>
          <w:szCs w:val="15"/>
          <w:color w:val="auto"/>
        </w:rPr>
      </w:pPr>
    </w:p>
    <w:p>
      <w:pPr>
        <w:ind w:left="1660" w:right="51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we fail to effectively manage our growth, our business, financial condition and results of operations could be adversely affected.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have incurred net losses in the past, and we may not be able to maintain or increase our profitability in the future.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quarterly results are likely to fluctuate and as a result may adversely affect the trading price of our common stock.</w:t>
      </w:r>
    </w:p>
    <w:p>
      <w:pPr>
        <w:spacing w:after="0" w:line="97" w:lineRule="exact"/>
        <w:rPr>
          <w:rFonts w:ascii="Arial" w:cs="Arial" w:eastAsia="Arial" w:hAnsi="Arial"/>
          <w:sz w:val="15"/>
          <w:szCs w:val="15"/>
          <w:color w:val="auto"/>
        </w:rPr>
      </w:pPr>
    </w:p>
    <w:p>
      <w:pPr>
        <w:ind w:left="1660" w:right="7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87" w:lineRule="exact"/>
        <w:rPr>
          <w:rFonts w:ascii="Arial" w:cs="Arial" w:eastAsia="Arial" w:hAnsi="Arial"/>
          <w:sz w:val="15"/>
          <w:szCs w:val="15"/>
          <w:color w:val="auto"/>
        </w:rPr>
      </w:pPr>
    </w:p>
    <w:p>
      <w:pPr>
        <w:ind w:left="1660" w:right="43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87" w:lineRule="exact"/>
        <w:rPr>
          <w:rFonts w:ascii="Arial" w:cs="Arial" w:eastAsia="Arial" w:hAnsi="Arial"/>
          <w:sz w:val="15"/>
          <w:szCs w:val="15"/>
          <w:color w:val="auto"/>
        </w:rPr>
      </w:pPr>
    </w:p>
    <w:p>
      <w:pPr>
        <w:ind w:left="1660" w:right="29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Cross River Bank and one other bank partner account for a substantial portion of the total number of loans facilitated by our platform and our revenue.</w:t>
      </w:r>
    </w:p>
    <w:p>
      <w:pPr>
        <w:spacing w:after="0" w:line="87" w:lineRule="exact"/>
        <w:rPr>
          <w:rFonts w:ascii="Arial" w:cs="Arial" w:eastAsia="Arial" w:hAnsi="Arial"/>
          <w:sz w:val="15"/>
          <w:szCs w:val="15"/>
          <w:color w:val="auto"/>
        </w:rPr>
      </w:pPr>
    </w:p>
    <w:p>
      <w:pPr>
        <w:ind w:left="1660" w:right="19" w:hanging="183"/>
        <w:spacing w:after="0" w:line="245"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sales and onboarding process of new bank partners could take longer than expected, leading to fluctuations or variability in expected revenues and results of operations.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business may be adversely affected by economic conditions and other factors that we cannot control.</w:t>
      </w:r>
    </w:p>
    <w:p>
      <w:pPr>
        <w:spacing w:after="0" w:line="97" w:lineRule="exact"/>
        <w:rPr>
          <w:rFonts w:ascii="Arial" w:cs="Arial" w:eastAsia="Arial" w:hAnsi="Arial"/>
          <w:sz w:val="15"/>
          <w:szCs w:val="15"/>
          <w:color w:val="auto"/>
        </w:rPr>
      </w:pPr>
    </w:p>
    <w:p>
      <w:pPr>
        <w:ind w:left="1660" w:right="79" w:hanging="183"/>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21</w:t>
      </w:r>
    </w:p>
    <w:p>
      <w:pPr>
        <w:sectPr>
          <w:pgSz w:w="11900" w:h="16838" w:orient="portrait"/>
          <w:cols w:equalWidth="0" w:num="1">
            <w:col w:w="10139"/>
          </w:cols>
          <w:pgMar w:left="320" w:top="407" w:right="1440"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If we are unable to maintain a diverse and robust loan funding program, our growth prospects, business, financial condition and results of operations could be adversely affected.</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87" w:lineRule="exact"/>
        <w:rPr>
          <w:rFonts w:ascii="Arial" w:cs="Arial" w:eastAsia="Arial" w:hAnsi="Arial"/>
          <w:sz w:val="15"/>
          <w:szCs w:val="15"/>
          <w:color w:val="auto"/>
        </w:rPr>
      </w:pPr>
    </w:p>
    <w:p>
      <w:pPr>
        <w:ind w:left="1660" w:right="100"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91" w:lineRule="exact"/>
        <w:rPr>
          <w:rFonts w:ascii="Arial" w:cs="Arial" w:eastAsia="Arial" w:hAnsi="Arial"/>
          <w:sz w:val="15"/>
          <w:szCs w:val="15"/>
          <w:color w:val="auto"/>
        </w:rPr>
      </w:pPr>
    </w:p>
    <w:p>
      <w:pPr>
        <w:ind w:left="1660" w:right="180" w:hanging="183"/>
        <w:spacing w:after="0"/>
        <w:tabs>
          <w:tab w:leader="none" w:pos="16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242" w:lineRule="exact"/>
        <w:rPr>
          <w:sz w:val="20"/>
          <w:szCs w:val="20"/>
          <w:color w:val="auto"/>
        </w:rPr>
      </w:pPr>
    </w:p>
    <w:p>
      <w:pPr>
        <w:ind w:left="1020" w:right="60"/>
        <w:spacing w:after="0" w:line="270" w:lineRule="auto"/>
        <w:rPr>
          <w:sz w:val="20"/>
          <w:szCs w:val="20"/>
          <w:color w:val="auto"/>
        </w:rPr>
      </w:pPr>
      <w:r>
        <w:rPr>
          <w:rFonts w:ascii="Arial" w:cs="Arial" w:eastAsia="Arial" w:hAnsi="Arial"/>
          <w:sz w:val="15"/>
          <w:szCs w:val="15"/>
          <w:b w:val="1"/>
          <w:bCs w:val="1"/>
          <w:i w:val="1"/>
          <w:iCs w:val="1"/>
          <w:color w:val="auto"/>
        </w:rPr>
        <w:t>We are a rapidly growing company with a relatively limited operating history, which may result in increased risks, uncertainties, expenses and difficulties, and makes it difficult to evaluate our future prospects.</w:t>
      </w:r>
    </w:p>
    <w:p>
      <w:pPr>
        <w:spacing w:after="0" w:line="5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91" w:lineRule="exact"/>
        <w:rPr>
          <w:sz w:val="20"/>
          <w:szCs w:val="20"/>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improve the effectiveness and predictiveness of our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maintain and increase the volume of loans facilitated by our AI lending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enter into new and maintain existing bank partnerships;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8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successfully fund a sufficient quantity of our borrower loan demand with low cost bank funding to help keep interest rates offered to borrowers competitive;</w:t>
      </w:r>
    </w:p>
    <w:p>
      <w:pPr>
        <w:spacing w:after="0" w:line="8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maintain competitive interest rates offered to borrowers on our platform, while enabling our bank partners to achieve an adequate return over their cost of funds, whether through their own balance sheets or through our loan funding programs;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successfully build our brand and protect our reputation from negative publicity;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increase the effectiveness of our marketing strategies, including our direct consumer marketing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continue to expand the number of potential borrowers;</w:t>
      </w:r>
    </w:p>
    <w:p>
      <w:pPr>
        <w:spacing w:after="0" w:line="9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successfully adjust our proprietary AI models, products and services in a timely manner in response to changing macroeconomic conditions and fluctuations in the credit market;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comply with and successfully adapt to complex and evolving regulatory environments.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protect against increasingly sophisticated fraudulent borrowing and online theft;</w:t>
      </w:r>
    </w:p>
    <w:p>
      <w:pPr>
        <w:spacing w:after="0" w:line="9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successfully compete with companies that are currently in, or may in the future enter, the business of providing online lending services to financial institutions or consumer financial services to borrowers;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enter into new markets and introduce new products and services;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180"/>
          </w:cols>
          <w:pgMar w:left="320" w:top="407" w:right="139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6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effectively secure and maintain the confidentiality of the information received, accessed, stored, provided and used across our systems;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successfully obtain and maintain funding and liquidity to support continued growth and general corporate purposes;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attract, integrate and retain qualified employees; and</w:t>
      </w:r>
    </w:p>
    <w:p>
      <w:pPr>
        <w:spacing w:after="0" w:line="97" w:lineRule="exact"/>
        <w:rPr>
          <w:rFonts w:ascii="Arial" w:cs="Arial" w:eastAsia="Arial" w:hAnsi="Arial"/>
          <w:sz w:val="15"/>
          <w:szCs w:val="15"/>
          <w:color w:val="auto"/>
        </w:rPr>
      </w:pPr>
    </w:p>
    <w:p>
      <w:pPr>
        <w:ind w:left="1660" w:right="740" w:hanging="183"/>
        <w:spacing w:after="0" w:line="245"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effectively manage and expand the capabilities of our operations teams, outsourcing relationships and other business operations.</w:t>
      </w:r>
    </w:p>
    <w:p>
      <w:pPr>
        <w:spacing w:after="0" w:line="166"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If we are not able to timely and effectively address these risks and difficulties as well as those described elsewhere in this “Risk Factors” section, our business and results of operations may be harmed.</w:t>
      </w:r>
    </w:p>
    <w:p>
      <w:pPr>
        <w:spacing w:after="0" w:line="238" w:lineRule="exact"/>
        <w:rPr>
          <w:sz w:val="20"/>
          <w:szCs w:val="20"/>
          <w:color w:val="auto"/>
        </w:rPr>
      </w:pPr>
    </w:p>
    <w:p>
      <w:pPr>
        <w:ind w:left="1020" w:right="380"/>
        <w:spacing w:after="0" w:line="270" w:lineRule="auto"/>
        <w:rPr>
          <w:sz w:val="20"/>
          <w:szCs w:val="20"/>
          <w:color w:val="auto"/>
        </w:rPr>
      </w:pPr>
      <w:r>
        <w:rPr>
          <w:rFonts w:ascii="Arial" w:cs="Arial" w:eastAsia="Arial" w:hAnsi="Arial"/>
          <w:sz w:val="15"/>
          <w:szCs w:val="15"/>
          <w:b w:val="1"/>
          <w:bCs w:val="1"/>
          <w:i w:val="1"/>
          <w:iCs w:val="1"/>
          <w:color w:val="auto"/>
        </w:rPr>
        <w:t>Our revenue growth rate and financial performance in recent periods may not be indicative of future performance and such growth may slow over time.</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grown rapidly over the last several years, and our recent revenue growth rate and financial performance may not be indicative of our future performance. In 2017, 2018 and 2019, our revenue was $57.3 million, $99.3 million and $164.2 million, respectively, representing a 73% growth rate from 2017 to 2018 and a 65% growth rate from 2018 to 2019. For the nine months ended September 30, 2019 and 2020, our revenue was $101.6 million and $146.7 million, respectively, representing a period-over-period growth rate of 44%. You should not rely on our revenue for any previous quarterly or annual period as any indication of our revenue or revenue growth in future periods. As we grow our business, our revenue growth rates may slow, or our revenue may decline, in future periods for a number of reasons, which may include slowing demand for our platform offerings and services,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34% in 2017 and increased to 66% in 2019.</w:t>
      </w:r>
      <w:r>
        <w:rPr>
          <w:rFonts w:ascii="Arial" w:cs="Arial" w:eastAsia="Arial" w:hAnsi="Arial"/>
          <w:sz w:val="12"/>
          <w:szCs w:val="12"/>
          <w:color w:val="auto"/>
        </w:rPr>
        <w:t>57</w:t>
      </w:r>
      <w:r>
        <w:rPr>
          <w:rFonts w:ascii="Arial" w:cs="Arial" w:eastAsia="Arial" w:hAnsi="Arial"/>
          <w:sz w:val="15"/>
          <w:szCs w:val="15"/>
          <w:color w:val="auto"/>
        </w:rPr>
        <w:t xml:space="preserve"> We expect the Percentage of Loans Fully Automated to level off and remain relatively constant in the long term, and to the extent we expand our loan offerings beyond unsecured personal loans, we expect that such percentage may decrease in the short term. As a result of these factors, our revenue growth rates may slow, and our financial performance may be adversely affected.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COVID-19 pandemic has harmed and could continue to harm our business, financial condition and results of operations.</w:t>
      </w:r>
    </w:p>
    <w:p>
      <w:pPr>
        <w:spacing w:after="0" w:line="105" w:lineRule="exact"/>
        <w:rPr>
          <w:sz w:val="20"/>
          <w:szCs w:val="20"/>
          <w:color w:val="auto"/>
        </w:rPr>
      </w:pPr>
    </w:p>
    <w:p>
      <w:pPr>
        <w:jc w:val="both"/>
        <w:ind w:left="1020" w:right="40" w:firstLine="460"/>
        <w:spacing w:after="0" w:line="238" w:lineRule="auto"/>
        <w:rPr>
          <w:sz w:val="20"/>
          <w:szCs w:val="20"/>
          <w:color w:val="auto"/>
        </w:rPr>
      </w:pPr>
      <w:r>
        <w:rPr>
          <w:rFonts w:ascii="Arial" w:cs="Arial" w:eastAsia="Arial" w:hAnsi="Arial"/>
          <w:sz w:val="15"/>
          <w:szCs w:val="15"/>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In particular, the impact of the COVID-19 pandemic on the finances of borrowers on our platform has been profound, as many have been, and will likely continue to be, impacted by unemployment, reduced earnings and/or elevated economic disruption and insecurity.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right="20" w:hanging="453"/>
        <w:spacing w:after="0" w:line="182" w:lineRule="auto"/>
        <w:tabs>
          <w:tab w:leader="none" w:pos="1480" w:val="left"/>
        </w:tabs>
        <w:numPr>
          <w:ilvl w:val="0"/>
          <w:numId w:val="29"/>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 for more information on how we define Percentage of Loans Fully Automated.</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180"/>
          </w:cols>
          <w:pgMar w:left="320" w:top="407" w:right="139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magnitude and duration of the resulting decline in business activity cannot currently be estimated with any degree of certainty and has had several effects on our business and results of operations, including, among other things:</w:t>
      </w:r>
    </w:p>
    <w:p>
      <w:pPr>
        <w:spacing w:after="0" w:line="87" w:lineRule="exact"/>
        <w:rPr>
          <w:sz w:val="20"/>
          <w:szCs w:val="20"/>
          <w:color w:val="auto"/>
        </w:rPr>
      </w:pPr>
    </w:p>
    <w:p>
      <w:pPr>
        <w:ind w:left="1660" w:hanging="183"/>
        <w:spacing w:after="0"/>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decreased origination volumes on our platform;</w:t>
      </w:r>
    </w:p>
    <w:p>
      <w:pPr>
        <w:spacing w:after="0" w:line="97" w:lineRule="exact"/>
        <w:rPr>
          <w:rFonts w:ascii="Arial" w:cs="Arial" w:eastAsia="Arial" w:hAnsi="Arial"/>
          <w:sz w:val="15"/>
          <w:szCs w:val="15"/>
          <w:color w:val="auto"/>
        </w:rPr>
      </w:pPr>
    </w:p>
    <w:p>
      <w:pPr>
        <w:ind w:left="1660" w:right="580" w:hanging="183"/>
        <w:spacing w:after="0" w:line="245" w:lineRule="auto"/>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potential for increased losses for new and existing originations using our AI models resulting from a rapid rise in U.S. unemployment;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temporary reduction in the availability of loan funding from institutional investors and the capital markets;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restricted sales operations and marketing efforts, and a reduction in the effectiveness of such efforts in some cases.</w:t>
      </w:r>
    </w:p>
    <w:p>
      <w:pPr>
        <w:spacing w:after="0" w:line="177"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The COVID-19 pandemic may lead to a continued economic downturn, which is expected to decrease technology spending generally and could adversely affect demand for our platforms and services, in addition to prolonging the foregoing challenges in our business.</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response to the impact of the COVID-19 pandemic, we have undertaken a number of initiatives to support borrowers on our platform who have suffered income loss or other hardships as a result of the pandemic. We worked with our bank partners to offer revised hardship and temporary relief plans to support borrowers impacted by the COVID-19 pandemic and adjust credit and underwriting processes and standards. While these changes to our hardship and temporary relief plans were designed to help borrowers impacted by the COVID-19 pandemic, the changes were implemented quickly and may not have had all the intended effects or desired impact. We continue to actively monitor the situation, assess possible implications to our business and take appropriate actions in an effort to mitigate the adverse consequences of the COVID-19 pandemic. However, there can be no assurances that the initiatives we take will be sufficient or successful.</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also taken precautionary measures intended to reduce the risk of the virus spreading to our employees, partner banks, vendors, and the communities in which we operate, including temporarily closing our offices and virtualizing, postponing, or canceling partner bank, employee, or industry events, which may negatively impact our business. Furthermore, as a result of the COVID-19 pandemic, we have required all employees who are able to do so to work remotely through the end of the first quarter of 2021. It is possible that widespread remote work arrangements may have a negative impact on our operations, the execution of our business plans, the productivity and availability of key personnel and other employees necessary to conduct our business, and on third-party service providers who perform critical services for us, or otherwise cause operational failures due to changes in our normal business practices necessitated by the outbreak and related governmental actions.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increased consumer privacy, data security, and fraud risks, and our understanding of applicable legal and regulatory requirements, as well as the latest guidance from regulatory authorities in connection with the COVID-19 pandemic, may be subject to legal or regulatory challenge, particularly as regulatory guidance evolves in response to future developments.</w:t>
      </w:r>
    </w:p>
    <w:p>
      <w:pPr>
        <w:spacing w:after="0" w:line="173" w:lineRule="exact"/>
        <w:rPr>
          <w:sz w:val="20"/>
          <w:szCs w:val="20"/>
          <w:color w:val="auto"/>
        </w:rPr>
      </w:pPr>
    </w:p>
    <w:p>
      <w:pPr>
        <w:jc w:val="both"/>
        <w:ind w:left="1020" w:right="100" w:firstLine="460"/>
        <w:spacing w:after="0" w:line="238" w:lineRule="auto"/>
        <w:rPr>
          <w:sz w:val="20"/>
          <w:szCs w:val="20"/>
          <w:color w:val="auto"/>
        </w:rPr>
      </w:pPr>
      <w:r>
        <w:rPr>
          <w:rFonts w:ascii="Arial" w:cs="Arial" w:eastAsia="Arial" w:hAnsi="Arial"/>
          <w:sz w:val="15"/>
          <w:szCs w:val="15"/>
          <w:color w:val="auto"/>
        </w:rPr>
        <w:t>Further, 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220"/>
          </w:cols>
          <w:pgMar w:left="320" w:top="407" w:right="13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extent to which the COVID-19 pandemic continues to impact our business and results of operations will also depend on future developments that are highly uncertain and cannot be predicted, including new information which may emerge concerning the severity of the disease, the duration and spread of the outbreak, the scope of travel restrictions imposed in geographic areas in which we operate, mandatory or voluntary business closures, the impact on businesses and financial and capital markets, and the extent and effectiveness of actions taken throughout the world to contain the virus or treat its impact.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“Risk Factors” section.</w:t>
      </w:r>
    </w:p>
    <w:p>
      <w:pPr>
        <w:spacing w:after="0" w:line="242" w:lineRule="exact"/>
        <w:rPr>
          <w:sz w:val="20"/>
          <w:szCs w:val="20"/>
          <w:color w:val="auto"/>
        </w:rPr>
      </w:pPr>
    </w:p>
    <w:p>
      <w:pPr>
        <w:ind w:left="1020" w:right="560"/>
        <w:spacing w:after="0" w:line="270" w:lineRule="auto"/>
        <w:rPr>
          <w:sz w:val="20"/>
          <w:szCs w:val="20"/>
          <w:color w:val="auto"/>
        </w:rPr>
      </w:pPr>
      <w:r>
        <w:rPr>
          <w:rFonts w:ascii="Arial" w:cs="Arial" w:eastAsia="Arial" w:hAnsi="Arial"/>
          <w:sz w:val="15"/>
          <w:szCs w:val="15"/>
          <w:b w:val="1"/>
          <w:bCs w:val="1"/>
          <w:i w:val="1"/>
          <w:iCs w:val="1"/>
          <w:color w:val="auto"/>
        </w:rPr>
        <w:t>If we fail to effectively manage our growth, our business, financial condition and results of operations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Over the last several years, we have experienced rapid growth in our business and the Number of Loans Transacted on our AI lending platform, and we expect to continue to experience growth in the future. The Number of Loans Transacted on our platform increased from 70,457 in 2017 to 215,122 in 2019, representing a compound annual growth rate of 75%. The Number of Loans Transacted on our platform increased from 136,468 to 176,983 in the nine months ended September 30, 2019 and 2020, respectively, representing a growth rate of 30%.</w:t>
      </w:r>
      <w:r>
        <w:rPr>
          <w:rFonts w:ascii="Arial" w:cs="Arial" w:eastAsia="Arial" w:hAnsi="Arial"/>
          <w:sz w:val="12"/>
          <w:szCs w:val="12"/>
          <w:color w:val="auto"/>
        </w:rPr>
        <w:t>58</w:t>
      </w:r>
      <w:r>
        <w:rPr>
          <w:rFonts w:ascii="Arial" w:cs="Arial" w:eastAsia="Arial" w:hAnsi="Arial"/>
          <w:sz w:val="15"/>
          <w:szCs w:val="15"/>
          <w:color w:val="auto"/>
        </w:rPr>
        <w:t xml:space="preserve">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 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incurred net losses in the past, and we may not be able to maintain or increase our profitability in the future.</w:t>
      </w:r>
    </w:p>
    <w:p>
      <w:pPr>
        <w:spacing w:after="0" w:line="10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For the years ended December 31, 2017, 2018 and 2019, we have experienced net losses of $7.7 million, $12.3 million and</w:t>
      </w:r>
    </w:p>
    <w:p>
      <w:pPr>
        <w:ind w:left="1020"/>
        <w:spacing w:after="0" w:line="235" w:lineRule="auto"/>
        <w:rPr>
          <w:sz w:val="20"/>
          <w:szCs w:val="20"/>
          <w:color w:val="auto"/>
        </w:rPr>
      </w:pPr>
      <w:r>
        <w:rPr>
          <w:rFonts w:ascii="Arial" w:cs="Arial" w:eastAsia="Arial" w:hAnsi="Arial"/>
          <w:sz w:val="15"/>
          <w:szCs w:val="15"/>
          <w:color w:val="auto"/>
        </w:rPr>
        <w:t>$0.5 million, respectively. For the nine months ended September 30, 2019 and 2020, we have experienced net losses of $6.5 million and</w:t>
      </w:r>
    </w:p>
    <w:p>
      <w:pPr>
        <w:ind w:left="1020"/>
        <w:spacing w:after="0" w:line="235" w:lineRule="auto"/>
        <w:rPr>
          <w:sz w:val="20"/>
          <w:szCs w:val="20"/>
          <w:color w:val="auto"/>
        </w:rPr>
      </w:pPr>
      <w:r>
        <w:rPr>
          <w:rFonts w:ascii="Arial" w:cs="Arial" w:eastAsia="Arial" w:hAnsi="Arial"/>
          <w:sz w:val="15"/>
          <w:szCs w:val="15"/>
          <w:color w:val="auto"/>
        </w:rPr>
        <w:t>net income of $5.0 million, respectively. We intend to continue to expend significant funds to continue to develop and improve our</w:t>
      </w:r>
    </w:p>
    <w:p>
      <w:pPr>
        <w:ind w:left="1020"/>
        <w:spacing w:after="0" w:line="235" w:lineRule="auto"/>
        <w:rPr>
          <w:sz w:val="20"/>
          <w:szCs w:val="20"/>
          <w:color w:val="auto"/>
        </w:rPr>
      </w:pPr>
      <w:r>
        <w:rPr>
          <w:rFonts w:ascii="Arial" w:cs="Arial" w:eastAsia="Arial" w:hAnsi="Arial"/>
          <w:sz w:val="15"/>
          <w:szCs w:val="15"/>
          <w:color w:val="auto"/>
        </w:rPr>
        <w:t>proprietary AI models, improve our marketing efforts to increase the number of borrowers on our platform, enhance the features and</w:t>
      </w:r>
    </w:p>
    <w:p>
      <w:pPr>
        <w:ind w:left="1020"/>
        <w:spacing w:after="0" w:line="235" w:lineRule="auto"/>
        <w:rPr>
          <w:sz w:val="20"/>
          <w:szCs w:val="20"/>
          <w:color w:val="auto"/>
        </w:rPr>
      </w:pPr>
      <w:r>
        <w:rPr>
          <w:rFonts w:ascii="Arial" w:cs="Arial" w:eastAsia="Arial" w:hAnsi="Arial"/>
          <w:sz w:val="15"/>
          <w:szCs w:val="15"/>
          <w:color w:val="auto"/>
        </w:rPr>
        <w:t>overall user experience of our platform, expand the types of loan offerings on our platform and otherwise continue to grow our business,</w:t>
      </w:r>
    </w:p>
    <w:p>
      <w:pPr>
        <w:ind w:left="1020"/>
        <w:spacing w:after="0" w:line="235" w:lineRule="auto"/>
        <w:rPr>
          <w:sz w:val="20"/>
          <w:szCs w:val="20"/>
          <w:color w:val="auto"/>
        </w:rPr>
      </w:pPr>
      <w:r>
        <w:rPr>
          <w:rFonts w:ascii="Arial" w:cs="Arial" w:eastAsia="Arial" w:hAnsi="Arial"/>
          <w:sz w:val="15"/>
          <w:szCs w:val="15"/>
          <w:color w:val="auto"/>
        </w:rPr>
        <w:t>and we may not be able to increase our revenue enough to offset these significant expenditures. We may incur significant losses in the</w:t>
      </w:r>
    </w:p>
    <w:p>
      <w:pPr>
        <w:ind w:left="1020"/>
        <w:spacing w:after="0" w:line="236" w:lineRule="auto"/>
        <w:rPr>
          <w:sz w:val="20"/>
          <w:szCs w:val="20"/>
          <w:color w:val="auto"/>
        </w:rPr>
      </w:pPr>
      <w:r>
        <w:rPr>
          <w:rFonts w:ascii="Arial" w:cs="Arial" w:eastAsia="Arial" w:hAnsi="Arial"/>
          <w:sz w:val="15"/>
          <w:szCs w:val="15"/>
          <w:color w:val="auto"/>
        </w:rPr>
        <w:t>future for a number of reasons, including the other risks described in this section, and unforeseen expenses, difficulties, complications and</w:t>
      </w:r>
    </w:p>
    <w:p>
      <w:pPr>
        <w:ind w:left="1020"/>
        <w:spacing w:after="0" w:line="235" w:lineRule="auto"/>
        <w:rPr>
          <w:sz w:val="20"/>
          <w:szCs w:val="20"/>
          <w:color w:val="auto"/>
        </w:rPr>
      </w:pPr>
      <w:r>
        <w:rPr>
          <w:rFonts w:ascii="Arial" w:cs="Arial" w:eastAsia="Arial" w:hAnsi="Arial"/>
          <w:sz w:val="15"/>
          <w:szCs w:val="15"/>
          <w:color w:val="auto"/>
        </w:rPr>
        <w:t>delays, macroeconomic conditions and other unknown events. For example, increases in our common stock price could cause us to incur</w:t>
      </w:r>
    </w:p>
    <w:p>
      <w:pPr>
        <w:ind w:left="1020"/>
        <w:spacing w:after="0" w:line="235" w:lineRule="auto"/>
        <w:rPr>
          <w:sz w:val="20"/>
          <w:szCs w:val="20"/>
          <w:color w:val="auto"/>
        </w:rPr>
      </w:pPr>
      <w:r>
        <w:rPr>
          <w:rFonts w:ascii="Arial" w:cs="Arial" w:eastAsia="Arial" w:hAnsi="Arial"/>
          <w:sz w:val="15"/>
          <w:szCs w:val="15"/>
          <w:color w:val="auto"/>
        </w:rPr>
        <w:t>significant losses related to our liability-classified warrants, which would negatively impact our profitability. Any failure to increase our</w:t>
      </w:r>
    </w:p>
    <w:p>
      <w:pPr>
        <w:ind w:left="1020"/>
        <w:spacing w:after="0" w:line="235" w:lineRule="auto"/>
        <w:rPr>
          <w:sz w:val="20"/>
          <w:szCs w:val="20"/>
          <w:color w:val="auto"/>
        </w:rPr>
      </w:pPr>
      <w:r>
        <w:rPr>
          <w:rFonts w:ascii="Arial" w:cs="Arial" w:eastAsia="Arial" w:hAnsi="Arial"/>
          <w:sz w:val="15"/>
          <w:szCs w:val="15"/>
          <w:color w:val="auto"/>
        </w:rPr>
        <w:t>revenue sufficiently to keep pace with our investments and other expenses could prevent us from maintaining or improving profitability on</w:t>
      </w:r>
    </w:p>
    <w:p>
      <w:pPr>
        <w:ind w:left="1020"/>
        <w:spacing w:after="0"/>
        <w:rPr>
          <w:sz w:val="20"/>
          <w:szCs w:val="20"/>
          <w:color w:val="auto"/>
        </w:rPr>
      </w:pPr>
      <w:r>
        <w:rPr>
          <w:rFonts w:ascii="Arial" w:cs="Arial" w:eastAsia="Arial" w:hAnsi="Arial"/>
          <w:sz w:val="15"/>
          <w:szCs w:val="15"/>
          <w:color w:val="auto"/>
        </w:rPr>
        <w:t>a consistent basis. If we are unable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69850</wp:posOffset>
            </wp:positionV>
            <wp:extent cx="64389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right="120" w:hanging="453"/>
        <w:spacing w:after="0" w:line="182" w:lineRule="auto"/>
        <w:tabs>
          <w:tab w:leader="none" w:pos="1480" w:val="left"/>
        </w:tabs>
        <w:numPr>
          <w:ilvl w:val="0"/>
          <w:numId w:val="31"/>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 for more information on how we define Number of Loans Transacted.</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220"/>
          </w:cols>
          <w:pgMar w:left="320" w:top="407" w:right="1359" w:bottom="1440" w:gutter="0" w:footer="0" w:header="0"/>
        </w:sectPr>
      </w:pPr>
    </w:p>
    <w:bookmarkStart w:id="35" w:name="page36"/>
    <w:bookmarkEnd w:id="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40"/>
        <w:spacing w:after="0" w:line="245" w:lineRule="auto"/>
        <w:rPr>
          <w:sz w:val="20"/>
          <w:szCs w:val="20"/>
          <w:color w:val="auto"/>
        </w:rPr>
      </w:pPr>
      <w:r>
        <w:rPr>
          <w:rFonts w:ascii="Arial" w:cs="Arial" w:eastAsia="Arial" w:hAnsi="Arial"/>
          <w:sz w:val="15"/>
          <w:szCs w:val="15"/>
          <w:color w:val="auto"/>
        </w:rPr>
        <w:t>successfully address these risks and challenges as we encounter them, our business, financial condition and results of operations could be adversely affected.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quarterly results are likely to fluctuate and as a result may adversely affect the trading price of our common stock.</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quarterly results of operations, including the levels of our revenue, net income and other key metrics, are likely to vary significantly in the future, and period-to -period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93" w:lineRule="exact"/>
        <w:rPr>
          <w:sz w:val="20"/>
          <w:szCs w:val="20"/>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improve the effectiveness and predictiveness of our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attract new bank partners and investors of our loan funding programs;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maintain relationships with existing bank partners and investors of our loan funding programs;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maintain or increase loan volumes, and improve loan mix and the channels through which the loans, bank partners and loan funding are sourced;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ability to maintain effective relationships with loan aggregators from which prospective borrowers access our website;</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general economic conditions, including economic slowdowns, recessions and tightening of credit markets, including due to the economic impact of the COVID-19 pandemic;</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improvements to our AI models that negatively impact transaction volume, such as lower approval rates;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timing and success of new products and services;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effectiveness of our direct marketing and other marketing channels;</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cost of borrowing money and access to loan funding sources;</w:t>
      </w:r>
    </w:p>
    <w:p>
      <w:pPr>
        <w:spacing w:after="0" w:line="97"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number and extent of loans facilitated on our platform that are subject to loan modifications and/or temporary assistance due to disasters or emergencies;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number and extent of prepayments of loans facilitated on our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the fair value of assets and liabilities on our balance sheet;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network outages or actual or perceived security breaches;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our involvement in litigation or regulatory enforcement efforts (or the threat thereof) or those that impact our industry generally;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length of the onboarding process related to acquisitions of new bank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laws and regulations that impact our business; and</w:t>
      </w:r>
    </w:p>
    <w:p>
      <w:pPr>
        <w:spacing w:after="0" w:line="97" w:lineRule="exact"/>
        <w:rPr>
          <w:rFonts w:ascii="Arial" w:cs="Arial" w:eastAsia="Arial" w:hAnsi="Arial"/>
          <w:sz w:val="15"/>
          <w:szCs w:val="15"/>
          <w:color w:val="auto"/>
        </w:rPr>
      </w:pPr>
    </w:p>
    <w:p>
      <w:pPr>
        <w:ind w:left="1660" w:right="680" w:hanging="183"/>
        <w:spacing w:after="0" w:line="245" w:lineRule="auto"/>
        <w:tabs>
          <w:tab w:leader="none" w:pos="16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the competitive dynamics of our industry, including consolidation among competitors or the development of competitive products by larger well-funded incumbents.</w:t>
      </w:r>
    </w:p>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In addition, we experience significant seasonality in the demand for Upstart-powered loans, which is generally lower in the first quarter. This seasonal slowdown is primarily attributable to high loan</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180"/>
          </w:cols>
          <w:pgMar w:left="320" w:top="407" w:right="1399" w:bottom="1440" w:gutter="0" w:footer="0" w:header="0"/>
        </w:sectPr>
      </w:pPr>
    </w:p>
    <w:bookmarkStart w:id="36" w:name="page37"/>
    <w:bookmarkEnd w:id="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demand around the holidays in the fourth quarter and the general increase in borrowers’ available cash flows in the first quarter, including cash received from tax refunds, which temporarily reduces borrowing needs. While our growth has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44"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and bank partners to our platform, increase the number of Upstart-powered loans or maintain or increase the average size of loans facilitated on our platform.</w:t>
      </w:r>
    </w:p>
    <w:p>
      <w:pPr>
        <w:spacing w:after="0" w:line="174"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 or inaccuracies in such AI models could lead us to make inaccurate or sub-optimal operational or strategic decisions, which could adversely affect our business, financial condition and results of operations.</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a diverse and robust loan funding program and could adversely affect our business, financial condition and results of operations.</w:t>
      </w:r>
    </w:p>
    <w:p>
      <w:pPr>
        <w:spacing w:after="0" w:line="171" w:lineRule="exact"/>
        <w:rPr>
          <w:sz w:val="20"/>
          <w:szCs w:val="20"/>
          <w:color w:val="auto"/>
        </w:rPr>
      </w:pPr>
    </w:p>
    <w:p>
      <w:pPr>
        <w:ind w:left="1020" w:right="520" w:firstLine="460"/>
        <w:spacing w:after="0" w:line="245" w:lineRule="auto"/>
        <w:rPr>
          <w:sz w:val="20"/>
          <w:szCs w:val="20"/>
          <w:color w:val="auto"/>
        </w:rPr>
      </w:pPr>
      <w:r>
        <w:rPr>
          <w:rFonts w:ascii="Arial" w:cs="Arial" w:eastAsia="Arial" w:hAnsi="Arial"/>
          <w:sz w:val="15"/>
          <w:szCs w:val="15"/>
          <w:color w:val="auto"/>
        </w:rPr>
        <w:t>Continuing to improve the accuracy of our AI models is central to our business strategy. However, such improvements could negatively impact transaction volume, such as by lowering approval rates.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220"/>
          </w:cols>
          <w:pgMar w:left="320" w:top="407" w:right="13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For example, an upgrade to our AI models in the fourth quarter of 2018 related to prepayment predictions led to a temporary decrease in the total number of loans approved.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42" w:lineRule="exact"/>
        <w:rPr>
          <w:sz w:val="20"/>
          <w:szCs w:val="20"/>
          <w:color w:val="auto"/>
        </w:rPr>
      </w:pPr>
    </w:p>
    <w:p>
      <w:pPr>
        <w:ind w:left="1020" w:right="500"/>
        <w:spacing w:after="0" w:line="270" w:lineRule="auto"/>
        <w:rPr>
          <w:sz w:val="20"/>
          <w:szCs w:val="20"/>
          <w:color w:val="auto"/>
        </w:rPr>
      </w:pPr>
      <w:r>
        <w:rPr>
          <w:rFonts w:ascii="Arial" w:cs="Arial" w:eastAsia="Arial" w:hAnsi="Arial"/>
          <w:sz w:val="15"/>
          <w:szCs w:val="15"/>
          <w:b w:val="1"/>
          <w:bCs w:val="1"/>
          <w:i w:val="1"/>
          <w:iCs w:val="1"/>
          <w:color w:val="auto"/>
        </w:rPr>
        <w:t>If our existing bank partners were to cease or limit operations with us or if we are unable to attract and onboard new bank partners, our business, financial condition and results of operations could be adversely affected.</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the nine months ended September 30, 2020, approximately 98% of our revenue was generated from platform, referral and servicing fees that we receive from our bank partners. Our bank partners include Cross River Bank, Customers Bank, FinWise Bank, First Federal Bank of Kansas City, First National Bank of Omaha, KEMBA Financial Credit Union, TCF Bank, Apple Bank for Savings and Ridgewood Savings Bank. If any of our bank partners were to suspend, limit or cease their operations or otherwise terminate their relationships with us, the number of loans facilitated through our platform could decrease and our revenue and revenue growth rates could be adversely affected. Our sales and onboarding process with new bank partners can be long and unpredictable. If we are unable to timely onboard our bank partners, or if our bank partners are not willing to work with us to complete a timely onboarding process, our results of operations could be adversely affected.</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entered into separate agreements with each of our bank partners. Our agreements with our bank partners are nonexclusive, generally have 12-month terms that automatically renew, subject to certain early termination provisions and minimum fee amounts, and do not include any minimum origination obligations or origination limits.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If the bank partners listed above or any of our other bank partners were to stop working with us, suspend, limit or cease their operations or otherwise terminate their relationship with us, the number of loans facilitated through our platform could decrease and our revenue and revenue growth rates could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addition, our bank partners have generally increasingly retained loans for their own customer base and balance sheet. In the third quarter of 2020, approximately 22% of Upstart-powered loans were retained by the originating bank, while about 76% of Upstart-powered loans were purchased by institutional investors through our loan funding programs. The percentage of Upstart-powered loans retained by the originating banks has fluctuated from quarter-to-quarter, but generally increased over the last few years. In general, banks can fund loans at lower rates due to the lower cost of funds available to them from their deposit base than is otherwise available in the broader institutional investment markets. Accordingly, loans retained by the originating bank generally carry lower interest</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200"/>
          </w:cols>
          <w:pgMar w:left="320" w:top="407" w:right="137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80"/>
        <w:spacing w:after="0" w:line="238" w:lineRule="auto"/>
        <w:rPr>
          <w:sz w:val="20"/>
          <w:szCs w:val="20"/>
          <w:color w:val="auto"/>
        </w:rPr>
      </w:pPr>
      <w:r>
        <w:rPr>
          <w:rFonts w:ascii="Arial" w:cs="Arial" w:eastAsia="Arial" w:hAnsi="Arial"/>
          <w:sz w:val="15"/>
          <w:szCs w:val="15"/>
          <w:color w:val="auto"/>
        </w:rPr>
        <w:t>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44"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Cross River Bank and one other bank partner account for a substantial portion of the total number of loans facilitated by our platform and our revenue.</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Cross River Bank, or CRB, a New Jersey-chartered community bank, originates a substantial majority of the loans on our platform. In the year ended December 31, 2019 and the nine months ended September 30, 2020, CRB originated approximately 89% and 72%, respectively, of the loans facilitated on our platform. CRB also accounts for a large portion of our revenues. In the year ended December 31, 2019 and the nine months ended September 30, 2020, fees received from CRB accounted for 81% and 65%,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 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the nine months ended September 30, 2020, one of our other bank partners originated approximately 19% of the loans facilitated on our platform. In the nine months ended September 30, 2020, the fees received from this bank partner accounted for 15% of our total revenue.</w:t>
      </w:r>
    </w:p>
    <w:p>
      <w:pPr>
        <w:spacing w:after="0" w:line="242" w:lineRule="exact"/>
        <w:rPr>
          <w:sz w:val="20"/>
          <w:szCs w:val="20"/>
          <w:color w:val="auto"/>
        </w:rPr>
      </w:pPr>
    </w:p>
    <w:p>
      <w:pPr>
        <w:ind w:left="1020" w:right="20"/>
        <w:spacing w:after="0" w:line="270" w:lineRule="auto"/>
        <w:rPr>
          <w:sz w:val="20"/>
          <w:szCs w:val="20"/>
          <w:color w:val="auto"/>
        </w:rPr>
      </w:pPr>
      <w:r>
        <w:rPr>
          <w:rFonts w:ascii="Arial" w:cs="Arial" w:eastAsia="Arial" w:hAnsi="Arial"/>
          <w:sz w:val="15"/>
          <w:szCs w:val="15"/>
          <w:b w:val="1"/>
          <w:bCs w:val="1"/>
          <w:i w:val="1"/>
          <w:iCs w:val="1"/>
          <w:color w:val="auto"/>
        </w:rPr>
        <w:t>The sales and onboarding process of new bank partners could take longer than expected, leading to fluctuations or variability in expected revenues and results of operations.</w:t>
      </w:r>
    </w:p>
    <w:p>
      <w:pPr>
        <w:spacing w:after="0" w:line="58"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Our sales and onboarding process with new bank partners can be long and typically takes between six to 15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and/or hardware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 applications. Consequently, we face difficulty predicting the quarter in which new bank partners will begin using our platform and the volume of fees we will receive, which can lead to fluctuations in our revenues and results of operations.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200"/>
          </w:cols>
          <w:pgMar w:left="320" w:top="407" w:right="1379" w:bottom="1440" w:gutter="0" w:footer="0" w:header="0"/>
        </w:sectPr>
      </w:pPr>
    </w:p>
    <w:bookmarkStart w:id="39" w:name="page40"/>
    <w:bookmarkEnd w:id="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business may be adversely affected by economic conditions and other factors that we cannot control.</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a borrower’s willingness to incur loan obligations or willingness or capacity to make payments on their loans. These factors include interest rates, unemployment levels, conditions in the housing market, immigration policies, gas prices, energy costs, government shutdowns, trade wars and delays in tax refunds, as well as events such as natural disasters, acts of war, terrorism, catastrophes and pandemics.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example, in response to the COVID-19 pandemic, bank partners tightened their credit requirements or paused originations, and investors in our loan funding programs temporarily suspended making investments in Upstart-powered loans, which resulted in a decrease in the Number of Loans Transacted by 71% and a decrease in our revenue of 47%, each, in the second quarter of 2020 compared to the same period of the prior year. Furthermore, nearly all personal loans presently facilitated through our platform are issued with fixed interest rates. If interest rates rise, potential borrowers could seek to defer loans as they wait for interest rates to stabilize. As a result of these circumstances, bank partners, investors and borrowers may be discouraged from engaging with our platform and as a result, reduce the volume of Upstart-powered loans.</w:t>
      </w:r>
    </w:p>
    <w:p>
      <w:pPr>
        <w:spacing w:after="0" w:line="171"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Many new consumers on the Upstart platform have limited or no credit history. Accordingly, such borrowers have historically been, and may in the future become, disproportionately affected by adverse macroeconomic conditions, such as the disruption and uncertainty caused by the COVID-19 pandemic. In addition, major medical expenses, divorce, death or other issues that affect borrowers could affect a borrower’s willingness or ability to make payments on their loans. If borrowers default on loans facilitated on our platform,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by our platform, which would adversely affect our business, financial condition and results of operations.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periods of economic slowdown or recession, our current and potential investors in our loan funding programs may reduce the number of loans or interests in loans they purchase or demand terms that are less favorable to us, to compensate for any increased risks. A reduction in the volume of the loans and loan financing products we sell would negatively impact our ability to maintain or increase the number of loans facilitated by our platform. Any sustained decline in demand for loans or loan financing products, or any increase in delinquencies, defaults or foreclosures that result from economic downturns, may harm our ability to maintain a robust loan funding program, which would adversely affect our business, financial condition and results of operations.</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For example,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improve in the near term. The increase in the unemployment rate could increase the delinquency rate of borrowers of Upstart-powered loans or increase the rate of borrowers declaring bankruptcy, any of which could adversely affect the attractiveness of Upstart-powered loans to the investors in our loan funding programs.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70" w:lineRule="exact"/>
        <w:rPr>
          <w:sz w:val="20"/>
          <w:szCs w:val="20"/>
          <w:color w:val="auto"/>
        </w:rPr>
      </w:pPr>
    </w:p>
    <w:p>
      <w:pPr>
        <w:ind w:left="1020" w:right="780" w:firstLine="460"/>
        <w:spacing w:after="0" w:line="245" w:lineRule="auto"/>
        <w:rPr>
          <w:sz w:val="20"/>
          <w:szCs w:val="20"/>
          <w:color w:val="auto"/>
        </w:rPr>
      </w:pPr>
      <w:r>
        <w:rPr>
          <w:rFonts w:ascii="Arial" w:cs="Arial" w:eastAsia="Arial" w:hAnsi="Arial"/>
          <w:sz w:val="15"/>
          <w:szCs w:val="15"/>
          <w:color w:val="auto"/>
        </w:rPr>
        <w:t>Furthermore, the COVID-19 pandemic has caused some borrowers on our platform to request a temporary extension or modification of the payment schedules of their loans under the temporary relief</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0200"/>
          </w:cols>
          <w:pgMar w:left="320" w:top="407" w:right="1379" w:bottom="1440" w:gutter="0" w:footer="0" w:header="0"/>
        </w:sectPr>
      </w:pPr>
    </w:p>
    <w:bookmarkStart w:id="40" w:name="page41"/>
    <w:bookmarkEnd w:id="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or loan modification programs, or hardship programs, offered by our bank partners and investors in our loan funding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17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242" w:lineRule="exact"/>
        <w:rPr>
          <w:sz w:val="20"/>
          <w:szCs w:val="20"/>
          <w:color w:val="auto"/>
        </w:rPr>
      </w:pPr>
    </w:p>
    <w:p>
      <w:pPr>
        <w:ind w:left="1020" w:right="80"/>
        <w:spacing w:after="0" w:line="252" w:lineRule="auto"/>
        <w:rPr>
          <w:sz w:val="20"/>
          <w:szCs w:val="20"/>
          <w:color w:val="auto"/>
        </w:rPr>
      </w:pPr>
      <w:r>
        <w:rPr>
          <w:rFonts w:ascii="Arial" w:cs="Arial" w:eastAsia="Arial" w:hAnsi="Arial"/>
          <w:sz w:val="15"/>
          <w:szCs w:val="15"/>
          <w:b w:val="1"/>
          <w:bCs w:val="1"/>
          <w:i w:val="1"/>
          <w:iCs w:val="1"/>
          <w:color w:val="auto"/>
        </w:rPr>
        <w:t>Our AI models have not yet been extensively tested during down-cycle economic conditions. If our AI models do not accurately reflect a borrower’s credit risk in such economic conditions, the performance of Upstart-powered loans may be worse than anticipated.</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performance of loans facilitated by our platform is significantly dependent on the effectiveness of our proprietary AI models used to evaluate a borrower’s credit profile and likelihood of default. While our AI models have been refined and updated to account for the COVID-19 pandemic,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In addition, the fair value of the loans on our balance sheet may decline. Any of these factors could adversely affect our business, financial condition and results of operations.</w:t>
      </w:r>
    </w:p>
    <w:p>
      <w:pPr>
        <w:spacing w:after="0" w:line="246"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legal and regulatory environment surrounding our AI lending platform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Since we launched our AI lending platform, we have been proactively working with the federal government and regulatory bodies to ensure that our AI lending platform and other services are in compliance with applicable laws and regulations. For example, after significant collaboration with the Consumer Financial Protection Bureau, or CFPB, the CFPB issued Upstart the first no-action letter in 2017 and, upon its expiration, we received a second no-action letter regarding the use of our Al model to underwrite and price unsecured closed-end loans. The current no-action letter expires 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200"/>
          </w:cols>
          <w:pgMar w:left="320" w:top="407" w:right="1379" w:bottom="1440" w:gutter="0" w:footer="0" w:header="0"/>
        </w:sectPr>
      </w:pPr>
    </w:p>
    <w:bookmarkStart w:id="41" w:name="page42"/>
    <w:bookmarkEnd w:id="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November 30, 2023, unless terminated by the CFPB earlier for one of the bases provided for by the no-action letter, and we can provide no assurance that the CFPB will continue to permit us to operate under its current no-action letter policies beyond that date, or will not change its position regarding supervisory or enforcement action against us in the future. Further, this no-action letter does not extend to other credit products offered on Upstart’s platform.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platform, any of which could adversely affect our business, financial condition and results of operations.</w:t>
      </w:r>
    </w:p>
    <w:p>
      <w:pPr>
        <w:spacing w:after="0" w:line="174"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the Equal Credit Opportunity Act, or ECOA. We have been subject to other governmental inquiries on this topic including an inquiry in June 2020 from the North Carolina Department of Justice. See the section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platform. Any of the foregoing could harm our business, financial condition and results of operations.</w:t>
      </w:r>
    </w:p>
    <w:p>
      <w:pPr>
        <w:spacing w:after="0" w:line="245" w:lineRule="exact"/>
        <w:rPr>
          <w:sz w:val="20"/>
          <w:szCs w:val="20"/>
          <w:color w:val="auto"/>
        </w:rPr>
      </w:pPr>
    </w:p>
    <w:p>
      <w:pPr>
        <w:ind w:left="1020" w:right="80"/>
        <w:spacing w:after="0" w:line="252" w:lineRule="auto"/>
        <w:rPr>
          <w:sz w:val="20"/>
          <w:szCs w:val="20"/>
          <w:color w:val="auto"/>
        </w:rPr>
      </w:pPr>
      <w:r>
        <w:rPr>
          <w:rFonts w:ascii="Arial" w:cs="Arial" w:eastAsia="Arial" w:hAnsi="Arial"/>
          <w:sz w:val="15"/>
          <w:szCs w:val="15"/>
          <w:b w:val="1"/>
          <w:bCs w:val="1"/>
          <w:i w:val="1"/>
          <w:i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While we recently expanded the type of loan products offered on our platform to include auto loans, the vast majority of loan originations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For example, FICO has recently changed its methodology in calculating credit scores in a manner that potentially penalizes borrowers who take out personal loans to pay off or consolidate credit card debt. This change could negatively affect the overall demand for personal loans.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17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In addition, bank partners may in the future seek partnerships with competitors that are able to offer them a broader array of credit products. Over time, in order to preserve and expand our relationships with our existing bank partners, and enter into new bank partnerships, it may become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200"/>
          </w:cols>
          <w:pgMar w:left="320" w:top="407" w:right="1379" w:bottom="1440" w:gutter="0" w:footer="0" w:header="0"/>
        </w:sectPr>
      </w:pPr>
    </w:p>
    <w:bookmarkStart w:id="42" w:name="page43"/>
    <w:bookmarkEnd w:id="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680"/>
        <w:spacing w:after="0"/>
        <w:rPr>
          <w:sz w:val="20"/>
          <w:szCs w:val="20"/>
          <w:color w:val="auto"/>
        </w:rPr>
      </w:pPr>
      <w:r>
        <w:rPr>
          <w:rFonts w:ascii="Arial" w:cs="Arial" w:eastAsia="Arial" w:hAnsi="Arial"/>
          <w:sz w:val="15"/>
          <w:szCs w:val="15"/>
          <w:color w:val="auto"/>
        </w:rPr>
        <w:t>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Further, because such personal loans are unsecured, there is a risk that borrowers will not prioritize repayment of such loans, particularly in any economic downcycle. For example, the economic downcycle resulting from the COVID-19 pandemic may cause borrowers to incur additional debt. To the extent borrowers have or incur other indebtedness that is secured, such as a mortgage, a home equity line of credit or an auto loan, borrowers may choose to repay obligations under such secured indebtedness before repaying their Upstart-powered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forgoing could lead to higher default rates and decreased demand by our bank partners and institutional investors to fund loans facilitated by our platform, which would adversely affect our business, financial condition and results of operations.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45"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58" w:lineRule="exact"/>
        <w:rPr>
          <w:sz w:val="20"/>
          <w:szCs w:val="20"/>
          <w:color w:val="auto"/>
        </w:rPr>
      </w:pPr>
    </w:p>
    <w:p>
      <w:pPr>
        <w:jc w:val="both"/>
        <w:ind w:left="1020" w:right="100" w:firstLine="460"/>
        <w:spacing w:after="0" w:line="235" w:lineRule="auto"/>
        <w:rPr>
          <w:sz w:val="20"/>
          <w:szCs w:val="20"/>
          <w:color w:val="auto"/>
        </w:rPr>
      </w:pPr>
      <w:r>
        <w:rPr>
          <w:rFonts w:ascii="Arial" w:cs="Arial" w:eastAsia="Arial" w:hAnsi="Arial"/>
          <w:sz w:val="15"/>
          <w:szCs w:val="15"/>
          <w:color w:val="auto"/>
        </w:rPr>
        <w:t>We recently began offering auto loans and a credit decision application programming interface to allow our bank partners to utilize our AI underwriting models to support their loan origination process for personal, auto, and student loans. We are continuing to invest in developing new loan products and service offerings, such as credit cards, mortgages, student loans, point-of-sale loans and HELOCs.</w:t>
      </w:r>
    </w:p>
    <w:p>
      <w:pPr>
        <w:ind w:left="1020" w:right="20"/>
        <w:spacing w:after="0" w:line="245" w:lineRule="auto"/>
        <w:rPr>
          <w:sz w:val="20"/>
          <w:szCs w:val="20"/>
          <w:color w:val="auto"/>
        </w:rPr>
      </w:pPr>
      <w:r>
        <w:rPr>
          <w:rFonts w:ascii="Arial" w:cs="Arial" w:eastAsia="Arial" w:hAnsi="Arial"/>
          <w:sz w:val="15"/>
          <w:szCs w:val="15"/>
          <w:color w:val="auto"/>
        </w:rPr>
        <w:t>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200"/>
          </w:cols>
          <w:pgMar w:left="320" w:top="407" w:right="1379" w:bottom="1440" w:gutter="0" w:footer="0" w:header="0"/>
        </w:sectPr>
      </w:pPr>
    </w:p>
    <w:bookmarkStart w:id="43" w:name="page44"/>
    <w:bookmarkEnd w:id="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60"/>
        <w:spacing w:after="0" w:line="245" w:lineRule="auto"/>
        <w:rPr>
          <w:sz w:val="20"/>
          <w:szCs w:val="20"/>
          <w:color w:val="auto"/>
        </w:rPr>
      </w:pPr>
      <w:r>
        <w:rPr>
          <w:rFonts w:ascii="Arial" w:cs="Arial" w:eastAsia="Arial" w:hAnsi="Arial"/>
          <w:sz w:val="15"/>
          <w:szCs w:val="15"/>
          <w:color w:val="auto"/>
        </w:rPr>
        <w:t>development efforts with respect to these initiatives could distract management from current operations and will divert capital and other resources from our existing business.</w:t>
      </w:r>
    </w:p>
    <w:p>
      <w:pPr>
        <w:spacing w:after="0" w:line="166"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242" w:lineRule="exact"/>
        <w:rPr>
          <w:sz w:val="20"/>
          <w:szCs w:val="20"/>
          <w:color w:val="auto"/>
        </w:rPr>
      </w:pPr>
    </w:p>
    <w:p>
      <w:pPr>
        <w:ind w:left="1020" w:right="200"/>
        <w:spacing w:after="0" w:line="252" w:lineRule="auto"/>
        <w:rPr>
          <w:sz w:val="20"/>
          <w:szCs w:val="20"/>
          <w:color w:val="auto"/>
        </w:rPr>
      </w:pPr>
      <w:r>
        <w:rPr>
          <w:rFonts w:ascii="Arial" w:cs="Arial" w:eastAsia="Arial" w:hAnsi="Arial"/>
          <w:sz w:val="15"/>
          <w:szCs w:val="15"/>
          <w:b w:val="1"/>
          <w:bCs w:val="1"/>
          <w:i w:val="1"/>
          <w:iCs w:val="1"/>
          <w:color w:val="auto"/>
        </w:rPr>
        <w:t>Our reputation and brand are important to our success, and if we are unable to continue developing our reputation and brand, our ability to retain existing and attract new bank partners, our ability to attract borrowers to our platform and our ability to maintain and improve our relationship with regulators of our industry could be adversely affected.</w:t>
      </w:r>
    </w:p>
    <w:p>
      <w:pPr>
        <w:spacing w:after="0" w:line="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believe maintaining a strong brand and trustworthy reputation is critical to our success and our ability to attract borrowers to our platform, attract new bank partners and maintain good relations with regulators. Factors that affect our brand and reputation include: perceptions of artificial intelligence, our industry and our company, including the quality and reliability of our AI lending platform; the accuracy of our AI models; perceptions regarding the application of artificial intelligence to consumer lending specifically;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small-dollar lending programs. Bank regulators have even required banks to exit third-party programs that the regulators determined involved unsafe and unsound practices. The payday or “small-dollar”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70"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220"/>
          </w:cols>
          <w:pgMar w:left="320" w:top="407" w:right="1359" w:bottom="1440" w:gutter="0" w:footer="0" w:header="0"/>
        </w:sectPr>
      </w:pPr>
    </w:p>
    <w:bookmarkStart w:id="44" w:name="page45"/>
    <w:bookmarkEnd w:id="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regulators may decide they are no longer supportive of our AI lending platform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Artificial intelligence and related technologies are subject to public debate and heightened regulatory scrutiny. Any negative publicity or negative public perception of artificial intelligence could negatively impact demand for our AI lending platform, hinder our ability to attract new bank partners or slow the rate at which banks adopt our AI lending platform. From time to time, certain advocacy groups have made claims that unlawful or unethical discriminatory effects may result from the use of AI technology by various companies, including ours. Such claims, whether or not accurate, and whether or not concerning us or our AI lending platform, may harm our ability to attract prospective borrowers to our platform, retain existing and attract new bank partners and achieve regulatory acceptance of our business.</w:t>
      </w:r>
    </w:p>
    <w:p>
      <w:pPr>
        <w:spacing w:after="0" w:line="171"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For example, 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LDF, and the Student Borrower Protection Center, or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will also prepare and make public periodic reports that summarize any general findings, recommendations and best practices, as well as any aspects of our AI model that raise particular fair lending concerns or implicate novel insights on educational equity that serve the public interest. While we will have input on these reports, and the agreement provides that the third-party firm and the parties to the agreement will collaborate to reach agreement on any recommendations, we could become involved in disagreements with the third-party firm, the LDF or the SBPC regarding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are not able to reach agreement in a timely manner, or at all, with the third-party firm to perform the audit, or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or the third-party firm</w:t>
      </w:r>
    </w:p>
    <w:p>
      <w:pPr>
        <w:spacing w:after="0" w:line="12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200"/>
          </w:cols>
          <w:pgMar w:left="320" w:top="407" w:right="1379" w:bottom="1440" w:gutter="0" w:footer="0" w:header="0"/>
        </w:sectPr>
      </w:pPr>
    </w:p>
    <w:bookmarkStart w:id="45" w:name="page46"/>
    <w:bookmarkEnd w:id="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terminates its agreement with us and/or the agreement with the LDF and/or the SBPC is terminated for any reason, our brand and reputation and the overall market acceptance of, and trust in, our AI lending platform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have been subject to other governmental inquiries on this topic including an inquiry in June 2020 from the North Carolina Department of Justice. See the section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Harm to our reputation can also arise from many other sources, including employee or former employee misconduct, misconduct by outsourced service providers or other counterparties, failure by us or our bank partners to meet minimum standards of service and quality, and inadequate protection of borrower information and compliance failures and claims. If we are unable to protect our reputation, our business, financial condition and results of operations would be adversely affected.</w:t>
      </w:r>
    </w:p>
    <w:p>
      <w:pPr>
        <w:spacing w:after="0" w:line="244" w:lineRule="exact"/>
        <w:rPr>
          <w:sz w:val="20"/>
          <w:szCs w:val="20"/>
          <w:color w:val="auto"/>
        </w:rPr>
      </w:pPr>
    </w:p>
    <w:p>
      <w:pPr>
        <w:ind w:left="1020" w:right="460"/>
        <w:spacing w:after="0" w:line="270" w:lineRule="auto"/>
        <w:rPr>
          <w:sz w:val="20"/>
          <w:szCs w:val="20"/>
          <w:color w:val="auto"/>
        </w:rPr>
      </w:pPr>
      <w:r>
        <w:rPr>
          <w:rFonts w:ascii="Arial" w:cs="Arial" w:eastAsia="Arial" w:hAnsi="Arial"/>
          <w:sz w:val="15"/>
          <w:szCs w:val="15"/>
          <w:b w:val="1"/>
          <w:bCs w:val="1"/>
          <w:i w:val="1"/>
          <w:iCs w:val="1"/>
          <w:color w:val="auto"/>
        </w:rPr>
        <w:t>If we do not compete effectively in our target markets, our business, results of operations and financial condition could be harmed.</w:t>
      </w:r>
    </w:p>
    <w:p>
      <w:pPr>
        <w:spacing w:after="0" w:line="58" w:lineRule="exact"/>
        <w:rPr>
          <w:sz w:val="20"/>
          <w:szCs w:val="20"/>
          <w:color w:val="auto"/>
        </w:rPr>
      </w:pPr>
    </w:p>
    <w:p>
      <w:pPr>
        <w:jc w:val="both"/>
        <w:ind w:left="1020" w:right="120" w:firstLine="460"/>
        <w:spacing w:after="0"/>
        <w:rPr>
          <w:sz w:val="20"/>
          <w:szCs w:val="20"/>
          <w:color w:val="auto"/>
        </w:rPr>
      </w:pPr>
      <w:r>
        <w:rPr>
          <w:rFonts w:ascii="Arial" w:cs="Arial" w:eastAsia="Arial" w:hAnsi="Arial"/>
          <w:sz w:val="15"/>
          <w:szCs w:val="15"/>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or point-of-sale lending,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220"/>
          </w:cols>
          <w:pgMar w:left="320" w:top="407" w:right="1359" w:bottom="1440" w:gutter="0" w:footer="0" w:header="0"/>
        </w:sectPr>
      </w:pPr>
    </w:p>
    <w:bookmarkStart w:id="46" w:name="page47"/>
    <w:bookmarkEnd w:id="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 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17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42" w:lineRule="exact"/>
        <w:rPr>
          <w:sz w:val="20"/>
          <w:szCs w:val="20"/>
          <w:color w:val="auto"/>
        </w:rPr>
      </w:pPr>
    </w:p>
    <w:p>
      <w:pPr>
        <w:ind w:left="1020" w:right="120"/>
        <w:spacing w:after="0" w:line="270" w:lineRule="auto"/>
        <w:rPr>
          <w:sz w:val="20"/>
          <w:szCs w:val="20"/>
          <w:color w:val="auto"/>
        </w:rPr>
      </w:pPr>
      <w:r>
        <w:rPr>
          <w:rFonts w:ascii="Arial" w:cs="Arial" w:eastAsia="Arial" w:hAnsi="Arial"/>
          <w:sz w:val="15"/>
          <w:szCs w:val="15"/>
          <w:b w:val="1"/>
          <w:bCs w:val="1"/>
          <w:i w:val="1"/>
          <w:iCs w:val="1"/>
          <w:color w:val="auto"/>
        </w:rPr>
        <w:t>If we are unable to manage the risks associated with fraudulent activity, our brand and reputation, business, financial condition and results of operations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platform.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75" w:lineRule="exact"/>
        <w:rPr>
          <w:sz w:val="20"/>
          <w:szCs w:val="20"/>
          <w:color w:val="auto"/>
        </w:rPr>
      </w:pPr>
    </w:p>
    <w:p>
      <w:pPr>
        <w:jc w:val="both"/>
        <w:ind w:left="1020" w:right="80" w:firstLine="460"/>
        <w:spacing w:after="0" w:line="238" w:lineRule="auto"/>
        <w:rPr>
          <w:sz w:val="20"/>
          <w:szCs w:val="20"/>
          <w:color w:val="auto"/>
        </w:rPr>
      </w:pPr>
      <w:r>
        <w:rPr>
          <w:rFonts w:ascii="Arial" w:cs="Arial" w:eastAsia="Arial" w:hAnsi="Arial"/>
          <w:sz w:val="15"/>
          <w:szCs w:val="15"/>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 the need for human intervention in screening loan application data, the level of automation on our platform could decline and negatively affect our unit economics. If we are unable to manage these risks, our business, financial condition and results of operations could be adversely affected.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220"/>
          </w:cols>
          <w:pgMar w:left="320" w:top="407" w:right="1359" w:bottom="1440" w:gutter="0" w:footer="0" w:header="0"/>
        </w:sectPr>
      </w:pPr>
    </w:p>
    <w:bookmarkStart w:id="47" w:name="page48"/>
    <w:bookmarkEnd w:id="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58"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success significantly depends on the continued service of our senior management team, including Dave Girouard, our Co-Founder and Chief Executive Officer, and Paul Gu, our Co-Founder and SVP of Product and Data Science, and other highly skilled personnel. Our success also depends on our ability to identify, hire, develop, motivate and retain highly qualified personnel for all areas of our organization.</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Competition for highly skilled personnel, including engineering and data analytics personnel, is extremely intense, particularly in the San Francisco Bay Area where one of our headquarters is located. We have experienced, and expect to continue to face, difficulty identifying and hiring qualified personnel in many areas, especially as we pursue our growth strategy. Further, as a result of the COVID-19 pandemic, a large and increasing number of companies have adopted permanent work-from-home policies, which further increases the challenges associated with hiring and retaining qualified personnel. We may not be able to hire or retain such personnel at compensation or flexibility levels consistent with our existing compensation and salary structure and policies.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after this offering may adversely affect our ability to attract or retain highly skilled technical, financial and marketing personnel.</w:t>
      </w:r>
    </w:p>
    <w:p>
      <w:pPr>
        <w:spacing w:after="0" w:line="17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244"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Security breaches of borrowers’ confidential information that we store may harm our reputation, adversely affect our results of operations and expose us to liability.</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is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Attacks of this nature are increasing in their frequency, levels of persistence, sophistication and intensity, and are being</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180"/>
          </w:cols>
          <w:pgMar w:left="320" w:top="407" w:right="139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shift to a remote working environment due to the COVID-19 pandemic could increase the risk of a security breach. Significant disruptions of our, our bank partners and third-party vendors’ and/or other business partners’ information technology systems or other similar data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17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171"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220"/>
          </w:cols>
          <w:pgMar w:left="320" w:top="407" w:right="1359" w:bottom="1440" w:gutter="0" w:footer="0" w:header="0"/>
        </w:sectPr>
      </w:pPr>
    </w:p>
    <w:bookmarkStart w:id="49" w:name="page50"/>
    <w:bookmarkEnd w:id="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6" w:lineRule="auto"/>
        <w:rPr>
          <w:sz w:val="20"/>
          <w:szCs w:val="20"/>
          <w:color w:val="auto"/>
        </w:rPr>
      </w:pPr>
      <w:r>
        <w:rPr>
          <w:rFonts w:ascii="Arial" w:cs="Arial" w:eastAsia="Arial" w:hAnsi="Arial"/>
          <w:sz w:val="15"/>
          <w:szCs w:val="15"/>
          <w:color w:val="auto"/>
        </w:rPr>
        <w:t>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 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Thus far,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243"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If we are unable to manage the risks related to our loan servicing and collections obligations, our business, financial condition and results of operations could be adversely affected.</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40</w:t>
      </w:r>
    </w:p>
    <w:p>
      <w:pPr>
        <w:sectPr>
          <w:pgSz w:w="11900" w:h="16838" w:orient="portrait"/>
          <w:cols w:equalWidth="0" w:num="1">
            <w:col w:w="10220"/>
          </w:cols>
          <w:pgMar w:left="320" w:top="407" w:right="13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45" w:lineRule="auto"/>
        <w:rPr>
          <w:sz w:val="20"/>
          <w:szCs w:val="20"/>
          <w:color w:val="auto"/>
        </w:rPr>
      </w:pPr>
      <w:r>
        <w:rPr>
          <w:rFonts w:ascii="Arial" w:cs="Arial" w:eastAsia="Arial" w:hAnsi="Arial"/>
          <w:sz w:val="15"/>
          <w:szCs w:val="15"/>
          <w:color w:val="auto"/>
        </w:rPr>
        <w:t>delinquencies and charge-offs on the loans, which could decrease fees payable to us, cause our bank partners to decrease the volume of Upstart-powered loans kept on their balance sheets, erode trust in our platform or increase the costs of our loan funding programs.</w:t>
      </w:r>
    </w:p>
    <w:p>
      <w:pPr>
        <w:spacing w:after="0" w:line="166"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While auto loans issued through our new auto lending platform will be secured by collateral, auto loans are inherently risky, as they are often secured by assets that may be difficult to locate and can depreciate rapidly. We generally begin the repossession process for auto loans that become 90 days past due. As our volume of auto loans increases, we plan to engage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 volume of Upstart-powered auto loans kept on their balance sheets, erode trust in our platform and increase the costs of our loan funding programs.</w:t>
      </w:r>
    </w:p>
    <w:p>
      <w:pPr>
        <w:spacing w:after="0" w:line="174" w:lineRule="exact"/>
        <w:rPr>
          <w:sz w:val="20"/>
          <w:szCs w:val="20"/>
          <w:color w:val="auto"/>
        </w:rPr>
      </w:pPr>
    </w:p>
    <w:p>
      <w:pPr>
        <w:jc w:val="both"/>
        <w:ind w:left="1020" w:right="520" w:firstLine="460"/>
        <w:spacing w:after="0" w:line="238" w:lineRule="auto"/>
        <w:rPr>
          <w:sz w:val="20"/>
          <w:szCs w:val="20"/>
          <w:color w:val="auto"/>
        </w:rPr>
      </w:pPr>
      <w:r>
        <w:rPr>
          <w:rFonts w:ascii="Arial" w:cs="Arial" w:eastAsia="Arial" w:hAnsi="Arial"/>
          <w:sz w:val="15"/>
          <w:szCs w:val="15"/>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primarily rely on three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7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0220"/>
          </w:cols>
          <w:pgMar w:left="320" w:top="407" w:right="1359" w:bottom="1440" w:gutter="0" w:footer="0" w:header="0"/>
        </w:sectPr>
      </w:pPr>
    </w:p>
    <w:bookmarkStart w:id="51" w:name="page52"/>
    <w:bookmarkEnd w:id="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80"/>
        <w:spacing w:after="0" w:line="270" w:lineRule="auto"/>
        <w:rPr>
          <w:sz w:val="20"/>
          <w:szCs w:val="20"/>
          <w:color w:val="auto"/>
        </w:rPr>
      </w:pPr>
      <w:r>
        <w:rPr>
          <w:rFonts w:ascii="Arial" w:cs="Arial" w:eastAsia="Arial" w:hAnsi="Arial"/>
          <w:sz w:val="15"/>
          <w:szCs w:val="15"/>
          <w:b w:val="1"/>
          <w:bCs w:val="1"/>
          <w:i w:val="1"/>
          <w:iCs w:val="1"/>
          <w:color w:val="auto"/>
        </w:rPr>
        <w:t>Borrowers may prepay a loan at any time without penalty, which could reduce our servicing fees and deter our bank partners and investors from investing in loans facilitated by our platform.</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marketing efforts and brand promotion activities may not be effective.</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Promoting awareness of our AI lending platform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white-labeled version of our AI lending platform through their own websites, potential borrowers may not be aware they are experiencing our AI lending platform,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7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Our brand promotion activities may not yield increased revenues. If we fail to successfully build trust in our AI lending platform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Unfavorable outcomes in legal proceedings may harm our business and results of operations.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labor and employment, discrimination and harassment, commercial disputes, intellectual property rights (including patent, trademark, copyright, trade secret, and other proprietary rights), class actions, general contract, tort, defamation, data privacy rights, antitrust,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0220"/>
          </w:cols>
          <w:pgMar w:left="320" w:top="407" w:right="1359" w:bottom="1440" w:gutter="0" w:footer="0" w:header="0"/>
        </w:sectPr>
      </w:pPr>
    </w:p>
    <w:bookmarkStart w:id="52" w:name="page53"/>
    <w:bookmarkEnd w:id="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37" w:lineRule="auto"/>
        <w:rPr>
          <w:sz w:val="20"/>
          <w:szCs w:val="20"/>
          <w:color w:val="auto"/>
        </w:rPr>
      </w:pPr>
      <w:r>
        <w:rPr>
          <w:rFonts w:ascii="Arial" w:cs="Arial" w:eastAsia="Arial" w:hAnsi="Arial"/>
          <w:sz w:val="15"/>
          <w:szCs w:val="15"/>
          <w:color w:val="auto"/>
        </w:rPr>
        <w:t>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in the past and may in the future be subject to litigation, claims, examinations, investigations, legal and administrative cases and proceedings related to the offer and sale of Upstart-powered loans.</w:t>
      </w:r>
    </w:p>
    <w:p>
      <w:pPr>
        <w:spacing w:after="0" w:line="1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to the platform.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 —“We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255"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We may evaluate and potentially consummate acquisitions, which could require significant management attention, consume our financial resources, disrupt our business and adversely affect our financial results.</w:t>
      </w:r>
    </w:p>
    <w:p>
      <w:pPr>
        <w:spacing w:after="0" w:line="58"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success will depend, in part, on our ability to grow our business. In some circumstances, we may determine to do so through the acquisition of complementary businesses and technologies rather than through internal development.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93" w:lineRule="exact"/>
        <w:rPr>
          <w:sz w:val="20"/>
          <w:szCs w:val="20"/>
          <w:color w:val="auto"/>
        </w:rPr>
      </w:pPr>
    </w:p>
    <w:p>
      <w:pPr>
        <w:ind w:left="1660" w:hanging="183"/>
        <w:spacing w:after="0"/>
        <w:tabs>
          <w:tab w:leader="none" w:pos="166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diversion of management time and focus from operating our business to addressing acquisition integration challenges;</w:t>
      </w:r>
    </w:p>
    <w:p>
      <w:pPr>
        <w:spacing w:after="0" w:line="120"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5"/>
          <w:szCs w:val="15"/>
          <w:color w:val="auto"/>
        </w:rPr>
        <w:t>43</w:t>
      </w:r>
    </w:p>
    <w:p>
      <w:pPr>
        <w:sectPr>
          <w:pgSz w:w="11900" w:h="16838" w:orient="portrait"/>
          <w:cols w:equalWidth="0" w:num="1">
            <w:col w:w="10220"/>
          </w:cols>
          <w:pgMar w:left="320" w:top="407" w:right="1359" w:bottom="1440" w:gutter="0" w:footer="0" w:header="0"/>
        </w:sectPr>
      </w:pPr>
    </w:p>
    <w:bookmarkStart w:id="53" w:name="page54"/>
    <w:bookmarkEnd w:id="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utilization of our financial resources for acquisitions or investments that may fail to realize the anticipated benefits;</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inability of the acquired technologies, products or businesses to achieve expected levels of revenue, profitability, productivity or other benefits;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coordination of technology, product development and sales and marketing functions and integration of administrative systems;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transition of the acquired company’s borrowers to our systems;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retention of employees from the acquired company;</w:t>
      </w:r>
    </w:p>
    <w:p>
      <w:pPr>
        <w:spacing w:after="0" w:line="9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regulatory risks, including maintaining good standing with existing regulatory bodies or receiving any necessary approvals, as well as being subject to new regulators with oversight over an acquired business;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attracting financing;</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cultural challenges associated with integrating employees from the acquired company into our organization;</w:t>
      </w:r>
    </w:p>
    <w:p>
      <w:pPr>
        <w:spacing w:after="0" w:line="9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need to implement or improve controls, procedures and policies at a business that prior to the acquisition may have lacked effective controls, procedures and policies;</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potential write-offs of loans or intangibles or other assets acquired in such transactions that may have an adverse effect on our results of operations in a given period;</w:t>
      </w:r>
    </w:p>
    <w:p>
      <w:pPr>
        <w:spacing w:after="0" w:line="87" w:lineRule="exact"/>
        <w:rPr>
          <w:rFonts w:ascii="Arial" w:cs="Arial" w:eastAsia="Arial" w:hAnsi="Arial"/>
          <w:sz w:val="15"/>
          <w:szCs w:val="15"/>
          <w:color w:val="auto"/>
        </w:rPr>
      </w:pPr>
    </w:p>
    <w:p>
      <w:pPr>
        <w:ind w:left="1660" w:right="580" w:hanging="183"/>
        <w:spacing w:after="0" w:line="245" w:lineRule="auto"/>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87" w:lineRule="exact"/>
        <w:rPr>
          <w:rFonts w:ascii="Arial" w:cs="Arial" w:eastAsia="Arial" w:hAnsi="Arial"/>
          <w:sz w:val="15"/>
          <w:szCs w:val="15"/>
          <w:color w:val="auto"/>
        </w:rPr>
      </w:pPr>
    </w:p>
    <w:p>
      <w:pPr>
        <w:ind w:left="1660" w:right="220" w:hanging="183"/>
        <w:spacing w:after="0" w:line="245" w:lineRule="auto"/>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assumption of contractual obligations that contain terms that are not beneficial to us, require us to license or waive intellectual property or increase our risk for liability;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litigation, claims or other liabilities in connection with the acquired company.</w:t>
      </w:r>
    </w:p>
    <w:p>
      <w:pPr>
        <w:spacing w:after="0" w:line="177"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failure to address these risks or other problems encountered in connection with any future acquisitions and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44" w:lineRule="exact"/>
        <w:rPr>
          <w:sz w:val="20"/>
          <w:szCs w:val="20"/>
          <w:color w:val="auto"/>
        </w:rPr>
      </w:pPr>
    </w:p>
    <w:p>
      <w:pPr>
        <w:ind w:left="1020" w:right="600"/>
        <w:spacing w:after="0" w:line="270" w:lineRule="auto"/>
        <w:rPr>
          <w:sz w:val="20"/>
          <w:szCs w:val="20"/>
          <w:color w:val="auto"/>
        </w:rPr>
      </w:pPr>
      <w:r>
        <w:rPr>
          <w:rFonts w:ascii="Arial" w:cs="Arial" w:eastAsia="Arial" w:hAnsi="Arial"/>
          <w:sz w:val="15"/>
          <w:szCs w:val="15"/>
          <w:b w:val="1"/>
          <w:bCs w:val="1"/>
          <w:i w:val="1"/>
          <w:iCs w:val="1"/>
          <w:color w:val="auto"/>
        </w:rPr>
        <w:t>Our business is subject to the risks of natural disasters and other catastrophic events, and to interruption by man-made problems.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has had a significant impact on the global economy and consumer confidence. If the outbreak persists or worsens, it could continue to adversely impact the economy and consumer confidence, and could negatively impact our operations and our platform, each of which could seriously harm our business. In addition, it is possible that continued widespread remote work arrangements may have a negative impact on our operations, the execution of our business plans, the productivity and availability of key personnel and other</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0200"/>
          </w:cols>
          <w:pgMar w:left="320" w:top="407" w:right="1379" w:bottom="1440" w:gutter="0" w:footer="0" w:header="0"/>
        </w:sectPr>
      </w:pPr>
    </w:p>
    <w:bookmarkStart w:id="54" w:name="page55"/>
    <w:bookmarkEnd w:id="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employees necessary to conduct our business, or otherwise cause operational failures due to changes in our normal business practices necessitated by the outbreak and related governmental actions. There is no guarantee that we will be as effective while working remotely because our team is dispersed,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Additionally, remote work arrangements may make it more difficult to scale our operations efficiently, as the recruitment, onboarding and training of new employees may be prolonged or delayed. If a natural disaster, power outage, connectivity issue, or other event occurred that impacted our employees’ ability to work remotely, it may be difficult or, in certain cases, impossible, for us to continue our business for a substantial period of time. The increase in remote working may also result in privacy, data protection, data security, and fraud risks. Further, one of our headquarters is located in the San Francisco Bay Area, a region known for seismic activity and wildfires, and our other headquarters is located in Columbus, Ohio, a region subject to blizzards.</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addition, acts of war and other armed conflicts, disruptions in global trade, travel restrictions and quarantines, terrorism and other civil, political and geo -political unrest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172" w:lineRule="exact"/>
        <w:rPr>
          <w:sz w:val="20"/>
          <w:szCs w:val="20"/>
          <w:color w:val="auto"/>
        </w:rPr>
      </w:pPr>
    </w:p>
    <w:p>
      <w:pPr>
        <w:jc w:val="both"/>
        <w:ind w:left="1020" w:right="360" w:firstLine="460"/>
        <w:spacing w:after="0" w:line="245" w:lineRule="auto"/>
        <w:rPr>
          <w:sz w:val="20"/>
          <w:szCs w:val="20"/>
          <w:color w:val="auto"/>
        </w:rPr>
      </w:pPr>
      <w:r>
        <w:rPr>
          <w:rFonts w:ascii="Arial" w:cs="Arial" w:eastAsia="Arial" w:hAnsi="Arial"/>
          <w:sz w:val="15"/>
          <w:szCs w:val="15"/>
          <w:color w:val="auto"/>
        </w:rPr>
        <w:t>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238"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preparation of financial statements in conformity with generally accepted accounting principles in the United States requires our management to make estimates and assumptions that affect the amounts reported and disclosed in our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174"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0220"/>
          </w:cols>
          <w:pgMar w:left="320" w:top="407" w:right="13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42" w:lineRule="exact"/>
        <w:rPr>
          <w:sz w:val="20"/>
          <w:szCs w:val="20"/>
          <w:color w:val="auto"/>
        </w:rPr>
      </w:pPr>
    </w:p>
    <w:p>
      <w:pPr>
        <w:ind w:left="1020" w:right="560"/>
        <w:spacing w:after="0" w:line="270" w:lineRule="auto"/>
        <w:rPr>
          <w:sz w:val="20"/>
          <w:szCs w:val="20"/>
          <w:color w:val="auto"/>
        </w:rPr>
      </w:pPr>
      <w:r>
        <w:rPr>
          <w:rFonts w:ascii="Arial" w:cs="Arial" w:eastAsia="Arial" w:hAnsi="Arial"/>
          <w:sz w:val="15"/>
          <w:szCs w:val="15"/>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58"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17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During 2019 and 2020,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have concluded that the previously-identified material weakness in our internal controls has been remediated as of December 31, 2019.</w:t>
      </w:r>
    </w:p>
    <w:p>
      <w:pPr>
        <w:spacing w:after="0" w:line="17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 entities, determinations regarding the</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200"/>
          </w:cols>
          <w:pgMar w:left="320" w:top="407" w:right="1379" w:bottom="1440" w:gutter="0" w:footer="0" w:header="0"/>
        </w:sectPr>
      </w:pPr>
    </w:p>
    <w:bookmarkStart w:id="56" w:name="page57"/>
    <w:bookmarkEnd w:id="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5" w:lineRule="auto"/>
        <w:rPr>
          <w:sz w:val="20"/>
          <w:szCs w:val="20"/>
          <w:color w:val="auto"/>
        </w:rPr>
      </w:pPr>
      <w:r>
        <w:rPr>
          <w:rFonts w:ascii="Arial" w:cs="Arial" w:eastAsia="Arial" w:hAnsi="Arial"/>
          <w:sz w:val="15"/>
          <w:szCs w:val="15"/>
          <w:color w:val="auto"/>
        </w:rPr>
        <w:t>fair value of financial assets and liabilities (including loans, notes receivable, payable to securitization note holders and residual certificate holders, notes payable and servicing assets and liabilities) and the appropriate classification of various items within our financial statements. See Note 1 to our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183"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independent registered public accounting firm is not required to formally attest to the effectiveness of our internal control over financial reporting until after we are no longer an “emerging growth company” as defined in the Jumpstart Our Business Startups Act of 2012, or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245" w:lineRule="exact"/>
        <w:rPr>
          <w:sz w:val="20"/>
          <w:szCs w:val="20"/>
          <w:color w:val="auto"/>
        </w:rPr>
      </w:pPr>
    </w:p>
    <w:p>
      <w:pPr>
        <w:ind w:left="1020" w:right="420"/>
        <w:spacing w:after="0" w:line="270" w:lineRule="auto"/>
        <w:rPr>
          <w:sz w:val="20"/>
          <w:szCs w:val="20"/>
          <w:color w:val="auto"/>
        </w:rPr>
      </w:pPr>
      <w:r>
        <w:rPr>
          <w:rFonts w:ascii="Arial" w:cs="Arial" w:eastAsia="Arial" w:hAnsi="Arial"/>
          <w:sz w:val="15"/>
          <w:szCs w:val="15"/>
          <w:b w:val="1"/>
          <w:bCs w:val="1"/>
          <w:i w:val="1"/>
          <w:iCs w:val="1"/>
          <w:color w:val="auto"/>
        </w:rPr>
        <w:t>Some of our market opportunity estimates, growth forecasts and key metrics included in this prospectus could prove to be inaccurate, and any real or perceived inaccuracies may harm our reputation and negatively affect our business.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Market opportunity estimates and growth forecasts included in this prospectus, including those we have generated ourselves, are subject to significant uncertainty and are based on assumptions and estimates that may not prove to be accurate. The estimates and forecasts in this prospectus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The variables that go into the calculation of our market opportunity are subject to change over time, and there is no guarantee that any particular number or percentage of the loans covered by our market opportunity estimates will generate any particular level of revenues for us. Even if the markets in which we compete meet the size estimates and growth forecasted in this prospectus, we may be unable to address these markets successfully and our business could fail to</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0220"/>
          </w:cols>
          <w:pgMar w:left="320" w:top="407" w:right="1359" w:bottom="1440" w:gutter="0" w:footer="0" w:header="0"/>
        </w:sectPr>
      </w:pPr>
    </w:p>
    <w:bookmarkStart w:id="57" w:name="page58"/>
    <w:bookmarkEnd w:id="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grow for a variety of reasons outside of our control, including competition in our industry.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0200"/>
          </w:cols>
          <w:pgMar w:left="320" w:top="407" w:right="1379" w:bottom="1440" w:gutter="0" w:footer="0" w:header="0"/>
        </w:sectPr>
      </w:pPr>
    </w:p>
    <w:bookmarkStart w:id="58" w:name="page59"/>
    <w:bookmarkEnd w:id="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RISKS RELATED TO OUR INTELLECTUAL PROPERTY AND PLATFORM DEVELOPMENT</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It may be difficult and costly to protect our intellectual property rights, and we may not be able to ensure their protection.</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ability to operate our platform depends, in part, upon our proprietary technology. We may be unable to protect our proprietary technology effectively which would allow competitors to duplicate our AI models or AI lending platform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71"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244" w:lineRule="exact"/>
        <w:rPr>
          <w:sz w:val="20"/>
          <w:szCs w:val="20"/>
          <w:color w:val="auto"/>
        </w:rPr>
      </w:pPr>
    </w:p>
    <w:p>
      <w:pPr>
        <w:ind w:left="1020" w:right="380"/>
        <w:spacing w:after="0" w:line="270" w:lineRule="auto"/>
        <w:rPr>
          <w:sz w:val="20"/>
          <w:szCs w:val="20"/>
          <w:color w:val="auto"/>
        </w:rPr>
      </w:pPr>
      <w:r>
        <w:rPr>
          <w:rFonts w:ascii="Arial" w:cs="Arial" w:eastAsia="Arial" w:hAnsi="Arial"/>
          <w:sz w:val="15"/>
          <w:szCs w:val="15"/>
          <w:b w:val="1"/>
          <w:bCs w:val="1"/>
          <w:i w:val="1"/>
          <w:i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58"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In the event of a system outage or other event resulting in data loss or corruption, our ability to process loan applications, service loans or otherwise facilitate loans on our platform would be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0220"/>
          </w:cols>
          <w:pgMar w:left="320" w:top="407" w:right="1359" w:bottom="1440" w:gutter="0" w:footer="0" w:header="0"/>
        </w:sectPr>
      </w:pPr>
    </w:p>
    <w:bookmarkStart w:id="59" w:name="page60"/>
    <w:bookmarkEnd w:id="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174"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45"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Our platform and internal systems rely on software that is highly technical, and if our software contains undetected errors, our business could be adversely affected.</w:t>
      </w:r>
    </w:p>
    <w:p>
      <w:pPr>
        <w:spacing w:after="0" w:line="58"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Our platform and internal systems rely on software that is highly technical and complex. In addition, our platform and internal systems depend on the ability of such software to store, retrieve, process and manage high volumes of data. The software in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w:t>
      </w:r>
    </w:p>
    <w:p>
      <w:pPr>
        <w:spacing w:after="0" w:line="246" w:lineRule="exact"/>
        <w:rPr>
          <w:sz w:val="20"/>
          <w:szCs w:val="20"/>
          <w:color w:val="auto"/>
        </w:rPr>
      </w:pPr>
    </w:p>
    <w:p>
      <w:pPr>
        <w:ind w:left="1020" w:right="20"/>
        <w:spacing w:after="0" w:line="270" w:lineRule="auto"/>
        <w:rPr>
          <w:sz w:val="20"/>
          <w:szCs w:val="20"/>
          <w:color w:val="auto"/>
        </w:rPr>
      </w:pPr>
      <w:r>
        <w:rPr>
          <w:rFonts w:ascii="Arial" w:cs="Arial" w:eastAsia="Arial" w:hAnsi="Arial"/>
          <w:sz w:val="15"/>
          <w:szCs w:val="15"/>
          <w:b w:val="1"/>
          <w:bCs w:val="1"/>
          <w:i w:val="1"/>
          <w:iCs w:val="1"/>
          <w:color w:val="auto"/>
        </w:rPr>
        <w:t>Some aspects of our business processes include open source software, and any failure to comply with the terms of one or more of these open source licenses could negatively affect our business.</w:t>
      </w:r>
    </w:p>
    <w:p>
      <w:pPr>
        <w:spacing w:after="0" w:line="58" w:lineRule="exact"/>
        <w:rPr>
          <w:sz w:val="20"/>
          <w:szCs w:val="20"/>
          <w:color w:val="auto"/>
        </w:rPr>
      </w:pPr>
    </w:p>
    <w:p>
      <w:pPr>
        <w:jc w:val="both"/>
        <w:ind w:left="1020" w:right="160" w:firstLine="460"/>
        <w:spacing w:after="0" w:line="238" w:lineRule="auto"/>
        <w:rPr>
          <w:sz w:val="20"/>
          <w:szCs w:val="20"/>
          <w:color w:val="auto"/>
        </w:rPr>
      </w:pPr>
      <w:r>
        <w:rPr>
          <w:rFonts w:ascii="Arial" w:cs="Arial" w:eastAsia="Arial" w:hAnsi="Arial"/>
          <w:sz w:val="15"/>
          <w:szCs w:val="15"/>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172"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Some open source licenses contain requirements that we make source code available at no cost for modifications or derivative works we create based upon the type of open source software we use.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0200"/>
          </w:cols>
          <w:pgMar w:left="320" w:top="407" w:right="1379" w:bottom="1440" w:gutter="0" w:footer="0" w:header="0"/>
        </w:sectPr>
      </w:pPr>
    </w:p>
    <w:bookmarkStart w:id="60" w:name="page61"/>
    <w:bookmarkEnd w:id="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spacing w:after="0" w:line="237" w:lineRule="auto"/>
        <w:rPr>
          <w:sz w:val="20"/>
          <w:szCs w:val="20"/>
          <w:color w:val="auto"/>
        </w:rPr>
      </w:pPr>
      <w:r>
        <w:rPr>
          <w:rFonts w:ascii="Arial" w:cs="Arial" w:eastAsia="Arial" w:hAnsi="Arial"/>
          <w:sz w:val="15"/>
          <w:szCs w:val="15"/>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171" w:lineRule="exact"/>
        <w:rPr>
          <w:sz w:val="20"/>
          <w:szCs w:val="20"/>
          <w:color w:val="auto"/>
        </w:rPr>
      </w:pPr>
    </w:p>
    <w:p>
      <w:pPr>
        <w:ind w:left="1020" w:right="39" w:firstLine="460"/>
        <w:spacing w:after="0" w:line="238" w:lineRule="auto"/>
        <w:rPr>
          <w:sz w:val="20"/>
          <w:szCs w:val="20"/>
          <w:color w:val="auto"/>
        </w:rPr>
      </w:pPr>
      <w:r>
        <w:rPr>
          <w:rFonts w:ascii="Arial" w:cs="Arial" w:eastAsia="Arial" w:hAnsi="Arial"/>
          <w:sz w:val="15"/>
          <w:szCs w:val="15"/>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0139"/>
          </w:cols>
          <w:pgMar w:left="320" w:top="407" w:right="1440" w:bottom="1440" w:gutter="0" w:footer="0" w:header="0"/>
        </w:sectPr>
      </w:pPr>
    </w:p>
    <w:bookmarkStart w:id="61" w:name="page62"/>
    <w:bookmarkEnd w:id="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RISKS RELATED TO OUR DEPENDENCE ON THIRD PARTIES</w:t>
      </w:r>
    </w:p>
    <w:p>
      <w:pPr>
        <w:spacing w:after="0" w:line="177" w:lineRule="exact"/>
        <w:rPr>
          <w:sz w:val="20"/>
          <w:szCs w:val="20"/>
          <w:color w:val="auto"/>
        </w:rPr>
      </w:pPr>
    </w:p>
    <w:p>
      <w:pPr>
        <w:ind w:left="1020" w:right="40"/>
        <w:spacing w:after="0" w:line="252" w:lineRule="auto"/>
        <w:rPr>
          <w:sz w:val="20"/>
          <w:szCs w:val="20"/>
          <w:color w:val="auto"/>
        </w:rPr>
      </w:pPr>
      <w:r>
        <w:rPr>
          <w:rFonts w:ascii="Arial" w:cs="Arial" w:eastAsia="Arial" w:hAnsi="Arial"/>
          <w:sz w:val="15"/>
          <w:szCs w:val="15"/>
          <w:b w:val="1"/>
          <w:bCs w:val="1"/>
          <w:i w:val="1"/>
          <w:i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72"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typically with a hyperlink from such loan aggregator’s website to a landing page on our website. For example, in 2019 and the nine months ended September 30, 2020, 38% and 52%, respectively, of loan originations were derived from traffic from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 If traffic from Credit Karma continues to decrease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81" w:lineRule="exact"/>
        <w:rPr>
          <w:sz w:val="20"/>
          <w:szCs w:val="20"/>
          <w:color w:val="auto"/>
        </w:rPr>
      </w:pPr>
    </w:p>
    <w:p>
      <w:pPr>
        <w:jc w:val="both"/>
        <w:ind w:left="1020" w:firstLine="460"/>
        <w:spacing w:after="0" w:line="235" w:lineRule="auto"/>
        <w:rPr>
          <w:sz w:val="20"/>
          <w:szCs w:val="20"/>
          <w:color w:val="auto"/>
        </w:rPr>
      </w:pPr>
      <w:r>
        <w:rPr>
          <w:rFonts w:ascii="Arial" w:cs="Arial" w:eastAsia="Arial" w:hAnsi="Arial"/>
          <w:sz w:val="15"/>
          <w:szCs w:val="15"/>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w:t>
      </w:r>
    </w:p>
    <w:p>
      <w:pPr>
        <w:spacing w:after="0" w:line="1"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0220"/>
          </w:cols>
          <w:pgMar w:left="320" w:top="407" w:right="13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244" w:lineRule="exact"/>
        <w:rPr>
          <w:sz w:val="20"/>
          <w:szCs w:val="20"/>
          <w:color w:val="auto"/>
        </w:rPr>
      </w:pPr>
    </w:p>
    <w:p>
      <w:pPr>
        <w:ind w:left="1020" w:right="180"/>
        <w:spacing w:after="0" w:line="270" w:lineRule="auto"/>
        <w:rPr>
          <w:sz w:val="20"/>
          <w:szCs w:val="20"/>
          <w:color w:val="auto"/>
        </w:rPr>
      </w:pPr>
      <w:r>
        <w:rPr>
          <w:rFonts w:ascii="Arial" w:cs="Arial" w:eastAsia="Arial" w:hAnsi="Arial"/>
          <w:sz w:val="15"/>
          <w:szCs w:val="15"/>
          <w:b w:val="1"/>
          <w:bCs w:val="1"/>
          <w:i w:val="1"/>
          <w:i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58"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70"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 to verify the accuracy of applicant-reported information. Data from national credit bureaus and other consumer reporting agencies and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74"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Further, although we attempt to verify the income, employment and education information provided by certain selected applicants, we cannot guarantee the accuracy of applicant information. Our fraud model relies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0200"/>
          </w:cols>
          <w:pgMar w:left="320" w:top="407" w:right="1379" w:bottom="1440" w:gutter="0" w:footer="0" w:header="0"/>
        </w:sectPr>
      </w:pPr>
    </w:p>
    <w:bookmarkStart w:id="63" w:name="page64"/>
    <w:bookmarkEnd w:id="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platform or increase the number of Upstart-powered loans and adversely affect our business, financial condition and results of operations.</w:t>
      </w:r>
    </w:p>
    <w:p>
      <w:pPr>
        <w:spacing w:after="0" w:line="244" w:lineRule="exact"/>
        <w:rPr>
          <w:sz w:val="20"/>
          <w:szCs w:val="20"/>
          <w:color w:val="auto"/>
        </w:rPr>
      </w:pPr>
    </w:p>
    <w:p>
      <w:pPr>
        <w:ind w:left="1020" w:right="200"/>
        <w:spacing w:after="0" w:line="270" w:lineRule="auto"/>
        <w:rPr>
          <w:sz w:val="20"/>
          <w:szCs w:val="20"/>
          <w:color w:val="auto"/>
        </w:rPr>
      </w:pPr>
      <w:r>
        <w:rPr>
          <w:rFonts w:ascii="Arial" w:cs="Arial" w:eastAsia="Arial" w:hAnsi="Arial"/>
          <w:sz w:val="15"/>
          <w:szCs w:val="15"/>
          <w:b w:val="1"/>
          <w:bCs w:val="1"/>
          <w:i w:val="1"/>
          <w:i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58"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Most of our vendor agreements are terminable by either party without penalty and with little notice. If any of our third-party vendors terminates its relationship with us or refuses to renew its agreement with us on commercially 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246" w:lineRule="exact"/>
        <w:rPr>
          <w:sz w:val="20"/>
          <w:szCs w:val="20"/>
          <w:color w:val="auto"/>
        </w:rPr>
      </w:pPr>
    </w:p>
    <w:p>
      <w:pPr>
        <w:ind w:left="1020" w:right="920"/>
        <w:spacing w:after="0" w:line="270" w:lineRule="auto"/>
        <w:rPr>
          <w:sz w:val="20"/>
          <w:szCs w:val="20"/>
          <w:color w:val="auto"/>
        </w:rPr>
      </w:pPr>
      <w:r>
        <w:rPr>
          <w:rFonts w:ascii="Arial" w:cs="Arial" w:eastAsia="Arial" w:hAnsi="Arial"/>
          <w:sz w:val="15"/>
          <w:szCs w:val="15"/>
          <w:b w:val="1"/>
          <w:bCs w:val="1"/>
          <w:i w:val="1"/>
          <w:iCs w:val="1"/>
          <w:color w:val="auto"/>
        </w:rPr>
        <w:t>Failure by our third-party vendors or our failure to comply with legal or regulatory requirements or other contractual requirements could have an adverse effect on our business.</w:t>
      </w:r>
    </w:p>
    <w:p>
      <w:pPr>
        <w:spacing w:after="0" w:line="148"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0220"/>
          </w:cols>
          <w:pgMar w:left="320" w:top="407" w:right="1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w:t>
      </w:r>
    </w:p>
    <w:p>
      <w:pPr>
        <w:spacing w:after="0" w:line="245" w:lineRule="exact"/>
        <w:rPr>
          <w:sz w:val="20"/>
          <w:szCs w:val="20"/>
          <w:color w:val="auto"/>
        </w:rPr>
      </w:pPr>
    </w:p>
    <w:p>
      <w:pPr>
        <w:ind w:left="1020" w:right="80"/>
        <w:spacing w:after="0" w:line="246" w:lineRule="auto"/>
        <w:rPr>
          <w:sz w:val="20"/>
          <w:szCs w:val="20"/>
          <w:color w:val="auto"/>
        </w:rPr>
      </w:pPr>
      <w:r>
        <w:rPr>
          <w:rFonts w:ascii="Arial" w:cs="Arial" w:eastAsia="Arial" w:hAnsi="Arial"/>
          <w:sz w:val="15"/>
          <w:szCs w:val="15"/>
          <w:b w:val="1"/>
          <w:bCs w:val="1"/>
          <w:i w:val="1"/>
          <w:i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w:t>
      </w:r>
    </w:p>
    <w:p>
      <w:pPr>
        <w:spacing w:after="0" w:line="77"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annual percentage rates of the loans facilitated through our platform typically range from approximately 6.5% to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w:t>
      </w:r>
    </w:p>
    <w:p>
      <w:pPr>
        <w:spacing w:after="0" w:line="174"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0220"/>
          </w:cols>
          <w:pgMar w:left="320" w:top="407" w:right="1359" w:bottom="1440" w:gutter="0" w:footer="0" w:header="0"/>
        </w:sectPr>
      </w:pPr>
    </w:p>
    <w:bookmarkStart w:id="65" w:name="page66"/>
    <w:bookmarkEnd w:id="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provided at origination because while such disclosures are not required of banks they may be required of non-bank lenders.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 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174"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 xml:space="preserve">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w:t>
      </w:r>
      <w:r>
        <w:rPr>
          <w:rFonts w:ascii="Arial" w:cs="Arial" w:eastAsia="Arial" w:hAnsi="Arial"/>
          <w:sz w:val="15"/>
          <w:szCs w:val="15"/>
          <w:i w:val="1"/>
          <w:iCs w:val="1"/>
          <w:color w:val="auto"/>
        </w:rPr>
        <w:t>Petersen</w:t>
      </w:r>
      <w:r>
        <w:rPr>
          <w:rFonts w:ascii="Arial" w:cs="Arial" w:eastAsia="Arial" w:hAnsi="Arial"/>
          <w:sz w:val="15"/>
          <w:szCs w:val="15"/>
          <w:color w:val="auto"/>
        </w:rPr>
        <w:t xml:space="preserve">,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w:t>
      </w:r>
      <w:r>
        <w:rPr>
          <w:rFonts w:ascii="Arial" w:cs="Arial" w:eastAsia="Arial" w:hAnsi="Arial"/>
          <w:sz w:val="15"/>
          <w:szCs w:val="15"/>
          <w:i w:val="1"/>
          <w:iCs w:val="1"/>
          <w:color w:val="auto"/>
        </w:rPr>
        <w:t>Cohen</w:t>
      </w:r>
      <w:r>
        <w:rPr>
          <w:rFonts w:ascii="Arial" w:cs="Arial" w:eastAsia="Arial" w:hAnsi="Arial"/>
          <w:sz w:val="15"/>
          <w:szCs w:val="15"/>
          <w:color w:val="auto"/>
        </w:rPr>
        <w:t xml:space="preserve"> was a materially similar claim against a separate national bank. On January 22, 2020, the magistrate judge in Petersen issued a report and</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0220"/>
          </w:cols>
          <w:pgMar w:left="320" w:top="407" w:right="1359" w:bottom="1440" w:gutter="0" w:footer="0" w:header="0"/>
        </w:sectPr>
      </w:pPr>
    </w:p>
    <w:bookmarkStart w:id="66" w:name="page67"/>
    <w:bookmarkEnd w:id="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and plaintiffs in both Cohen and Petersen have filed appeals to the second circuit.</w:t>
      </w:r>
    </w:p>
    <w:p>
      <w:pPr>
        <w:spacing w:after="0" w:line="154"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 xml:space="preserve">As noted above, federal prudential regulators have also taken actions to address the </w:t>
      </w:r>
      <w:r>
        <w:rPr>
          <w:rFonts w:ascii="Arial" w:cs="Arial" w:eastAsia="Arial" w:hAnsi="Arial"/>
          <w:sz w:val="15"/>
          <w:szCs w:val="15"/>
          <w:i w:val="1"/>
          <w:iCs w:val="1"/>
          <w:color w:val="auto"/>
        </w:rPr>
        <w:t>Madden</w:t>
      </w:r>
      <w:r>
        <w:rPr>
          <w:rFonts w:ascii="Arial" w:cs="Arial" w:eastAsia="Arial" w:hAnsi="Arial"/>
          <w:sz w:val="15"/>
          <w:szCs w:val="15"/>
          <w:color w:val="auto"/>
        </w:rPr>
        <w:t xml:space="preserve">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has issued a rule pertaining to the “true lender” issue.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w:t>
      </w:r>
    </w:p>
    <w:p>
      <w:pPr>
        <w:spacing w:after="0" w:line="17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118"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0220"/>
          </w:cols>
          <w:pgMar w:left="320" w:top="407" w:right="1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20"/>
        <w:spacing w:after="0" w:line="246" w:lineRule="auto"/>
        <w:rPr>
          <w:sz w:val="20"/>
          <w:szCs w:val="20"/>
          <w:color w:val="auto"/>
        </w:rPr>
      </w:pPr>
      <w:r>
        <w:rPr>
          <w:rFonts w:ascii="Arial" w:cs="Arial" w:eastAsia="Arial" w:hAnsi="Arial"/>
          <w:sz w:val="15"/>
          <w:szCs w:val="15"/>
          <w:b w:val="1"/>
          <w:bCs w:val="1"/>
          <w:i w:val="1"/>
          <w:i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on June 5,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w:t>
      </w:r>
    </w:p>
    <w:p>
      <w:pPr>
        <w:spacing w:after="0" w:line="17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It remains possible that the rule could be challenged by state regulators or private parties, or rescinded or otherwise limited by a future administration. In addition, the OCC rule does not apply to state-chartered banks and there can be no assurance that the FDIC will issue a similar rule applicable to state-chartered banks.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are also taking steps to confirm that our business model conforms with the requirements of the Colorado safe harbor.</w:t>
      </w:r>
    </w:p>
    <w:p>
      <w:pPr>
        <w:spacing w:after="0" w:line="170"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0220"/>
          </w:cols>
          <w:pgMar w:left="320" w:top="407" w:right="1359" w:bottom="1440" w:gutter="0" w:footer="0" w:header="0"/>
        </w:sectPr>
      </w:pPr>
    </w:p>
    <w:bookmarkStart w:id="68" w:name="page69"/>
    <w:bookmarkEnd w:id="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0140"/>
          </w:cols>
          <w:pgMar w:left="320" w:top="407" w:right="14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600"/>
        <w:spacing w:after="0"/>
        <w:rPr>
          <w:sz w:val="20"/>
          <w:szCs w:val="20"/>
          <w:color w:val="auto"/>
        </w:rPr>
      </w:pPr>
      <w:r>
        <w:rPr>
          <w:rFonts w:ascii="Arial" w:cs="Arial" w:eastAsia="Arial" w:hAnsi="Arial"/>
          <w:sz w:val="15"/>
          <w:szCs w:val="15"/>
          <w:b w:val="1"/>
          <w:bCs w:val="1"/>
          <w:color w:val="auto"/>
        </w:rPr>
        <w:t>RISKS RELATED TO OUR REGULATORY ENVIRONMENT</w:t>
      </w:r>
    </w:p>
    <w:p>
      <w:pPr>
        <w:spacing w:after="0" w:line="267" w:lineRule="exact"/>
        <w:rPr>
          <w:sz w:val="20"/>
          <w:szCs w:val="20"/>
          <w:color w:val="auto"/>
        </w:rPr>
      </w:pPr>
    </w:p>
    <w:p>
      <w:pPr>
        <w:ind w:left="1020" w:right="320"/>
        <w:spacing w:after="0" w:line="270" w:lineRule="auto"/>
        <w:rPr>
          <w:sz w:val="20"/>
          <w:szCs w:val="20"/>
          <w:color w:val="auto"/>
        </w:rPr>
      </w:pPr>
      <w:r>
        <w:rPr>
          <w:rFonts w:ascii="Arial" w:cs="Arial" w:eastAsia="Arial" w:hAnsi="Arial"/>
          <w:sz w:val="15"/>
          <w:szCs w:val="15"/>
          <w:b w:val="1"/>
          <w:bCs w:val="1"/>
          <w:i w:val="1"/>
          <w:iCs w:val="1"/>
          <w:color w:val="auto"/>
        </w:rPr>
        <w:t>Litigation, regulatory actions and compliance issues could subject us to significant fines, penalties, judgments, remediation costs and/or requirements resulting in increased expenses.</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do-not-call, credit reporting and collections.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7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improvement efforts,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173" w:lineRule="exact"/>
        <w:rPr>
          <w:sz w:val="20"/>
          <w:szCs w:val="20"/>
          <w:color w:val="auto"/>
        </w:rPr>
      </w:pPr>
    </w:p>
    <w:p>
      <w:pPr>
        <w:jc w:val="both"/>
        <w:ind w:left="1020" w:right="420" w:firstLine="460"/>
        <w:spacing w:after="0"/>
        <w:rPr>
          <w:sz w:val="20"/>
          <w:szCs w:val="20"/>
          <w:color w:val="auto"/>
        </w:rPr>
      </w:pPr>
      <w:r>
        <w:rPr>
          <w:rFonts w:ascii="Arial" w:cs="Arial" w:eastAsia="Arial" w:hAnsi="Arial"/>
          <w:sz w:val="15"/>
          <w:szCs w:val="15"/>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170"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0200"/>
          </w:cols>
          <w:pgMar w:left="320" w:top="407" w:right="1379" w:bottom="1440" w:gutter="0" w:footer="0" w:header="0"/>
        </w:sectPr>
      </w:pPr>
    </w:p>
    <w:bookmarkStart w:id="70" w:name="page71"/>
    <w:bookmarkEnd w:id="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260"/>
        <w:spacing w:after="0" w:line="270" w:lineRule="auto"/>
        <w:rPr>
          <w:sz w:val="20"/>
          <w:szCs w:val="20"/>
          <w:color w:val="auto"/>
        </w:rPr>
      </w:pPr>
      <w:r>
        <w:rPr>
          <w:rFonts w:ascii="Arial" w:cs="Arial" w:eastAsia="Arial" w:hAnsi="Arial"/>
          <w:sz w:val="15"/>
          <w:szCs w:val="15"/>
          <w:b w:val="1"/>
          <w:bCs w:val="1"/>
          <w:i w:val="1"/>
          <w:iCs w:val="1"/>
          <w:color w:val="auto"/>
        </w:rPr>
        <w:t>We are subject to or facilitate compliance with a variety of federal, state, and local laws, including those related to consumer protection and loan financings.</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Certain state laws generally regulate interest rates and other charges and require certain disclosures. In addition, other federal and state laws may apply to the origination, servicing and collection of loans originated on our platform, the purchase and sale of whole loans or asset-backed securitizations. In particular, certain laws, regulations and rules we or our bank partners are subject to include:</w:t>
      </w:r>
    </w:p>
    <w:p>
      <w:pPr>
        <w:spacing w:after="0" w:line="92" w:lineRule="exact"/>
        <w:rPr>
          <w:sz w:val="20"/>
          <w:szCs w:val="20"/>
          <w:color w:val="auto"/>
        </w:rPr>
      </w:pPr>
    </w:p>
    <w:p>
      <w:pPr>
        <w:ind w:left="1660" w:hanging="183"/>
        <w:spacing w:after="0" w:line="238"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91" w:lineRule="exact"/>
        <w:rPr>
          <w:rFonts w:ascii="Arial" w:cs="Arial" w:eastAsia="Arial" w:hAnsi="Arial"/>
          <w:sz w:val="15"/>
          <w:szCs w:val="15"/>
          <w:color w:val="auto"/>
        </w:rPr>
      </w:pPr>
    </w:p>
    <w:p>
      <w:pPr>
        <w:ind w:left="1660" w:right="120" w:hanging="183"/>
        <w:spacing w:after="0" w:line="238"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93"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Equal Credit Opportunity Act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93" w:lineRule="exact"/>
        <w:rPr>
          <w:rFonts w:ascii="Arial" w:cs="Arial" w:eastAsia="Arial" w:hAnsi="Arial"/>
          <w:sz w:val="15"/>
          <w:szCs w:val="15"/>
          <w:color w:val="auto"/>
        </w:rPr>
      </w:pPr>
    </w:p>
    <w:p>
      <w:pPr>
        <w:ind w:left="1660" w:hanging="183"/>
        <w:spacing w:after="0" w:line="238"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 on the basis of information from consumer reports, addressing risks of identity theft and fraud and protecting the privacy and security of consumer reports and consumer report information;</w:t>
      </w:r>
    </w:p>
    <w:p>
      <w:pPr>
        <w:spacing w:after="0" w:line="93" w:lineRule="exact"/>
        <w:rPr>
          <w:rFonts w:ascii="Arial" w:cs="Arial" w:eastAsia="Arial" w:hAnsi="Arial"/>
          <w:sz w:val="15"/>
          <w:szCs w:val="15"/>
          <w:color w:val="auto"/>
        </w:rPr>
      </w:pPr>
    </w:p>
    <w:p>
      <w:pPr>
        <w:ind w:left="1660" w:right="2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91" w:lineRule="exact"/>
        <w:rPr>
          <w:rFonts w:ascii="Arial" w:cs="Arial" w:eastAsia="Arial" w:hAnsi="Arial"/>
          <w:sz w:val="15"/>
          <w:szCs w:val="15"/>
          <w:color w:val="auto"/>
        </w:rPr>
      </w:pPr>
    </w:p>
    <w:p>
      <w:pPr>
        <w:ind w:left="1660" w:right="18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91" w:lineRule="exact"/>
        <w:rPr>
          <w:rFonts w:ascii="Arial" w:cs="Arial" w:eastAsia="Arial" w:hAnsi="Arial"/>
          <w:sz w:val="15"/>
          <w:szCs w:val="15"/>
          <w:color w:val="auto"/>
        </w:rPr>
      </w:pPr>
    </w:p>
    <w:p>
      <w:pPr>
        <w:ind w:left="1660" w:right="360" w:hanging="183"/>
        <w:spacing w:after="0"/>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Fair Debt Collection Practices Act and similar state debt collection laws, which provide guidelines and limitations on the conduct of third-party debt collectors (and some limitation on creditors collecting their own debts) in connection with the collection of consumer debts;</w:t>
      </w:r>
    </w:p>
    <w:p>
      <w:pPr>
        <w:spacing w:after="0" w:line="91" w:lineRule="exact"/>
        <w:rPr>
          <w:rFonts w:ascii="Arial" w:cs="Arial" w:eastAsia="Arial" w:hAnsi="Arial"/>
          <w:sz w:val="15"/>
          <w:szCs w:val="15"/>
          <w:color w:val="auto"/>
        </w:rPr>
      </w:pPr>
    </w:p>
    <w:p>
      <w:pPr>
        <w:ind w:left="1660" w:right="440" w:hanging="183"/>
        <w:spacing w:after="0" w:line="245" w:lineRule="auto"/>
        <w:tabs>
          <w:tab w:leader="none" w:pos="166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Gramm-Leach-Bliley Act and Regulation P promulgated thereunder, which includes limitations on financial institutions’ disclosure of nonpublic personal information about a</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0160"/>
          </w:cols>
          <w:pgMar w:left="320" w:top="407" w:right="1419" w:bottom="1440" w:gutter="0" w:footer="0" w:header="0"/>
        </w:sectPr>
      </w:pPr>
    </w:p>
    <w:bookmarkStart w:id="71" w:name="page72"/>
    <w:bookmarkEnd w:id="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180"/>
        <w:spacing w:after="0" w:line="238" w:lineRule="auto"/>
        <w:rPr>
          <w:sz w:val="20"/>
          <w:szCs w:val="20"/>
          <w:color w:val="auto"/>
        </w:rPr>
      </w:pPr>
      <w:r>
        <w:rPr>
          <w:rFonts w:ascii="Arial" w:cs="Arial" w:eastAsia="Arial" w:hAnsi="Arial"/>
          <w:sz w:val="15"/>
          <w:szCs w:val="15"/>
          <w:color w:val="auto"/>
        </w:rPr>
        <w:t>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93" w:lineRule="exact"/>
        <w:rPr>
          <w:sz w:val="20"/>
          <w:szCs w:val="20"/>
          <w:color w:val="auto"/>
        </w:rPr>
      </w:pPr>
    </w:p>
    <w:p>
      <w:pPr>
        <w:ind w:left="1660" w:right="340" w:hanging="183"/>
        <w:spacing w:after="0" w:line="245"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Bankruptcy Code, which limits the extent to which creditors may seek to enforce debts against parties who have filed for bankruptcy protection;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91" w:lineRule="exact"/>
        <w:rPr>
          <w:rFonts w:ascii="Arial" w:cs="Arial" w:eastAsia="Arial" w:hAnsi="Arial"/>
          <w:sz w:val="15"/>
          <w:szCs w:val="15"/>
          <w:color w:val="auto"/>
        </w:rPr>
      </w:pPr>
    </w:p>
    <w:p>
      <w:pPr>
        <w:ind w:left="1660" w:right="28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91"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93" w:lineRule="exact"/>
        <w:rPr>
          <w:rFonts w:ascii="Arial" w:cs="Arial" w:eastAsia="Arial" w:hAnsi="Arial"/>
          <w:sz w:val="15"/>
          <w:szCs w:val="15"/>
          <w:color w:val="auto"/>
        </w:rPr>
      </w:pPr>
    </w:p>
    <w:p>
      <w:pPr>
        <w:ind w:left="1660" w:right="2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93" w:lineRule="exact"/>
        <w:rPr>
          <w:rFonts w:ascii="Arial" w:cs="Arial" w:eastAsia="Arial" w:hAnsi="Arial"/>
          <w:sz w:val="15"/>
          <w:szCs w:val="15"/>
          <w:color w:val="auto"/>
        </w:rPr>
      </w:pPr>
    </w:p>
    <w:p>
      <w:pPr>
        <w:ind w:left="1660" w:right="160" w:hanging="18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91" w:lineRule="exact"/>
        <w:rPr>
          <w:rFonts w:ascii="Arial" w:cs="Arial" w:eastAsia="Arial" w:hAnsi="Arial"/>
          <w:sz w:val="15"/>
          <w:szCs w:val="15"/>
          <w:color w:val="auto"/>
        </w:rPr>
      </w:pPr>
    </w:p>
    <w:p>
      <w:pPr>
        <w:ind w:left="1660" w:right="220" w:hanging="183"/>
        <w:spacing w:after="0" w:line="238"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93" w:lineRule="exact"/>
        <w:rPr>
          <w:rFonts w:ascii="Arial" w:cs="Arial" w:eastAsia="Arial" w:hAnsi="Arial"/>
          <w:sz w:val="15"/>
          <w:szCs w:val="15"/>
          <w:color w:val="auto"/>
        </w:rPr>
      </w:pPr>
    </w:p>
    <w:p>
      <w:pPr>
        <w:ind w:left="1660" w:right="20" w:hanging="183"/>
        <w:spacing w:after="0" w:line="245"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Right to Financial Privacy Act and similar state laws enacted to provide the financial records of financial institution customers a reasonable amount of privacy from government scrutiny;</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Bank Secrecy Act and the USA PATRIOT Act, which relate to compliance with anti-money laundering, borrower due diligence and record-keeping policies and procedures;</w:t>
      </w:r>
    </w:p>
    <w:p>
      <w:pPr>
        <w:spacing w:after="0" w:line="87" w:lineRule="exact"/>
        <w:rPr>
          <w:rFonts w:ascii="Arial" w:cs="Arial" w:eastAsia="Arial" w:hAnsi="Arial"/>
          <w:sz w:val="15"/>
          <w:szCs w:val="15"/>
          <w:color w:val="auto"/>
        </w:rPr>
      </w:pPr>
    </w:p>
    <w:p>
      <w:pPr>
        <w:ind w:left="1660" w:right="440" w:hanging="183"/>
        <w:spacing w:after="0"/>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91"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federal and state securities laws, including, among others, the Securities Act of 1933, as amended, or the Securities Act, the Exchange Act, the Investment Advisers Act of 1940, as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0200"/>
          </w:cols>
          <w:pgMar w:left="320" w:top="407" w:right="1379" w:bottom="1440" w:gutter="0" w:footer="0" w:header="0"/>
        </w:sectPr>
      </w:pPr>
    </w:p>
    <w:bookmarkStart w:id="72" w:name="page73"/>
    <w:bookmarkEnd w:id="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91" w:lineRule="exact"/>
        <w:rPr>
          <w:sz w:val="20"/>
          <w:szCs w:val="20"/>
          <w:color w:val="auto"/>
        </w:rPr>
      </w:pPr>
    </w:p>
    <w:p>
      <w:pPr>
        <w:ind w:left="1480"/>
        <w:spacing w:after="0"/>
        <w:tabs>
          <w:tab w:leader="none" w:pos="1640" w:val="left"/>
        </w:tabs>
        <w:rPr>
          <w:sz w:val="20"/>
          <w:szCs w:val="20"/>
          <w:color w:val="auto"/>
        </w:rPr>
      </w:pPr>
      <w:r>
        <w:rPr>
          <w:rFonts w:ascii="Arial" w:cs="Arial" w:eastAsia="Arial" w:hAnsi="Arial"/>
          <w:sz w:val="15"/>
          <w:szCs w:val="15"/>
          <w:color w:val="auto"/>
        </w:rPr>
        <w:t>•</w:t>
        <w:tab/>
        <w:t>other state-specific and local laws and regulations.</w:t>
      </w:r>
    </w:p>
    <w:p>
      <w:pPr>
        <w:spacing w:after="0" w:line="177"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California has enacted legislation to create a “mini-CFPB,” which could increase its oversight over bank partnership relationships and strengthen state consumer protection authority of state regulators to police debt collections and unfair, deceptive or abusive acts and practices. Additionally, voter referendums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18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47"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Internet-based loan origination processes may give rise to greater risks than paper-based processes and may not always be allowed under state law.</w:t>
      </w:r>
    </w:p>
    <w:p>
      <w:pPr>
        <w:spacing w:after="0" w:line="58"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0200"/>
          </w:cols>
          <w:pgMar w:left="320" w:top="407" w:right="1379" w:bottom="1440" w:gutter="0" w:footer="0" w:header="0"/>
        </w:sectPr>
      </w:pPr>
    </w:p>
    <w:bookmarkStart w:id="73" w:name="page74"/>
    <w:bookmarkEnd w:id="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170"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For auto loans issued under our new auto lending platform,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under our auto lending platform.</w:t>
      </w:r>
    </w:p>
    <w:p>
      <w:pPr>
        <w:spacing w:after="0" w:line="242" w:lineRule="exact"/>
        <w:rPr>
          <w:sz w:val="20"/>
          <w:szCs w:val="20"/>
          <w:color w:val="auto"/>
        </w:rPr>
      </w:pPr>
    </w:p>
    <w:p>
      <w:pPr>
        <w:ind w:left="1020" w:right="100"/>
        <w:spacing w:after="0" w:line="270" w:lineRule="auto"/>
        <w:rPr>
          <w:sz w:val="20"/>
          <w:szCs w:val="20"/>
          <w:color w:val="auto"/>
        </w:rPr>
      </w:pPr>
      <w:r>
        <w:rPr>
          <w:rFonts w:ascii="Arial" w:cs="Arial" w:eastAsia="Arial" w:hAnsi="Arial"/>
          <w:sz w:val="15"/>
          <w:szCs w:val="15"/>
          <w:b w:val="1"/>
          <w:bCs w:val="1"/>
          <w:i w:val="1"/>
          <w:iCs w:val="1"/>
          <w:color w:val="auto"/>
        </w:rPr>
        <w:t>If we are found to be operating without having obtained necessary state or local licenses, our business, financial condition and results of operations could be adversely affected.</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platform and the related activities we perform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245"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The CFPB is a relatively new agency that has sometimes taken expansive views of its authority to regulate consumer financial services, creating uncertainty as to how the agency’s actions or the actions of any other new agency could impact our business.</w:t>
      </w:r>
    </w:p>
    <w:p>
      <w:pPr>
        <w:spacing w:after="0" w:line="58"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0200"/>
          </w:cols>
          <w:pgMar w:left="320" w:top="407" w:right="1379" w:bottom="1440" w:gutter="0" w:footer="0" w:header="0"/>
        </w:sectPr>
      </w:pPr>
    </w:p>
    <w:bookmarkStart w:id="74" w:name="page75"/>
    <w:bookmarkEnd w:id="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60"/>
        <w:spacing w:after="0" w:line="238" w:lineRule="auto"/>
        <w:rPr>
          <w:sz w:val="20"/>
          <w:szCs w:val="20"/>
          <w:color w:val="auto"/>
        </w:rPr>
      </w:pPr>
      <w:r>
        <w:rPr>
          <w:rFonts w:ascii="Arial" w:cs="Arial" w:eastAsia="Arial" w:hAnsi="Arial"/>
          <w:sz w:val="15"/>
          <w:szCs w:val="15"/>
          <w:color w:val="auto"/>
        </w:rPr>
        <w:t>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consumers.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Although we are the only online lending platform to have ever received a no-action letter from the CFPB with respect to our ECOA compliance as it pertains to underwriting applicants for unsecured non-revolving credit, there continues to be uncertainty about the future of the CFPB and as to how its strategies and priorities, including in both its examination and enforcement processes, will impact our business and our results of operations going forward. Our current no-action letter expires on November 30, 2023, unless terminated by the CFPB earlier for one of the bases provided for by the no-action letter, and there is no assurance that the CFPB will permit us to continue to operate under its current no-action letter policies or that it will not change its position regarding supervisory or enforcement action against us in the future. Further, this no-action letter does not extend to other credit products offered on Upstart’s platform. 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17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73" w:lineRule="exact"/>
        <w:rPr>
          <w:sz w:val="20"/>
          <w:szCs w:val="20"/>
          <w:color w:val="auto"/>
        </w:rPr>
      </w:pPr>
    </w:p>
    <w:p>
      <w:pPr>
        <w:ind w:left="1020" w:right="440" w:firstLine="460"/>
        <w:spacing w:after="0" w:line="238" w:lineRule="auto"/>
        <w:rPr>
          <w:sz w:val="20"/>
          <w:szCs w:val="20"/>
          <w:color w:val="auto"/>
        </w:rPr>
      </w:pPr>
      <w:r>
        <w:rPr>
          <w:rFonts w:ascii="Arial" w:cs="Arial" w:eastAsia="Arial" w:hAnsi="Arial"/>
          <w:sz w:val="15"/>
          <w:szCs w:val="15"/>
          <w:color w:val="auto"/>
        </w:rPr>
        <w:t>Our compliance and operational costs and litigation exposure could increase if and when the CFPB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have been in the past and may in the future be subject to federal and state regulatory inquiries regarding our business.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We have, from time to time in the normal course of our business, received, and may in the future receive or be subject to, inquiries or investigations by state and federal regulatory agencies and bodies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0220"/>
          </w:cols>
          <w:pgMar w:left="320" w:top="407" w:right="1359" w:bottom="1440" w:gutter="0" w:footer="0" w:header="0"/>
        </w:sectPr>
      </w:pPr>
    </w:p>
    <w:bookmarkStart w:id="75" w:name="page76"/>
    <w:bookmarkEnd w:id="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such as the CFPB,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are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We must also update the CFPB of material changes to information included in our no-action letter application or if our products or services are not performing as expected in a material way. Such no-action letter expires on November 30, 2023, unless terminated by the CFPB earlier for one of the bases provided for by the no-action letter. We can provide no assurance that the CFPB will continue to provide such relief, and it is possible the CFPB will change its position regarding supervisory or enforcement action against us in the future. Further, this no-action letter does not extend to other credit products offered on Upstart’s platform. Moreover, were we determined to be conducting business contrary to the facts presented to, and relied on, by the CFPB in issuing the no-action letter, we would be subject to heightened enforcement risk by the CFPB. We have also received an inquiry from the North Carolina Department of Justice regarding our role in facilitating the origination of loans for educational purposes. We are providing information in response to that inquiry, and cannot provide any assurances regarding the outcome of that inquiry.</w:t>
      </w:r>
    </w:p>
    <w:p>
      <w:pPr>
        <w:spacing w:after="0" w:line="18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246" w:lineRule="exact"/>
        <w:rPr>
          <w:sz w:val="20"/>
          <w:szCs w:val="20"/>
          <w:color w:val="auto"/>
        </w:rPr>
      </w:pPr>
    </w:p>
    <w:p>
      <w:pPr>
        <w:ind w:left="1020" w:right="280"/>
        <w:spacing w:after="0" w:line="270" w:lineRule="auto"/>
        <w:rPr>
          <w:sz w:val="20"/>
          <w:szCs w:val="20"/>
          <w:color w:val="auto"/>
        </w:rPr>
      </w:pPr>
      <w:r>
        <w:rPr>
          <w:rFonts w:ascii="Arial" w:cs="Arial" w:eastAsia="Arial" w:hAnsi="Arial"/>
          <w:sz w:val="15"/>
          <w:szCs w:val="15"/>
          <w:b w:val="1"/>
          <w:bCs w:val="1"/>
          <w:i w:val="1"/>
          <w:i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0200"/>
          </w:cols>
          <w:pgMar w:left="320" w:top="407" w:right="1379" w:bottom="1440" w:gutter="0" w:footer="0" w:header="0"/>
        </w:sectPr>
      </w:pPr>
    </w:p>
    <w:bookmarkStart w:id="76" w:name="page77"/>
    <w:bookmarkEnd w:id="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5" w:lineRule="auto"/>
        <w:rPr>
          <w:sz w:val="20"/>
          <w:szCs w:val="20"/>
          <w:color w:val="auto"/>
        </w:rPr>
      </w:pPr>
      <w:r>
        <w:rPr>
          <w:rFonts w:ascii="Arial" w:cs="Arial" w:eastAsia="Arial" w:hAnsi="Arial"/>
          <w:sz w:val="15"/>
          <w:szCs w:val="15"/>
          <w:color w:val="auto"/>
        </w:rPr>
        <w:t>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The CCPA has been amended on multiple occasions and the California Attorney General approved final regulations on August 14, 2020. Although the regulations will bring some clarity regarding compliance with the CCPA,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which amends and purports to strengthen the CCPA and will create a state agency to enforce privacy laws.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w:t>
      </w:r>
    </w:p>
    <w:p>
      <w:pPr>
        <w:spacing w:after="0" w:line="255" w:lineRule="exact"/>
        <w:rPr>
          <w:sz w:val="20"/>
          <w:szCs w:val="20"/>
          <w:color w:val="auto"/>
        </w:rPr>
      </w:pPr>
    </w:p>
    <w:p>
      <w:pPr>
        <w:ind w:left="1020" w:right="700"/>
        <w:spacing w:after="0" w:line="270" w:lineRule="auto"/>
        <w:rPr>
          <w:sz w:val="20"/>
          <w:szCs w:val="20"/>
          <w:color w:val="auto"/>
        </w:rPr>
      </w:pPr>
      <w:r>
        <w:rPr>
          <w:rFonts w:ascii="Arial" w:cs="Arial" w:eastAsia="Arial" w:hAnsi="Arial"/>
          <w:sz w:val="15"/>
          <w:szCs w:val="15"/>
          <w:b w:val="1"/>
          <w:bCs w:val="1"/>
          <w:i w:val="1"/>
          <w:iCs w:val="1"/>
          <w:color w:val="auto"/>
        </w:rPr>
        <w:t>As the regulatory framework for artificial intelligence and machine learning technology evolves, our business, financial condition and results of operations may be adversely affected.</w:t>
      </w:r>
    </w:p>
    <w:p>
      <w:pPr>
        <w:spacing w:after="0" w:line="58"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 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w:t>
      </w:r>
    </w:p>
    <w:p>
      <w:pPr>
        <w:spacing w:after="0" w:line="242"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If we are required to register under the Investment Company Act, our ability to conduct business could be materially adversely affected.</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0220"/>
          </w:cols>
          <w:pgMar w:left="320" w:top="407" w:right="1359" w:bottom="1440" w:gutter="0" w:footer="0" w:header="0"/>
        </w:sectPr>
      </w:pPr>
    </w:p>
    <w:bookmarkStart w:id="77" w:name="page78"/>
    <w:bookmarkEnd w:id="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rPr>
          <w:sz w:val="20"/>
          <w:szCs w:val="20"/>
          <w:color w:val="auto"/>
        </w:rPr>
      </w:pPr>
      <w:r>
        <w:rPr>
          <w:rFonts w:ascii="Arial" w:cs="Arial" w:eastAsia="Arial" w:hAnsi="Arial"/>
          <w:sz w:val="15"/>
          <w:szCs w:val="15"/>
          <w:color w:val="auto"/>
        </w:rPr>
        <w:t>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246" w:lineRule="exact"/>
        <w:rPr>
          <w:sz w:val="20"/>
          <w:szCs w:val="20"/>
          <w:color w:val="auto"/>
        </w:rPr>
      </w:pPr>
    </w:p>
    <w:p>
      <w:pPr>
        <w:ind w:left="1020" w:right="220"/>
        <w:spacing w:after="0" w:line="270" w:lineRule="auto"/>
        <w:rPr>
          <w:sz w:val="20"/>
          <w:szCs w:val="20"/>
          <w:color w:val="auto"/>
        </w:rPr>
      </w:pPr>
      <w:r>
        <w:rPr>
          <w:rFonts w:ascii="Arial" w:cs="Arial" w:eastAsia="Arial" w:hAnsi="Arial"/>
          <w:sz w:val="15"/>
          <w:szCs w:val="15"/>
          <w:b w:val="1"/>
          <w:bCs w:val="1"/>
          <w:i w:val="1"/>
          <w:iCs w:val="1"/>
          <w:color w:val="auto"/>
        </w:rPr>
        <w:t>If we are required to register under the Investment Advisers Act, our ability to conduct business could be materially adversely affected.</w:t>
      </w:r>
    </w:p>
    <w:p>
      <w:pPr>
        <w:spacing w:after="0" w:line="58"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 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0220"/>
          </w:cols>
          <w:pgMar w:left="320" w:top="407" w:right="1359" w:bottom="1440" w:gutter="0" w:footer="0" w:header="0"/>
        </w:sectPr>
      </w:pPr>
    </w:p>
    <w:bookmarkStart w:id="78" w:name="page79"/>
    <w:bookmarkEnd w:id="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60"/>
        <w:spacing w:after="0" w:line="252" w:lineRule="auto"/>
        <w:rPr>
          <w:sz w:val="20"/>
          <w:szCs w:val="20"/>
          <w:color w:val="auto"/>
        </w:rPr>
      </w:pPr>
      <w:r>
        <w:rPr>
          <w:rFonts w:ascii="Arial" w:cs="Arial" w:eastAsia="Arial" w:hAnsi="Arial"/>
          <w:sz w:val="15"/>
          <w:szCs w:val="15"/>
          <w:b w:val="1"/>
          <w:bCs w:val="1"/>
          <w:i w:val="1"/>
          <w:iCs w:val="1"/>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Certain transactions in our loan funding programs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243" w:lineRule="exact"/>
        <w:rPr>
          <w:sz w:val="20"/>
          <w:szCs w:val="20"/>
          <w:color w:val="auto"/>
        </w:rPr>
      </w:pPr>
    </w:p>
    <w:p>
      <w:pPr>
        <w:ind w:left="1020" w:right="440"/>
        <w:spacing w:after="0" w:line="270" w:lineRule="auto"/>
        <w:rPr>
          <w:sz w:val="20"/>
          <w:szCs w:val="20"/>
          <w:color w:val="auto"/>
        </w:rPr>
      </w:pPr>
      <w:r>
        <w:rPr>
          <w:rFonts w:ascii="Arial" w:cs="Arial" w:eastAsia="Arial" w:hAnsi="Arial"/>
          <w:sz w:val="15"/>
          <w:szCs w:val="15"/>
          <w:b w:val="1"/>
          <w:bCs w:val="1"/>
          <w:i w:val="1"/>
          <w:iCs w:val="1"/>
          <w:color w:val="auto"/>
        </w:rPr>
        <w:t>If we are required to register with the SEC or under state securities laws as a broker-dealer, our ability to conduct business could be materially adversely affected.</w:t>
      </w:r>
    </w:p>
    <w:p>
      <w:pPr>
        <w:spacing w:after="0" w:line="58"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173"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0220"/>
          </w:cols>
          <w:pgMar w:left="320" w:top="407" w:right="1359" w:bottom="1440" w:gutter="0" w:footer="0" w:header="0"/>
        </w:sectPr>
      </w:pPr>
    </w:p>
    <w:bookmarkStart w:id="79" w:name="page80"/>
    <w:bookmarkEnd w:id="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020"/>
        <w:spacing w:after="0" w:line="270" w:lineRule="auto"/>
        <w:rPr>
          <w:sz w:val="20"/>
          <w:szCs w:val="20"/>
          <w:color w:val="auto"/>
        </w:rPr>
      </w:pPr>
      <w:r>
        <w:rPr>
          <w:rFonts w:ascii="Arial" w:cs="Arial" w:eastAsia="Arial" w:hAnsi="Arial"/>
          <w:sz w:val="15"/>
          <w:szCs w:val="15"/>
          <w:b w:val="1"/>
          <w:bCs w:val="1"/>
          <w:i w:val="1"/>
          <w:iCs w:val="1"/>
          <w:color w:val="auto"/>
        </w:rPr>
        <w:t>Anti-money laundering, anti-terrorism financing, anti-corruption and economic sanctions laws could have adverse consequences for us.</w:t>
      </w:r>
    </w:p>
    <w:p>
      <w:pPr>
        <w:spacing w:after="0" w:line="58"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244" w:lineRule="exact"/>
        <w:rPr>
          <w:sz w:val="20"/>
          <w:szCs w:val="20"/>
          <w:color w:val="auto"/>
        </w:rPr>
      </w:pPr>
    </w:p>
    <w:p>
      <w:pPr>
        <w:ind w:left="1020" w:right="60"/>
        <w:spacing w:after="0" w:line="252" w:lineRule="auto"/>
        <w:rPr>
          <w:sz w:val="20"/>
          <w:szCs w:val="20"/>
          <w:color w:val="auto"/>
        </w:rPr>
      </w:pPr>
      <w:r>
        <w:rPr>
          <w:rFonts w:ascii="Arial" w:cs="Arial" w:eastAsia="Arial" w:hAnsi="Arial"/>
          <w:sz w:val="15"/>
          <w:szCs w:val="15"/>
          <w:b w:val="1"/>
          <w:bCs w:val="1"/>
          <w:i w:val="1"/>
          <w:i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 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who contribute loans to the transactions receive cash and/or securities representing equity interests in such SPE, which are the proceeds from the sale of the securities. The equity interests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During periods of financial disruption, such as the financial crisis that began in 2008 and the COVID-19 pandemic that began in early 2020, the securitization market has constrained, and this could continue or occur again in the future. In addition, other matters, such as (i) accounting standards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0200"/>
          </w:cols>
          <w:pgMar w:left="320" w:top="407" w:right="1379" w:bottom="1440" w:gutter="0" w:footer="0" w:header="0"/>
        </w:sectPr>
      </w:pPr>
    </w:p>
    <w:bookmarkStart w:id="80" w:name="page81"/>
    <w:bookmarkEnd w:id="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gain on sale and related servicing fees generated by our whole loan sales, and the servicing fees based on sales of asset-backed securities and interests in our legacy fractional loan program, also represent a significant source of our earnings. We cannot assure you that our loan purchasers will continue to purchase loans or interests in loans on our platform (either through whole loan sales or asset-backed securities) or that they will continue to purchase loans in transactions that generate the same spreads and/or fees that we have historically obtained. Factors that may affect loan purchaser demand for loans include:</w:t>
      </w:r>
    </w:p>
    <w:p>
      <w:pPr>
        <w:spacing w:after="0" w:line="91" w:lineRule="exact"/>
        <w:rPr>
          <w:sz w:val="20"/>
          <w:szCs w:val="20"/>
          <w:color w:val="auto"/>
        </w:rPr>
      </w:pPr>
    </w:p>
    <w:p>
      <w:pPr>
        <w:ind w:left="1660" w:right="160" w:hanging="183"/>
        <w:spacing w:after="0" w:line="245"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extent to which servicing fees and other expenses may reduce overall net return on purchased pools of loans;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actual or perceived credit performance and loan grade and term mix of the portfolios of loans offered for sale;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loan purchasers’ sector and company investment diversification requirements and strategies;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higher yielding investment opportunities at a risk profile deemed similar to our sold loan portfolios;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borrower prepayment behavior within the underlying pools;</w:t>
      </w:r>
    </w:p>
    <w:p>
      <w:pPr>
        <w:spacing w:after="0" w:line="9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 and</w:t>
      </w:r>
    </w:p>
    <w:p>
      <w:pPr>
        <w:spacing w:after="0" w:line="87" w:lineRule="exact"/>
        <w:rPr>
          <w:rFonts w:ascii="Arial" w:cs="Arial" w:eastAsia="Arial" w:hAnsi="Arial"/>
          <w:sz w:val="15"/>
          <w:szCs w:val="15"/>
          <w:color w:val="auto"/>
        </w:rPr>
      </w:pPr>
    </w:p>
    <w:p>
      <w:pPr>
        <w:ind w:left="1660" w:right="60" w:hanging="183"/>
        <w:spacing w:after="0"/>
        <w:tabs>
          <w:tab w:leader="none" w:pos="16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ability of our loan purchasers to access funding and liquidity channels, including securitization markets, on terms they find acceptable to deliver an appropriate return net of funding costs, as well as general market trends that affect the appetite for loan financing investments.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operations and returns. Any sustained decline in demand for loans or loan financing products, or any increase in delinquencies, defaults or losses that result from economic downturns, may also reduce the price we receive on future loan sales.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0200"/>
          </w:cols>
          <w:pgMar w:left="320" w:top="407" w:right="1379" w:bottom="1440" w:gutter="0" w:footer="0" w:header="0"/>
        </w:sectPr>
      </w:pPr>
    </w:p>
    <w:bookmarkStart w:id="81" w:name="page82"/>
    <w:bookmarkEnd w:id="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right="120"/>
        <w:spacing w:after="0" w:line="270" w:lineRule="auto"/>
        <w:rPr>
          <w:sz w:val="20"/>
          <w:szCs w:val="20"/>
          <w:color w:val="auto"/>
        </w:rPr>
      </w:pPr>
      <w:r>
        <w:rPr>
          <w:rFonts w:ascii="Arial" w:cs="Arial" w:eastAsia="Arial" w:hAnsi="Arial"/>
          <w:sz w:val="15"/>
          <w:szCs w:val="15"/>
          <w:b w:val="1"/>
          <w:bCs w:val="1"/>
          <w:i w:val="1"/>
          <w:iCs w:val="1"/>
          <w:color w:val="auto"/>
        </w:rPr>
        <w:t>Our securitizations are subject to regulation under federal law, and failure to comply with those laws could adversely affect our business.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7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 “private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0200"/>
          </w:cols>
          <w:pgMar w:left="320" w:top="407" w:right="137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RISKS RELATED TO LOAN FUNDING AND INDEBTEDNESS</w:t>
      </w:r>
    </w:p>
    <w:p>
      <w:pPr>
        <w:spacing w:after="0" w:line="177"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If we are unable to maintain a diverse and robust loan funding program, our growth prospects, business, financial condition and results of operations could be adversely affected.</w:t>
      </w:r>
    </w:p>
    <w:p>
      <w:pPr>
        <w:spacing w:after="0" w:line="58"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business depends on sourcing and maintaining a diverse and robust loan funding program to fund Upstart-powered loans that our bank partners are unable or unwilling to retain on their balance sheets. In the third quarter of 2020, approximately 22% of Upstart-powered loans were retained by the originating bank while approximately 76% of Upstart-powered loans were purchased by investors through our loan funding program, which includes whole loan sales to institutional investors, asset-backed securitization transactions, and utilization of committed and uncommitted warehouse credit facilities. While our loan funding program is diverse, only a limited portion of such funding sources are committed or guaranteed. We cannot be sure that these funding sources will continue to be available on reasonable terms or at all beyond the current maturity dates of our existing securitizations and debt financing arrangements.</w:t>
      </w:r>
    </w:p>
    <w:p>
      <w:pPr>
        <w:spacing w:after="0" w:line="171"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Further, events of default or breaches of financial, performance or other covenants, or worse than expected performance of certain pools of loans underpinning our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credit market volatility and regulatory reforms. For example, at the start of the COVID-19 pandemic, the availability of most of our loan funding sources was significantly reduced.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242"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our loan funding programs, including asset-backed securitizations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September 30, 2020, the number of repurchased Upstart-powered loans as a result of inaccurate representations and warranties represents less than 0.30%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45" w:lineRule="exact"/>
        <w:rPr>
          <w:sz w:val="20"/>
          <w:szCs w:val="20"/>
          <w:color w:val="auto"/>
        </w:rPr>
      </w:pPr>
    </w:p>
    <w:p>
      <w:pPr>
        <w:ind w:left="1020" w:right="160"/>
        <w:spacing w:after="0" w:line="270" w:lineRule="auto"/>
        <w:rPr>
          <w:sz w:val="20"/>
          <w:szCs w:val="20"/>
          <w:color w:val="auto"/>
        </w:rPr>
      </w:pPr>
      <w:r>
        <w:rPr>
          <w:rFonts w:ascii="Arial" w:cs="Arial" w:eastAsia="Arial" w:hAnsi="Arial"/>
          <w:sz w:val="15"/>
          <w:szCs w:val="15"/>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58"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Our unsecured senior corporate debt currently has no rating, and we have never issued unsecured debt securities in the capital markets. Asset-backed securities sponsored or co-sponsored by us are</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0220"/>
          </w:cols>
          <w:pgMar w:left="320" w:top="407" w:right="1359"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currently rated by a limited number of debt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244"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We rely on borrowings under our corporate and warehouse credit facilities to fund certain aspects of our operations, and any inability to meet our obligations as they come due or to comply with various covenants could harm our business.</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corporate credit facilities consist of term loans and revolving loan facilities that we have drawn on to finance our operations and for other corporate purposes. As of September 30, 2020, we had $21.0 million outstanding principal under the term loans and revolving credit facilities. These borrowings are secured by all the assets of the company that have not otherwise been sold or pledged to secure bank debt or securities associated with structured finance facilities, such as assets belonging to our consolidated warehouse trust special purpose entities and securitization trusts. These credit agreements contain operating and financial covenants, including customary limitations on the incurrence of certain indebtedness and liens, restrictions on certain transactions and limitations on dividends and stock repurchases. We have in the past, and may in the future, fail to comply with certain operating or financial covenants in our credit agreements, requiring a waiver from our lenders. Our ability to comply with or renegotiate these covenants may be affected by events beyond our control, and breaches of these covenants could result in a default under such agreements and any future financial agreements into which we may enter. If we were to default on our credit obligations and such defaults were not waived, our lenders may require repayment of any outstanding debt and terminate their agreements with us.</w:t>
      </w:r>
    </w:p>
    <w:p>
      <w:pPr>
        <w:spacing w:after="0" w:line="174"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addition, 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 As of September 30, 2020, outstanding borrowings under these warehouse credit facilities were $70.2 million, and $109.2 million of aggregate fair value of loans purchased were pledged as collateral.</w:t>
      </w:r>
      <w:r>
        <w:rPr>
          <w:rFonts w:ascii="Arial" w:cs="Arial" w:eastAsia="Arial" w:hAnsi="Arial"/>
          <w:sz w:val="12"/>
          <w:szCs w:val="12"/>
          <w:color w:val="auto"/>
        </w:rPr>
        <w:t>59</w:t>
      </w:r>
      <w:r>
        <w:rPr>
          <w:rFonts w:ascii="Arial" w:cs="Arial" w:eastAsia="Arial" w:hAnsi="Arial"/>
          <w:sz w:val="15"/>
          <w:szCs w:val="15"/>
          <w:color w:val="auto"/>
        </w:rPr>
        <w:t xml:space="preserve"> On November 2, 2020, we repaid all outstanding borrowings under one of our warehouse credit facilities in the amount of $4.0 million and terminated the corresponding warehouse credit facility.</w:t>
      </w:r>
    </w:p>
    <w:p>
      <w:pPr>
        <w:spacing w:after="0" w:line="170"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Under our remaining warehouse credit facility, we may borrow up to $100.0 million until May 2021, and any outstanding principal, together with any accrued and unpaid interest, are due and payable by the warehouse trust special purpose entity in May 2022. As of September 30, 2020, the amount borrowed under this credit facility was $52.7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60" w:hanging="453"/>
        <w:spacing w:after="0" w:line="182" w:lineRule="auto"/>
        <w:tabs>
          <w:tab w:leader="none" w:pos="1480" w:val="left"/>
        </w:tabs>
        <w:numPr>
          <w:ilvl w:val="0"/>
          <w:numId w:val="38"/>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term loans and revolving loan facilities.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0200"/>
          </w:cols>
          <w:pgMar w:left="320" w:top="407" w:right="1379" w:bottom="1440" w:gutter="0" w:footer="0" w:header="0"/>
        </w:sectPr>
      </w:pPr>
    </w:p>
    <w:bookmarkStart w:id="84" w:name="page85"/>
    <w:bookmarkEnd w:id="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warehouse credit facility imposes operating and financial covenants on the warehouse trust special purpose entity, and under certain events of default, the lender could require that all outstanding borrowings become immediately due and payable or terminate their agreement with us. We have in the past, and may in the future, fail to comply with certain operating or financial covenants in our warehouse credit facility, requiring a waiver from our lenders. If we are unable to repay our obligations at maturity or in the event of default, the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platform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174"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Some of our borrowings carry a floating rate of interest linked to the London Inter-bank Offered Rate, or LIBOR. On July 27, 2017, the United Kingdom Financial Conduct Authority, or FCA, announced that it intends to stop persuading or compelling banks to submit rates for the calculation of LIBOR after 2021. As a result, while the FCA and the submitting LIBOR banks have indicated they will support the LIBOR indices through 2021 to allow for an orderly transition to an alternative reference rate, it is possible that beginning in 2022, LIBOR will no longer be available as a reference rate. In particular, the interest rate of borrowings under our warehouse credit facilities and certain related interest rate hedging arrangements are predominately based upon LIBOR. While these agreements generally include alternative rates to LIBOR, if a change in indices results in interest rate increases on our debt, debt service requirements will increase, which could adversely affect our cash flow and results of operations. We do not expect a materially adverse change to our financial condition or liquidity as a result of any such changes or any other reforms to LIBOR that may be enacted in the United Kingdom or elsewhere.</w:t>
      </w:r>
    </w:p>
    <w:p>
      <w:pPr>
        <w:spacing w:after="0" w:line="247" w:lineRule="exact"/>
        <w:rPr>
          <w:sz w:val="20"/>
          <w:szCs w:val="20"/>
          <w:color w:val="auto"/>
        </w:rPr>
      </w:pPr>
    </w:p>
    <w:p>
      <w:pPr>
        <w:ind w:left="1020" w:right="300"/>
        <w:spacing w:after="0" w:line="270" w:lineRule="auto"/>
        <w:rPr>
          <w:sz w:val="20"/>
          <w:szCs w:val="20"/>
          <w:color w:val="auto"/>
        </w:rPr>
      </w:pPr>
      <w:r>
        <w:rPr>
          <w:rFonts w:ascii="Arial" w:cs="Arial" w:eastAsia="Arial" w:hAnsi="Arial"/>
          <w:sz w:val="15"/>
          <w:szCs w:val="15"/>
          <w:b w:val="1"/>
          <w:bCs w:val="1"/>
          <w:i w:val="1"/>
          <w:iCs w:val="1"/>
          <w:color w:val="auto"/>
        </w:rPr>
        <w:t>We may need to raise additional funds in the future, including through equity, debt or convertible debt financings, to support business growth and those funds may not be available on acceptable terms, or at all.</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intend to continue to make investments to support our business growth and may require additional funds to respond to business challenges, including the need to develop new loan products, enhance our AI models, improve our operating infrastructure, or acquire complementary businesses and technologies. Accordingly, we may need to engage in equity, debt or convertible debt financings to secure additional funds. If we raise additional funds by issuing equity securities or securities convertible into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w:t>
      </w:r>
    </w:p>
    <w:p>
      <w:pPr>
        <w:spacing w:after="0" w:line="172"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0220"/>
          </w:cols>
          <w:pgMar w:left="320" w:top="407" w:right="1359" w:bottom="1440" w:gutter="0" w:footer="0" w:header="0"/>
        </w:sectPr>
      </w:pPr>
    </w:p>
    <w:bookmarkStart w:id="85" w:name="page86"/>
    <w:bookmarkEnd w:id="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RISKS RELATED TO TAXES</w:t>
      </w:r>
    </w:p>
    <w:p>
      <w:pPr>
        <w:spacing w:after="0" w:line="177" w:lineRule="exact"/>
        <w:rPr>
          <w:sz w:val="20"/>
          <w:szCs w:val="20"/>
          <w:color w:val="auto"/>
        </w:rPr>
      </w:pPr>
    </w:p>
    <w:p>
      <w:pPr>
        <w:ind w:left="1020" w:right="100"/>
        <w:spacing w:after="0" w:line="252" w:lineRule="auto"/>
        <w:rPr>
          <w:sz w:val="20"/>
          <w:szCs w:val="20"/>
          <w:color w:val="auto"/>
        </w:rPr>
      </w:pPr>
      <w:r>
        <w:rPr>
          <w:rFonts w:ascii="Arial" w:cs="Arial" w:eastAsia="Arial" w:hAnsi="Arial"/>
          <w:sz w:val="15"/>
          <w:szCs w:val="15"/>
          <w:b w:val="1"/>
          <w:bCs w:val="1"/>
          <w:i w:val="1"/>
          <w:i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6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application of indirect taxes, such as sales and use tax, value-added tax, goods and services tax, business tax and gross receipts tax, to platform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addition, governments are increasingly looking for ways to increase revenue, which has resulted in discussions about tax reform and other legislative action to increase tax revenue, including through indirect taxes. For example, on November 6, 2018, voters in San Francisco approved “Proposition C,” which authorizes San Francisco to impose additional taxes on businesses in San Francisco that generate a certain level of gross receipts. Such taxes would adversely affect our financial condition and results of operations.</w:t>
      </w:r>
    </w:p>
    <w:p>
      <w:pPr>
        <w:spacing w:after="0" w:line="1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 xml:space="preserve">We may face various indirect tax audits in various U.S. jurisdictions. In certain jurisdictions, we collect and remit indirect taxes. However,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For example, after the U.S. Supreme Court decision in </w:t>
      </w:r>
      <w:r>
        <w:rPr>
          <w:rFonts w:ascii="Arial" w:cs="Arial" w:eastAsia="Arial" w:hAnsi="Arial"/>
          <w:sz w:val="15"/>
          <w:szCs w:val="15"/>
          <w:i w:val="1"/>
          <w:iCs w:val="1"/>
          <w:color w:val="auto"/>
        </w:rPr>
        <w:t>South Dakota v</w:t>
      </w:r>
      <w:r>
        <w:rPr>
          <w:rFonts w:ascii="Arial" w:cs="Arial" w:eastAsia="Arial" w:hAnsi="Arial"/>
          <w:sz w:val="15"/>
          <w:szCs w:val="15"/>
          <w:color w:val="auto"/>
        </w:rPr>
        <w:t xml:space="preserve">. </w:t>
      </w:r>
      <w:r>
        <w:rPr>
          <w:rFonts w:ascii="Arial" w:cs="Arial" w:eastAsia="Arial" w:hAnsi="Arial"/>
          <w:sz w:val="15"/>
          <w:szCs w:val="15"/>
          <w:i w:val="1"/>
          <w:iCs w:val="1"/>
          <w:color w:val="auto"/>
        </w:rPr>
        <w:t>Wayfair Inc</w:t>
      </w:r>
      <w:r>
        <w:rPr>
          <w:rFonts w:ascii="Arial" w:cs="Arial" w:eastAsia="Arial" w:hAnsi="Arial"/>
          <w:sz w:val="15"/>
          <w:szCs w:val="15"/>
          <w:color w:val="auto"/>
        </w:rPr>
        <w:t>., certain states have adopted, or started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harm our business, financial condition and results of operations. Although we have reserved for potential payments of possible past tax liabilities in our financial statements, if these liabilities exceed such reserves, our financial condition will be harmed.</w:t>
      </w:r>
    </w:p>
    <w:p>
      <w:pPr>
        <w:spacing w:after="0" w:line="174" w:lineRule="exact"/>
        <w:rPr>
          <w:sz w:val="20"/>
          <w:szCs w:val="20"/>
          <w:color w:val="auto"/>
        </w:rPr>
      </w:pPr>
    </w:p>
    <w:p>
      <w:pPr>
        <w:jc w:val="both"/>
        <w:ind w:left="1020" w:right="340" w:firstLine="460"/>
        <w:spacing w:after="0"/>
        <w:rPr>
          <w:sz w:val="20"/>
          <w:szCs w:val="20"/>
          <w:color w:val="auto"/>
        </w:rPr>
      </w:pPr>
      <w:r>
        <w:rPr>
          <w:rFonts w:ascii="Arial" w:cs="Arial" w:eastAsia="Arial" w:hAnsi="Arial"/>
          <w:sz w:val="15"/>
          <w:szCs w:val="15"/>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42" w:lineRule="exact"/>
        <w:rPr>
          <w:sz w:val="20"/>
          <w:szCs w:val="20"/>
          <w:color w:val="auto"/>
        </w:rPr>
      </w:pPr>
    </w:p>
    <w:p>
      <w:pPr>
        <w:ind w:left="1020" w:right="80"/>
        <w:spacing w:after="0" w:line="270" w:lineRule="auto"/>
        <w:rPr>
          <w:sz w:val="20"/>
          <w:szCs w:val="20"/>
          <w:color w:val="auto"/>
        </w:rPr>
      </w:pPr>
      <w:r>
        <w:rPr>
          <w:rFonts w:ascii="Arial" w:cs="Arial" w:eastAsia="Arial" w:hAnsi="Arial"/>
          <w:sz w:val="15"/>
          <w:szCs w:val="15"/>
          <w:b w:val="1"/>
          <w:bCs w:val="1"/>
          <w:i w:val="1"/>
          <w:iCs w:val="1"/>
          <w:color w:val="auto"/>
        </w:rPr>
        <w:t>Our ability to use our deferred tax assets to offset future taxable income may be subject to certain limitations that could subject our business to higher tax liability.</w:t>
      </w:r>
    </w:p>
    <w:p>
      <w:pPr>
        <w:spacing w:after="0" w:line="58"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may be limited in the portion of net operating loss carryforwards, or NOLs, that we can use in the future to offset taxable income for U.S. federal and state income tax purposes. The Tax Cuts and Jobs Act, or the Tax Act, made broad and complex changes to U.S. tax law, including changes to the uses and limitations of NOLs. For example, while the Tax Act allows for federal NOLs incurred in tax years beginning after December 31, 2017 to be carried forward indefinitely, the Tax Act also imposes an 80% limitation on the use of NOLs that are generated in tax years beginning after December 31, 2017. However, NOLs generated prior to December 31, 2017 will still have a 20-year carryforward period, but are not subject to the 80% limitation. As of December 31, 2019, we had federal and state NOLs of</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0220"/>
          </w:cols>
          <w:pgMar w:left="320" w:top="407" w:right="1359" w:bottom="1440" w:gutter="0" w:footer="0" w:header="0"/>
        </w:sectPr>
      </w:pPr>
    </w:p>
    <w:bookmarkStart w:id="86" w:name="page87"/>
    <w:bookmarkEnd w:id="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approximately $61.3 million and $53.0 million, respectively, to offset future taxable income. Certain of these federal and state net operating loss carry-forwards will begin expiring in 2034. A lack of future taxable income would adversely affect our ability to utilize these NOLs. In addition, under Section 382 of the Internal Revenue Code of 1986, as amended, or the Code, a corporation that undergoes an “ownership change” is subject to limitations on its ability to utilize its NOLs to offset future taxable income. We performed an ownership analysis and identified two previous ownership changes, as defined under Section 382 and 383 of the Code in 2013 and 2015. However, neither resulted in a material limitation that will reduce the total amount of our NOLs and credits that can be utilized. Future changes in our stock ownership, including this or future offerings, as well as other changes that may be outside of our control, could result in additional ownership changes under Section 382 of the Code. Our NOLs may also be impaired under similar provisions of state law. We assess the available positive and negative evidence to estimate if sufficient future taxable income will be generated to utilize the existing deferred tax assets. On the basis of this evaluation, a full valuation allowance has historically been recorded to recognize only deferred tax assets that are more likely than not to be realized. Certain of our deferred tax assets may expire unutilized or underutilized, which could prevent us from offsetting future taxable income.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Changes in U.S. tax laws could have a material adverse effect on our business, financial condition and results of operations.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Tax Act contains significant changes to U.S. tax law, including a reduction in the corporate tax rate and a transition to a new territorial system of taxation. The primary impact of the new legislation on our provision for income taxes was a reduction of the future tax benefits of our deferred tax assets as a result of the reduction in the corporate tax rate. The impact of the Tax Act will likely be subject to ongoing technical guidance and accounting interpretation, which we will continue to monitor and assess. As we expand the scale of our business activities, any changes in the U.S. taxation of such activities may increase our effective tax rate and harm our business, financial condition and results of operations.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0200"/>
          </w:cols>
          <w:pgMar w:left="320" w:top="407" w:right="1379" w:bottom="1440" w:gutter="0" w:footer="0" w:header="0"/>
        </w:sectPr>
      </w:pPr>
    </w:p>
    <w:bookmarkStart w:id="87" w:name="page88"/>
    <w:bookmarkEnd w:id="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RISKS RELATED TO THIS OFFERING AND OWNERSHIP OF OUR COMMON STOCK</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An active trading market for our common stock may never develop or be sustained.</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been approved to list our common stock on the Nasdaq Global Select Market under the symbol “UPST”. However, we cannot assure you that an active trading market for our common stock will develop on that exchange or elsewhere or, if developed, that any market will be sustained. Accordingly, we cannot assure you of the liquidity of any trading market, your ability to sell your shares of our common stock when desired, or the prices that you may obtain for your shares.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The trading price of our common stock may be volatile, and you could lose all or part of your investment.</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Prior to this offering, there has been no public market for shares of our common stock. The initial public offering price of our common stock was determined through negotiation among us, the selling stockholders and the underwriters. This price does not necessarily reflect the price at which investors in the market will be willing to buy and sell shares of our common stock following this offering. In addition, the trading price of our common stock following this offering is likely to be volatile and could be subject to fluctuations in response to various factors, some of which are beyond our control. These fluctuations could cause you to lose all or part of your investment in our common stock since you might be unable to sell your shares at or above the price you paid in this offering. Factors that could cause fluctuations in the trading price of our common stock include:</w:t>
      </w:r>
    </w:p>
    <w:p>
      <w:pPr>
        <w:spacing w:after="0" w:line="92" w:lineRule="exact"/>
        <w:rPr>
          <w:sz w:val="20"/>
          <w:szCs w:val="20"/>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volatility in the trading prices and trading volumes of financial technology stocks;</w:t>
      </w:r>
    </w:p>
    <w:p>
      <w:pPr>
        <w:spacing w:after="0" w:line="97" w:lineRule="exact"/>
        <w:rPr>
          <w:rFonts w:ascii="Arial" w:cs="Arial" w:eastAsia="Arial" w:hAnsi="Arial"/>
          <w:sz w:val="15"/>
          <w:szCs w:val="15"/>
          <w:color w:val="auto"/>
        </w:rPr>
      </w:pPr>
    </w:p>
    <w:p>
      <w:pPr>
        <w:ind w:left="1660" w:right="620" w:hanging="183"/>
        <w:spacing w:after="0" w:line="245"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changes in operating performance and stock market valuations of other financial technology companies and technology companies that offer services to financial institutions;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sales of shares of our common stock by us or our stockholders;</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failure of securities analysts to maintain coverage of us, changes in financial estimates by securities analysts who follow our company, or our failure to meet these estimates or the expectations of investors;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those projections, or our failure to meet those projections;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announcements by us or our competitors of new products, features, or services;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public’s reaction to our press releases, other public announcements, and filings with the SEC;</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actual or anticipated changes in our results of operations or fluctuations in our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changes in prevailing interest rates;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quarterly fluctuations in demand for the loans we facilitate through our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fluctuations in the trading volume of our shares or the size of our public float;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our competitors’ businesses or the competitive landscape generally;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litigation involving us, our industry, or both, or investigations by regulators into our operations or those of our competitors;</w:t>
      </w:r>
    </w:p>
    <w:p>
      <w:pPr>
        <w:spacing w:after="0" w:line="12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0200"/>
          </w:cols>
          <w:pgMar w:left="320" w:top="407" w:right="137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compliance with government policies or regulations;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issuance of any cease-and-desist orders from regulatory agencies that we are subject to;</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or other proprietary rights;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actual or perceived data security breaches or other data security incidents;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announced or completed acquisitions of businesses, products, services, or technologies by us or our competitors;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changes in accounting standards, policies, guidelines, interpretations, or principles;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recruitment or departure of key personnel;</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war, incidents of terrorism, political unrest, natural disasters, pandemics or responses to these events;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general economic conditions and slow or negative growth of our markets.</w:t>
      </w:r>
    </w:p>
    <w:p>
      <w:pPr>
        <w:spacing w:after="0" w:line="177"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Litigation of this type, if instituted against us, could result in substantial costs and a diversion of our management’s attention and resources.</w:t>
      </w:r>
    </w:p>
    <w:p>
      <w:pPr>
        <w:spacing w:after="0" w:line="245" w:lineRule="exact"/>
        <w:rPr>
          <w:sz w:val="20"/>
          <w:szCs w:val="20"/>
          <w:color w:val="auto"/>
        </w:rPr>
      </w:pPr>
    </w:p>
    <w:p>
      <w:pPr>
        <w:ind w:left="1020" w:right="500"/>
        <w:spacing w:after="0" w:line="270" w:lineRule="auto"/>
        <w:rPr>
          <w:sz w:val="20"/>
          <w:szCs w:val="20"/>
          <w:color w:val="auto"/>
        </w:rPr>
      </w:pPr>
      <w:r>
        <w:rPr>
          <w:rFonts w:ascii="Arial" w:cs="Arial" w:eastAsia="Arial" w:hAnsi="Arial"/>
          <w:sz w:val="15"/>
          <w:szCs w:val="15"/>
          <w:b w:val="1"/>
          <w:bCs w:val="1"/>
          <w:i w:val="1"/>
          <w:iCs w:val="1"/>
          <w:color w:val="auto"/>
        </w:rPr>
        <w:t>Certain insiders have significant voting power, which could limit your ability to influence the outcome of key transactions, including a change of control.</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directors, officers, and each of our stockholders who own greater than 5% of our outstanding capital stock and their affiliates, in the aggregate, beneficially own a majority of the outstanding shares of our capital stock. As a result, these stockholders, if acting together, will be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Participation in this offering by entities affiliated with Third Point Ventures LLC could reduce the public float for our shares.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w:t>
      </w:r>
    </w:p>
    <w:p>
      <w:pPr>
        <w:spacing w:after="0" w:line="170"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If these entities purchase all or a portion of the shares in which they have indicated an interest in this offering, such purchase could reduce the available public float for our shares if such entities hold these shares long-term.</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0220"/>
          </w:cols>
          <w:pgMar w:left="320" w:top="407" w:right="1359" w:bottom="1440" w:gutter="0" w:footer="0" w:header="0"/>
        </w:sectPr>
      </w:pPr>
    </w:p>
    <w:bookmarkStart w:id="89" w:name="page90"/>
    <w:bookmarkEnd w:id="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both"/>
        <w:ind w:left="1020" w:right="80"/>
        <w:spacing w:after="0" w:line="252" w:lineRule="auto"/>
        <w:rPr>
          <w:sz w:val="20"/>
          <w:szCs w:val="20"/>
          <w:color w:val="auto"/>
        </w:rPr>
      </w:pPr>
      <w:r>
        <w:rPr>
          <w:rFonts w:ascii="Arial" w:cs="Arial" w:eastAsia="Arial" w:hAnsi="Arial"/>
          <w:sz w:val="15"/>
          <w:szCs w:val="15"/>
          <w:b w:val="1"/>
          <w:bCs w:val="1"/>
          <w:i w:val="1"/>
          <w:iCs w:val="1"/>
          <w:color w:val="auto"/>
        </w:rPr>
        <w:t>A substantial portion of the outstanding shares of our common stock after this offering will be restricted from immediate resale but may be sold on a stock exchange in the near future. The large number of shares of our capital stock eligible for public sale or subject to rights requiring us to register them for public sale could depress the market price of our common stock.</w:t>
      </w:r>
    </w:p>
    <w:p>
      <w:pPr>
        <w:spacing w:after="0" w:line="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63,460,881 shares of our common stock (after giving effect to the Capital Stock Conversion, the exercise of a preferred stock warrant in November 2020 and the exercise of options to purchase common stock by certain selling stockholders in connection with the sale by such selling stockholders in this offering) outstanding as of September 30, 2020, we will have 72,460,881 shares of our common stock outstanding immediately after this offering. Our executive officers, directors, and the holders of substantially all of our capital stock and securities convertible into or exchangeable for our capital stock have entered into market standoff agreements with us or have entered into lock-up agreements with the underwriters under which they have agreed, subject to specific exceptions, not to sell any of our stock for 180 days following the date of this prospectus. We refer to such period as the lock-up period. In addition, the underwriter representatives may, in their discretion, release all or some portion of the shares subject to lock-up agreements prior to the expiration of the lock-up period. See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73"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 a result of these agreements and the provisions of our investors’ rights agreement described further in the section titled “Description of Capital Stock—Registration Rights,” and subject to the provisions of Rule 144 or Rule 701 under the Securities Act, shares of our common stock will be available for sale in the public market as follows:</w:t>
      </w:r>
    </w:p>
    <w:p>
      <w:pPr>
        <w:spacing w:after="0" w:line="91" w:lineRule="exact"/>
        <w:rPr>
          <w:sz w:val="20"/>
          <w:szCs w:val="20"/>
          <w:color w:val="auto"/>
        </w:rPr>
      </w:pPr>
    </w:p>
    <w:p>
      <w:pPr>
        <w:ind w:left="1660" w:right="340" w:hanging="183"/>
        <w:spacing w:after="0" w:line="245" w:lineRule="auto"/>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beginning on the date of this prospectus, all 12,015,690 shares of our common stock sold in this offering will be immediately available for sale in the public market; and</w:t>
      </w:r>
    </w:p>
    <w:p>
      <w:pPr>
        <w:spacing w:after="0" w:line="87" w:lineRule="exact"/>
        <w:rPr>
          <w:rFonts w:ascii="Arial" w:cs="Arial" w:eastAsia="Arial" w:hAnsi="Arial"/>
          <w:sz w:val="15"/>
          <w:szCs w:val="15"/>
          <w:color w:val="auto"/>
        </w:rPr>
      </w:pPr>
    </w:p>
    <w:p>
      <w:pPr>
        <w:ind w:left="1660" w:right="20" w:hanging="183"/>
        <w:spacing w:after="0"/>
        <w:tabs>
          <w:tab w:leader="none" w:pos="1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agreements and market standoff agreements described above), all remaining shares of our common stock will be eligible for sale in the public market from time to time thereafter, subject in some cases to the volume and other restrictions of Rule 144, as described below.</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Upon completion of this offering, stockholders owning an aggregate of up to 47,949,785 shares of our common stock will be entitled, under our investors’ rights agreement, to require us to register shares owned by them for public sale in the United States. In addition, we intend to file a registration statement to register shares reserved for future issuance under our equity compensation plans. Upon effectiveness of the registration statement of which this prospectus forms a part,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Sales of our shares as restrictions end or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0200"/>
          </w:cols>
          <w:pgMar w:left="320" w:top="407" w:right="1379" w:bottom="1440" w:gutter="0" w:footer="0" w:header="0"/>
        </w:sectPr>
      </w:pPr>
    </w:p>
    <w:bookmarkStart w:id="90" w:name="page91"/>
    <w:bookmarkEnd w:id="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common stock does not provide any rights directly related to the loans we hold.</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242" w:lineRule="exact"/>
        <w:rPr>
          <w:sz w:val="20"/>
          <w:szCs w:val="20"/>
          <w:color w:val="auto"/>
        </w:rPr>
      </w:pPr>
    </w:p>
    <w:p>
      <w:pPr>
        <w:ind w:left="1020" w:right="860"/>
        <w:spacing w:after="0" w:line="270" w:lineRule="auto"/>
        <w:rPr>
          <w:sz w:val="20"/>
          <w:szCs w:val="20"/>
          <w:color w:val="auto"/>
        </w:rPr>
      </w:pPr>
      <w:r>
        <w:rPr>
          <w:rFonts w:ascii="Arial" w:cs="Arial" w:eastAsia="Arial" w:hAnsi="Arial"/>
          <w:sz w:val="15"/>
          <w:szCs w:val="15"/>
          <w:b w:val="1"/>
          <w:bCs w:val="1"/>
          <w:i w:val="1"/>
          <w:iCs w:val="1"/>
          <w:color w:val="auto"/>
        </w:rPr>
        <w:t>You may be diluted by the future issuance of additional common stock in connection with our equity incentive plans, acquisitions or otherwise.</w:t>
      </w:r>
    </w:p>
    <w:p>
      <w:pPr>
        <w:spacing w:after="0" w:line="58"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After this offering and the use of proceeds to us therefrom, we will have an aggregate of 627,539,119 shares of common stock authorized but unissued, and our amended and restated certificate of incorporation will authorize us to issue these shares of common stock and rights relating to common stock for the consideration and on the terms and conditions established by our board of directors in its sole discretion, whether in connection with acquisitions or otherwise. We have reserved 5,520,000 shares for issuance under our 2020 Equity Incentive Plan subject to adjustment in certain events. See “Executive Compensation—2020 Equity Incentive Plan.” Any common stock that we issue, including under our 2020 Equity Incentive Plan or other equity incentive plans that we may adopt in the future, could dilute the percentage ownership held by the investors who purchase common stock in this offering.</w:t>
      </w:r>
    </w:p>
    <w:p>
      <w:pPr>
        <w:spacing w:after="0" w:line="243" w:lineRule="exact"/>
        <w:rPr>
          <w:sz w:val="20"/>
          <w:szCs w:val="20"/>
          <w:color w:val="auto"/>
        </w:rPr>
      </w:pPr>
    </w:p>
    <w:p>
      <w:pPr>
        <w:ind w:left="1020" w:right="240"/>
        <w:spacing w:after="0" w:line="270" w:lineRule="auto"/>
        <w:rPr>
          <w:sz w:val="20"/>
          <w:szCs w:val="20"/>
          <w:color w:val="auto"/>
        </w:rPr>
      </w:pPr>
      <w:r>
        <w:rPr>
          <w:rFonts w:ascii="Arial" w:cs="Arial" w:eastAsia="Arial" w:hAnsi="Arial"/>
          <w:sz w:val="15"/>
          <w:szCs w:val="15"/>
          <w:b w:val="1"/>
          <w:bCs w:val="1"/>
          <w:i w:val="1"/>
          <w:iCs w:val="1"/>
          <w:color w:val="auto"/>
        </w:rPr>
        <w:t>If you purchase our common stock in this offering, you will incur immediate and substantial dilution in the book value of your investment.</w:t>
      </w:r>
    </w:p>
    <w:p>
      <w:pPr>
        <w:spacing w:after="0" w:line="58"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The initial public offering price of our common stock is substantially higher than the pro forma as adjusted net tangible book value per share of our outstanding common stock of $3.62 per share as of September 30, 2020. Investors purchasing shares of our common stock in this offering will pay a price per share that substantially exceeds the book value of our tangible assets after subtracting our liabilities. As a result, investors purchasing common stock in this offering will incur immediate dilution of $16.38 per share, based on the initial public offering price of $20.00 per share.</w:t>
      </w:r>
    </w:p>
    <w:p>
      <w:pPr>
        <w:spacing w:after="0" w:line="170"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This dilution is due in large part to the substantially lower price paid by our investors who purchased shares prior to this offering as compared to the price offered to the public in this offering, and any previous exercise of stock options granted to our service providers. In addition, as of September 30, 2020, options to purchase 18,889,653 shares of our common stock were outstanding with a weighted-average exercise price of $3.17 per share. The exercise of any of these options would result in additional dilution. As a result of the dilution to investors purchasing shares in this offering, investors may receive less than the purchase price paid in this offering, if anything, in the event of our liquidation. See the section titled “Dilution” for more information.</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i w:val="1"/>
          <w:iCs w:val="1"/>
          <w:color w:val="auto"/>
        </w:rPr>
        <w:t>We have broad discretion over the use of the net proceeds from this offering and we may not use them effectively.</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cannot specify with any certainty the particular uses of the net proceeds that we will receive from this offering. Our management will have broad discretion in the application of the net proceeds from this offering, including for any of the purposes described in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our management fails to apply these proceeds effectively, such failure could adversely affect our business, results of operations, financial condition, and the price of our common stock. Pending their</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0220"/>
          </w:cols>
          <w:pgMar w:left="320" w:top="407" w:right="1359" w:bottom="1440" w:gutter="0" w:footer="0" w:header="0"/>
        </w:sectPr>
      </w:pPr>
    </w:p>
    <w:bookmarkStart w:id="91" w:name="page92"/>
    <w:bookmarkEnd w:id="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20"/>
        <w:spacing w:after="0" w:line="245" w:lineRule="auto"/>
        <w:rPr>
          <w:sz w:val="20"/>
          <w:szCs w:val="20"/>
          <w:color w:val="auto"/>
        </w:rPr>
      </w:pPr>
      <w:r>
        <w:rPr>
          <w:rFonts w:ascii="Arial" w:cs="Arial" w:eastAsia="Arial" w:hAnsi="Arial"/>
          <w:sz w:val="15"/>
          <w:szCs w:val="15"/>
          <w:color w:val="auto"/>
        </w:rPr>
        <w:t>use, we may invest our proceeds in a manner that does not produce income or that loses value. Our investments may not yield a favorable return to our investors and may negatively impact the price of our common stock.</w:t>
      </w:r>
    </w:p>
    <w:p>
      <w:pPr>
        <w:spacing w:after="0" w:line="238" w:lineRule="exact"/>
        <w:rPr>
          <w:sz w:val="20"/>
          <w:szCs w:val="20"/>
          <w:color w:val="auto"/>
        </w:rPr>
      </w:pPr>
    </w:p>
    <w:p>
      <w:pPr>
        <w:ind w:left="1020" w:right="140"/>
        <w:spacing w:after="0" w:line="270" w:lineRule="auto"/>
        <w:rPr>
          <w:sz w:val="20"/>
          <w:szCs w:val="20"/>
          <w:color w:val="auto"/>
        </w:rPr>
      </w:pPr>
      <w:r>
        <w:rPr>
          <w:rFonts w:ascii="Arial" w:cs="Arial" w:eastAsia="Arial" w:hAnsi="Arial"/>
          <w:sz w:val="15"/>
          <w:szCs w:val="15"/>
          <w:b w:val="1"/>
          <w:bCs w:val="1"/>
          <w:i w:val="1"/>
          <w:i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58"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as they will be in effect following this offering, contain provisions that may make the acquisition of our company more difficult, including the following:</w:t>
      </w:r>
    </w:p>
    <w:p>
      <w:pPr>
        <w:spacing w:after="0" w:line="91" w:lineRule="exact"/>
        <w:rPr>
          <w:sz w:val="20"/>
          <w:szCs w:val="20"/>
          <w:color w:val="auto"/>
        </w:rPr>
      </w:pPr>
    </w:p>
    <w:p>
      <w:pPr>
        <w:ind w:left="1660" w:right="10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Board of Directors is classified into three classes of directors with staggered three-year terms and directors are only able to be removed from office for cause;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vacancies on our Board of Directors will be able to be filled only by our Board of Directors and not by stockholders;</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only the Chair of our Board of Directors, our Chief Executive Officer, or a majority of our entire Board of Directors are authorized to call a special meeting of stockholders;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certain litigation against us can only be brought in Delaware;</w:t>
      </w:r>
    </w:p>
    <w:p>
      <w:pPr>
        <w:spacing w:after="0" w:line="9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advance notice procedures apply for stockholders to nominate candidates for election as directors or to bring matters before an annual meeting of stockholders; and</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66"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These anti -takeover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242" w:lineRule="exact"/>
        <w:rPr>
          <w:sz w:val="20"/>
          <w:szCs w:val="20"/>
          <w:color w:val="auto"/>
        </w:rPr>
      </w:pPr>
    </w:p>
    <w:p>
      <w:pPr>
        <w:ind w:left="1020" w:right="140"/>
        <w:spacing w:after="0" w:line="252" w:lineRule="auto"/>
        <w:rPr>
          <w:sz w:val="20"/>
          <w:szCs w:val="20"/>
          <w:color w:val="auto"/>
        </w:rPr>
      </w:pPr>
      <w:r>
        <w:rPr>
          <w:rFonts w:ascii="Arial" w:cs="Arial" w:eastAsia="Arial" w:hAnsi="Arial"/>
          <w:sz w:val="15"/>
          <w:szCs w:val="15"/>
          <w:b w:val="1"/>
          <w:bCs w:val="1"/>
          <w:i w:val="1"/>
          <w:iCs w:val="1"/>
          <w:color w:val="auto"/>
        </w:rPr>
        <w:t>Our amended and restated bylaws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2"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Our amended and restated bylaws, which will become effective immediately prior to the completion of this offering, will provide that, unless we consent in writing to the selection of an alternative forum, to the fullest extent permitted by law, the sole and exclusive forum for</w:t>
      </w:r>
    </w:p>
    <w:p>
      <w:pPr>
        <w:ind w:left="1020" w:right="100" w:firstLine="7"/>
        <w:spacing w:after="0" w:line="238" w:lineRule="auto"/>
        <w:tabs>
          <w:tab w:leader="none" w:pos="1195"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0180"/>
          </w:cols>
          <w:pgMar w:left="320" w:top="407" w:right="139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20"/>
        <w:spacing w:after="0" w:line="245" w:lineRule="auto"/>
        <w:rPr>
          <w:sz w:val="20"/>
          <w:szCs w:val="20"/>
          <w:color w:val="auto"/>
        </w:rPr>
      </w:pPr>
      <w:r>
        <w:rPr>
          <w:rFonts w:ascii="Arial" w:cs="Arial" w:eastAsia="Arial" w:hAnsi="Arial"/>
          <w:sz w:val="15"/>
          <w:szCs w:val="15"/>
          <w:color w:val="auto"/>
        </w:rPr>
        <w:t>district court for the District of Delaware), in all cases subject to the court having jurisdiction over indispensable parties named as defendants.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will be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will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43" w:lineRule="exact"/>
        <w:rPr>
          <w:sz w:val="20"/>
          <w:szCs w:val="20"/>
          <w:color w:val="auto"/>
        </w:rPr>
      </w:pPr>
    </w:p>
    <w:p>
      <w:pPr>
        <w:ind w:left="1020" w:right="400"/>
        <w:spacing w:after="0" w:line="270" w:lineRule="auto"/>
        <w:rPr>
          <w:sz w:val="20"/>
          <w:szCs w:val="20"/>
          <w:color w:val="auto"/>
        </w:rPr>
      </w:pPr>
      <w:r>
        <w:rPr>
          <w:rFonts w:ascii="Arial" w:cs="Arial" w:eastAsia="Arial" w:hAnsi="Arial"/>
          <w:sz w:val="15"/>
          <w:szCs w:val="15"/>
          <w:b w:val="1"/>
          <w:bCs w:val="1"/>
          <w:i w:val="1"/>
          <w:iCs w:val="1"/>
          <w:color w:val="auto"/>
        </w:rPr>
        <w:t>Our common stock market price and trading volume could decline if equity or industry analysts do not publish research or publish inaccurate or unfavorable research about our business.</w:t>
      </w:r>
    </w:p>
    <w:p>
      <w:pPr>
        <w:spacing w:after="0" w:line="58"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245" w:lineRule="exact"/>
        <w:rPr>
          <w:sz w:val="20"/>
          <w:szCs w:val="20"/>
          <w:color w:val="auto"/>
        </w:rPr>
      </w:pPr>
    </w:p>
    <w:p>
      <w:pPr>
        <w:ind w:left="1020"/>
        <w:spacing w:after="0" w:line="270" w:lineRule="auto"/>
        <w:rPr>
          <w:sz w:val="20"/>
          <w:szCs w:val="20"/>
          <w:color w:val="auto"/>
        </w:rPr>
      </w:pPr>
      <w:r>
        <w:rPr>
          <w:rFonts w:ascii="Arial" w:cs="Arial" w:eastAsia="Arial" w:hAnsi="Arial"/>
          <w:sz w:val="15"/>
          <w:szCs w:val="15"/>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8"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In addition,</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0180"/>
          </w:cols>
          <w:pgMar w:left="320" w:top="407" w:right="1399" w:bottom="1440" w:gutter="0" w:footer="0" w:header="0"/>
        </w:sectPr>
      </w:pPr>
    </w:p>
    <w:bookmarkStart w:id="93" w:name="page94"/>
    <w:bookmarkEnd w:id="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6" w:lineRule="auto"/>
        <w:rPr>
          <w:sz w:val="20"/>
          <w:szCs w:val="20"/>
          <w:color w:val="auto"/>
        </w:rPr>
      </w:pPr>
      <w:r>
        <w:rPr>
          <w:rFonts w:ascii="Arial" w:cs="Arial" w:eastAsia="Arial" w:hAnsi="Arial"/>
          <w:sz w:val="15"/>
          <w:szCs w:val="15"/>
          <w:color w:val="auto"/>
        </w:rPr>
        <w:t>under the JOBS Act, emerging growth companies can delay the adoption of certain new or revised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or that have opted out of using such extended transition period, which may make comparison of our financial statements with those of other public companies more difficult. We may take advantage of these exemptions for so long as we are an “emerging growth company,” which could be as long as five years following the effectiveness of this offering. We expect, however, that we will cease being an “emerging growth company” prior to such time. We cannot predict if investors will find our common stock less attractive to the extent that we rely on these exemptions. If some investors find our common stock less attractive as a result, there may be a less active trading market for our common stock and the price of our common stock may be more volatile.</w:t>
      </w:r>
    </w:p>
    <w:p>
      <w:pPr>
        <w:spacing w:after="0" w:line="247" w:lineRule="exact"/>
        <w:rPr>
          <w:sz w:val="20"/>
          <w:szCs w:val="20"/>
          <w:color w:val="auto"/>
        </w:rPr>
      </w:pPr>
    </w:p>
    <w:p>
      <w:pPr>
        <w:ind w:left="1020" w:right="220"/>
        <w:spacing w:after="0" w:line="270" w:lineRule="auto"/>
        <w:rPr>
          <w:sz w:val="20"/>
          <w:szCs w:val="20"/>
          <w:color w:val="auto"/>
        </w:rPr>
      </w:pPr>
      <w:r>
        <w:rPr>
          <w:rFonts w:ascii="Arial" w:cs="Arial" w:eastAsia="Arial" w:hAnsi="Arial"/>
          <w:sz w:val="15"/>
          <w:szCs w:val="15"/>
          <w:b w:val="1"/>
          <w:bCs w:val="1"/>
          <w:i w:val="1"/>
          <w:iCs w:val="1"/>
          <w:color w:val="auto"/>
        </w:rPr>
        <w:t>The requirements of being a public company may strain our resources, divert management’s attention and affect our ability to attract and retain qualified board members.</w:t>
      </w:r>
    </w:p>
    <w:p>
      <w:pPr>
        <w:spacing w:after="0" w:line="58"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We also expect that being a public company will make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Our management team has limited experience managing a public company.</w:t>
      </w:r>
    </w:p>
    <w:p>
      <w:pPr>
        <w:spacing w:after="0" w:line="105" w:lineRule="exact"/>
        <w:rPr>
          <w:sz w:val="20"/>
          <w:szCs w:val="20"/>
          <w:color w:val="auto"/>
        </w:rPr>
      </w:pPr>
    </w:p>
    <w:p>
      <w:pPr>
        <w:ind w:left="1020" w:right="620" w:firstLine="460"/>
        <w:spacing w:after="0" w:line="245" w:lineRule="auto"/>
        <w:rPr>
          <w:sz w:val="20"/>
          <w:szCs w:val="20"/>
          <w:color w:val="auto"/>
        </w:rPr>
      </w:pPr>
      <w:r>
        <w:rPr>
          <w:rFonts w:ascii="Arial" w:cs="Arial" w:eastAsia="Arial" w:hAnsi="Arial"/>
          <w:sz w:val="15"/>
          <w:szCs w:val="15"/>
          <w:color w:val="auto"/>
        </w:rPr>
        <w:t>Our management team has limited or no experience managing a publicly traded company, interacting with public company investors, and complying with the increasingly complex laws pertaining</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0220"/>
          </w:cols>
          <w:pgMar w:left="320" w:top="407" w:right="1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20"/>
        <w:spacing w:after="0"/>
        <w:rPr>
          <w:sz w:val="20"/>
          <w:szCs w:val="20"/>
          <w:color w:val="auto"/>
        </w:rPr>
      </w:pPr>
      <w:r>
        <w:rPr>
          <w:rFonts w:ascii="Arial" w:cs="Arial" w:eastAsia="Arial" w:hAnsi="Arial"/>
          <w:sz w:val="15"/>
          <w:szCs w:val="15"/>
          <w:color w:val="auto"/>
        </w:rPr>
        <w:t>to public companies. These new obligations and constituents will require significant attention from our management team and could divert their attention away from the day-to-day management of our business, which could harm our business, results of operations, and financial condition.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We do not intend to pay dividends for the foreseeable future.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never declared nor paid cash dividends on our capital stock. We currently intend to retain any future earnings to finance the operation and expansion of our business,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0180"/>
          </w:cols>
          <w:pgMar w:left="320" w:top="407" w:right="1399" w:bottom="1440" w:gutter="0" w:footer="0" w:header="0"/>
        </w:sectPr>
      </w:pPr>
    </w:p>
    <w:bookmarkStart w:id="95" w:name="page96"/>
    <w:bookmarkEnd w:id="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This prospectus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94" w:lineRule="exact"/>
        <w:rPr>
          <w:sz w:val="20"/>
          <w:szCs w:val="20"/>
          <w:color w:val="auto"/>
        </w:rPr>
      </w:pPr>
    </w:p>
    <w:p>
      <w:pPr>
        <w:ind w:left="1660" w:right="54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future financial performance, including our expectations regarding our revenue, our operating expenses, our ability to determine reserves and our ability to remain profitable;</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improve the effectiveness and predictiveness of our AI models and our expectations that improvements in our AI models can lead to higher approval rates and lower interest rates;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increase the volume of loans facilitated by our AI lending platform;</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enter into new and maintain existing bank partnerships;</w:t>
      </w:r>
    </w:p>
    <w:p>
      <w:pPr>
        <w:spacing w:after="0" w:line="97"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successfully maintain a diversified loan funding strategy, including bank partnerships and whole loan sales and securitization transactions;</w:t>
      </w:r>
    </w:p>
    <w:p>
      <w:pPr>
        <w:spacing w:after="0" w:line="87" w:lineRule="exact"/>
        <w:rPr>
          <w:rFonts w:ascii="Arial" w:cs="Arial" w:eastAsia="Arial" w:hAnsi="Arial"/>
          <w:sz w:val="15"/>
          <w:szCs w:val="15"/>
          <w:color w:val="auto"/>
        </w:rPr>
      </w:pPr>
    </w:p>
    <w:p>
      <w:pPr>
        <w:ind w:left="16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maintain competitive interest rates offered to borrowers on our platform, while enabling our bank partners to achieve an adequate return over their cost of funding;</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successfully build our brand and protect our reputation from negative publicity;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increase the effectiveness of our marketing strategies, including our direct consumer marketing initiatives;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impact of the COVID-19 pandemic and any associated economic downturn on our business and results of operations;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expectations and management of future growth, including expanding the number of potential borrowers;</w:t>
      </w:r>
    </w:p>
    <w:p>
      <w:pPr>
        <w:spacing w:after="0" w:line="9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successfully adjust our proprietary AI models, products and services in a timely manner in response to changing macroeconomic conditions and fluctuations in the credit market;</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compliance with applicable local, state and federal laws;</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comply with and successfully adapt to complex and evolving regulatory environments, including regulation of artificial intelligence and machine learning technology;</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expectations regarding regulatory support of our approach to AI-based lending, including our ongoing discussions with the CFPB;</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protect against increasingly sophisticated fraudulent borrowing and online theft;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service loans and the ability of third-party collection agents, to pursue collection of delinquent and defaulted loans;</w:t>
      </w:r>
    </w:p>
    <w:p>
      <w:pPr>
        <w:spacing w:after="0" w:line="9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ability to successfully compete with companies that are currently in, or may in the future enter, the markets in which we operate;</w:t>
      </w:r>
    </w:p>
    <w:p>
      <w:pPr>
        <w:spacing w:after="0" w:line="87" w:lineRule="exact"/>
        <w:rPr>
          <w:rFonts w:ascii="Arial" w:cs="Arial" w:eastAsia="Arial" w:hAnsi="Arial"/>
          <w:sz w:val="15"/>
          <w:szCs w:val="15"/>
          <w:color w:val="auto"/>
        </w:rPr>
      </w:pPr>
    </w:p>
    <w:p>
      <w:pPr>
        <w:ind w:left="1660" w:right="260" w:hanging="183"/>
        <w:spacing w:after="0" w:line="245" w:lineRule="auto"/>
        <w:tabs>
          <w:tab w:leader="none" w:pos="1660" w:val="left"/>
        </w:tabs>
        <w:numPr>
          <w:ilvl w:val="0"/>
          <w:numId w:val="44"/>
        </w:numPr>
        <w:rPr>
          <w:rFonts w:ascii="Arial" w:cs="Arial" w:eastAsia="Arial" w:hAnsi="Arial"/>
          <w:sz w:val="15"/>
          <w:szCs w:val="15"/>
          <w:color w:val="auto"/>
        </w:rPr>
      </w:pPr>
      <w:r>
        <w:rPr>
          <w:rFonts w:ascii="Arial" w:cs="Arial" w:eastAsia="Arial" w:hAnsi="Arial"/>
          <w:sz w:val="15"/>
          <w:szCs w:val="15"/>
          <w:color w:val="auto"/>
        </w:rPr>
        <w:t>our expectations regarding new and evolving markets and our ability enter into new markets and introduce new products and services, such as our recent introduction of auto loans;</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0200"/>
          </w:cols>
          <w:pgMar w:left="320" w:top="407" w:right="1379" w:bottom="1440" w:gutter="0" w:footer="0" w:header="0"/>
        </w:sectPr>
      </w:pPr>
    </w:p>
    <w:bookmarkStart w:id="96" w:name="page97"/>
    <w:bookmarkEnd w:id="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right="8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effectively secure and maintain the confidentiality of the information received, accessed, stored, provided and used across our systems;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successfully obtain and maintain funding and liquidity to support continued growth and general corporate purposes;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attract, integrate and retain qualified employees;</w:t>
      </w:r>
    </w:p>
    <w:p>
      <w:pPr>
        <w:spacing w:after="0" w:line="97"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effectively manage and expand the capabilities of our operations teams, outsourcing relationships and other business operations;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expectations regarding outstanding litigation and regulatory investigations;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increased expenses associated with being a public company;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anticipated uses of net proceeds from this offering.</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Neither we nor any other person assumes responsibility for the accuracy and completeness of any of these forward-looking statements. Moreover, 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0200"/>
          </w:cols>
          <w:pgMar w:left="320" w:top="407" w:right="1379" w:bottom="1440" w:gutter="0" w:footer="0" w:header="0"/>
        </w:sectPr>
      </w:pPr>
    </w:p>
    <w:bookmarkStart w:id="97" w:name="page98"/>
    <w:bookmarkEnd w:id="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INDUSTRY, MARKET AND OTHER DATA</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Unless otherwise indicated, estimates and information contained in this prospectus concerning our industry and the market in which we operate, including our general expectations, market position, market opportunity, and market size, are based on industry publications and reports generated by third-party providers, other publicly available studies, and our internal sources and estimates. This information involves a number of assumptions and limitations, and you are cautioned not to give undue weight to such estimates. Although we are responsible for all of the disclosure contained in this prospectus and we believe the information from the industry publications and other third-party sources included in this prospectus is reliable, we have not independently verified the accuracy or completeness of the data contained in such sources. The content of, or accessibility through, the below sources and websites, except to the extent specifically set forth in this prospectus, does not constitute a portion of this prospectus and is not incorporated herein, and any websites are an inactive textual reference only.</w:t>
      </w:r>
    </w:p>
    <w:p>
      <w:pPr>
        <w:spacing w:after="0" w:line="17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source of certain statistical data, estimates and forecasts contained in this prospectus are the following independent industry publications or reports:</w:t>
      </w:r>
    </w:p>
    <w:p>
      <w:pPr>
        <w:spacing w:after="0" w:line="87" w:lineRule="exact"/>
        <w:rPr>
          <w:sz w:val="20"/>
          <w:szCs w:val="20"/>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Adrian D. Garcia, Bankrate: JPM, Big Banks Spend Billions on Tech but Innovation Lags, July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Bain &amp; Company, Inc., Evolving the Customer Experience in Banking, 2017.</w:t>
      </w:r>
    </w:p>
    <w:p>
      <w:pPr>
        <w:spacing w:after="0" w:line="97" w:lineRule="exact"/>
        <w:rPr>
          <w:rFonts w:ascii="Arial" w:cs="Arial" w:eastAsia="Arial" w:hAnsi="Arial"/>
          <w:sz w:val="15"/>
          <w:szCs w:val="15"/>
          <w:color w:val="auto"/>
        </w:rPr>
      </w:pPr>
    </w:p>
    <w:p>
      <w:pPr>
        <w:ind w:left="1660" w:right="18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Board of Governors of the Federal Reserve System, Consumer Financial Protection Bureau, Federal Deposit Insurance Corporation, National Credit Union Administration and Office of the Comptroller of the Currency, Interagency Statement on the Use of Alternative Data in Credit Underwriting, December 2019.</w:t>
      </w:r>
    </w:p>
    <w:p>
      <w:pPr>
        <w:spacing w:after="0" w:line="91"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Eldar Beiseitov, Federal Reserve Bank of St. Louis: Unsecured Personal Loans Get a Boost From Fintech Lenders, July 2019.</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Consumer Financial Protection Bureau, No-Action Letter to Upstart Network, Inc. dated September 14, 2017, as modified on September 11, 2020.</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Consumer Financial Protection Bureau, Policy on No-Action Letters, September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Federal Home Loan Bank of San Francisco, Cost of Funds Index,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Federal Deposit Insurance Corporation, Statistics on Depository Institutions,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Federal Reserve Board, Statistical Release: Consumer Credit,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Federal Reserve Board, Household Debt Service and Financial Obligations Ratios,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Forbes, citing Temkin Group Insight Report, NPS Benchmark Study, 2018, October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Q2 2020, September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Q1 2020, June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Q4 2019, March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Matt Komos, TransUnion: Consumer Credit Origination, Balance and Delinquency Trends: Q3 2019, November 2019.</w:t>
      </w:r>
    </w:p>
    <w:p>
      <w:pPr>
        <w:spacing w:after="0" w:line="97" w:lineRule="exact"/>
        <w:rPr>
          <w:rFonts w:ascii="Arial" w:cs="Arial" w:eastAsia="Arial" w:hAnsi="Arial"/>
          <w:sz w:val="15"/>
          <w:szCs w:val="15"/>
          <w:color w:val="auto"/>
        </w:rPr>
      </w:pPr>
    </w:p>
    <w:p>
      <w:pPr>
        <w:ind w:left="1660" w:right="700" w:hanging="183"/>
        <w:spacing w:after="0" w:line="245"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Kathleen L. Kraninger, Consumer Financial Protection Bureau: Director Kraninger’s Remarks at TCH-BPI Conference, November 2019.</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0200"/>
          </w:cols>
          <w:pgMar w:left="320" w:top="407" w:right="1379" w:bottom="1440" w:gutter="0" w:footer="0" w:header="0"/>
        </w:sectPr>
      </w:pPr>
    </w:p>
    <w:bookmarkStart w:id="98" w:name="page99"/>
    <w:bookmarkEnd w:id="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Kirsten Wysen, Open Source Solutions: Why Credit Scores and Payday Lending Matter for Health, October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Kroll Bond Rating Agency, KBRA Surveillance Reports, December 2019.</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McKinsey Global Institute, Notes From the AI Frontier: Modeling the Impact of AI on the World Economy, September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Naeem Siddiqi, Intelligent Credit Scoring: Building and Implementing Better Credit Risk Scorecards—2nd Edition, 2017.</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Northwestern Mutual, 2019 Planning &amp; Progress Study: The Debt Debacle, 2019.</w:t>
      </w:r>
    </w:p>
    <w:p>
      <w:pPr>
        <w:spacing w:after="0" w:line="9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Patrice Ficklin and Paul Watkins, Consumer Financial Protection Bureau Blog: An Update on Credit Access and the Bureau’s First No-Action Letter, August 2019.</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PricewaterhouseCoopers LLP, Experience Is Everything: Here’s How to Get It Right, 2018.</w:t>
      </w:r>
    </w:p>
    <w:p>
      <w:pPr>
        <w:spacing w:after="0" w:line="97"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RedPoint Global and the Harris Poll, Addressing the Gaps in Customer Experience: A Benchmark Study Exploring the Ever Evolving Customer Experience and How Marketers and Consumers Are Adapting, March 2019.</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Rob Kaufman, myFico Blog: The History of the FICO Score, August 2018.</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Statista: Value of Loans of all Commercial Banks in the United States from March 2014 to August 2020, September 2020.</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Wei Wu, Vadim Verkhoglyad and Alex Kale, dv01 Insights: Covid-19 Performance Report Volume 9, July 2020.</w:t>
      </w:r>
    </w:p>
    <w:p>
      <w:pPr>
        <w:spacing w:after="0" w:line="177"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References to market size estimates are based on quarterly U.S. loan origination data published by TransUnion as part of its quarterly Consumer Credit Origination, Balance and Delinquency Trends reports.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As disclosed in this prospectus, the Net Promoter Scores for our bank partners’ lending programs are approximately 79, which represents the weighted average of the Net Promoter Scores of each of our bank partners in the third quarter of 2020. The Net Promoter Scores of our bank partners were derived through a third-party service that administers surveys to loan applicants immediately following the applicants’ acceptance of a loan on Upstart’s platform. Net Promoter Scores are calculated based on responses measured on a scale of one to ten to the survey question, “how likely is it that you would recommend us?” Responses of nine or 10 are considered “promoters,” responses of seven or eight are considered neutral or “passives,” and responses of six or less are considered “detractors.” The number of detractors is subtracted from the number of promoters, and the resulting number is divided by the total number of respondents to obtain the Net Promoter Score using the methodology developed by Bain &amp; Company, Inc. References to our bank partners’ Net Promoter Scores are based on survey data gathered in the third quarter of 2020. Net Promoter Scores for other banks used for comparison were obtained from Forbes, citing the Temkin Group Insight Report, NPS Benchmark Study, 2018, October 2018.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w:t>
      </w:r>
    </w:p>
    <w:p>
      <w:pPr>
        <w:spacing w:after="0" w:line="173" w:lineRule="exact"/>
        <w:rPr>
          <w:sz w:val="20"/>
          <w:szCs w:val="20"/>
          <w:color w:val="auto"/>
        </w:rPr>
      </w:pPr>
    </w:p>
    <w:p>
      <w:pPr>
        <w:ind w:left="1020" w:right="380" w:firstLine="460"/>
        <w:spacing w:after="0"/>
        <w:rPr>
          <w:sz w:val="20"/>
          <w:szCs w:val="20"/>
          <w:color w:val="auto"/>
        </w:rPr>
      </w:pPr>
      <w:r>
        <w:rPr>
          <w:rFonts w:ascii="Arial" w:cs="Arial" w:eastAsia="Arial" w:hAnsi="Arial"/>
          <w:sz w:val="15"/>
          <w:szCs w:val="15"/>
          <w:color w:val="auto"/>
        </w:rPr>
        <w:t>The industry in which we operate is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0180"/>
          </w:cols>
          <w:pgMar w:left="320" w:top="407" w:right="139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USE OF PROCEEDS</w:t>
      </w:r>
    </w:p>
    <w:p>
      <w:pPr>
        <w:spacing w:after="0" w:line="195" w:lineRule="exact"/>
        <w:rPr>
          <w:sz w:val="20"/>
          <w:szCs w:val="20"/>
          <w:color w:val="auto"/>
        </w:rPr>
      </w:pPr>
    </w:p>
    <w:p>
      <w:pPr>
        <w:ind w:left="1020" w:right="320" w:firstLine="460"/>
        <w:spacing w:after="0" w:line="238" w:lineRule="auto"/>
        <w:rPr>
          <w:sz w:val="20"/>
          <w:szCs w:val="20"/>
          <w:color w:val="auto"/>
        </w:rPr>
      </w:pPr>
      <w:r>
        <w:rPr>
          <w:rFonts w:ascii="Arial" w:cs="Arial" w:eastAsia="Arial" w:hAnsi="Arial"/>
          <w:sz w:val="15"/>
          <w:szCs w:val="15"/>
          <w:color w:val="auto"/>
        </w:rPr>
        <w:t>We estimate that the net proceeds to us from the sale of shares of our common stock in this offering will be approximately $158.5 million, based upon the initial public offering price of $20.00 per share, and after deducting underwriting discounts and commissions and estimated offering expenses payable by us. We will not receive any proceeds from the sale of common stock by the selling stockholders in this offering.</w:t>
      </w:r>
    </w:p>
    <w:p>
      <w:pPr>
        <w:spacing w:after="0" w:line="172"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The principal purposes of this offering are to increase our capitalization and financial flexibility, create a public market for our common stock, and enable access to the public equity markets for us and our stockholders.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intend to use the net proceeds we receive from this offering for general corporate purposes, including working capital, operating expenses, and capital expenditures. Additionally, we may use a portion of the net proceeds we receive from this offering to acquire or invest in businesses, products, services, or technologies. However, we do not have agreements or commitments for any material acquisitions or investments at this time. We cannot specify with certainty the particular uses of the net proceeds that we will receive from this offering. Accordingly, we will have broad discretion in using these proceeds. Pending the use of proceeds from this offering as described above, we may invest the net proceeds that we receive in this offering in short-term, investment grade, interest-bearing instruments.</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0200"/>
          </w:cols>
          <w:pgMar w:left="320" w:top="407" w:right="137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DIVIDEND POLICY</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 Additionally, our ability to pay cash dividends on our common stock is limited by restrictions under the terms of our credit facilities with Silicon Valley Bank.</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0140"/>
          </w:cols>
          <w:pgMar w:left="320" w:top="407" w:right="1439" w:bottom="1440" w:gutter="0" w:footer="0" w:header="0"/>
        </w:sectPr>
      </w:pPr>
    </w:p>
    <w:bookmarkStart w:id="101" w:name="page102"/>
    <w:bookmarkEnd w:id="1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CAPITALIZATION</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our cash and capitalization as of September 30, 2020 as follows:</w:t>
      </w:r>
    </w:p>
    <w:p>
      <w:pPr>
        <w:spacing w:after="0" w:line="98" w:lineRule="exact"/>
        <w:rPr>
          <w:sz w:val="20"/>
          <w:szCs w:val="20"/>
          <w:color w:val="auto"/>
        </w:rPr>
      </w:pPr>
    </w:p>
    <w:p>
      <w:pPr>
        <w:ind w:left="1660" w:hanging="183"/>
        <w:spacing w:after="0"/>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an actual basis;</w:t>
      </w:r>
    </w:p>
    <w:p>
      <w:pPr>
        <w:spacing w:after="0" w:line="97" w:lineRule="exact"/>
        <w:rPr>
          <w:rFonts w:ascii="Arial" w:cs="Arial" w:eastAsia="Arial" w:hAnsi="Arial"/>
          <w:sz w:val="15"/>
          <w:szCs w:val="15"/>
          <w:color w:val="auto"/>
        </w:rPr>
      </w:pPr>
    </w:p>
    <w:p>
      <w:pPr>
        <w:ind w:left="1660" w:right="20" w:hanging="183"/>
        <w:spacing w:after="0" w:line="238"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a pro forma basis, giving effect to (i) the exercise in November 2020 of a warrant to purchase 600,208 shares of our Series B preferred stock resulting in the reclassification of our convertible preferred stock warrant liability to additional paid-in capital, (ii) the Capital Stock Conversion, as if such conversions had occurred on September 30, 2020 and (iii) the filing and effectiveness of our amended and restated certificate of incorporation in Delaware that will become effective immediately prior to the completion of this offering; and</w:t>
      </w:r>
    </w:p>
    <w:p>
      <w:pPr>
        <w:spacing w:after="0" w:line="91" w:lineRule="exact"/>
        <w:rPr>
          <w:rFonts w:ascii="Arial" w:cs="Arial" w:eastAsia="Arial" w:hAnsi="Arial"/>
          <w:sz w:val="15"/>
          <w:szCs w:val="15"/>
          <w:color w:val="auto"/>
        </w:rPr>
      </w:pPr>
    </w:p>
    <w:p>
      <w:pPr>
        <w:ind w:left="1660" w:right="20" w:hanging="183"/>
        <w:spacing w:after="0" w:line="238" w:lineRule="auto"/>
        <w:tabs>
          <w:tab w:leader="none" w:pos="1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on a pro forma as adjusted basis, giving effect to (i) the pro forma adjustments set forth above, (ii) the sale and issuance by us of 9,000,000 shares of our common stock in this offering, based upon the initial public offering price of $20.00 per share and after deducting underwriting discounts and commissions and estimated offering expenses payable by us, and (iii) the issuance of 466,389 shares of common stock upon the exercise of options held by certain selling stockholders in connection with the sale of such shares by such selling stockholders in this offering.</w:t>
      </w:r>
    </w:p>
    <w:p>
      <w:pPr>
        <w:spacing w:after="0" w:line="170" w:lineRule="exact"/>
        <w:rPr>
          <w:sz w:val="20"/>
          <w:szCs w:val="20"/>
          <w:color w:val="auto"/>
        </w:rPr>
      </w:pPr>
    </w:p>
    <w:p>
      <w:pPr>
        <w:jc w:val="both"/>
        <w:ind w:left="1020" w:right="180" w:firstLine="460"/>
        <w:spacing w:after="0"/>
        <w:rPr>
          <w:sz w:val="20"/>
          <w:szCs w:val="20"/>
          <w:color w:val="auto"/>
        </w:rPr>
      </w:pPr>
      <w:r>
        <w:rPr>
          <w:rFonts w:ascii="Arial" w:cs="Arial" w:eastAsia="Arial" w:hAnsi="Arial"/>
          <w:sz w:val="15"/>
          <w:szCs w:val="15"/>
          <w:color w:val="auto"/>
        </w:rPr>
        <w:t>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gridSpan w:val="10"/>
          </w:tcPr>
          <w:p>
            <w:pPr>
              <w:jc w:val="right"/>
              <w:ind w:right="520"/>
              <w:spacing w:after="0"/>
              <w:rPr>
                <w:sz w:val="20"/>
                <w:szCs w:val="20"/>
                <w:color w:val="auto"/>
              </w:rPr>
            </w:pPr>
            <w:r>
              <w:rPr>
                <w:rFonts w:ascii="Arial" w:cs="Arial" w:eastAsia="Arial" w:hAnsi="Arial"/>
                <w:sz w:val="12"/>
                <w:szCs w:val="12"/>
                <w:b w:val="1"/>
                <w:bCs w:val="1"/>
                <w:color w:val="auto"/>
              </w:rPr>
              <w:t>As of September 30, 2020</w:t>
            </w:r>
          </w:p>
        </w:tc>
      </w:tr>
      <w:tr>
        <w:trPr>
          <w:trHeight w:val="116"/>
        </w:trPr>
        <w:tc>
          <w:tcPr>
            <w:tcW w:w="67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53"/>
              <w:spacing w:after="0" w:line="117" w:lineRule="exact"/>
              <w:rPr>
                <w:sz w:val="20"/>
                <w:szCs w:val="20"/>
                <w:color w:val="auto"/>
              </w:rPr>
            </w:pPr>
            <w:r>
              <w:rPr>
                <w:rFonts w:ascii="Arial" w:cs="Arial" w:eastAsia="Arial" w:hAnsi="Arial"/>
                <w:sz w:val="12"/>
                <w:szCs w:val="12"/>
                <w:b w:val="1"/>
                <w:bCs w:val="1"/>
                <w:color w:val="auto"/>
              </w:rPr>
              <w:t>Pro</w:t>
            </w:r>
          </w:p>
        </w:tc>
        <w:tc>
          <w:tcPr>
            <w:tcW w:w="80" w:type="dxa"/>
            <w:vAlign w:val="bottom"/>
          </w:tcPr>
          <w:p>
            <w:pPr>
              <w:spacing w:after="0"/>
              <w:rPr>
                <w:sz w:val="10"/>
                <w:szCs w:val="10"/>
                <w:color w:val="auto"/>
              </w:rPr>
            </w:pPr>
          </w:p>
        </w:tc>
      </w:tr>
      <w:tr>
        <w:trPr>
          <w:trHeight w:val="131"/>
        </w:trPr>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Pro</w:t>
            </w:r>
          </w:p>
        </w:tc>
        <w:tc>
          <w:tcPr>
            <w:tcW w:w="120" w:type="dxa"/>
            <w:vAlign w:val="bottom"/>
          </w:tcPr>
          <w:p>
            <w:pPr>
              <w:spacing w:after="0"/>
              <w:rPr>
                <w:sz w:val="11"/>
                <w:szCs w:val="11"/>
                <w:color w:val="auto"/>
              </w:rPr>
            </w:pPr>
          </w:p>
        </w:tc>
        <w:tc>
          <w:tcPr>
            <w:tcW w:w="7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forma as</w:t>
            </w:r>
          </w:p>
        </w:tc>
      </w:tr>
      <w:tr>
        <w:trPr>
          <w:trHeight w:val="149"/>
        </w:trPr>
        <w:tc>
          <w:tcPr>
            <w:tcW w:w="67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98"/>
              </w:rPr>
              <w:t>Actual</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forma</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7"/>
                <w:szCs w:val="17"/>
                <w:b w:val="1"/>
                <w:bCs w:val="1"/>
                <w:color w:val="auto"/>
                <w:vertAlign w:val="superscript"/>
              </w:rPr>
              <w:t>(1)</w:t>
            </w:r>
          </w:p>
        </w:tc>
        <w:tc>
          <w:tcPr>
            <w:tcW w:w="80" w:type="dxa"/>
            <w:vAlign w:val="bottom"/>
            <w:tcBorders>
              <w:bottom w:val="single" w:sz="8" w:color="CCEEFF"/>
            </w:tcBorders>
          </w:tcPr>
          <w:p>
            <w:pPr>
              <w:spacing w:after="0"/>
              <w:rPr>
                <w:sz w:val="12"/>
                <w:szCs w:val="12"/>
                <w:color w:val="auto"/>
              </w:rPr>
            </w:pPr>
          </w:p>
        </w:tc>
      </w:tr>
      <w:tr>
        <w:trPr>
          <w:trHeight w:val="149"/>
        </w:trPr>
        <w:tc>
          <w:tcPr>
            <w:tcW w:w="67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53,234</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53,240</w:t>
            </w: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216,238</w:t>
            </w:r>
          </w:p>
        </w:tc>
        <w:tc>
          <w:tcPr>
            <w:tcW w:w="80" w:type="dxa"/>
            <w:vAlign w:val="bottom"/>
            <w:shd w:val="clear" w:color="auto" w:fill="CCEEFF"/>
          </w:tcPr>
          <w:p>
            <w:pPr>
              <w:spacing w:after="0"/>
              <w:rPr>
                <w:sz w:val="12"/>
                <w:szCs w:val="12"/>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780" w:type="dxa"/>
            <w:vAlign w:val="bottom"/>
          </w:tcPr>
          <w:p>
            <w:pPr>
              <w:spacing w:after="0" w:line="143" w:lineRule="exact"/>
              <w:rPr>
                <w:sz w:val="20"/>
                <w:szCs w:val="20"/>
                <w:color w:val="auto"/>
              </w:rPr>
            </w:pPr>
            <w:r>
              <w:rPr>
                <w:rFonts w:ascii="Arial" w:cs="Arial" w:eastAsia="Arial" w:hAnsi="Arial"/>
                <w:sz w:val="14"/>
                <w:szCs w:val="14"/>
                <w:color w:val="auto"/>
              </w:rPr>
              <w:t>Convertible preferred stock warrant liability</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7,458</w:t>
            </w:r>
          </w:p>
        </w:tc>
        <w:tc>
          <w:tcPr>
            <w:tcW w:w="160" w:type="dxa"/>
            <w:vAlign w:val="bottom"/>
          </w:tcPr>
          <w:p>
            <w:pPr>
              <w:spacing w:after="0"/>
              <w:rPr>
                <w:sz w:val="12"/>
                <w:szCs w:val="12"/>
                <w:color w:val="auto"/>
              </w:rPr>
            </w:pPr>
          </w:p>
        </w:tc>
        <w:tc>
          <w:tcPr>
            <w:tcW w:w="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gridSpan w:val="2"/>
          </w:tcPr>
          <w:p>
            <w:pPr>
              <w:ind w:left="280"/>
              <w:spacing w:after="0" w:line="143"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r>
      <w:tr>
        <w:trPr>
          <w:trHeight w:val="158"/>
        </w:trPr>
        <w:tc>
          <w:tcPr>
            <w:tcW w:w="6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borrowings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100,588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100,588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100,588</w:t>
            </w:r>
          </w:p>
        </w:tc>
        <w:tc>
          <w:tcPr>
            <w:tcW w:w="80" w:type="dxa"/>
            <w:vAlign w:val="bottom"/>
            <w:shd w:val="clear" w:color="auto" w:fill="CCEEFF"/>
          </w:tcPr>
          <w:p>
            <w:pPr>
              <w:spacing w:after="0"/>
              <w:rPr>
                <w:sz w:val="13"/>
                <w:szCs w:val="13"/>
                <w:color w:val="auto"/>
              </w:rPr>
            </w:pPr>
          </w:p>
        </w:tc>
      </w:tr>
      <w:tr>
        <w:trPr>
          <w:trHeight w:val="159"/>
        </w:trPr>
        <w:tc>
          <w:tcPr>
            <w:tcW w:w="6780" w:type="dxa"/>
            <w:vAlign w:val="bottom"/>
          </w:tcPr>
          <w:p>
            <w:pPr>
              <w:spacing w:after="0" w:line="159" w:lineRule="exact"/>
              <w:rPr>
                <w:sz w:val="20"/>
                <w:szCs w:val="20"/>
                <w:color w:val="auto"/>
              </w:rPr>
            </w:pPr>
            <w:r>
              <w:rPr>
                <w:rFonts w:ascii="Arial" w:cs="Arial" w:eastAsia="Arial" w:hAnsi="Arial"/>
                <w:sz w:val="14"/>
                <w:szCs w:val="14"/>
                <w:color w:val="auto"/>
              </w:rPr>
              <w:t>Convertible preferred stock, par value $0.0001 per share: 53,927,657 shares authorized, 47,349,577 issued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780" w:type="dxa"/>
            <w:vAlign w:val="bottom"/>
          </w:tcPr>
          <w:p>
            <w:pPr>
              <w:ind w:left="140"/>
              <w:spacing w:after="0" w:line="156" w:lineRule="exact"/>
              <w:rPr>
                <w:sz w:val="20"/>
                <w:szCs w:val="20"/>
                <w:color w:val="auto"/>
              </w:rPr>
            </w:pPr>
            <w:r>
              <w:rPr>
                <w:rFonts w:ascii="Arial" w:cs="Arial" w:eastAsia="Arial" w:hAnsi="Arial"/>
                <w:sz w:val="14"/>
                <w:szCs w:val="14"/>
                <w:color w:val="auto"/>
                <w:w w:val="98"/>
              </w:rPr>
              <w:t>and outstanding, actual; no shares authorized, issued and outstanding, pro forma and pro forma as adjusted</w:t>
            </w:r>
          </w:p>
        </w:tc>
        <w:tc>
          <w:tcPr>
            <w:tcW w:w="100" w:type="dxa"/>
            <w:vAlign w:val="bottom"/>
          </w:tcPr>
          <w:p>
            <w:pPr>
              <w:spacing w:after="0"/>
              <w:rPr>
                <w:sz w:val="13"/>
                <w:szCs w:val="13"/>
                <w:color w:val="auto"/>
              </w:rPr>
            </w:pPr>
          </w:p>
        </w:tc>
        <w:tc>
          <w:tcPr>
            <w:tcW w:w="480" w:type="dxa"/>
            <w:vAlign w:val="bottom"/>
          </w:tcPr>
          <w:p>
            <w:pPr>
              <w:jc w:val="right"/>
              <w:spacing w:after="0" w:line="156" w:lineRule="exact"/>
              <w:rPr>
                <w:sz w:val="20"/>
                <w:szCs w:val="20"/>
                <w:color w:val="auto"/>
              </w:rPr>
            </w:pPr>
            <w:r>
              <w:rPr>
                <w:rFonts w:ascii="Arial" w:cs="Arial" w:eastAsia="Arial" w:hAnsi="Arial"/>
                <w:sz w:val="14"/>
                <w:szCs w:val="14"/>
                <w:color w:val="auto"/>
                <w:w w:val="90"/>
              </w:rPr>
              <w:t>162,546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ind w:left="28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r>
      <w:tr>
        <w:trPr>
          <w:trHeight w:val="158"/>
        </w:trPr>
        <w:tc>
          <w:tcPr>
            <w:tcW w:w="6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Stockholders’ (deficit) equity:</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6780" w:type="dxa"/>
            <w:vAlign w:val="bottom"/>
          </w:tcPr>
          <w:p>
            <w:pPr>
              <w:spacing w:after="0" w:line="159" w:lineRule="exact"/>
              <w:rPr>
                <w:sz w:val="20"/>
                <w:szCs w:val="20"/>
                <w:color w:val="auto"/>
              </w:rPr>
            </w:pPr>
            <w:r>
              <w:rPr>
                <w:rFonts w:ascii="Arial" w:cs="Arial" w:eastAsia="Arial" w:hAnsi="Arial"/>
                <w:sz w:val="14"/>
                <w:szCs w:val="14"/>
                <w:color w:val="auto"/>
              </w:rPr>
              <w:t>Preferred stock, par value $0.0001 per share: no shares authorized, issued and outstanding, actual;</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780" w:type="dxa"/>
            <w:vAlign w:val="bottom"/>
          </w:tcPr>
          <w:p>
            <w:pPr>
              <w:ind w:left="140"/>
              <w:spacing w:after="0" w:line="156" w:lineRule="exact"/>
              <w:rPr>
                <w:sz w:val="20"/>
                <w:szCs w:val="20"/>
                <w:color w:val="auto"/>
              </w:rPr>
            </w:pPr>
            <w:r>
              <w:rPr>
                <w:rFonts w:ascii="Arial" w:cs="Arial" w:eastAsia="Arial" w:hAnsi="Arial"/>
                <w:sz w:val="14"/>
                <w:szCs w:val="14"/>
                <w:color w:val="auto"/>
              </w:rPr>
              <w:t>70,000,000 shares authorized, no shares issued and outstanding, pro forma and pro forma as adjusted</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67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Common stock, par value $0.0001 per share: 90,000,000 shares authorized, 15,044,707 shares issued</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7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and outstanding, actual; 700,000,000 shares authorized, 62,994,492 shares issued and outstanding,</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67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pro forma; and 700,000,000 shares authorized, 72,460,881 shares issued and outstanding, pro forma</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67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as adjusted</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r>
      <w:tr>
        <w:trPr>
          <w:trHeight w:val="158"/>
        </w:trPr>
        <w:tc>
          <w:tcPr>
            <w:tcW w:w="6780" w:type="dxa"/>
            <w:vAlign w:val="bottom"/>
          </w:tcPr>
          <w:p>
            <w:pPr>
              <w:spacing w:after="0" w:line="158"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22,914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w w:val="90"/>
              </w:rPr>
              <w:t>192,919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355,916</w:t>
            </w:r>
          </w:p>
        </w:tc>
        <w:tc>
          <w:tcPr>
            <w:tcW w:w="80" w:type="dxa"/>
            <w:vAlign w:val="bottom"/>
          </w:tcPr>
          <w:p>
            <w:pPr>
              <w:spacing w:after="0"/>
              <w:rPr>
                <w:sz w:val="13"/>
                <w:szCs w:val="13"/>
                <w:color w:val="auto"/>
              </w:rPr>
            </w:pPr>
          </w:p>
        </w:tc>
      </w:tr>
      <w:tr>
        <w:trPr>
          <w:trHeight w:val="158"/>
        </w:trPr>
        <w:tc>
          <w:tcPr>
            <w:tcW w:w="6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5"/>
              </w:rPr>
              <w:t>(70,249)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(70,249)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(75,134)</w:t>
            </w:r>
          </w:p>
        </w:tc>
      </w:tr>
      <w:tr>
        <w:trPr>
          <w:trHeight w:val="160"/>
        </w:trPr>
        <w:tc>
          <w:tcPr>
            <w:tcW w:w="6780" w:type="dxa"/>
            <w:vAlign w:val="bottom"/>
          </w:tcPr>
          <w:p>
            <w:pPr>
              <w:spacing w:after="0" w:line="158" w:lineRule="exact"/>
              <w:rPr>
                <w:sz w:val="20"/>
                <w:szCs w:val="20"/>
                <w:color w:val="auto"/>
              </w:rPr>
            </w:pPr>
            <w:r>
              <w:rPr>
                <w:rFonts w:ascii="Arial" w:cs="Arial" w:eastAsia="Arial" w:hAnsi="Arial"/>
                <w:sz w:val="14"/>
                <w:szCs w:val="14"/>
                <w:color w:val="auto"/>
              </w:rPr>
              <w:t>Noncontrolling interests</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58"/>
        </w:trPr>
        <w:tc>
          <w:tcPr>
            <w:tcW w:w="67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stockholders’ (deficit) equity</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5"/>
              </w:rPr>
              <w:t>(47,333)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122,676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280,789</w:t>
            </w:r>
          </w:p>
        </w:tc>
        <w:tc>
          <w:tcPr>
            <w:tcW w:w="80" w:type="dxa"/>
            <w:vAlign w:val="bottom"/>
            <w:shd w:val="clear" w:color="auto" w:fill="CCEEFF"/>
          </w:tcPr>
          <w:p>
            <w:pPr>
              <w:spacing w:after="0"/>
              <w:rPr>
                <w:sz w:val="13"/>
                <w:szCs w:val="13"/>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6780" w:type="dxa"/>
            <w:vAlign w:val="bottom"/>
          </w:tcPr>
          <w:p>
            <w:pPr>
              <w:ind w:left="540"/>
              <w:spacing w:after="0"/>
              <w:rPr>
                <w:sz w:val="20"/>
                <w:szCs w:val="20"/>
                <w:color w:val="auto"/>
              </w:rPr>
            </w:pPr>
            <w:r>
              <w:rPr>
                <w:rFonts w:ascii="Arial" w:cs="Arial" w:eastAsia="Arial" w:hAnsi="Arial"/>
                <w:sz w:val="14"/>
                <w:szCs w:val="14"/>
                <w:color w:val="auto"/>
              </w:rPr>
              <w:t>Total capitalization</w:t>
            </w:r>
          </w:p>
        </w:tc>
        <w:tc>
          <w:tcPr>
            <w:tcW w:w="10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223,259</w:t>
            </w:r>
          </w:p>
        </w:tc>
        <w:tc>
          <w:tcPr>
            <w:tcW w:w="16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223,264</w:t>
            </w:r>
          </w:p>
        </w:tc>
        <w:tc>
          <w:tcPr>
            <w:tcW w:w="160" w:type="dxa"/>
            <w:vAlign w:val="bottom"/>
          </w:tcPr>
          <w:p>
            <w:pPr>
              <w:spacing w:after="0"/>
              <w:rPr>
                <w:sz w:val="13"/>
                <w:szCs w:val="13"/>
                <w:color w:val="auto"/>
              </w:rPr>
            </w:pP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381,377</w:t>
            </w:r>
          </w:p>
        </w:tc>
        <w:tc>
          <w:tcPr>
            <w:tcW w:w="80" w:type="dxa"/>
            <w:vAlign w:val="bottom"/>
          </w:tcPr>
          <w:p>
            <w:pPr>
              <w:spacing w:after="0"/>
              <w:rPr>
                <w:sz w:val="13"/>
                <w:szCs w:val="13"/>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480" w:hanging="453"/>
        <w:spacing w:after="0"/>
        <w:tabs>
          <w:tab w:leader="none" w:pos="1480" w:val="left"/>
        </w:tabs>
        <w:numPr>
          <w:ilvl w:val="0"/>
          <w:numId w:val="49"/>
        </w:numPr>
        <w:rPr>
          <w:rFonts w:ascii="Arial" w:cs="Arial" w:eastAsia="Arial" w:hAnsi="Arial"/>
          <w:sz w:val="12"/>
          <w:szCs w:val="12"/>
          <w:color w:val="auto"/>
        </w:rPr>
      </w:pPr>
      <w:r>
        <w:rPr>
          <w:rFonts w:ascii="Arial" w:cs="Arial" w:eastAsia="Arial" w:hAnsi="Arial"/>
          <w:sz w:val="12"/>
          <w:szCs w:val="12"/>
          <w:color w:val="auto"/>
        </w:rPr>
        <w:t>Pro forma as adjusted cash excludes $4.2 million of deferred offering costs that had been paid as of September 30, 2020.</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0220"/>
          </w:cols>
          <w:pgMar w:left="320" w:top="407" w:right="135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pro forma column in the table above is based on 62,994,492 shares of our common stock (including shares of preferred stock issued in November 2020 upon the exercise of a warrant to purchase Series B preferred stock and the Capital Stock Conversion) outstanding as of September 30, 2020. The pro forma as adjusted column in the table above is based on 63,460,881 shares of our common stock (including shares of preferred stock issued in November 2020 upon the exercise of a warrant to purchase Series B preferred stock, the Capital Stock Conversion, and the exercise of options to purchase common stock by certain selling stockholders in connection with the sale by such selling stockholders in this offering) outstanding as of September 30, 2020. The pro forma and pro forma as adjusted columns exclude the following:</w:t>
      </w:r>
    </w:p>
    <w:p>
      <w:pPr>
        <w:spacing w:after="0" w:line="92" w:lineRule="exact"/>
        <w:rPr>
          <w:sz w:val="20"/>
          <w:szCs w:val="20"/>
          <w:color w:val="auto"/>
        </w:rPr>
      </w:pPr>
    </w:p>
    <w:p>
      <w:pPr>
        <w:ind w:left="1660" w:right="56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18,889,653 shares of our common stock issuable upon the exercise of options to purchase shares of our common stock outstanding as of September 30, 2020, with a weighted-average exercise price of $3.17 per share;</w:t>
      </w:r>
    </w:p>
    <w:p>
      <w:pPr>
        <w:spacing w:after="0" w:line="87" w:lineRule="exact"/>
        <w:rPr>
          <w:rFonts w:ascii="Arial" w:cs="Arial" w:eastAsia="Arial" w:hAnsi="Arial"/>
          <w:sz w:val="15"/>
          <w:szCs w:val="15"/>
          <w:color w:val="auto"/>
        </w:rPr>
      </w:pPr>
    </w:p>
    <w:p>
      <w:pPr>
        <w:ind w:left="1660" w:right="36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September 30, 2020, with a weighted-average exercise price of $1.77 per share;</w:t>
      </w:r>
    </w:p>
    <w:p>
      <w:pPr>
        <w:spacing w:after="0" w:line="87"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1,540,938 shares of our common stock issuable upon the exercise of options to purchase shares of our common stock issued after September 30, 2020, with a weighted-average exercise price of $15.16 per share;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10,765,271 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020" w:right="80" w:hanging="351"/>
        <w:spacing w:after="0" w:line="245" w:lineRule="auto"/>
        <w:tabs>
          <w:tab w:leader="none" w:pos="20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5,520,000 shares of our common stock reserved for future issuance under our 2020 Plan, which became effective prior to the completion of this offering;</w:t>
      </w:r>
    </w:p>
    <w:p>
      <w:pPr>
        <w:spacing w:after="0" w:line="87" w:lineRule="exact"/>
        <w:rPr>
          <w:rFonts w:ascii="Arial" w:cs="Arial" w:eastAsia="Arial" w:hAnsi="Arial"/>
          <w:sz w:val="15"/>
          <w:szCs w:val="15"/>
          <w:color w:val="auto"/>
        </w:rPr>
      </w:pPr>
    </w:p>
    <w:p>
      <w:pPr>
        <w:ind w:left="2020" w:right="360" w:hanging="351"/>
        <w:spacing w:after="0" w:line="245" w:lineRule="auto"/>
        <w:tabs>
          <w:tab w:leader="none" w:pos="20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3,865,271 shares of our common stock reserved for future issuance under our 2012 Plan, provided that we will cease granting awards under our 2012 Plan upon the effectiveness of the 2020 Plan; and</w:t>
      </w:r>
    </w:p>
    <w:p>
      <w:pPr>
        <w:spacing w:after="0" w:line="87" w:lineRule="exact"/>
        <w:rPr>
          <w:rFonts w:ascii="Arial" w:cs="Arial" w:eastAsia="Arial" w:hAnsi="Arial"/>
          <w:sz w:val="15"/>
          <w:szCs w:val="15"/>
          <w:color w:val="auto"/>
        </w:rPr>
      </w:pPr>
    </w:p>
    <w:p>
      <w:pPr>
        <w:ind w:left="2020" w:right="120" w:hanging="351"/>
        <w:spacing w:after="0" w:line="245" w:lineRule="auto"/>
        <w:tabs>
          <w:tab w:leader="none" w:pos="20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1,380,000 shares of our common stock reserved for future issuance under our ESPP, which became effective prior to the completion of this offering.</w:t>
      </w:r>
    </w:p>
    <w:p>
      <w:pPr>
        <w:spacing w:after="0" w:line="166"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Each of our 2020 Plan and our ESPP provides for annual automatic increases in the number of shares reserved thereunder, and our 2020 Plan also provides for increases to the number of shares that may be granted thereunder based on awards under our 2012 Plan that expire, are forfeited, or otherwise repurchased by us, as more fully described in the section titled “Executive Compensation— Employee Benefit and Stock Plans.”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0160"/>
          </w:cols>
          <w:pgMar w:left="320" w:top="407" w:right="141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DILUTION</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If you invest in our common stock in this offering, your ownership interest will be diluted to the extent of the difference between the initial public offering price per share of our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common stock in this offering and the pro forma as adjusted net tangible book value per share of our common stock immediately after completion of this offering.</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historical net tangible book value per share is determined by dividing our total tangible assets less our convertible preferred stock and our total liabilities by the number of shares of our common stock outstanding. Our historical net tangible book value as of September 30, 2020 was $(66.1) million, or $(4.39) per share. Our pro forma net tangible book value as of September 30, 2020 was $103.9 million, or $1.65 per share, based on the total number of shares of our common stock outstanding as of September 30, 2020, after giving effect to (i) the exercise in November 2020 of a warrant to purchase shares of our Series B preferred stock resulting in the reclassification of our convertible preferred stock warrant liability to additional paid-in capital, (ii) the Capital Stock Conversion and (iii) the filing and effectiveness of our amended and restated certificate of incorporation in Delaware that will become effective immediately prior to the completion of this offering.</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After giving effect to (i) the sale by us of 9,000,000 shares of our common stock in this offering at the initial public offering price of $20.00 per share and after deducting underwriting discounts and commissions and estimated offering expenses payable by us, and (ii) the issuance of 466,389 shares of common stock upon the exercise of options held by certain selling stockholders in connection with the sale of such shares by such selling stockholders in this offering, our pro forma as adjusted net tangible book value as of September 30, 2020 would have been $262.0 million, or $3.62 per share. This represents an immediate increase in pro forma net tangible book value of $1.97 per share to our existing stockholders and an immediate dilution in pro forma net tangible book value of $16.38 per share to investors purchasing shares of our common stock in this offering at the initial public offering price. The following table illustrates this dilution:</w:t>
      </w:r>
    </w:p>
    <w:p>
      <w:pPr>
        <w:spacing w:after="0" w:line="19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8060" w:type="dxa"/>
            <w:vAlign w:val="bottom"/>
            <w:shd w:val="clear" w:color="auto" w:fill="CCEEFF"/>
          </w:tcPr>
          <w:p>
            <w:pPr>
              <w:spacing w:after="0"/>
              <w:rPr>
                <w:sz w:val="20"/>
                <w:szCs w:val="20"/>
                <w:color w:val="auto"/>
              </w:rPr>
            </w:pPr>
            <w:r>
              <w:rPr>
                <w:rFonts w:ascii="Arial" w:cs="Arial" w:eastAsia="Arial" w:hAnsi="Arial"/>
                <w:sz w:val="14"/>
                <w:szCs w:val="14"/>
                <w:color w:val="auto"/>
              </w:rPr>
              <w:t>Initial public offering price per share</w:t>
            </w: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$20.00</w:t>
            </w:r>
          </w:p>
        </w:tc>
      </w:tr>
      <w:tr>
        <w:trPr>
          <w:trHeight w:val="158"/>
        </w:trPr>
        <w:tc>
          <w:tcPr>
            <w:tcW w:w="8060" w:type="dxa"/>
            <w:vAlign w:val="bottom"/>
          </w:tcPr>
          <w:p>
            <w:pPr>
              <w:ind w:left="280"/>
              <w:spacing w:after="0" w:line="158" w:lineRule="exact"/>
              <w:rPr>
                <w:sz w:val="20"/>
                <w:szCs w:val="20"/>
                <w:color w:val="auto"/>
              </w:rPr>
            </w:pPr>
            <w:r>
              <w:rPr>
                <w:rFonts w:ascii="Arial" w:cs="Arial" w:eastAsia="Arial" w:hAnsi="Arial"/>
                <w:sz w:val="14"/>
                <w:szCs w:val="14"/>
                <w:color w:val="auto"/>
              </w:rPr>
              <w:t>Historical net tangible book value (deficit) per share as of September 30, 2020</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$(4.39)</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80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Increase per share attributable to the pro forma adjustments described above</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6.04</w:t>
            </w: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9"/>
        </w:trPr>
        <w:tc>
          <w:tcPr>
            <w:tcW w:w="8060" w:type="dxa"/>
            <w:vAlign w:val="bottom"/>
          </w:tcPr>
          <w:p>
            <w:pPr>
              <w:ind w:left="280"/>
              <w:spacing w:after="0" w:line="159" w:lineRule="exact"/>
              <w:rPr>
                <w:sz w:val="20"/>
                <w:szCs w:val="20"/>
                <w:color w:val="auto"/>
              </w:rPr>
            </w:pPr>
            <w:r>
              <w:rPr>
                <w:rFonts w:ascii="Arial" w:cs="Arial" w:eastAsia="Arial" w:hAnsi="Arial"/>
                <w:sz w:val="14"/>
                <w:szCs w:val="14"/>
                <w:color w:val="auto"/>
                <w:w w:val="98"/>
              </w:rPr>
              <w:t>Pro forma net tangible book value per share as of September 30, 2020, before giving to effect new investors purchasing shares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8060" w:type="dxa"/>
            <w:vAlign w:val="bottom"/>
          </w:tcPr>
          <w:p>
            <w:pPr>
              <w:ind w:left="420"/>
              <w:spacing w:after="0" w:line="156" w:lineRule="exact"/>
              <w:rPr>
                <w:sz w:val="20"/>
                <w:szCs w:val="20"/>
                <w:color w:val="auto"/>
              </w:rPr>
            </w:pPr>
            <w:r>
              <w:rPr>
                <w:rFonts w:ascii="Arial" w:cs="Arial" w:eastAsia="Arial" w:hAnsi="Arial"/>
                <w:sz w:val="14"/>
                <w:szCs w:val="14"/>
                <w:color w:val="auto"/>
              </w:rPr>
              <w:t>of common stock in this offering</w:t>
            </w:r>
          </w:p>
        </w:tc>
        <w:tc>
          <w:tcPr>
            <w:tcW w:w="66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1.65</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9"/>
        </w:trPr>
        <w:tc>
          <w:tcPr>
            <w:tcW w:w="80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Increase in pro forma net tangible book value per share attributable to new investors purchasing shares of common stock in</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6"/>
        </w:trPr>
        <w:tc>
          <w:tcPr>
            <w:tcW w:w="80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this offering</w:t>
            </w:r>
          </w:p>
        </w:tc>
        <w:tc>
          <w:tcPr>
            <w:tcW w:w="4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1.97</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3"/>
        </w:trPr>
        <w:tc>
          <w:tcPr>
            <w:tcW w:w="8060" w:type="dxa"/>
            <w:vAlign w:val="bottom"/>
          </w:tcPr>
          <w:p>
            <w:pPr>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660" w:type="dxa"/>
            <w:vAlign w:val="bottom"/>
            <w:gridSpan w:val="2"/>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40" w:type="dxa"/>
            <w:vAlign w:val="bottom"/>
          </w:tcPr>
          <w:p>
            <w:pPr>
              <w:spacing w:after="0"/>
              <w:rPr>
                <w:sz w:val="14"/>
                <w:szCs w:val="14"/>
                <w:color w:val="auto"/>
              </w:rPr>
            </w:pPr>
          </w:p>
        </w:tc>
      </w:tr>
      <w:tr>
        <w:trPr>
          <w:trHeight w:val="158"/>
        </w:trPr>
        <w:tc>
          <w:tcPr>
            <w:tcW w:w="8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Dilution in pro forma net tangible book value per share to new investors in this offering</w:t>
            </w:r>
          </w:p>
        </w:tc>
        <w:tc>
          <w:tcPr>
            <w:tcW w:w="1140" w:type="dxa"/>
            <w:vAlign w:val="bottom"/>
            <w:gridSpan w:val="4"/>
            <w:shd w:val="clear" w:color="auto" w:fill="CCEEFF"/>
          </w:tcPr>
          <w:p>
            <w:pPr>
              <w:jc w:val="right"/>
              <w:ind w:right="40"/>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16.38</w:t>
            </w:r>
          </w:p>
        </w:tc>
      </w:tr>
      <w:tr>
        <w:trPr>
          <w:trHeight w:val="20"/>
        </w:trPr>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0220"/>
          </w:cols>
          <w:pgMar w:left="320" w:top="407" w:right="135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following table presents, as of September 30, 2020, after giving effect to an exercise in November 2020 of a warrant to purchase shares of our Series B preferred stock, the Capital Stock Conversion and the 466,389 shares of common stock to be issued upon the exercise of options to purchase shares of our common stock by certain selling stockholders in connection with this offering, the differences between the existing stockholders and the new investors purchasing shares of our common stock in this offering with respect to the number of shares purchased from us, the total consideration paid or to be paid to us, which includes net proceeds received from the issuance of our common stock, and the average price per share paid or to be paid to us at the initial public offering price of $20.00 per share before deducting underwriting discounts and commissions and estimated offering expenses payable by us:</w:t>
      </w:r>
    </w:p>
    <w:p>
      <w:pPr>
        <w:spacing w:after="0" w:line="182"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600" w:type="dxa"/>
            <w:vAlign w:val="bottom"/>
          </w:tcPr>
          <w:p>
            <w:pPr>
              <w:spacing w:after="0"/>
              <w:rPr>
                <w:sz w:val="12"/>
                <w:szCs w:val="12"/>
                <w:color w:val="auto"/>
              </w:rPr>
            </w:pPr>
          </w:p>
        </w:tc>
        <w:tc>
          <w:tcPr>
            <w:tcW w:w="1880" w:type="dxa"/>
            <w:vAlign w:val="bottom"/>
            <w:gridSpan w:val="4"/>
            <w:vMerge w:val="restart"/>
          </w:tcPr>
          <w:p>
            <w:pPr>
              <w:jc w:val="right"/>
              <w:ind w:right="620"/>
              <w:spacing w:after="0"/>
              <w:rPr>
                <w:sz w:val="20"/>
                <w:szCs w:val="20"/>
                <w:color w:val="auto"/>
              </w:rPr>
            </w:pPr>
            <w:r>
              <w:rPr>
                <w:rFonts w:ascii="Arial" w:cs="Arial" w:eastAsia="Arial" w:hAnsi="Arial"/>
                <w:sz w:val="12"/>
                <w:szCs w:val="12"/>
                <w:b w:val="1"/>
                <w:bCs w:val="1"/>
                <w:color w:val="auto"/>
              </w:rPr>
              <w:t>Shares Purchased</w:t>
            </w:r>
          </w:p>
        </w:tc>
        <w:tc>
          <w:tcPr>
            <w:tcW w:w="2200" w:type="dxa"/>
            <w:vAlign w:val="bottom"/>
            <w:gridSpan w:val="4"/>
            <w:vMerge w:val="restart"/>
          </w:tcPr>
          <w:p>
            <w:pPr>
              <w:jc w:val="right"/>
              <w:ind w:right="740"/>
              <w:spacing w:after="0"/>
              <w:rPr>
                <w:sz w:val="20"/>
                <w:szCs w:val="20"/>
                <w:color w:val="auto"/>
              </w:rPr>
            </w:pPr>
            <w:r>
              <w:rPr>
                <w:rFonts w:ascii="Arial" w:cs="Arial" w:eastAsia="Arial" w:hAnsi="Arial"/>
                <w:sz w:val="12"/>
                <w:szCs w:val="12"/>
                <w:b w:val="1"/>
                <w:bCs w:val="1"/>
                <w:color w:val="auto"/>
              </w:rPr>
              <w:t>Total Consideration</w:t>
            </w:r>
          </w:p>
        </w:tc>
        <w:tc>
          <w:tcPr>
            <w:tcW w:w="520" w:type="dxa"/>
            <w:vAlign w:val="bottom"/>
            <w:gridSpan w:val="2"/>
          </w:tcPr>
          <w:p>
            <w:pPr>
              <w:jc w:val="center"/>
              <w:spacing w:after="0"/>
              <w:rPr>
                <w:sz w:val="20"/>
                <w:szCs w:val="20"/>
                <w:color w:val="auto"/>
              </w:rPr>
            </w:pPr>
            <w:r>
              <w:rPr>
                <w:rFonts w:ascii="Arial" w:cs="Arial" w:eastAsia="Arial" w:hAnsi="Arial"/>
                <w:sz w:val="12"/>
                <w:szCs w:val="12"/>
                <w:b w:val="1"/>
                <w:bCs w:val="1"/>
                <w:color w:val="auto"/>
              </w:rPr>
              <w:t>Average</w:t>
            </w: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22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56"/>
              <w:spacing w:after="0" w:line="134" w:lineRule="exact"/>
              <w:rPr>
                <w:sz w:val="20"/>
                <w:szCs w:val="20"/>
                <w:color w:val="auto"/>
              </w:rPr>
            </w:pPr>
            <w:r>
              <w:rPr>
                <w:rFonts w:ascii="Arial" w:cs="Arial" w:eastAsia="Arial" w:hAnsi="Arial"/>
                <w:sz w:val="12"/>
                <w:szCs w:val="12"/>
                <w:b w:val="1"/>
                <w:bCs w:val="1"/>
                <w:color w:val="auto"/>
                <w:w w:val="95"/>
              </w:rPr>
              <w:t>Price</w:t>
            </w:r>
          </w:p>
        </w:tc>
        <w:tc>
          <w:tcPr>
            <w:tcW w:w="0" w:type="dxa"/>
            <w:vAlign w:val="bottom"/>
          </w:tcPr>
          <w:p>
            <w:pPr>
              <w:spacing w:after="0"/>
              <w:rPr>
                <w:sz w:val="1"/>
                <w:szCs w:val="1"/>
                <w:color w:val="auto"/>
              </w:rPr>
            </w:pPr>
          </w:p>
        </w:tc>
      </w:tr>
      <w:tr>
        <w:trPr>
          <w:trHeight w:val="116"/>
        </w:trPr>
        <w:tc>
          <w:tcPr>
            <w:tcW w:w="46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56"/>
              <w:spacing w:after="0" w:line="117" w:lineRule="exact"/>
              <w:rPr>
                <w:sz w:val="20"/>
                <w:szCs w:val="20"/>
                <w:color w:val="auto"/>
              </w:rPr>
            </w:pPr>
            <w:r>
              <w:rPr>
                <w:rFonts w:ascii="Arial" w:cs="Arial" w:eastAsia="Arial" w:hAnsi="Arial"/>
                <w:sz w:val="12"/>
                <w:szCs w:val="12"/>
                <w:b w:val="1"/>
                <w:bCs w:val="1"/>
                <w:color w:val="auto"/>
              </w:rPr>
              <w:t>Per</w:t>
            </w:r>
          </w:p>
        </w:tc>
        <w:tc>
          <w:tcPr>
            <w:tcW w:w="0" w:type="dxa"/>
            <w:vAlign w:val="bottom"/>
          </w:tcPr>
          <w:p>
            <w:pPr>
              <w:spacing w:after="0"/>
              <w:rPr>
                <w:sz w:val="1"/>
                <w:szCs w:val="1"/>
                <w:color w:val="auto"/>
              </w:rPr>
            </w:pPr>
          </w:p>
        </w:tc>
      </w:tr>
      <w:tr>
        <w:trPr>
          <w:trHeight w:val="145"/>
        </w:trPr>
        <w:tc>
          <w:tcPr>
            <w:tcW w:w="4600" w:type="dxa"/>
            <w:vAlign w:val="bottom"/>
          </w:tcPr>
          <w:p>
            <w:pPr>
              <w:spacing w:after="0"/>
              <w:rPr>
                <w:sz w:val="12"/>
                <w:szCs w:val="12"/>
                <w:color w:val="auto"/>
              </w:rPr>
            </w:pP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2"/>
                <w:szCs w:val="1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5"/>
              </w:rPr>
              <w:t>Percent</w:t>
            </w:r>
          </w:p>
        </w:tc>
        <w:tc>
          <w:tcPr>
            <w:tcW w:w="11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6"/>
              </w:rPr>
              <w:t>Amount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5"/>
              </w:rPr>
              <w:t>Percentage</w:t>
            </w:r>
          </w:p>
        </w:tc>
        <w:tc>
          <w:tcPr>
            <w:tcW w:w="5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Share</w:t>
            </w:r>
          </w:p>
        </w:tc>
        <w:tc>
          <w:tcPr>
            <w:tcW w:w="0" w:type="dxa"/>
            <w:vAlign w:val="bottom"/>
          </w:tcPr>
          <w:p>
            <w:pPr>
              <w:spacing w:after="0"/>
              <w:rPr>
                <w:sz w:val="1"/>
                <w:szCs w:val="1"/>
                <w:color w:val="auto"/>
              </w:rPr>
            </w:pPr>
          </w:p>
        </w:tc>
      </w:tr>
      <w:tr>
        <w:trPr>
          <w:trHeight w:val="20"/>
        </w:trPr>
        <w:tc>
          <w:tcPr>
            <w:tcW w:w="46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Existing stockholders</w:t>
            </w: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600" w:type="dxa"/>
            <w:vAlign w:val="bottom"/>
            <w:vMerge w:val="continue"/>
            <w:shd w:val="clear" w:color="auto" w:fill="CCEEFF"/>
          </w:tcPr>
          <w:p>
            <w:pPr>
              <w:spacing w:after="0"/>
              <w:rPr>
                <w:sz w:val="12"/>
                <w:szCs w:val="12"/>
                <w:color w:val="auto"/>
              </w:rPr>
            </w:pPr>
          </w:p>
        </w:tc>
        <w:tc>
          <w:tcPr>
            <w:tcW w:w="10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63,460,881</w:t>
            </w: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88%</w:t>
            </w:r>
          </w:p>
        </w:tc>
        <w:tc>
          <w:tcPr>
            <w:tcW w:w="1140" w:type="dxa"/>
            <w:vAlign w:val="bottom"/>
            <w:gridSpan w:val="2"/>
            <w:shd w:val="clear" w:color="auto" w:fill="CCEEFF"/>
          </w:tcPr>
          <w:p>
            <w:pPr>
              <w:jc w:val="center"/>
              <w:ind w:right="300"/>
              <w:spacing w:after="0" w:line="149" w:lineRule="exact"/>
              <w:rPr>
                <w:sz w:val="20"/>
                <w:szCs w:val="20"/>
                <w:color w:val="auto"/>
              </w:rPr>
            </w:pPr>
            <w:r>
              <w:rPr>
                <w:rFonts w:ascii="Arial" w:cs="Arial" w:eastAsia="Arial" w:hAnsi="Arial"/>
                <w:sz w:val="14"/>
                <w:szCs w:val="14"/>
                <w:color w:val="auto"/>
                <w:w w:val="98"/>
              </w:rPr>
              <w:t>$163,995,250</w:t>
            </w:r>
          </w:p>
        </w:tc>
        <w:tc>
          <w:tcPr>
            <w:tcW w:w="10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58"/>
        </w:trPr>
        <w:tc>
          <w:tcPr>
            <w:tcW w:w="4600" w:type="dxa"/>
            <w:vAlign w:val="bottom"/>
          </w:tcPr>
          <w:p>
            <w:pPr>
              <w:spacing w:after="0" w:line="158" w:lineRule="exact"/>
              <w:rPr>
                <w:sz w:val="20"/>
                <w:szCs w:val="20"/>
                <w:color w:val="auto"/>
              </w:rPr>
            </w:pPr>
            <w:r>
              <w:rPr>
                <w:rFonts w:ascii="Arial" w:cs="Arial" w:eastAsia="Arial" w:hAnsi="Arial"/>
                <w:sz w:val="14"/>
                <w:szCs w:val="14"/>
                <w:color w:val="auto"/>
              </w:rPr>
              <w:t>New investors</w:t>
            </w:r>
          </w:p>
        </w:tc>
        <w:tc>
          <w:tcPr>
            <w:tcW w:w="102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9,000,000</w:t>
            </w:r>
          </w:p>
        </w:tc>
        <w:tc>
          <w:tcPr>
            <w:tcW w:w="8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12%</w:t>
            </w:r>
          </w:p>
        </w:tc>
        <w:tc>
          <w:tcPr>
            <w:tcW w:w="1140" w:type="dxa"/>
            <w:vAlign w:val="bottom"/>
            <w:gridSpan w:val="2"/>
          </w:tcPr>
          <w:p>
            <w:pPr>
              <w:jc w:val="center"/>
              <w:ind w:right="300"/>
              <w:spacing w:after="0" w:line="158"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180,000,000</w:t>
            </w:r>
          </w:p>
        </w:tc>
        <w:tc>
          <w:tcPr>
            <w:tcW w:w="10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52%</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3"/>
        </w:trPr>
        <w:tc>
          <w:tcPr>
            <w:tcW w:w="4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Totals</w:t>
            </w:r>
          </w:p>
        </w:tc>
        <w:tc>
          <w:tcPr>
            <w:tcW w:w="10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w w:val="99"/>
              </w:rPr>
              <w:t>72,460,881</w:t>
            </w:r>
          </w:p>
        </w:tc>
        <w:tc>
          <w:tcPr>
            <w:tcW w:w="8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center"/>
              <w:ind w:right="300"/>
              <w:spacing w:after="0" w:line="158" w:lineRule="exact"/>
              <w:rPr>
                <w:sz w:val="20"/>
                <w:szCs w:val="20"/>
                <w:color w:val="auto"/>
              </w:rPr>
            </w:pPr>
            <w:r>
              <w:rPr>
                <w:rFonts w:ascii="Arial" w:cs="Arial" w:eastAsia="Arial" w:hAnsi="Arial"/>
                <w:sz w:val="14"/>
                <w:szCs w:val="14"/>
                <w:color w:val="auto"/>
                <w:w w:val="98"/>
              </w:rPr>
              <w:t>$343,995,250</w:t>
            </w:r>
          </w:p>
        </w:tc>
        <w:tc>
          <w:tcPr>
            <w:tcW w:w="10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Sales by the selling stockholders in this offering will reduce the number of shares held by existing stockholders to 60,445,191, or approximately 83% of the total shares of common stock outstanding after this offering, and will increase the number of shares held by new investors to 12,015,690, or approximately 17% of the total shares of common stock outstanding after this offering.</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of our common stock from certain selling stockholders. If the underwriters’ option to purchase additional shares of our common stock were exercised in full, our existing stockholders would own approximately 81% and our new investors would own approximately 19% of the total number of shares of our common stock outstanding upon completion of this offering.</w:t>
      </w:r>
    </w:p>
    <w:p>
      <w:pPr>
        <w:spacing w:after="0" w:line="172"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The number of shares of our common stock that will be outstanding after this offering is based on 63,460,881 shares of our common stock (including the preferred stock issued in November 2020 upon the exercise of a warrant to purchase Series B preferred stock, the Capital Stock Conversion and the 466,389 shares of common stock to be issued upon the exercise of options to purchase shares of our common stock by certain selling stockholders in connection with this offering) outstanding as of September 30, 2020, and excludes:</w:t>
      </w:r>
    </w:p>
    <w:p>
      <w:pPr>
        <w:spacing w:after="0" w:line="91" w:lineRule="exact"/>
        <w:rPr>
          <w:sz w:val="20"/>
          <w:szCs w:val="20"/>
          <w:color w:val="auto"/>
        </w:rPr>
      </w:pPr>
    </w:p>
    <w:p>
      <w:pPr>
        <w:ind w:left="1660" w:right="62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18,889,653 shares of our common stock issuable upon the exercise of options to purchase shares of our common stock outstanding as of September 30, 2020, with a weighted-average exercise price of $3.17 per share;</w:t>
      </w:r>
    </w:p>
    <w:p>
      <w:pPr>
        <w:spacing w:after="0" w:line="87" w:lineRule="exact"/>
        <w:rPr>
          <w:rFonts w:ascii="Arial" w:cs="Arial" w:eastAsia="Arial" w:hAnsi="Arial"/>
          <w:sz w:val="15"/>
          <w:szCs w:val="15"/>
          <w:color w:val="auto"/>
        </w:rPr>
      </w:pPr>
    </w:p>
    <w:p>
      <w:pPr>
        <w:ind w:left="1660" w:right="42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319,669 shares of our common stock issuable upon the exercise of warrants outstanding as of September 30, 2020, with a weighted-average exercise price of $1.77 per share;</w:t>
      </w:r>
    </w:p>
    <w:p>
      <w:pPr>
        <w:spacing w:after="0" w:line="8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1,540,938 shares of common stock issuable upon the exercise of options to purchase shares of our common stock issued after September 30, 2020, with a weighted-average exercise price of $15.16 per share;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10,765,271 shares of our common stock reserved for future issuance under our equity compensation plans, consisting of:</w:t>
      </w:r>
    </w:p>
    <w:p>
      <w:pPr>
        <w:spacing w:after="0" w:line="97" w:lineRule="exact"/>
        <w:rPr>
          <w:rFonts w:ascii="Arial" w:cs="Arial" w:eastAsia="Arial" w:hAnsi="Arial"/>
          <w:sz w:val="15"/>
          <w:szCs w:val="15"/>
          <w:color w:val="auto"/>
        </w:rPr>
      </w:pPr>
    </w:p>
    <w:p>
      <w:pPr>
        <w:ind w:left="2020" w:right="140" w:hanging="351"/>
        <w:spacing w:after="0" w:line="245" w:lineRule="auto"/>
        <w:tabs>
          <w:tab w:leader="none" w:pos="2020" w:val="left"/>
        </w:tabs>
        <w:numPr>
          <w:ilvl w:val="1"/>
          <w:numId w:val="51"/>
        </w:numPr>
        <w:rPr>
          <w:rFonts w:ascii="Arial" w:cs="Arial" w:eastAsia="Arial" w:hAnsi="Arial"/>
          <w:sz w:val="15"/>
          <w:szCs w:val="15"/>
          <w:color w:val="auto"/>
        </w:rPr>
      </w:pPr>
      <w:r>
        <w:rPr>
          <w:rFonts w:ascii="Arial" w:cs="Arial" w:eastAsia="Arial" w:hAnsi="Arial"/>
          <w:sz w:val="15"/>
          <w:szCs w:val="15"/>
          <w:color w:val="auto"/>
        </w:rPr>
        <w:t>5,520,000 shares of our common stock reserved for future issuance under our 2020 Plan, which became effective prior to the completion of this offering;</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0220"/>
          </w:cols>
          <w:pgMar w:left="320" w:top="407" w:right="135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2020" w:right="339" w:hanging="351"/>
        <w:spacing w:after="0" w:line="245" w:lineRule="auto"/>
        <w:tabs>
          <w:tab w:leader="none" w:pos="20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3,865,271 shares of our common stock reserved for future issuance under our 2012 Plan, provided that we will cease granting awards under our 2012 Plan upon the effectiveness of the 2020 Plan; and</w:t>
      </w:r>
    </w:p>
    <w:p>
      <w:pPr>
        <w:spacing w:after="0" w:line="87" w:lineRule="exact"/>
        <w:rPr>
          <w:rFonts w:ascii="Arial" w:cs="Arial" w:eastAsia="Arial" w:hAnsi="Arial"/>
          <w:sz w:val="15"/>
          <w:szCs w:val="15"/>
          <w:color w:val="auto"/>
        </w:rPr>
      </w:pPr>
    </w:p>
    <w:p>
      <w:pPr>
        <w:ind w:left="2020" w:right="99" w:hanging="351"/>
        <w:spacing w:after="0" w:line="245" w:lineRule="auto"/>
        <w:tabs>
          <w:tab w:leader="none" w:pos="20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1,380,000 shares of our common stock reserved for future issuance under our ESPP, which became effective prior to the completion of this offering.</w:t>
      </w:r>
    </w:p>
    <w:p>
      <w:pPr>
        <w:spacing w:after="0" w:line="166" w:lineRule="exact"/>
        <w:rPr>
          <w:sz w:val="20"/>
          <w:szCs w:val="20"/>
          <w:color w:val="auto"/>
        </w:rPr>
      </w:pPr>
    </w:p>
    <w:p>
      <w:pPr>
        <w:ind w:left="1020" w:right="19" w:firstLine="460"/>
        <w:spacing w:after="0" w:line="238" w:lineRule="auto"/>
        <w:rPr>
          <w:sz w:val="20"/>
          <w:szCs w:val="20"/>
          <w:color w:val="auto"/>
        </w:rPr>
      </w:pPr>
      <w:r>
        <w:rPr>
          <w:rFonts w:ascii="Arial" w:cs="Arial" w:eastAsia="Arial" w:hAnsi="Arial"/>
          <w:sz w:val="15"/>
          <w:szCs w:val="15"/>
          <w:color w:val="auto"/>
        </w:rPr>
        <w:t>Each of our 2020 Plan and our ESPP provides for annual automatic increases in the number of shares reserved thereunder, and our 2020 Plan also provides for increases to the number of shares that may be granted thereunder based on shares under our 2012 Plan that expire, are forfeited, or otherwise repurchased by us, as more fully described in the section titled “Executive Compensation— Employee Benefit and Stock Plans.”</w:t>
      </w:r>
    </w:p>
    <w:p>
      <w:pPr>
        <w:spacing w:after="0" w:line="172" w:lineRule="exact"/>
        <w:rPr>
          <w:sz w:val="20"/>
          <w:szCs w:val="20"/>
          <w:color w:val="auto"/>
        </w:rPr>
      </w:pPr>
    </w:p>
    <w:p>
      <w:pPr>
        <w:ind w:left="1020" w:right="279" w:firstLine="460"/>
        <w:spacing w:after="0" w:line="245" w:lineRule="auto"/>
        <w:rPr>
          <w:sz w:val="20"/>
          <w:szCs w:val="20"/>
          <w:color w:val="auto"/>
        </w:rPr>
      </w:pPr>
      <w:r>
        <w:rPr>
          <w:rFonts w:ascii="Arial" w:cs="Arial" w:eastAsia="Arial" w:hAnsi="Arial"/>
          <w:sz w:val="15"/>
          <w:szCs w:val="15"/>
          <w:color w:val="auto"/>
        </w:rPr>
        <w:t>To the extent that any outstanding options to purchase our common stock are exercised, or new awards are granted under our equity compensation plans, there will be further dilution to investors participating in this offering.</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0139"/>
          </w:cols>
          <w:pgMar w:left="320" w:top="407" w:right="1440"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500"/>
        <w:spacing w:after="0"/>
        <w:rPr>
          <w:sz w:val="20"/>
          <w:szCs w:val="20"/>
          <w:color w:val="auto"/>
        </w:rPr>
      </w:pPr>
      <w:r>
        <w:rPr>
          <w:rFonts w:ascii="Arial" w:cs="Arial" w:eastAsia="Arial" w:hAnsi="Arial"/>
          <w:sz w:val="15"/>
          <w:szCs w:val="15"/>
          <w:b w:val="1"/>
          <w:bCs w:val="1"/>
          <w:color w:val="auto"/>
        </w:rPr>
        <w:t>SELECTED CONSOLIDATED FINANCIAL AND OTHER DATA</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following selected consolidated statements of operations data for the years ended December 31, 2017, 2018 and 2019 and the consolidated balance sheet data as of December 31, 2018 and 2019 have been derived from our audited consolidated financial statements included elsewhere in this prospectus. The selected consolidated statements of operations data for the nine months ended September 30, 2019 and 2020 and the consolidated balance sheet data as of September 30, 2020 have been derived from our unaudited interim consolidated financial statements included elsewhere in this prospectus. We have prepared the unaudited interim consolidated financial statements on the same basis as the audited consolidated financial statements and have included all adjustments, consisting only of normal recurring adjustments that, in our opinion, are necessary to state fairly the financial information set forth in those statements. Our historical results are not necessarily indicative of the results that may be expected in the future. You should read the following selected consolidated financial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33"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Consolidated Statements of Operations Data</w:t>
      </w: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3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 except share and per share amounts)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00" w:type="dxa"/>
            <w:vAlign w:val="bottom"/>
            <w:gridSpan w:val="8"/>
          </w:tcPr>
          <w:p>
            <w:pPr>
              <w:jc w:val="center"/>
              <w:ind w:right="400"/>
              <w:spacing w:after="0"/>
              <w:rPr>
                <w:sz w:val="20"/>
                <w:szCs w:val="20"/>
                <w:color w:val="auto"/>
              </w:rPr>
            </w:pPr>
            <w:r>
              <w:rPr>
                <w:rFonts w:ascii="Arial" w:cs="Arial" w:eastAsia="Arial" w:hAnsi="Arial"/>
                <w:sz w:val="12"/>
                <w:szCs w:val="12"/>
                <w:b w:val="1"/>
                <w:bCs w:val="1"/>
                <w:color w:val="auto"/>
                <w:w w:val="99"/>
              </w:rPr>
              <w:t>Year Ended December 31,</w:t>
            </w:r>
          </w:p>
        </w:tc>
        <w:tc>
          <w:tcPr>
            <w:tcW w:w="60" w:type="dxa"/>
            <w:vAlign w:val="bottom"/>
          </w:tcPr>
          <w:p>
            <w:pPr>
              <w:spacing w:after="0"/>
              <w:rPr>
                <w:sz w:val="12"/>
                <w:szCs w:val="12"/>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300" w:type="dxa"/>
            <w:vAlign w:val="bottom"/>
            <w:tcBorders>
              <w:bottom w:val="single" w:sz="8" w:color="CCEEFF"/>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2017</w:t>
            </w:r>
          </w:p>
        </w:tc>
        <w:tc>
          <w:tcPr>
            <w:tcW w:w="18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2018</w:t>
            </w:r>
          </w:p>
        </w:tc>
        <w:tc>
          <w:tcPr>
            <w:tcW w:w="3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2019</w:t>
            </w:r>
          </w:p>
        </w:tc>
        <w:tc>
          <w:tcPr>
            <w:tcW w:w="32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40"/>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300" w:type="dxa"/>
            <w:vAlign w:val="bottom"/>
            <w:shd w:val="clear" w:color="auto" w:fill="CCEEFF"/>
          </w:tcPr>
          <w:p>
            <w:pPr>
              <w:spacing w:after="0" w:line="115" w:lineRule="exact"/>
              <w:rPr>
                <w:sz w:val="20"/>
                <w:szCs w:val="20"/>
                <w:color w:val="auto"/>
              </w:rPr>
            </w:pPr>
            <w:r>
              <w:rPr>
                <w:rFonts w:ascii="Arial" w:cs="Arial" w:eastAsia="Arial" w:hAnsi="Arial"/>
                <w:sz w:val="12"/>
                <w:szCs w:val="12"/>
                <w:color w:val="auto"/>
              </w:rPr>
              <w:t>Revenue:</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00" w:type="dxa"/>
            <w:vAlign w:val="bottom"/>
          </w:tcPr>
          <w:p>
            <w:pPr>
              <w:ind w:left="240"/>
              <w:spacing w:after="0" w:line="136" w:lineRule="exact"/>
              <w:rPr>
                <w:sz w:val="20"/>
                <w:szCs w:val="20"/>
                <w:color w:val="auto"/>
              </w:rPr>
            </w:pPr>
            <w:r>
              <w:rPr>
                <w:rFonts w:ascii="Arial" w:cs="Arial" w:eastAsia="Arial" w:hAnsi="Arial"/>
                <w:sz w:val="12"/>
                <w:szCs w:val="12"/>
                <w:color w:val="auto"/>
              </w:rPr>
              <w:t>Revenue from fees, net</w:t>
            </w:r>
          </w:p>
        </w:tc>
        <w:tc>
          <w:tcPr>
            <w:tcW w:w="26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51,161</w:t>
            </w:r>
          </w:p>
        </w:tc>
        <w:tc>
          <w:tcPr>
            <w:tcW w:w="2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88,482</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36" w:lineRule="exact"/>
              <w:rPr>
                <w:sz w:val="20"/>
                <w:szCs w:val="20"/>
                <w:color w:val="auto"/>
              </w:rPr>
            </w:pPr>
            <w:r>
              <w:rPr>
                <w:rFonts w:ascii="Arial" w:cs="Arial" w:eastAsia="Arial" w:hAnsi="Arial"/>
                <w:sz w:val="12"/>
                <w:szCs w:val="12"/>
                <w:color w:val="auto"/>
              </w:rPr>
              <w:t>159,847</w:t>
            </w:r>
          </w:p>
        </w:tc>
        <w:tc>
          <w:tcPr>
            <w:tcW w:w="3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98,699</w:t>
            </w:r>
          </w:p>
        </w:tc>
        <w:tc>
          <w:tcPr>
            <w:tcW w:w="220" w:type="dxa"/>
            <w:vAlign w:val="bottom"/>
            <w:gridSpan w:val="2"/>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144,179</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Interest income and fair value adjustments,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6,128</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10,831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4,342</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2,918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2,527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300" w:type="dxa"/>
            <w:vAlign w:val="bottom"/>
          </w:tcPr>
          <w:p>
            <w:pPr>
              <w:ind w:left="480"/>
              <w:spacing w:after="0"/>
              <w:rPr>
                <w:sz w:val="20"/>
                <w:szCs w:val="20"/>
                <w:color w:val="auto"/>
              </w:rPr>
            </w:pPr>
            <w:r>
              <w:rPr>
                <w:rFonts w:ascii="Arial" w:cs="Arial" w:eastAsia="Arial" w:hAnsi="Arial"/>
                <w:sz w:val="12"/>
                <w:szCs w:val="12"/>
                <w:color w:val="auto"/>
              </w:rPr>
              <w:t>Total revenue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57,289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99,313</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164,189</w:t>
            </w: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101,617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146,706</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Operating expenses:</w:t>
            </w: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00" w:type="dxa"/>
            <w:vAlign w:val="bottom"/>
          </w:tcPr>
          <w:p>
            <w:pPr>
              <w:ind w:left="240"/>
              <w:spacing w:after="0" w:line="136" w:lineRule="exact"/>
              <w:rPr>
                <w:sz w:val="20"/>
                <w:szCs w:val="20"/>
                <w:color w:val="auto"/>
              </w:rPr>
            </w:pPr>
            <w:r>
              <w:rPr>
                <w:rFonts w:ascii="Arial" w:cs="Arial" w:eastAsia="Arial" w:hAnsi="Arial"/>
                <w:sz w:val="10"/>
                <w:szCs w:val="10"/>
                <w:color w:val="auto"/>
              </w:rPr>
              <w:t>Sales and marketing</w:t>
            </w:r>
            <w:r>
              <w:rPr>
                <w:rFonts w:ascii="Arial" w:cs="Arial" w:eastAsia="Arial" w:hAnsi="Arial"/>
                <w:sz w:val="15"/>
                <w:szCs w:val="15"/>
                <w:color w:val="auto"/>
                <w:vertAlign w:val="superscript"/>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33,838</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63,633</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93,175</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61,236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65,113</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Customer operations</w:t>
            </w:r>
            <w:r>
              <w:rPr>
                <w:rFonts w:ascii="Arial" w:cs="Arial" w:eastAsia="Arial" w:hAnsi="Arial"/>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10,232</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15,416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24,947</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16,593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24,792</w:t>
            </w:r>
          </w:p>
        </w:tc>
        <w:tc>
          <w:tcPr>
            <w:tcW w:w="0" w:type="dxa"/>
            <w:vAlign w:val="bottom"/>
          </w:tcPr>
          <w:p>
            <w:pPr>
              <w:spacing w:after="0"/>
              <w:rPr>
                <w:sz w:val="1"/>
                <w:szCs w:val="1"/>
                <w:color w:val="auto"/>
              </w:rPr>
            </w:pPr>
          </w:p>
        </w:tc>
      </w:tr>
      <w:tr>
        <w:trPr>
          <w:trHeight w:val="135"/>
        </w:trPr>
        <w:tc>
          <w:tcPr>
            <w:tcW w:w="4300" w:type="dxa"/>
            <w:vAlign w:val="bottom"/>
          </w:tcPr>
          <w:p>
            <w:pPr>
              <w:ind w:left="240"/>
              <w:spacing w:after="0" w:line="136" w:lineRule="exact"/>
              <w:rPr>
                <w:sz w:val="20"/>
                <w:szCs w:val="20"/>
                <w:color w:val="auto"/>
              </w:rPr>
            </w:pPr>
            <w:r>
              <w:rPr>
                <w:rFonts w:ascii="Arial" w:cs="Arial" w:eastAsia="Arial" w:hAnsi="Arial"/>
                <w:sz w:val="10"/>
                <w:szCs w:val="10"/>
                <w:color w:val="auto"/>
              </w:rPr>
              <w:t>Engineering and product development</w:t>
            </w:r>
            <w:r>
              <w:rPr>
                <w:rFonts w:ascii="Arial" w:cs="Arial" w:eastAsia="Arial" w:hAnsi="Arial"/>
                <w:sz w:val="15"/>
                <w:szCs w:val="15"/>
                <w:color w:val="auto"/>
                <w:vertAlign w:val="superscript"/>
              </w:rPr>
              <w:t>(1)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5,324</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8,415</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18,777</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11,480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24,651</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ind w:left="240"/>
              <w:spacing w:after="0" w:line="136" w:lineRule="exact"/>
              <w:rPr>
                <w:sz w:val="20"/>
                <w:szCs w:val="20"/>
                <w:color w:val="auto"/>
              </w:rPr>
            </w:pPr>
            <w:r>
              <w:rPr>
                <w:rFonts w:ascii="Arial" w:cs="Arial" w:eastAsia="Arial" w:hAnsi="Arial"/>
                <w:sz w:val="10"/>
                <w:szCs w:val="10"/>
                <w:color w:val="auto"/>
              </w:rPr>
              <w:t>General, administrative, and other</w:t>
            </w:r>
            <w:r>
              <w:rPr>
                <w:rFonts w:ascii="Arial" w:cs="Arial" w:eastAsia="Arial" w:hAnsi="Arial"/>
                <w:sz w:val="15"/>
                <w:szCs w:val="15"/>
                <w:color w:val="auto"/>
                <w:vertAlign w:val="superscript"/>
              </w:rPr>
              <w:t>(1)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15,431</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19,820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31,865</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20,399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30,778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300" w:type="dxa"/>
            <w:vAlign w:val="bottom"/>
          </w:tcPr>
          <w:p>
            <w:pPr>
              <w:ind w:left="480"/>
              <w:spacing w:after="0"/>
              <w:rPr>
                <w:sz w:val="20"/>
                <w:szCs w:val="20"/>
                <w:color w:val="auto"/>
              </w:rPr>
            </w:pPr>
            <w:r>
              <w:rPr>
                <w:rFonts w:ascii="Arial" w:cs="Arial" w:eastAsia="Arial" w:hAnsi="Arial"/>
                <w:sz w:val="12"/>
                <w:szCs w:val="12"/>
                <w:color w:val="auto"/>
              </w:rPr>
              <w:t>Total operating expenses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64,825</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rPr>
              <w:t>107,284</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168,764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109,708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145,334</w:t>
            </w:r>
          </w:p>
        </w:tc>
        <w:tc>
          <w:tcPr>
            <w:tcW w:w="0" w:type="dxa"/>
            <w:vAlign w:val="bottom"/>
          </w:tcPr>
          <w:p>
            <w:pPr>
              <w:spacing w:after="0"/>
              <w:rPr>
                <w:sz w:val="1"/>
                <w:szCs w:val="1"/>
                <w:color w:val="auto"/>
              </w:rPr>
            </w:pPr>
          </w:p>
        </w:tc>
      </w:tr>
      <w:tr>
        <w:trPr>
          <w:trHeight w:val="23"/>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(Loss) income from operations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(7,536)</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(7,971)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(4,575)</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(8,091)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135"/>
        </w:trPr>
        <w:tc>
          <w:tcPr>
            <w:tcW w:w="4300" w:type="dxa"/>
            <w:vAlign w:val="bottom"/>
          </w:tcPr>
          <w:p>
            <w:pPr>
              <w:spacing w:after="0" w:line="136" w:lineRule="exact"/>
              <w:rPr>
                <w:sz w:val="20"/>
                <w:szCs w:val="20"/>
                <w:color w:val="auto"/>
              </w:rPr>
            </w:pPr>
            <w:r>
              <w:rPr>
                <w:rFonts w:ascii="Arial" w:cs="Arial" w:eastAsia="Arial" w:hAnsi="Arial"/>
                <w:sz w:val="12"/>
                <w:szCs w:val="12"/>
                <w:color w:val="auto"/>
              </w:rPr>
              <w:t>Other income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line="136" w:lineRule="exact"/>
              <w:rPr>
                <w:sz w:val="20"/>
                <w:szCs w:val="20"/>
                <w:color w:val="auto"/>
              </w:rPr>
            </w:pPr>
            <w:r>
              <w:rPr>
                <w:rFonts w:ascii="Arial" w:cs="Arial" w:eastAsia="Arial" w:hAnsi="Arial"/>
                <w:sz w:val="12"/>
                <w:szCs w:val="12"/>
                <w:color w:val="auto"/>
              </w:rPr>
              <w:t>330</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487</w:t>
            </w:r>
          </w:p>
        </w:tc>
        <w:tc>
          <w:tcPr>
            <w:tcW w:w="80" w:type="dxa"/>
            <w:vAlign w:val="bottom"/>
          </w:tcPr>
          <w:p>
            <w:pPr>
              <w:spacing w:after="0"/>
              <w:rPr>
                <w:sz w:val="11"/>
                <w:szCs w:val="11"/>
                <w:color w:val="auto"/>
              </w:rPr>
            </w:pPr>
          </w:p>
        </w:tc>
        <w:tc>
          <w:tcPr>
            <w:tcW w:w="920" w:type="dxa"/>
            <w:vAlign w:val="bottom"/>
            <w:gridSpan w:val="2"/>
          </w:tcPr>
          <w:p>
            <w:pPr>
              <w:jc w:val="right"/>
              <w:ind w:right="320"/>
              <w:spacing w:after="0" w:line="136" w:lineRule="exact"/>
              <w:rPr>
                <w:sz w:val="20"/>
                <w:szCs w:val="20"/>
                <w:color w:val="auto"/>
              </w:rPr>
            </w:pPr>
            <w:r>
              <w:rPr>
                <w:rFonts w:ascii="Arial" w:cs="Arial" w:eastAsia="Arial" w:hAnsi="Arial"/>
                <w:sz w:val="12"/>
                <w:szCs w:val="12"/>
                <w:color w:val="auto"/>
              </w:rPr>
              <w:t>1,036</w:t>
            </w:r>
          </w:p>
        </w:tc>
        <w:tc>
          <w:tcPr>
            <w:tcW w:w="60" w:type="dxa"/>
            <w:vAlign w:val="bottom"/>
          </w:tcPr>
          <w:p>
            <w:pPr>
              <w:spacing w:after="0"/>
              <w:rPr>
                <w:sz w:val="11"/>
                <w:szCs w:val="11"/>
                <w:color w:val="auto"/>
              </w:rPr>
            </w:pPr>
          </w:p>
        </w:tc>
        <w:tc>
          <w:tcPr>
            <w:tcW w:w="7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832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5,497</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Expense on warrants and convertible notes, net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(1,649)</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(3,734)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(1,407)</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(2,626)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(2,317)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300" w:type="dxa"/>
            <w:vAlign w:val="bottom"/>
          </w:tcPr>
          <w:p>
            <w:pPr>
              <w:spacing w:after="0"/>
              <w:rPr>
                <w:sz w:val="20"/>
                <w:szCs w:val="20"/>
                <w:color w:val="auto"/>
              </w:rPr>
            </w:pPr>
            <w:r>
              <w:rPr>
                <w:rFonts w:ascii="Arial" w:cs="Arial" w:eastAsia="Arial" w:hAnsi="Arial"/>
                <w:sz w:val="12"/>
                <w:szCs w:val="12"/>
                <w:color w:val="auto"/>
              </w:rPr>
              <w:t>Net (loss) income before income taxes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(8,855)</w:t>
            </w:r>
          </w:p>
        </w:tc>
        <w:tc>
          <w:tcPr>
            <w:tcW w:w="20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(11,218)</w:t>
            </w:r>
          </w:p>
        </w:tc>
        <w:tc>
          <w:tcPr>
            <w:tcW w:w="8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(4,946)</w:t>
            </w: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4,552</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Provision for income taxes</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6</w:t>
            </w: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74</w:t>
            </w:r>
          </w:p>
        </w:tc>
        <w:tc>
          <w:tcPr>
            <w:tcW w:w="32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ind w:left="420"/>
              <w:spacing w:after="0" w:line="136"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00" w:type="dxa"/>
            <w:vAlign w:val="bottom"/>
          </w:tcPr>
          <w:p>
            <w:pPr>
              <w:spacing w:after="0"/>
              <w:rPr>
                <w:sz w:val="20"/>
                <w:szCs w:val="20"/>
                <w:color w:val="auto"/>
              </w:rPr>
            </w:pPr>
            <w:r>
              <w:rPr>
                <w:rFonts w:ascii="Arial" w:cs="Arial" w:eastAsia="Arial" w:hAnsi="Arial"/>
                <w:sz w:val="12"/>
                <w:szCs w:val="12"/>
                <w:color w:val="auto"/>
              </w:rPr>
              <w:t>Net (loss) income before attribution to noncontrolling interests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(8,861)</w:t>
            </w:r>
          </w:p>
        </w:tc>
        <w:tc>
          <w:tcPr>
            <w:tcW w:w="20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(11,218)</w:t>
            </w:r>
          </w:p>
        </w:tc>
        <w:tc>
          <w:tcPr>
            <w:tcW w:w="80" w:type="dxa"/>
            <w:vAlign w:val="bottom"/>
          </w:tcPr>
          <w:p>
            <w:pPr>
              <w:spacing w:after="0"/>
              <w:rPr>
                <w:sz w:val="11"/>
                <w:szCs w:val="11"/>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(5,020)</w:t>
            </w:r>
          </w:p>
        </w:tc>
        <w:tc>
          <w:tcPr>
            <w:tcW w:w="6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4,552</w:t>
            </w:r>
          </w:p>
        </w:tc>
        <w:tc>
          <w:tcPr>
            <w:tcW w:w="0" w:type="dxa"/>
            <w:vAlign w:val="bottom"/>
          </w:tcPr>
          <w:p>
            <w:pPr>
              <w:spacing w:after="0"/>
              <w:rPr>
                <w:sz w:val="1"/>
                <w:szCs w:val="1"/>
                <w:color w:val="auto"/>
              </w:rPr>
            </w:pPr>
          </w:p>
        </w:tc>
      </w:tr>
      <w:tr>
        <w:trPr>
          <w:trHeight w:val="135"/>
        </w:trPr>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(loss) income attributable to noncontrolling interests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(1,144)</w:t>
            </w:r>
          </w:p>
        </w:tc>
        <w:tc>
          <w:tcPr>
            <w:tcW w:w="200" w:type="dxa"/>
            <w:vAlign w:val="bottom"/>
            <w:tcBorders>
              <w:right w:val="single" w:sz="8" w:color="CCEEFF"/>
            </w:tcBorders>
            <w:shd w:val="clear" w:color="auto" w:fill="CCEEFF"/>
          </w:tcPr>
          <w:p>
            <w:pPr>
              <w:spacing w:after="0"/>
              <w:rPr>
                <w:sz w:val="11"/>
                <w:szCs w:val="11"/>
                <w:color w:val="auto"/>
              </w:rPr>
            </w:pPr>
          </w:p>
        </w:tc>
        <w:tc>
          <w:tcPr>
            <w:tcW w:w="92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1,101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80"/>
              <w:spacing w:after="0" w:line="136" w:lineRule="exact"/>
              <w:rPr>
                <w:sz w:val="20"/>
                <w:szCs w:val="20"/>
                <w:color w:val="auto"/>
              </w:rPr>
            </w:pPr>
            <w:r>
              <w:rPr>
                <w:rFonts w:ascii="Arial" w:cs="Arial" w:eastAsia="Arial" w:hAnsi="Arial"/>
                <w:sz w:val="12"/>
                <w:szCs w:val="12"/>
                <w:color w:val="auto"/>
              </w:rPr>
              <w:t>(4,554)</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(3,368)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(404)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300" w:type="dxa"/>
            <w:vAlign w:val="bottom"/>
          </w:tcPr>
          <w:p>
            <w:pPr>
              <w:spacing w:after="0"/>
              <w:rPr>
                <w:sz w:val="20"/>
                <w:szCs w:val="20"/>
                <w:color w:val="auto"/>
              </w:rPr>
            </w:pPr>
            <w:r>
              <w:rPr>
                <w:rFonts w:ascii="Arial" w:cs="Arial" w:eastAsia="Arial" w:hAnsi="Arial"/>
                <w:sz w:val="12"/>
                <w:szCs w:val="12"/>
                <w:color w:val="auto"/>
              </w:rPr>
              <w:t>Net (loss) income attributable to Upstart Holdings, Inc. common stockholders</w:t>
            </w:r>
          </w:p>
        </w:tc>
        <w:tc>
          <w:tcPr>
            <w:tcW w:w="1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(7,717)</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(12,319)</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tcPr>
          <w:p>
            <w:pPr>
              <w:jc w:val="right"/>
              <w:ind w:right="280"/>
              <w:spacing w:after="0"/>
              <w:rPr>
                <w:sz w:val="20"/>
                <w:szCs w:val="20"/>
                <w:color w:val="auto"/>
              </w:rPr>
            </w:pPr>
            <w:r>
              <w:rPr>
                <w:rFonts w:ascii="Arial" w:cs="Arial" w:eastAsia="Arial" w:hAnsi="Arial"/>
                <w:sz w:val="12"/>
                <w:szCs w:val="12"/>
                <w:color w:val="auto"/>
              </w:rPr>
              <w:t>(466)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(6,517)</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4,956</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3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Net (loss) income per common share attributable to Upstart Holdings, Inc.</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common stockholders, basic and diluted</w:t>
            </w:r>
            <w:r>
              <w:rPr>
                <w:rFonts w:ascii="Arial" w:cs="Arial" w:eastAsia="Arial" w:hAnsi="Arial"/>
                <w:sz w:val="15"/>
                <w:szCs w:val="15"/>
                <w:color w:val="auto"/>
                <w:vertAlign w:val="superscript"/>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(0.56)</w:t>
            </w: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(0.87)</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(0.03)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Weighted-average number of shares outstanding used in computing net loss</w:t>
            </w: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00" w:type="dxa"/>
            <w:vAlign w:val="bottom"/>
          </w:tcPr>
          <w:p>
            <w:pPr>
              <w:ind w:left="120"/>
              <w:spacing w:after="0" w:line="129" w:lineRule="exact"/>
              <w:rPr>
                <w:sz w:val="20"/>
                <w:szCs w:val="20"/>
                <w:color w:val="auto"/>
              </w:rPr>
            </w:pPr>
            <w:r>
              <w:rPr>
                <w:rFonts w:ascii="Arial" w:cs="Arial" w:eastAsia="Arial" w:hAnsi="Arial"/>
                <w:sz w:val="12"/>
                <w:szCs w:val="12"/>
                <w:color w:val="auto"/>
              </w:rPr>
              <w:t>per share attributable to Upstart Holdings, Inc. common stockholders, basic</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tcPr>
          <w:p>
            <w:pPr>
              <w:ind w:left="120"/>
              <w:spacing w:after="0" w:line="138" w:lineRule="exact"/>
              <w:rPr>
                <w:sz w:val="20"/>
                <w:szCs w:val="20"/>
                <w:color w:val="auto"/>
              </w:rPr>
            </w:pPr>
            <w:r>
              <w:rPr>
                <w:rFonts w:ascii="Arial" w:cs="Arial" w:eastAsia="Arial" w:hAnsi="Arial"/>
                <w:sz w:val="10"/>
                <w:szCs w:val="10"/>
                <w:color w:val="auto"/>
              </w:rPr>
              <w:t>and diluted</w:t>
            </w:r>
            <w:r>
              <w:rPr>
                <w:rFonts w:ascii="Arial" w:cs="Arial" w:eastAsia="Arial" w:hAnsi="Arial"/>
                <w:sz w:val="15"/>
                <w:szCs w:val="15"/>
                <w:color w:val="auto"/>
                <w:vertAlign w:val="superscript"/>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w w:val="96"/>
              </w:rPr>
              <w:t>13,873,810</w:t>
            </w:r>
          </w:p>
        </w:tc>
        <w:tc>
          <w:tcPr>
            <w:tcW w:w="20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14,128,183</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14,335,611</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w w:val="99"/>
              </w:rPr>
              <w:t>14,313,262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14,663,623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Pro forma net income per share attributable to Upstart Holdings, Inc. common</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0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stockholders, basic</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320"/>
              <w:spacing w:after="0" w:line="132" w:lineRule="exact"/>
              <w:rPr>
                <w:sz w:val="20"/>
                <w:szCs w:val="20"/>
                <w:color w:val="auto"/>
              </w:rPr>
            </w:pPr>
            <w:r>
              <w:rPr>
                <w:rFonts w:ascii="Arial" w:cs="Arial" w:eastAsia="Arial" w:hAnsi="Arial"/>
                <w:sz w:val="12"/>
                <w:szCs w:val="12"/>
                <w:color w:val="auto"/>
              </w:rPr>
              <w:t>0.06</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0.11</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Weighted-average number of shares used to compute pro forma net income</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300" w:type="dxa"/>
            <w:vAlign w:val="bottom"/>
          </w:tcPr>
          <w:p>
            <w:pPr>
              <w:ind w:left="120"/>
              <w:spacing w:after="0" w:line="132" w:lineRule="exact"/>
              <w:rPr>
                <w:sz w:val="20"/>
                <w:szCs w:val="20"/>
                <w:color w:val="auto"/>
              </w:rPr>
            </w:pPr>
            <w:r>
              <w:rPr>
                <w:rFonts w:ascii="Arial" w:cs="Arial" w:eastAsia="Arial" w:hAnsi="Arial"/>
                <w:sz w:val="12"/>
                <w:szCs w:val="12"/>
                <w:color w:val="auto"/>
              </w:rPr>
              <w:t>per share attributable to Upstart Holdings, Inc. common stockholders, basic</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w w:val="96"/>
              </w:rPr>
              <w:t>62,249,893</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w w:val="96"/>
              </w:rPr>
              <w:t>62,613,408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3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Pro forma net income per share attributable to Upstart Holdings, Inc. common</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300" w:type="dxa"/>
            <w:vAlign w:val="bottom"/>
            <w:shd w:val="clear" w:color="auto" w:fill="CCEEFF"/>
          </w:tcPr>
          <w:p>
            <w:pPr>
              <w:ind w:left="120"/>
              <w:spacing w:after="0" w:line="138" w:lineRule="exact"/>
              <w:rPr>
                <w:sz w:val="20"/>
                <w:szCs w:val="20"/>
                <w:color w:val="auto"/>
              </w:rPr>
            </w:pPr>
            <w:r>
              <w:rPr>
                <w:rFonts w:ascii="Arial" w:cs="Arial" w:eastAsia="Arial" w:hAnsi="Arial"/>
                <w:sz w:val="10"/>
                <w:szCs w:val="10"/>
                <w:color w:val="auto"/>
              </w:rPr>
              <w:t>stockholders, diluted</w:t>
            </w:r>
            <w:r>
              <w:rPr>
                <w:rFonts w:ascii="Arial" w:cs="Arial" w:eastAsia="Arial" w:hAnsi="Arial"/>
                <w:sz w:val="15"/>
                <w:szCs w:val="15"/>
                <w:color w:val="auto"/>
                <w:vertAlign w:val="superscript"/>
              </w:rPr>
              <w:t>(2)</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0.05</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0"/>
        </w:trPr>
        <w:tc>
          <w:tcPr>
            <w:tcW w:w="4300" w:type="dxa"/>
            <w:vAlign w:val="bottom"/>
            <w:vMerge w:val="restart"/>
          </w:tcPr>
          <w:p>
            <w:pPr>
              <w:spacing w:after="0"/>
              <w:rPr>
                <w:sz w:val="20"/>
                <w:szCs w:val="20"/>
                <w:color w:val="auto"/>
              </w:rPr>
            </w:pPr>
            <w:r>
              <w:rPr>
                <w:rFonts w:ascii="Arial" w:cs="Arial" w:eastAsia="Arial" w:hAnsi="Arial"/>
                <w:sz w:val="12"/>
                <w:szCs w:val="12"/>
                <w:color w:val="auto"/>
              </w:rPr>
              <w:t>Weighted-average number of shares used to compute pro forma net income</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00" w:type="dxa"/>
            <w:vAlign w:val="bottom"/>
          </w:tcPr>
          <w:p>
            <w:pPr>
              <w:ind w:left="120"/>
              <w:spacing w:after="0" w:line="129" w:lineRule="exact"/>
              <w:rPr>
                <w:sz w:val="20"/>
                <w:szCs w:val="20"/>
                <w:color w:val="auto"/>
              </w:rPr>
            </w:pPr>
            <w:r>
              <w:rPr>
                <w:rFonts w:ascii="Arial" w:cs="Arial" w:eastAsia="Arial" w:hAnsi="Arial"/>
                <w:sz w:val="12"/>
                <w:szCs w:val="12"/>
                <w:color w:val="auto"/>
              </w:rPr>
              <w:t>per share attributable to Upstart Holdings, Inc. common stockholders,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300" w:type="dxa"/>
            <w:vAlign w:val="bottom"/>
          </w:tcPr>
          <w:p>
            <w:pPr>
              <w:ind w:left="120"/>
              <w:spacing w:after="0" w:line="138" w:lineRule="exact"/>
              <w:rPr>
                <w:sz w:val="20"/>
                <w:szCs w:val="20"/>
                <w:color w:val="auto"/>
              </w:rPr>
            </w:pPr>
            <w:r>
              <w:rPr>
                <w:rFonts w:ascii="Arial" w:cs="Arial" w:eastAsia="Arial" w:hAnsi="Arial"/>
                <w:sz w:val="10"/>
                <w:szCs w:val="10"/>
                <w:color w:val="auto"/>
              </w:rPr>
              <w:t>diluted</w:t>
            </w:r>
            <w:r>
              <w:rPr>
                <w:rFonts w:ascii="Arial" w:cs="Arial" w:eastAsia="Arial" w:hAnsi="Arial"/>
                <w:sz w:val="15"/>
                <w:szCs w:val="15"/>
                <w:color w:val="auto"/>
                <w:vertAlign w:val="superscript"/>
              </w:rPr>
              <w:t>(2)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6"/>
              </w:rPr>
              <w:t>71,497,924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71,733,580</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0220"/>
          </w:cols>
          <w:pgMar w:left="320" w:top="407" w:right="135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480" w:hanging="453"/>
        <w:spacing w:after="0"/>
        <w:tabs>
          <w:tab w:leader="none" w:pos="14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tbl>
      <w:tblPr>
        <w:tblLayout w:type="fixed"/>
        <w:tblInd w:w="1480" w:type="dxa"/>
        <w:tblCellMar>
          <w:top w:w="0" w:type="dxa"/>
          <w:left w:w="0" w:type="dxa"/>
          <w:bottom w:w="0" w:type="dxa"/>
          <w:right w:w="0" w:type="dxa"/>
        </w:tblCellMar>
      </w:tblPr>
      <w:tr>
        <w:trPr>
          <w:trHeight w:val="121"/>
        </w:trPr>
        <w:tc>
          <w:tcPr>
            <w:tcW w:w="39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5"/>
          </w:tcPr>
          <w:p>
            <w:pPr>
              <w:jc w:val="center"/>
              <w:ind w:right="100"/>
              <w:spacing w:after="0" w:line="121" w:lineRule="exact"/>
              <w:rPr>
                <w:sz w:val="20"/>
                <w:szCs w:val="20"/>
                <w:color w:val="auto"/>
              </w:rPr>
            </w:pPr>
            <w:r>
              <w:rPr>
                <w:rFonts w:ascii="Arial" w:cs="Arial" w:eastAsia="Arial" w:hAnsi="Arial"/>
                <w:sz w:val="12"/>
                <w:szCs w:val="12"/>
                <w:b w:val="1"/>
                <w:bCs w:val="1"/>
                <w:color w:val="auto"/>
                <w:w w:val="99"/>
              </w:rPr>
              <w:t>Nine Months</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5"/>
          </w:tcPr>
          <w:p>
            <w:pPr>
              <w:jc w:val="center"/>
              <w:ind w:right="120"/>
              <w:spacing w:after="0" w:line="136" w:lineRule="exact"/>
              <w:rPr>
                <w:sz w:val="20"/>
                <w:szCs w:val="20"/>
                <w:color w:val="auto"/>
              </w:rPr>
            </w:pPr>
            <w:r>
              <w:rPr>
                <w:rFonts w:ascii="Arial" w:cs="Arial" w:eastAsia="Arial" w:hAnsi="Arial"/>
                <w:sz w:val="12"/>
                <w:szCs w:val="12"/>
                <w:b w:val="1"/>
                <w:bCs w:val="1"/>
                <w:color w:val="auto"/>
              </w:rPr>
              <w:t>Ended</w:t>
            </w:r>
          </w:p>
        </w:tc>
        <w:tc>
          <w:tcPr>
            <w:tcW w:w="0" w:type="dxa"/>
            <w:vAlign w:val="bottom"/>
          </w:tcPr>
          <w:p>
            <w:pPr>
              <w:spacing w:after="0"/>
              <w:rPr>
                <w:sz w:val="1"/>
                <w:szCs w:val="1"/>
                <w:color w:val="auto"/>
              </w:rPr>
            </w:pPr>
          </w:p>
        </w:tc>
      </w:tr>
      <w:tr>
        <w:trPr>
          <w:trHeight w:val="145"/>
        </w:trPr>
        <w:tc>
          <w:tcPr>
            <w:tcW w:w="39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9"/>
          </w:tcPr>
          <w:p>
            <w:pPr>
              <w:jc w:val="right"/>
              <w:ind w:right="30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940" w:type="dxa"/>
            <w:vAlign w:val="bottom"/>
            <w:gridSpan w:val="5"/>
          </w:tcPr>
          <w:p>
            <w:pPr>
              <w:jc w:val="center"/>
              <w:ind w:right="12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3940" w:type="dxa"/>
            <w:vAlign w:val="bottom"/>
            <w:tcBorders>
              <w:bottom w:val="single" w:sz="8" w:color="CCEEFF"/>
            </w:tcBorders>
            <w:vMerge w:val="continue"/>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2017</w:t>
            </w:r>
          </w:p>
        </w:tc>
        <w:tc>
          <w:tcPr>
            <w:tcW w:w="1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2018</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97"/>
              </w:rPr>
              <w:t>2019</w:t>
            </w:r>
          </w:p>
        </w:tc>
        <w:tc>
          <w:tcPr>
            <w:tcW w:w="2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4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19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32</w:t>
            </w:r>
          </w:p>
        </w:tc>
        <w:tc>
          <w:tcPr>
            <w:tcW w:w="160" w:type="dxa"/>
            <w:vAlign w:val="bottom"/>
            <w:tcBorders>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183</w:t>
            </w:r>
          </w:p>
        </w:tc>
        <w:tc>
          <w:tcPr>
            <w:tcW w:w="18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278</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157</w:t>
            </w:r>
          </w:p>
        </w:tc>
        <w:tc>
          <w:tcPr>
            <w:tcW w:w="520" w:type="dxa"/>
            <w:vAlign w:val="bottom"/>
            <w:gridSpan w:val="3"/>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394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124</w:t>
            </w:r>
          </w:p>
        </w:tc>
        <w:tc>
          <w:tcPr>
            <w:tcW w:w="160" w:type="dxa"/>
            <w:vAlign w:val="bottom"/>
          </w:tcPr>
          <w:p>
            <w:pPr>
              <w:spacing w:after="0"/>
              <w:rPr>
                <w:sz w:val="11"/>
                <w:szCs w:val="11"/>
                <w:color w:val="auto"/>
              </w:rPr>
            </w:pPr>
          </w:p>
        </w:tc>
        <w:tc>
          <w:tcPr>
            <w:tcW w:w="4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433</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252</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35"/>
        </w:trPr>
        <w:tc>
          <w:tcPr>
            <w:tcW w:w="3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574</w:t>
            </w:r>
          </w:p>
        </w:tc>
        <w:tc>
          <w:tcPr>
            <w:tcW w:w="160" w:type="dxa"/>
            <w:vAlign w:val="bottom"/>
            <w:tcBorders>
              <w:right w:val="single" w:sz="8" w:color="CCEEFF"/>
            </w:tcBorders>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753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1,803</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932</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3,181</w:t>
            </w:r>
          </w:p>
        </w:tc>
        <w:tc>
          <w:tcPr>
            <w:tcW w:w="0" w:type="dxa"/>
            <w:vAlign w:val="bottom"/>
          </w:tcPr>
          <w:p>
            <w:pPr>
              <w:spacing w:after="0"/>
              <w:rPr>
                <w:sz w:val="1"/>
                <w:szCs w:val="1"/>
                <w:color w:val="auto"/>
              </w:rPr>
            </w:pPr>
          </w:p>
        </w:tc>
      </w:tr>
      <w:tr>
        <w:trPr>
          <w:trHeight w:val="135"/>
        </w:trPr>
        <w:tc>
          <w:tcPr>
            <w:tcW w:w="394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1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jc w:val="right"/>
              <w:spacing w:after="0" w:line="136" w:lineRule="exact"/>
              <w:rPr>
                <w:sz w:val="20"/>
                <w:szCs w:val="20"/>
                <w:color w:val="auto"/>
              </w:rPr>
            </w:pPr>
            <w:r>
              <w:rPr>
                <w:rFonts w:ascii="Arial" w:cs="Arial" w:eastAsia="Arial" w:hAnsi="Arial"/>
                <w:sz w:val="12"/>
                <w:szCs w:val="12"/>
                <w:color w:val="auto"/>
              </w:rPr>
              <w:t>560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931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1,292</w:t>
            </w:r>
          </w:p>
        </w:tc>
        <w:tc>
          <w:tcPr>
            <w:tcW w:w="80" w:type="dxa"/>
            <w:vAlign w:val="bottom"/>
          </w:tcPr>
          <w:p>
            <w:pPr>
              <w:spacing w:after="0"/>
              <w:rPr>
                <w:sz w:val="11"/>
                <w:szCs w:val="11"/>
                <w:color w:val="auto"/>
              </w:rPr>
            </w:pPr>
          </w:p>
        </w:tc>
        <w:tc>
          <w:tcPr>
            <w:tcW w:w="42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863</w:t>
            </w:r>
          </w:p>
        </w:tc>
        <w:tc>
          <w:tcPr>
            <w:tcW w:w="52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3"/>
        </w:trPr>
        <w:tc>
          <w:tcPr>
            <w:tcW w:w="3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19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89"/>
              </w:rPr>
              <w:t>$</w:t>
            </w:r>
          </w:p>
        </w:tc>
        <w:tc>
          <w:tcPr>
            <w:tcW w:w="3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1,290</w:t>
            </w: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2,045</w:t>
            </w:r>
          </w:p>
        </w:tc>
        <w:tc>
          <w:tcPr>
            <w:tcW w:w="18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3,806</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89"/>
              </w:rPr>
              <w:t>$</w:t>
            </w:r>
          </w:p>
        </w:tc>
        <w:tc>
          <w:tcPr>
            <w:tcW w:w="42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w w:val="99"/>
              </w:rPr>
              <w:t>2,204</w:t>
            </w:r>
          </w:p>
        </w:tc>
        <w:tc>
          <w:tcPr>
            <w:tcW w:w="520" w:type="dxa"/>
            <w:vAlign w:val="bottom"/>
            <w:gridSpan w:val="3"/>
            <w:shd w:val="clear" w:color="auto" w:fill="CCEEFF"/>
          </w:tcPr>
          <w:p>
            <w:pPr>
              <w:jc w:val="right"/>
              <w:ind w:right="40"/>
              <w:spacing w:after="0" w:line="136" w:lineRule="exact"/>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7,102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480" w:right="60" w:hanging="453"/>
        <w:spacing w:after="0" w:line="241" w:lineRule="auto"/>
        <w:tabs>
          <w:tab w:leader="none" w:pos="14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See Note 16 to our consolidated financial statements for an explanation of the calculations of our basic and diluted net loss per share attributable to Upstart Holdings, Inc. common stockholders, pro forma net income per share attributable to Upstart Holdings, Inc. common stockholders and the weighted-average number of shares used in the computation of the per share amounts.</w:t>
      </w:r>
    </w:p>
    <w:p>
      <w:pPr>
        <w:spacing w:after="0" w:line="238"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Consolidated Balance Sheet Data</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5"/>
            <w:vMerge w:val="restart"/>
          </w:tcPr>
          <w:p>
            <w:pPr>
              <w:jc w:val="right"/>
              <w:ind w:right="660"/>
              <w:spacing w:after="0"/>
              <w:rPr>
                <w:sz w:val="20"/>
                <w:szCs w:val="20"/>
                <w:color w:val="auto"/>
              </w:rPr>
            </w:pPr>
            <w:r>
              <w:rPr>
                <w:rFonts w:ascii="Arial" w:cs="Arial" w:eastAsia="Arial" w:hAnsi="Arial"/>
                <w:sz w:val="12"/>
                <w:szCs w:val="12"/>
                <w:b w:val="1"/>
                <w:bCs w:val="1"/>
                <w:color w:val="auto"/>
              </w:rPr>
              <w:t>As of December 31,</w:t>
            </w:r>
          </w:p>
        </w:tc>
        <w:tc>
          <w:tcPr>
            <w:tcW w:w="1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66"/>
        </w:trPr>
        <w:tc>
          <w:tcPr>
            <w:tcW w:w="5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20" w:type="dxa"/>
            <w:vAlign w:val="bottom"/>
            <w:gridSpan w:val="5"/>
            <w:vMerge w:val="continue"/>
          </w:tcPr>
          <w:p>
            <w:pPr>
              <w:spacing w:after="0"/>
              <w:rPr>
                <w:sz w:val="5"/>
                <w:szCs w:val="5"/>
                <w:color w:val="auto"/>
              </w:rPr>
            </w:pPr>
          </w:p>
        </w:tc>
        <w:tc>
          <w:tcPr>
            <w:tcW w:w="920" w:type="dxa"/>
            <w:vAlign w:val="bottom"/>
            <w:gridSpan w:val="3"/>
            <w:vMerge w:val="restart"/>
          </w:tcPr>
          <w:p>
            <w:pPr>
              <w:spacing w:after="0" w:line="136"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49"/>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52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10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73,038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44,389</w:t>
            </w: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line="158" w:lineRule="exact"/>
              <w:rPr>
                <w:sz w:val="20"/>
                <w:szCs w:val="20"/>
                <w:color w:val="auto"/>
              </w:rPr>
            </w:pPr>
            <w:r>
              <w:rPr>
                <w:rFonts w:ascii="Arial" w:cs="Arial" w:eastAsia="Arial" w:hAnsi="Arial"/>
                <w:sz w:val="14"/>
                <w:szCs w:val="14"/>
                <w:color w:val="auto"/>
              </w:rPr>
              <w:t>Loans (at fair value)</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502,666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232,305</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122,708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 (at fair value)</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8,314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20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645,908</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393,462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309,804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Borrowings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74,983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118,609</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100,588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200" w:type="dxa"/>
            <w:vAlign w:val="bottom"/>
          </w:tcPr>
          <w:p>
            <w:pPr>
              <w:spacing w:after="0"/>
              <w:rPr>
                <w:sz w:val="20"/>
                <w:szCs w:val="20"/>
                <w:color w:val="auto"/>
              </w:rPr>
            </w:pPr>
            <w:r>
              <w:rPr>
                <w:rFonts w:ascii="Arial" w:cs="Arial" w:eastAsia="Arial" w:hAnsi="Arial"/>
                <w:sz w:val="14"/>
                <w:szCs w:val="14"/>
                <w:color w:val="auto"/>
              </w:rPr>
              <w:t>Payable to securitization note holders and residual certificate holders</w:t>
            </w: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373,068</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96,107</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0"/>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liabilities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542,655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292,604</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194,591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200" w:type="dxa"/>
            <w:vAlign w:val="bottom"/>
          </w:tcPr>
          <w:p>
            <w:pPr>
              <w:spacing w:after="0"/>
              <w:rPr>
                <w:sz w:val="20"/>
                <w:szCs w:val="20"/>
                <w:color w:val="auto"/>
              </w:rPr>
            </w:pPr>
            <w:r>
              <w:rPr>
                <w:rFonts w:ascii="Arial" w:cs="Arial" w:eastAsia="Arial" w:hAnsi="Arial"/>
                <w:sz w:val="14"/>
                <w:szCs w:val="14"/>
                <w:color w:val="auto"/>
              </w:rPr>
              <w:t>Convertible preferred stock</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157,923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162,546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Accumulated deficit</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9"/>
              </w:rPr>
              <w:t>(75,078)</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9"/>
              </w:rPr>
              <w:t>(75,205)</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(70,249)</w:t>
            </w:r>
          </w:p>
        </w:tc>
        <w:tc>
          <w:tcPr>
            <w:tcW w:w="0" w:type="dxa"/>
            <w:vAlign w:val="bottom"/>
          </w:tcPr>
          <w:p>
            <w:pPr>
              <w:spacing w:after="0"/>
              <w:rPr>
                <w:sz w:val="1"/>
                <w:szCs w:val="1"/>
                <w:color w:val="auto"/>
              </w:rPr>
            </w:pPr>
          </w:p>
        </w:tc>
      </w:tr>
      <w:tr>
        <w:trPr>
          <w:trHeight w:val="158"/>
        </w:trPr>
        <w:tc>
          <w:tcPr>
            <w:tcW w:w="5200" w:type="dxa"/>
            <w:vAlign w:val="bottom"/>
          </w:tcPr>
          <w:p>
            <w:pPr>
              <w:ind w:left="280"/>
              <w:spacing w:after="0" w:line="158" w:lineRule="exact"/>
              <w:rPr>
                <w:sz w:val="20"/>
                <w:szCs w:val="20"/>
                <w:color w:val="auto"/>
              </w:rPr>
            </w:pPr>
            <w:r>
              <w:rPr>
                <w:rFonts w:ascii="Arial" w:cs="Arial" w:eastAsia="Arial" w:hAnsi="Arial"/>
                <w:sz w:val="14"/>
                <w:szCs w:val="14"/>
                <w:color w:val="auto"/>
              </w:rPr>
              <w:t>Total Upstart Holdings, Inc. stockholders’ deficit</w:t>
            </w: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9"/>
              </w:rPr>
              <w:t>(66,671)</w:t>
            </w:r>
          </w:p>
        </w:tc>
        <w:tc>
          <w:tcPr>
            <w:tcW w:w="80" w:type="dxa"/>
            <w:vAlign w:val="bottom"/>
          </w:tcPr>
          <w:p>
            <w:pPr>
              <w:spacing w:after="0"/>
              <w:rPr>
                <w:sz w:val="13"/>
                <w:szCs w:val="13"/>
                <w:color w:val="auto"/>
              </w:rPr>
            </w:pPr>
          </w:p>
        </w:tc>
        <w:tc>
          <w:tcPr>
            <w:tcW w:w="92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9"/>
              </w:rPr>
              <w:t>(62,714)</w:t>
            </w:r>
          </w:p>
        </w:tc>
        <w:tc>
          <w:tcPr>
            <w:tcW w:w="1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(47,333)</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Noncontrolling interests</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1,026</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5200" w:type="dxa"/>
            <w:vAlign w:val="bottom"/>
          </w:tcPr>
          <w:p>
            <w:pPr>
              <w:ind w:left="280"/>
              <w:spacing w:after="0"/>
              <w:rPr>
                <w:sz w:val="20"/>
                <w:szCs w:val="20"/>
                <w:color w:val="auto"/>
              </w:rPr>
            </w:pPr>
            <w:r>
              <w:rPr>
                <w:rFonts w:ascii="Arial" w:cs="Arial" w:eastAsia="Arial" w:hAnsi="Arial"/>
                <w:sz w:val="14"/>
                <w:szCs w:val="14"/>
                <w:color w:val="auto"/>
              </w:rPr>
              <w:t>Total stockholders’ deficit</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(54,670)</w:t>
            </w:r>
          </w:p>
        </w:tc>
        <w:tc>
          <w:tcPr>
            <w:tcW w:w="8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w w:val="99"/>
              </w:rPr>
              <w:t>(61,688)</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(47,333)</w:t>
            </w:r>
          </w:p>
        </w:tc>
        <w:tc>
          <w:tcPr>
            <w:tcW w:w="0" w:type="dxa"/>
            <w:vAlign w:val="bottom"/>
          </w:tcPr>
          <w:p>
            <w:pPr>
              <w:spacing w:after="0"/>
              <w:rPr>
                <w:sz w:val="1"/>
                <w:szCs w:val="1"/>
                <w:color w:val="auto"/>
              </w:rPr>
            </w:pPr>
          </w:p>
        </w:tc>
      </w:tr>
      <w:tr>
        <w:trPr>
          <w:trHeight w:val="50"/>
        </w:trPr>
        <w:tc>
          <w:tcPr>
            <w:tcW w:w="5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645,908</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393,462</w:t>
            </w: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309,804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Operating Metrics</w:t>
      </w:r>
    </w:p>
    <w:p>
      <w:pPr>
        <w:spacing w:after="0" w:line="105"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700" w:type="dxa"/>
            <w:vAlign w:val="bottom"/>
          </w:tcPr>
          <w:p>
            <w:pPr>
              <w:spacing w:after="0"/>
              <w:rPr>
                <w:sz w:val="12"/>
                <w:szCs w:val="12"/>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1420" w:type="dxa"/>
            <w:vAlign w:val="bottom"/>
            <w:gridSpan w:val="4"/>
          </w:tcPr>
          <w:p>
            <w:pPr>
              <w:ind w:left="28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7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7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136,468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176,983</w:t>
            </w:r>
          </w:p>
        </w:tc>
        <w:tc>
          <w:tcPr>
            <w:tcW w:w="60" w:type="dxa"/>
            <w:vAlign w:val="bottom"/>
            <w:shd w:val="clear" w:color="auto" w:fill="CCEEFF"/>
          </w:tcPr>
          <w:p>
            <w:pPr>
              <w:spacing w:after="0"/>
              <w:rPr>
                <w:sz w:val="12"/>
                <w:szCs w:val="12"/>
                <w:color w:val="auto"/>
              </w:rPr>
            </w:pPr>
          </w:p>
        </w:tc>
      </w:tr>
      <w:tr>
        <w:trPr>
          <w:trHeight w:val="158"/>
        </w:trPr>
        <w:tc>
          <w:tcPr>
            <w:tcW w:w="570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8.1%</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9.1%</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13.1%</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12.2%</w:t>
            </w: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14.0%</w:t>
            </w:r>
          </w:p>
        </w:tc>
      </w:tr>
      <w:tr>
        <w:trPr>
          <w:trHeight w:val="158"/>
        </w:trPr>
        <w:tc>
          <w:tcPr>
            <w:tcW w:w="5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34%</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64%</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r>
    </w:tbl>
    <w:p>
      <w:pPr>
        <w:spacing w:after="0" w:line="18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Operations—Key Operating Metrics” for a description of Number of Loans Transacted, Conversion Rate and Percentage of Loans Fully Automated.</w:t>
      </w:r>
    </w:p>
    <w:p>
      <w:pPr>
        <w:spacing w:after="0" w:line="110"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0220"/>
          </w:cols>
          <w:pgMar w:left="320" w:top="407" w:right="135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Non-GAAP Financial Measures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5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240" w:type="dxa"/>
            <w:vAlign w:val="bottom"/>
            <w:gridSpan w:val="9"/>
          </w:tcPr>
          <w:p>
            <w:pPr>
              <w:jc w:val="center"/>
              <w:ind w:right="220"/>
              <w:spacing w:after="0"/>
              <w:rPr>
                <w:sz w:val="20"/>
                <w:szCs w:val="20"/>
                <w:color w:val="auto"/>
              </w:rPr>
            </w:pPr>
            <w:r>
              <w:rPr>
                <w:rFonts w:ascii="Arial" w:cs="Arial" w:eastAsia="Arial" w:hAnsi="Arial"/>
                <w:sz w:val="12"/>
                <w:szCs w:val="12"/>
                <w:b w:val="1"/>
                <w:bCs w:val="1"/>
                <w:color w:val="auto"/>
                <w:w w:val="99"/>
              </w:rPr>
              <w:t>Year Ended December 31,</w:t>
            </w:r>
          </w:p>
        </w:tc>
        <w:tc>
          <w:tcPr>
            <w:tcW w:w="130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c>
          <w:tcPr>
            <w:tcW w:w="0" w:type="dxa"/>
            <w:vAlign w:val="bottom"/>
          </w:tcPr>
          <w:p>
            <w:pPr>
              <w:spacing w:after="0"/>
              <w:rPr>
                <w:sz w:val="1"/>
                <w:szCs w:val="1"/>
                <w:color w:val="auto"/>
              </w:rPr>
            </w:pPr>
          </w:p>
        </w:tc>
      </w:tr>
      <w:tr>
        <w:trPr>
          <w:trHeight w:val="126"/>
        </w:trPr>
        <w:tc>
          <w:tcPr>
            <w:tcW w:w="5660" w:type="dxa"/>
            <w:vAlign w:val="bottom"/>
            <w:tcBorders>
              <w:bottom w:val="single" w:sz="8" w:color="CCEEFF"/>
            </w:tcBorders>
            <w:vMerge w:val="continue"/>
          </w:tcPr>
          <w:p>
            <w:pPr>
              <w:spacing w:after="0"/>
              <w:rPr>
                <w:sz w:val="10"/>
                <w:szCs w:val="10"/>
                <w:color w:val="auto"/>
              </w:rPr>
            </w:pPr>
          </w:p>
        </w:tc>
        <w:tc>
          <w:tcPr>
            <w:tcW w:w="48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Contribution Profit</w:t>
            </w: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$ 9,265</w:t>
            </w:r>
          </w:p>
        </w:tc>
        <w:tc>
          <w:tcPr>
            <w:tcW w:w="6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4"/>
              </w:rPr>
              <w:t>$13,098</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48,940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$25,560</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$63,697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660" w:type="dxa"/>
            <w:vAlign w:val="bottom"/>
          </w:tcPr>
          <w:p>
            <w:pPr>
              <w:spacing w:after="0"/>
              <w:rPr>
                <w:sz w:val="20"/>
                <w:szCs w:val="20"/>
                <w:color w:val="auto"/>
              </w:rPr>
            </w:pPr>
            <w:r>
              <w:rPr>
                <w:rFonts w:ascii="Arial" w:cs="Arial" w:eastAsia="Arial" w:hAnsi="Arial"/>
                <w:sz w:val="14"/>
                <w:szCs w:val="14"/>
                <w:color w:val="auto"/>
              </w:rPr>
              <w:t>Adjusted EBITDA</w:t>
            </w:r>
          </w:p>
        </w:tc>
        <w:tc>
          <w:tcPr>
            <w:tcW w:w="640" w:type="dxa"/>
            <w:vAlign w:val="bottom"/>
            <w:gridSpan w:val="2"/>
          </w:tcPr>
          <w:p>
            <w:pPr>
              <w:spacing w:after="0"/>
              <w:rPr>
                <w:sz w:val="20"/>
                <w:szCs w:val="20"/>
                <w:color w:val="auto"/>
              </w:rPr>
            </w:pPr>
            <w:r>
              <w:rPr>
                <w:rFonts w:ascii="Arial" w:cs="Arial" w:eastAsia="Arial" w:hAnsi="Arial"/>
                <w:sz w:val="14"/>
                <w:szCs w:val="14"/>
                <w:color w:val="auto"/>
              </w:rPr>
              <w:t>$(4,679)</w:t>
            </w:r>
          </w:p>
        </w:tc>
        <w:tc>
          <w:tcPr>
            <w:tcW w:w="760" w:type="dxa"/>
            <w:vAlign w:val="bottom"/>
            <w:gridSpan w:val="3"/>
          </w:tcPr>
          <w:p>
            <w:pPr>
              <w:ind w:left="100"/>
              <w:spacing w:after="0"/>
              <w:rPr>
                <w:sz w:val="20"/>
                <w:szCs w:val="20"/>
                <w:color w:val="auto"/>
              </w:rPr>
            </w:pPr>
            <w:r>
              <w:rPr>
                <w:rFonts w:ascii="Arial" w:cs="Arial" w:eastAsia="Arial" w:hAnsi="Arial"/>
                <w:sz w:val="14"/>
                <w:szCs w:val="14"/>
                <w:color w:val="auto"/>
              </w:rPr>
              <w:t>$ (6,226)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5,595</w:t>
            </w:r>
          </w:p>
        </w:tc>
        <w:tc>
          <w:tcPr>
            <w:tcW w:w="760" w:type="dxa"/>
            <w:vAlign w:val="bottom"/>
            <w:gridSpan w:val="2"/>
          </w:tcPr>
          <w:p>
            <w:pPr>
              <w:spacing w:after="0"/>
              <w:rPr>
                <w:sz w:val="20"/>
                <w:szCs w:val="20"/>
                <w:color w:val="auto"/>
              </w:rPr>
            </w:pPr>
            <w:r>
              <w:rPr>
                <w:rFonts w:ascii="Arial" w:cs="Arial" w:eastAsia="Arial" w:hAnsi="Arial"/>
                <w:sz w:val="14"/>
                <w:szCs w:val="14"/>
                <w:color w:val="auto"/>
              </w:rPr>
              <w:t>$ (1,363)</w:t>
            </w:r>
          </w:p>
        </w:tc>
        <w:tc>
          <w:tcPr>
            <w:tcW w:w="500" w:type="dxa"/>
            <w:vAlign w:val="bottom"/>
          </w:tcPr>
          <w:p>
            <w:pPr>
              <w:jc w:val="center"/>
              <w:spacing w:after="0"/>
              <w:rPr>
                <w:sz w:val="20"/>
                <w:szCs w:val="20"/>
                <w:color w:val="auto"/>
              </w:rPr>
            </w:pPr>
            <w:r>
              <w:rPr>
                <w:rFonts w:ascii="Arial" w:cs="Arial" w:eastAsia="Arial" w:hAnsi="Arial"/>
                <w:sz w:val="14"/>
                <w:szCs w:val="14"/>
                <w:color w:val="auto"/>
                <w:w w:val="98"/>
              </w:rPr>
              <w:t>$16,006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Contribution Profit</w:t>
      </w:r>
    </w:p>
    <w:p>
      <w:pPr>
        <w:spacing w:after="0" w:line="105" w:lineRule="exact"/>
        <w:rPr>
          <w:sz w:val="20"/>
          <w:szCs w:val="20"/>
          <w:color w:val="auto"/>
        </w:rPr>
      </w:pPr>
    </w:p>
    <w:p>
      <w:pPr>
        <w:ind w:left="1020" w:right="20" w:firstLine="460"/>
        <w:spacing w:after="0" w:line="255" w:lineRule="auto"/>
        <w:rPr>
          <w:sz w:val="20"/>
          <w:szCs w:val="20"/>
          <w:color w:val="auto"/>
        </w:rPr>
      </w:pPr>
      <w:r>
        <w:rPr>
          <w:rFonts w:ascii="Arial" w:cs="Arial" w:eastAsia="Arial" w:hAnsi="Arial"/>
          <w:sz w:val="14"/>
          <w:szCs w:val="14"/>
          <w:color w:val="auto"/>
        </w:rPr>
        <w:t>We define Contribution Profit as our revenue from fees, net, less certain costs that we consider to be variable and closely correlated to our fee revenue. Our revenue from fees, net consists of platform and referral fees, net and servicing fees, net. Platform fees and referral fees are contracted for and charged separately, although they are generally combined for accounting purposes as they usually represent a single performance obligation. To derive Contribution Profit, we subtract from revenue from fees, net our borrower acquisition costs as well as our borrower verification and servicing costs. Borrower acquisition costs consist of our sales and marketing expenses adjusted to exclude costs not directly attributable to attracting a new borrower, such as payroll related expenses for our business development and marketing teams, as well as other operational, brand awareness and marketing activities. Our borrower verification and servicing costs consist of payroll and other personnel related expenses for personnel engaged in loan onboarding, verification and servicing, as well as servicing system costs. It excludes payroll and personnel related expenses and stock-based compensation for certain members of our customer operations team whose work is not directly attributable to onboarding and servicing loans.</w:t>
      </w:r>
    </w:p>
    <w:p>
      <w:pPr>
        <w:spacing w:after="0" w:line="16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following table provides a calculation of Contribution Profit for the years ended December 31, 2017, 2018 and 2019, and the nine months ended September 30, 2019 and 2020:</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3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8"/>
          </w:tcPr>
          <w:p>
            <w:pPr>
              <w:ind w:left="380"/>
              <w:spacing w:after="0"/>
              <w:rPr>
                <w:sz w:val="20"/>
                <w:szCs w:val="20"/>
                <w:color w:val="auto"/>
              </w:rPr>
            </w:pPr>
            <w:r>
              <w:rPr>
                <w:rFonts w:ascii="Arial" w:cs="Arial" w:eastAsia="Arial" w:hAnsi="Arial"/>
                <w:sz w:val="12"/>
                <w:szCs w:val="12"/>
                <w:b w:val="1"/>
                <w:bCs w:val="1"/>
                <w:color w:val="auto"/>
              </w:rPr>
              <w:t>Year Ended December 31,</w:t>
            </w:r>
          </w:p>
        </w:tc>
        <w:tc>
          <w:tcPr>
            <w:tcW w:w="140" w:type="dxa"/>
            <w:vAlign w:val="bottom"/>
          </w:tcPr>
          <w:p>
            <w:pPr>
              <w:spacing w:after="0"/>
              <w:rPr>
                <w:sz w:val="12"/>
                <w:szCs w:val="12"/>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3660" w:type="dxa"/>
            <w:vAlign w:val="bottom"/>
            <w:tcBorders>
              <w:bottom w:val="single" w:sz="8" w:color="CCEEFF"/>
            </w:tcBorders>
            <w:vMerge w:val="continue"/>
          </w:tcPr>
          <w:p>
            <w:pPr>
              <w:spacing w:after="0"/>
              <w:rPr>
                <w:sz w:val="10"/>
                <w:szCs w:val="10"/>
                <w:color w:val="auto"/>
              </w:rPr>
            </w:pPr>
          </w:p>
        </w:tc>
        <w:tc>
          <w:tcPr>
            <w:tcW w:w="124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58"/>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Referral fees, net</w:t>
            </w:r>
          </w:p>
        </w:tc>
        <w:tc>
          <w:tcPr>
            <w:tcW w:w="1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30,921</w:t>
            </w:r>
          </w:p>
        </w:tc>
        <w:tc>
          <w:tcPr>
            <w:tcW w:w="3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$ 53,869</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90,672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$ 56,117</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line="158" w:lineRule="exact"/>
              <w:rPr>
                <w:sz w:val="20"/>
                <w:szCs w:val="20"/>
                <w:color w:val="auto"/>
              </w:rPr>
            </w:pPr>
            <w:r>
              <w:rPr>
                <w:rFonts w:ascii="Arial" w:cs="Arial" w:eastAsia="Arial" w:hAnsi="Arial"/>
                <w:sz w:val="14"/>
                <w:szCs w:val="14"/>
                <w:color w:val="auto"/>
              </w:rPr>
              <w:t>Platform fees, net</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17,146</w:t>
            </w:r>
          </w:p>
        </w:tc>
        <w:tc>
          <w:tcPr>
            <w:tcW w:w="3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29,512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53,383</w:t>
            </w: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32,932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42,657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net</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3,094</w:t>
            </w: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5,101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15,792</w:t>
            </w:r>
          </w:p>
        </w:tc>
        <w:tc>
          <w:tcPr>
            <w:tcW w:w="88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9,650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20,694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60" w:type="dxa"/>
            <w:vAlign w:val="bottom"/>
          </w:tcPr>
          <w:p>
            <w:pPr>
              <w:ind w:left="280"/>
              <w:spacing w:after="0"/>
              <w:rPr>
                <w:sz w:val="20"/>
                <w:szCs w:val="20"/>
                <w:color w:val="auto"/>
              </w:rPr>
            </w:pPr>
            <w:r>
              <w:rPr>
                <w:rFonts w:ascii="Arial" w:cs="Arial" w:eastAsia="Arial" w:hAnsi="Arial"/>
                <w:sz w:val="14"/>
                <w:szCs w:val="14"/>
                <w:color w:val="auto"/>
              </w:rPr>
              <w:t>Revenue from fees, net</w:t>
            </w:r>
          </w:p>
        </w:tc>
        <w:tc>
          <w:tcPr>
            <w:tcW w:w="1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4"/>
                <w:szCs w:val="14"/>
                <w:color w:val="auto"/>
                <w:w w:val="88"/>
              </w:rPr>
              <w:t>51,161</w:t>
            </w:r>
          </w:p>
        </w:tc>
        <w:tc>
          <w:tcPr>
            <w:tcW w:w="34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88,482</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159,847</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98,699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144,179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Borrower acquisition costs</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w w:val="95"/>
              </w:rPr>
              <w:t>(32,777)</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(61,658)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(89,569)</w:t>
            </w:r>
          </w:p>
        </w:tc>
        <w:tc>
          <w:tcPr>
            <w:tcW w:w="8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(58,764)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(59,464)</w:t>
            </w:r>
          </w:p>
        </w:tc>
        <w:tc>
          <w:tcPr>
            <w:tcW w:w="0" w:type="dxa"/>
            <w:vAlign w:val="bottom"/>
          </w:tcPr>
          <w:p>
            <w:pPr>
              <w:spacing w:after="0"/>
              <w:rPr>
                <w:sz w:val="1"/>
                <w:szCs w:val="1"/>
                <w:color w:val="auto"/>
              </w:rPr>
            </w:pPr>
          </w:p>
        </w:tc>
      </w:tr>
      <w:tr>
        <w:trPr>
          <w:trHeight w:val="158"/>
        </w:trPr>
        <w:tc>
          <w:tcPr>
            <w:tcW w:w="3660" w:type="dxa"/>
            <w:vAlign w:val="bottom"/>
          </w:tcPr>
          <w:p>
            <w:pPr>
              <w:spacing w:after="0" w:line="158" w:lineRule="exact"/>
              <w:rPr>
                <w:sz w:val="20"/>
                <w:szCs w:val="20"/>
                <w:color w:val="auto"/>
              </w:rPr>
            </w:pPr>
            <w:r>
              <w:rPr>
                <w:rFonts w:ascii="Arial" w:cs="Arial" w:eastAsia="Arial" w:hAnsi="Arial"/>
                <w:sz w:val="14"/>
                <w:szCs w:val="14"/>
                <w:color w:val="auto"/>
              </w:rPr>
              <w:t>Borrower verification and servicing costs</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(9,119)</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(13,726)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(21,338)</w:t>
            </w:r>
          </w:p>
        </w:tc>
        <w:tc>
          <w:tcPr>
            <w:tcW w:w="88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(14,375)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9"/>
              </w:rPr>
              <w:t>(21,018)</w:t>
            </w:r>
          </w:p>
        </w:tc>
        <w:tc>
          <w:tcPr>
            <w:tcW w:w="0" w:type="dxa"/>
            <w:vAlign w:val="bottom"/>
          </w:tcPr>
          <w:p>
            <w:pPr>
              <w:spacing w:after="0"/>
              <w:rPr>
                <w:sz w:val="1"/>
                <w:szCs w:val="1"/>
                <w:color w:val="auto"/>
              </w:rPr>
            </w:pPr>
          </w:p>
        </w:tc>
      </w:tr>
      <w:tr>
        <w:trPr>
          <w:trHeight w:val="23"/>
        </w:trPr>
        <w:tc>
          <w:tcPr>
            <w:tcW w:w="3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direct expenses</w:t>
            </w: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w w:val="95"/>
              </w:rPr>
              <w:t>(41,896)</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(75,384)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3"/>
              </w:rPr>
              <w:t>(110,907)</w:t>
            </w:r>
          </w:p>
        </w:tc>
        <w:tc>
          <w:tcPr>
            <w:tcW w:w="8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(73,139)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(80,482)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660" w:type="dxa"/>
            <w:vAlign w:val="bottom"/>
          </w:tcPr>
          <w:p>
            <w:pPr>
              <w:ind w:left="280"/>
              <w:spacing w:after="0" w:line="149" w:lineRule="exact"/>
              <w:rPr>
                <w:sz w:val="20"/>
                <w:szCs w:val="20"/>
                <w:color w:val="auto"/>
              </w:rPr>
            </w:pPr>
            <w:r>
              <w:rPr>
                <w:rFonts w:ascii="Arial" w:cs="Arial" w:eastAsia="Arial" w:hAnsi="Arial"/>
                <w:sz w:val="14"/>
                <w:szCs w:val="14"/>
                <w:color w:val="auto"/>
              </w:rPr>
              <w:t>Contribution Profit</w:t>
            </w:r>
          </w:p>
        </w:tc>
        <w:tc>
          <w:tcPr>
            <w:tcW w:w="1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9,265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5"/>
              </w:rPr>
              <w:t>$ 13,098</w:t>
            </w:r>
          </w:p>
        </w:tc>
        <w:tc>
          <w:tcPr>
            <w:tcW w:w="2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48,940</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$ 25,560</w:t>
            </w:r>
          </w:p>
        </w:tc>
        <w:tc>
          <w:tcPr>
            <w:tcW w:w="2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63,697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See the section titled “Management’s Discussion and Analysis of Financial Condition and Results of Operations—Reconciliation of Non-GAAP Financial Measures” for a reconciliation of loss from operations to Contribution Profit.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05"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We calculate Adjusted EBITDA as net loss attributable to Upstart Holdings, Inc. stockholders adjusted to exclude stock-based compensation expense, depreciation and amortization, expense on warrants and convertible notes, net and provision for income taxes. Adjusted EBITDA does include interest expense from corporate debt and warehouse credit facilities which is incurred in the course of earning corresponding interest income.</w:t>
      </w:r>
    </w:p>
    <w:p>
      <w:pPr>
        <w:spacing w:after="0" w:line="172"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See the section titled “Management’s Discussion and Analysis of Financial Condition and Results of Operations—Reconciliation of Non-GAAP Financial Measures” for a reconciliation of net loss attributable to Upstart Holdings, Inc. common stockholders to Adjusted EBITDA.</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0220"/>
          </w:cols>
          <w:pgMar w:left="320" w:top="407" w:right="135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60"/>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79"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section titled “Selected Consolidated Financial and Other Data” and the consolidated financial statements and related notes thereto included elsewhere in this prospectus. This discussion contains forward-looking statements that involve risks and uncertainties. Factors that could cause or contribute to such differences include those identified below and those discussed in the section titled “Risk Factors” and other parts of this prospectus. Our historical results are not necessarily indicative of the results that may be expected for any period in the future.</w:t>
      </w:r>
    </w:p>
    <w:p>
      <w:pPr>
        <w:spacing w:after="0" w:line="243"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72"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Since our inception, we have facilitated the origination of over 620,000 personal loans that have generated more than 9 million repayment events. Our key milestones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120015</wp:posOffset>
            </wp:positionV>
            <wp:extent cx="4350385" cy="25755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50385" cy="257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273"/>
        <w:spacing w:after="0"/>
        <w:tabs>
          <w:tab w:leader="none" w:pos="13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2020 metrics are as of September 30, 2020</w:t>
      </w:r>
    </w:p>
    <w:p>
      <w:pPr>
        <w:spacing w:after="0" w:line="177"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believe that banks will continue to be at the forefront of consumer lending in the United States. We believe AI lending will become increasingly critical as this industry continues to undergo a broad digital transformation. Our strategy is to partner with banks, providing them with an exceptional AI lending platform that they can configure as they originate consumer loans under their own brand, according to their own business and regulatory requirements.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0180"/>
          </w:cols>
          <w:pgMar w:left="320" w:top="407" w:right="139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Consumers can obtain Upstart-powered loans in one of two ways: either by referral from Upstart.com to one of our bank partners, or directly through our bank partners’ own websites, where our lending technology and experience is white-labeled. Our direct bank partner channel represents a small but growing portion of our overall volume, and we believe this portion will continue to grow over time as we onboard new bank partners. Consumers on our platform are generally offered unsecured personal loans ranging from $ 1,000 to $50,000 in size, at APRs typically ranging from approximately 6.5% to 35.99%, for terms typically ranging from three to five years, with a monthly repayment schedule and no prepayment penalty. These loans are used for a variety of purposes, including credit card consolidation, refinancing of existing debt, home improvements and other personal uses.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bank partners can retain loans that align with their business and risk objectives. For loans that are not retained by our bank partners, we help diversify the funding of these loans to a broad base of approximately 100 institutional investors that invest in Upstart-powered loans. In the third quarter of 2020, 22% of the loans funded through our platform were retained by the originating bank (compared to 27% in the third quarter of 2019). 76% of loans were purchased by institutional investors through our loan funding programs in the third quarter of 2020 (compared to 67% in the third quarter of 2019), and the remaining 2% were funded through our balance sheet (compared to 6% in the third quarter of 2019). Over the last few years, the percentage of loans retained by bank partners has fluctuated from quarter-to-quarter, but generally increased, while the percentage of loans funded through our balance sheet has generally decreased and the percentage of loans purchased by institutional investors has remained high and relatively stable.</w:t>
      </w:r>
    </w:p>
    <w:p>
      <w:pPr>
        <w:spacing w:after="0" w:line="170"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approach has allowed us to achieve rapid growth in recent years while simultaneously improving our margin profile. The Number of Loans Transacted on our platform increased 88% from 114,125 for the year ended December 31, 2018 to 215,122 over the same period in 2019, and 30% to 176,983 in the nine months ended September 30, 2020 from 136,468 over the same period in 2019. Total revenue increased 65% for the year ended December 31, 2019 to $164.2 million from $99.3 million over the same period in 2018, and 44% to $146.7 million in the nine months ended September 30, 2020 from $101.6 million in the same period of 2019. Net loss decreased from $12.3 million in 2018 to $0.5 million in 2019. During the nine months ended September 30, 2020, net income increased to $5.0 million from net loss of $6.5 million in the same period of 2019.</w:t>
      </w:r>
    </w:p>
    <w:p>
      <w:pPr>
        <w:spacing w:after="0" w:line="2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Our Economic Model</w:t>
      </w:r>
    </w:p>
    <w:p>
      <w:pPr>
        <w:spacing w:after="0" w:line="19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Upstart’s revenues are primarily earned in the form of three separate usage-based fees, which can be either dollar or percentage based depending on the contractual arrangement. We charge our bank partners a referral fee of 3% to 4% of the loan principal amount each time we refer a borrower who obtains a loan. Separately, we charge bank partners a platform fee of approximately 2% of loan value each time they originate a loan using our platform. These fees are contracted for and charged separately, although they are generally combined for accounting purposes as they usually represent a single performance obligation. We do not charge the borrowers on our platform any referral, platform or other similar fees for our loan matching services.</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also charge the holder of the loan (either a bank or institutional investor) an ongoing 0.5% to 1% annualized servicing fee based on the outstanding principal over the lifetime of the loan for ongoing servicing of the loan. Taken together, these fees represented 98% of our revenue in the nine months ended September 30, 2020. In addition, we earn a small portion of our revenue from interest income and our securitization activities.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0220"/>
          </w:cols>
          <w:pgMar w:left="320" w:top="407" w:right="135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below table summarizes the dollar value of our economics on an average-sized loan, based on our contractual rates that were in effect as of September 30, 2020.</w:t>
      </w:r>
    </w:p>
    <w:p>
      <w:pPr>
        <w:spacing w:after="0" w:line="171" w:lineRule="exact"/>
        <w:rPr>
          <w:sz w:val="20"/>
          <w:szCs w:val="20"/>
          <w:color w:val="auto"/>
        </w:rPr>
      </w:pPr>
    </w:p>
    <w:p>
      <w:pPr>
        <w:ind w:left="6240"/>
        <w:spacing w:after="0"/>
        <w:tabs>
          <w:tab w:leader="none" w:pos="8040" w:val="left"/>
        </w:tabs>
        <w:rPr>
          <w:sz w:val="20"/>
          <w:szCs w:val="20"/>
          <w:color w:val="auto"/>
        </w:rPr>
      </w:pPr>
      <w:r>
        <w:rPr>
          <w:rFonts w:ascii="Arial" w:cs="Arial" w:eastAsia="Arial" w:hAnsi="Arial"/>
          <w:sz w:val="15"/>
          <w:szCs w:val="15"/>
          <w:b w:val="1"/>
          <w:bCs w:val="1"/>
          <w:color w:val="auto"/>
        </w:rPr>
        <w:t>Paid By</w:t>
      </w:r>
      <w:r>
        <w:rPr>
          <w:sz w:val="20"/>
          <w:szCs w:val="20"/>
          <w:color w:val="auto"/>
        </w:rPr>
        <w:tab/>
      </w:r>
      <w:r>
        <w:rPr>
          <w:rFonts w:ascii="Arial" w:cs="Arial" w:eastAsia="Arial" w:hAnsi="Arial"/>
          <w:sz w:val="14"/>
          <w:szCs w:val="14"/>
          <w:b w:val="1"/>
          <w:bCs w:val="1"/>
          <w:color w:val="auto"/>
        </w:rPr>
        <w:t>Fees per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9525</wp:posOffset>
            </wp:positionV>
            <wp:extent cx="4900930" cy="2292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00930" cy="229235"/>
                    </a:xfrm>
                    <a:prstGeom prst="rect">
                      <a:avLst/>
                    </a:prstGeom>
                    <a:noFill/>
                  </pic:spPr>
                </pic:pic>
              </a:graphicData>
            </a:graphic>
          </wp:anchor>
        </w:drawing>
      </w:r>
    </w:p>
    <w:p>
      <w:pPr>
        <w:sectPr>
          <w:pgSz w:w="11900" w:h="16838" w:orient="portrait"/>
          <w:cols w:equalWidth="0" w:num="1">
            <w:col w:w="10140"/>
          </w:cols>
          <w:pgMar w:left="320" w:top="407" w:right="1439" w:bottom="1440" w:gutter="0" w:footer="0" w:header="0"/>
        </w:sectPr>
      </w:pPr>
    </w:p>
    <w:p>
      <w:pPr>
        <w:spacing w:after="0" w:line="98"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Referral Fees</w:t>
      </w:r>
    </w:p>
    <w:p>
      <w:pPr>
        <w:spacing w:after="0" w:line="346"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Platform Fees</w:t>
      </w:r>
    </w:p>
    <w:p>
      <w:pPr>
        <w:spacing w:after="0" w:line="346" w:lineRule="exact"/>
        <w:rPr>
          <w:sz w:val="20"/>
          <w:szCs w:val="20"/>
          <w:color w:val="auto"/>
        </w:rPr>
      </w:pPr>
    </w:p>
    <w:p>
      <w:pPr>
        <w:ind w:left="1920"/>
        <w:spacing w:after="0"/>
        <w:rPr>
          <w:sz w:val="20"/>
          <w:szCs w:val="20"/>
          <w:color w:val="auto"/>
        </w:rPr>
      </w:pPr>
      <w:r>
        <w:rPr>
          <w:rFonts w:ascii="Arial" w:cs="Arial" w:eastAsia="Arial" w:hAnsi="Arial"/>
          <w:sz w:val="15"/>
          <w:szCs w:val="15"/>
          <w:b w:val="1"/>
          <w:bCs w:val="1"/>
          <w:color w:val="auto"/>
        </w:rPr>
        <w:t>Servicing Fees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Bank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162560</wp:posOffset>
            </wp:positionV>
            <wp:extent cx="4900930" cy="221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00930" cy="221615"/>
                    </a:xfrm>
                    <a:prstGeom prst="rect">
                      <a:avLst/>
                    </a:prstGeom>
                    <a:noFill/>
                  </pic:spPr>
                </pic:pic>
              </a:graphicData>
            </a:graphic>
          </wp:anchor>
        </w:drawing>
      </w:r>
    </w:p>
    <w:p>
      <w:pPr>
        <w:spacing w:after="0" w:line="326" w:lineRule="exact"/>
        <w:rPr>
          <w:sz w:val="20"/>
          <w:szCs w:val="20"/>
          <w:color w:val="auto"/>
        </w:rPr>
      </w:pPr>
    </w:p>
    <w:p>
      <w:pPr>
        <w:ind w:left="220"/>
        <w:spacing w:after="0"/>
        <w:rPr>
          <w:sz w:val="20"/>
          <w:szCs w:val="20"/>
          <w:color w:val="auto"/>
        </w:rPr>
      </w:pPr>
      <w:r>
        <w:rPr>
          <w:rFonts w:ascii="Arial" w:cs="Arial" w:eastAsia="Arial" w:hAnsi="Arial"/>
          <w:sz w:val="15"/>
          <w:szCs w:val="15"/>
          <w:color w:val="auto"/>
        </w:rPr>
        <w:t>Bank partner</w:t>
      </w:r>
    </w:p>
    <w:p>
      <w:pPr>
        <w:spacing w:after="0" w:line="252"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Bank partner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-2596515</wp:posOffset>
            </wp:positionH>
            <wp:positionV relativeFrom="paragraph">
              <wp:posOffset>-106045</wp:posOffset>
            </wp:positionV>
            <wp:extent cx="4900930" cy="2216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00930" cy="221615"/>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5"/>
          <w:szCs w:val="15"/>
          <w:color w:val="auto"/>
        </w:rPr>
        <w:t>institutional investor</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$400-$500</w:t>
      </w:r>
    </w:p>
    <w:p>
      <w:pPr>
        <w:jc w:val="center"/>
        <w:ind w:right="1120"/>
        <w:spacing w:after="0"/>
        <w:rPr>
          <w:sz w:val="20"/>
          <w:szCs w:val="20"/>
          <w:color w:val="auto"/>
        </w:rPr>
      </w:pPr>
      <w:r>
        <w:rPr>
          <w:rFonts w:ascii="Arial" w:cs="Arial" w:eastAsia="Arial" w:hAnsi="Arial"/>
          <w:sz w:val="15"/>
          <w:szCs w:val="15"/>
          <w:color w:val="auto"/>
        </w:rPr>
        <w:t>on origination</w:t>
      </w:r>
    </w:p>
    <w:p>
      <w:pPr>
        <w:spacing w:after="0" w:line="173"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$200-$300</w:t>
      </w:r>
    </w:p>
    <w:p>
      <w:pPr>
        <w:jc w:val="center"/>
        <w:ind w:right="1120"/>
        <w:spacing w:after="0"/>
        <w:rPr>
          <w:sz w:val="20"/>
          <w:szCs w:val="20"/>
          <w:color w:val="auto"/>
        </w:rPr>
      </w:pPr>
      <w:r>
        <w:rPr>
          <w:rFonts w:ascii="Arial" w:cs="Arial" w:eastAsia="Arial" w:hAnsi="Arial"/>
          <w:sz w:val="15"/>
          <w:szCs w:val="15"/>
          <w:color w:val="auto"/>
        </w:rPr>
        <w:t>on origination</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5"/>
          <w:szCs w:val="15"/>
          <w:color w:val="auto"/>
        </w:rPr>
        <w:t>0.5%-1%</w:t>
      </w:r>
    </w:p>
    <w:p>
      <w:pPr>
        <w:ind w:left="180"/>
        <w:spacing w:after="0"/>
        <w:rPr>
          <w:sz w:val="20"/>
          <w:szCs w:val="20"/>
          <w:color w:val="auto"/>
        </w:rPr>
      </w:pPr>
      <w:r>
        <w:rPr>
          <w:rFonts w:ascii="Arial" w:cs="Arial" w:eastAsia="Arial" w:hAnsi="Arial"/>
          <w:sz w:val="15"/>
          <w:szCs w:val="15"/>
          <w:color w:val="auto"/>
        </w:rPr>
        <w:t>per year</w:t>
      </w:r>
    </w:p>
    <w:p>
      <w:pPr>
        <w:spacing w:after="0" w:line="188" w:lineRule="exact"/>
        <w:rPr>
          <w:sz w:val="20"/>
          <w:szCs w:val="20"/>
          <w:color w:val="auto"/>
        </w:rPr>
      </w:pPr>
    </w:p>
    <w:p>
      <w:pPr>
        <w:sectPr>
          <w:pgSz w:w="11900" w:h="16838" w:orient="portrait"/>
          <w:cols w:equalWidth="0" w:num="3">
            <w:col w:w="5140" w:space="720"/>
            <w:col w:w="1520" w:space="720"/>
            <w:col w:w="2040"/>
          </w:cols>
          <w:pgMar w:left="320" w:top="407" w:right="1439" w:bottom="1440" w:gutter="0" w:footer="0" w:header="0"/>
          <w:type w:val="continuous"/>
        </w:sectPr>
      </w:pPr>
    </w:p>
    <w:p>
      <w:pPr>
        <w:ind w:left="1020" w:right="40" w:firstLine="460"/>
        <w:spacing w:after="0" w:line="236" w:lineRule="auto"/>
        <w:rPr>
          <w:sz w:val="20"/>
          <w:szCs w:val="20"/>
          <w:color w:val="auto"/>
        </w:rPr>
      </w:pPr>
      <w:r>
        <w:rPr>
          <w:rFonts w:ascii="Arial" w:cs="Arial" w:eastAsia="Arial" w:hAnsi="Arial"/>
          <w:sz w:val="15"/>
          <w:szCs w:val="15"/>
          <w:color w:val="auto"/>
        </w:rPr>
        <w:t>Loans on our platform today are predominantly sourced from Upstart.com. For these loans, we incur variable costs in the form of borrower acquisition costs and borrower verification and servicing costs; in the nine months ended September 30, 2020, this category of loans generated a 44% contribution margin on average. Borrower acquisition cost and borrower verification and servicing cost are highly correlated with the Number of Loans Transacted on our platform and trended upwards on an annual basis. A small number of loans were sourced directly through bank partners in which we received no referral fee and incurred no acquisition cost; in the nine months ended September 30, 2020 this category of loans generated a 67% contribution margin. In 2018, 2019 and the nine months ended September 30, 2020, the average contribution margin per loan of all Upstart-powered loans was 15%, 31% and 44%, respectively. The rising level of automation and continued improvements to our Conversion Rate achieved through our increasingly sophisticated risk models and our evolving channel mix have contributed to improving loan unit economics over time. We further believe that bank-sourced loans can be an important driver of volume growth in the medium-term future; to the extent we are able to increase the number of loans sourced directly through our bank partners, our contribution margin would be positively impacted.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below table summarizes the contribution economics for loans originated by our bank partners in the nine months ended</w:t>
      </w:r>
    </w:p>
    <w:p>
      <w:pPr>
        <w:ind w:left="1020"/>
        <w:spacing w:after="0"/>
        <w:rPr>
          <w:sz w:val="20"/>
          <w:szCs w:val="20"/>
          <w:color w:val="auto"/>
        </w:rPr>
      </w:pPr>
      <w:r>
        <w:rPr>
          <w:rFonts w:ascii="Arial" w:cs="Arial" w:eastAsia="Arial" w:hAnsi="Arial"/>
          <w:sz w:val="15"/>
          <w:szCs w:val="15"/>
          <w:color w:val="auto"/>
        </w:rPr>
        <w:t>September 30, 2020, which reflects the COVID-19 impact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127000</wp:posOffset>
            </wp:positionV>
            <wp:extent cx="4335780" cy="1538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35780" cy="153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COVID-19 Pandemic Impact</w:t>
      </w:r>
    </w:p>
    <w:p>
      <w:pPr>
        <w:spacing w:after="0" w:line="105"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onset of the COVID-19 pandemic began to impact origination volumes on our platform in the second half of March 2020. A rapid rise in unemployment in the United States led to the potential for</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0140"/>
          </w:cols>
          <w:pgMar w:left="320" w:top="407" w:right="1439" w:bottom="1440" w:gutter="0" w:footer="0" w:header="0"/>
          <w:type w:val="continuous"/>
        </w:sectPr>
      </w:pPr>
    </w:p>
    <w:bookmarkStart w:id="112" w:name="page113"/>
    <w:bookmarkEnd w:id="1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60"/>
        <w:spacing w:after="0"/>
        <w:rPr>
          <w:sz w:val="20"/>
          <w:szCs w:val="20"/>
          <w:color w:val="auto"/>
        </w:rPr>
      </w:pPr>
      <w:r>
        <w:rPr>
          <w:rFonts w:ascii="Arial" w:cs="Arial" w:eastAsia="Arial" w:hAnsi="Arial"/>
          <w:sz w:val="15"/>
          <w:szCs w:val="15"/>
          <w:color w:val="auto"/>
        </w:rPr>
        <w:t>increased losses for new originations by our AI models, reduction in originations by bank partners, and a temporary pause in loan funding from institutions and capital markets. These factors collectively resulted in an 86% reduction in the number of loans originated and a 73% reduction in revenue in the second quarter of 2020 compared to the first quarter of 2020.</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response to the market conditions caused by the COVID-19 pandemic, we made certain operational changes, including increases to the fees we charge our bank partners and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Origination volumes recovered quickly, beginning in June 2020, as unemployment plateaued. This recovery continued through subsequent months, such that the Number of Loans Transacted in the three months ended September 30, 2020 was 80,893, representing a 26% increase compared to the Number of Loans Transacted in the three months ended September 30, 2019. Our revenue in the three months ended September 30, 2020 was $65.4 million, representing a 32% increase compared to our revenue in the three months ended September 30, 2019.</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To support borrowers suffering from income loss due to the pandemic, Upstart worked with its bank partners to offer hardship plans that, among other things, allowed affected borrowers to defer loan payments for up to two months. At the peak, approximately 5.6% of borrowers on our platform had enrolled in a hardship program, less than half the rate of online lending industry benchmarks.</w:t>
      </w:r>
      <w:r>
        <w:rPr>
          <w:rFonts w:ascii="Arial" w:cs="Arial" w:eastAsia="Arial" w:hAnsi="Arial"/>
          <w:sz w:val="12"/>
          <w:szCs w:val="12"/>
          <w:color w:val="auto"/>
        </w:rPr>
        <w:t>60</w:t>
      </w:r>
      <w:r>
        <w:rPr>
          <w:rFonts w:ascii="Arial" w:cs="Arial" w:eastAsia="Arial" w:hAnsi="Arial"/>
          <w:sz w:val="15"/>
          <w:szCs w:val="15"/>
          <w:color w:val="auto"/>
        </w:rPr>
        <w:t xml:space="preserve"> Since this time, approximately 95% of these impacted borrowers have exited the hardship program and resumed making loan payments. Further, our model was approximately five times more predictive than FICO credit score alone during the COVID-19 pandemic.</w:t>
      </w:r>
      <w:r>
        <w:rPr>
          <w:rFonts w:ascii="Arial" w:cs="Arial" w:eastAsia="Arial" w:hAnsi="Arial"/>
          <w:sz w:val="12"/>
          <w:szCs w:val="12"/>
          <w:color w:val="auto"/>
        </w:rPr>
        <w:t>61</w:t>
      </w:r>
      <w:r>
        <w:rPr>
          <w:rFonts w:ascii="Arial" w:cs="Arial" w:eastAsia="Arial" w:hAnsi="Arial"/>
          <w:sz w:val="15"/>
          <w:szCs w:val="15"/>
          <w:color w:val="auto"/>
        </w:rPr>
        <w:t xml:space="preserve"> Due to the strength of our AI model, we expect that the COVID-19 pandemic will have minimal impact on bank partners and institutional investor performance for Upstart-powered loans originated prior to the second quarter of 2020.</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Although significant government assistance was provided during the COVID-19 pandemic, the resilience of our bank partner results during this time provides evidence of the benefits that our AI models can offer to bank lending programs. We believe these benefits are even more compelling and valuable during periods of economic downturn.</w:t>
      </w:r>
    </w:p>
    <w:p>
      <w:pPr>
        <w:spacing w:after="0" w:line="242" w:lineRule="exact"/>
        <w:rPr>
          <w:sz w:val="20"/>
          <w:szCs w:val="20"/>
          <w:color w:val="auto"/>
        </w:rPr>
      </w:pPr>
    </w:p>
    <w:p>
      <w:pPr>
        <w:ind w:left="4380"/>
        <w:spacing w:after="0"/>
        <w:rPr>
          <w:sz w:val="20"/>
          <w:szCs w:val="20"/>
          <w:color w:val="auto"/>
        </w:rPr>
      </w:pPr>
      <w:r>
        <w:rPr>
          <w:rFonts w:ascii="Arial" w:cs="Arial" w:eastAsia="Arial" w:hAnsi="Arial"/>
          <w:sz w:val="15"/>
          <w:szCs w:val="15"/>
          <w:b w:val="1"/>
          <w:bCs w:val="1"/>
          <w:color w:val="auto"/>
        </w:rPr>
        <w:t>Factors Affecting Our Performance</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Continued Improvements to Our AI Models</w:t>
      </w:r>
    </w:p>
    <w:p>
      <w:pPr>
        <w:spacing w:after="0" w:line="10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56"/>
        </w:numPr>
        <w:rPr>
          <w:rFonts w:ascii="Arial" w:cs="Arial" w:eastAsia="Arial" w:hAnsi="Arial"/>
          <w:sz w:val="20"/>
          <w:szCs w:val="20"/>
          <w:color w:val="auto"/>
          <w:vertAlign w:val="superscript"/>
        </w:rPr>
      </w:pPr>
      <w:r>
        <w:rPr>
          <w:rFonts w:ascii="Arial" w:cs="Arial" w:eastAsia="Arial" w:hAnsi="Arial"/>
          <w:sz w:val="12"/>
          <w:szCs w:val="12"/>
          <w:color w:val="auto"/>
        </w:rPr>
        <w:t>Wei Wu, Vadim Verkhoglyad and Alex Kale, dv01 Insights: Covid-19 Performance Report Volume 9, July 2020.</w:t>
      </w:r>
    </w:p>
    <w:p>
      <w:pPr>
        <w:ind w:left="1480" w:right="160" w:hanging="453"/>
        <w:spacing w:after="0" w:line="182" w:lineRule="auto"/>
        <w:tabs>
          <w:tab w:leader="none" w:pos="1480" w:val="left"/>
        </w:tabs>
        <w:numPr>
          <w:ilvl w:val="0"/>
          <w:numId w:val="56"/>
        </w:numPr>
        <w:rPr>
          <w:rFonts w:ascii="Arial" w:cs="Arial" w:eastAsia="Arial" w:hAnsi="Arial"/>
          <w:sz w:val="20"/>
          <w:szCs w:val="20"/>
          <w:color w:val="auto"/>
          <w:vertAlign w:val="superscript"/>
        </w:rPr>
      </w:pPr>
      <w:r>
        <w:rPr>
          <w:rFonts w:ascii="Arial" w:cs="Arial" w:eastAsia="Arial" w:hAnsi="Arial"/>
          <w:sz w:val="12"/>
          <w:szCs w:val="12"/>
          <w:color w:val="auto"/>
        </w:rPr>
        <w:t>Based on an internal Upstart study conducted in May 2020 comparing the percentage of borrowers requesting to enter the hardship program based on their FICO credit scores and the risk tier assigned at origination by Upstart.</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0200"/>
          </w:cols>
          <w:pgMar w:left="320" w:top="407" w:right="137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improvements on our conversion funnel also allow us to unlock new marketing channels over time that have previously been unprofitable.</w:t>
      </w:r>
    </w:p>
    <w:p>
      <w:pPr>
        <w:spacing w:after="0" w:line="177"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and Market Adoption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Banks play two key roles in Upstart’s ecosystem: funding loans and acquiring new customers. Banks tend to enjoy among the most efficient sources of funding due to their expansive base of deposits. As they adopt our technology and fund a growing proportion of our platform transactions, offers made to borrowers will typically improve, generally leading to higher conversion rates and faster growth for our platform. The percent of loans funded and retained by originating banks in the nine months ended September 30, 2020 was 23%, unchanged from 23% in the same period of 2019. Historically, we have observed that each 100 basis point reduction in APR has led to an approximate 15% increase in our conversion rate.</w:t>
      </w:r>
      <w:r>
        <w:rPr>
          <w:rFonts w:ascii="Arial" w:cs="Arial" w:eastAsia="Arial" w:hAnsi="Arial"/>
          <w:sz w:val="12"/>
          <w:szCs w:val="12"/>
          <w:color w:val="auto"/>
        </w:rPr>
        <w:t>62</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New bank partners also represent additional acquisition channels through which we can reach and source prospective new borrowers, as these banks develop and implement their own digital and in-branch campaigns to drive traffic from their existing customer base to our platform. We view this emerging growth channel to be additive to the marketing acquisition programs we currently run at Upstart.</w:t>
      </w:r>
    </w:p>
    <w:p>
      <w:pPr>
        <w:spacing w:after="0" w:line="172"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To provide funding support for our bank partners, we have built a broad network of institutional investors that can fund Upstart-powered loans through secondary loan purchasing, issuance of pass-through certificates and investment in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could adversely affect our business.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Product Expansion and Innovation</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intend to continue developing new financial products that address a broader set of consumer needs over time. We recently announced our entry into the auto lending market and we believe that significant growth opportunities exist to apply our evolving technology to additional segments of credit, such as credit cards, mortgages, student loans, point-of-sale loans, and HELOCs. In addition, we aim to serve a broader role of technology enablement for banks, which we believe will seek more comprehensive technology solutions from their suppliers. For example, we recently began offering an application programming interface product to banks that allows them to utilize our AI underwriting models to support their loan origination process for personal, auto, and student loans. We will incur expenses and opportunity cost to develop and launch new products. Monetization prospects for new products are uncertain, and costs associated with developing and marketing new products might not be recovered, which could weigh on our top-line growth and profitability.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Impact of Macroeconomic Cycles</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Economic cycles can impact our financial performance and related metrics, including consumer demand for loans, conversion rates and the interest rates our bank partners and institutional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62865</wp:posOffset>
            </wp:positionV>
            <wp:extent cx="64389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8" w:lineRule="exact"/>
        <w:rPr>
          <w:sz w:val="20"/>
          <w:szCs w:val="20"/>
          <w:color w:val="auto"/>
        </w:rPr>
      </w:pPr>
    </w:p>
    <w:p>
      <w:pPr>
        <w:ind w:left="1480" w:right="100" w:hanging="453"/>
        <w:spacing w:after="0" w:line="196" w:lineRule="auto"/>
        <w:tabs>
          <w:tab w:leader="none" w:pos="1480" w:val="left"/>
        </w:tabs>
        <w:numPr>
          <w:ilvl w:val="0"/>
          <w:numId w:val="57"/>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0200"/>
          </w:cols>
          <w:pgMar w:left="320" w:top="407" w:right="137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are willing to accept. In a potential downturn, we believe consumer lending will generally contract, including the volume transacted on our own platform. However, the performance of Upstart-powered loans through an economic downturn, such as that experienced during the COVID-19 pandemic, will be important in further validating our AI models with banks and institutional investors. If we are able to continue demonstrating the resilience of Upstart-powered loans through future macroeconomic cycles relative to general consumer credit, it could strengthen our competitive positioning as we emerge from such downturns.</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Key Operating Metrics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focus on several key operating metrics to measure the performance of our business and help determine strategic direction.</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4"/>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700" w:type="dxa"/>
            <w:vAlign w:val="bottom"/>
          </w:tcPr>
          <w:p>
            <w:pPr>
              <w:spacing w:after="0"/>
              <w:rPr>
                <w:sz w:val="12"/>
                <w:szCs w:val="12"/>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1420" w:type="dxa"/>
            <w:vAlign w:val="bottom"/>
            <w:gridSpan w:val="4"/>
          </w:tcPr>
          <w:p>
            <w:pPr>
              <w:ind w:left="28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70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120" w:type="dxa"/>
            <w:vAlign w:val="bottom"/>
            <w:tcBorders>
              <w:top w:val="single" w:sz="8" w:color="auto"/>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7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70,457</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114,125</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215,122</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0"/>
              </w:rPr>
              <w:t>136,468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176,983</w:t>
            </w:r>
          </w:p>
        </w:tc>
        <w:tc>
          <w:tcPr>
            <w:tcW w:w="60" w:type="dxa"/>
            <w:vAlign w:val="bottom"/>
            <w:shd w:val="clear" w:color="auto" w:fill="CCEEFF"/>
          </w:tcPr>
          <w:p>
            <w:pPr>
              <w:spacing w:after="0"/>
              <w:rPr>
                <w:sz w:val="12"/>
                <w:szCs w:val="12"/>
                <w:color w:val="auto"/>
              </w:rPr>
            </w:pPr>
          </w:p>
        </w:tc>
      </w:tr>
      <w:tr>
        <w:trPr>
          <w:trHeight w:val="158"/>
        </w:trPr>
        <w:tc>
          <w:tcPr>
            <w:tcW w:w="570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8.1%</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9.1%</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13.1%</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12.2%</w:t>
            </w:r>
          </w:p>
        </w:tc>
        <w:tc>
          <w:tcPr>
            <w:tcW w:w="6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14.0%</w:t>
            </w:r>
          </w:p>
        </w:tc>
      </w:tr>
      <w:tr>
        <w:trPr>
          <w:trHeight w:val="158"/>
        </w:trPr>
        <w:tc>
          <w:tcPr>
            <w:tcW w:w="57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34%</w:t>
            </w: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64%</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3"/>
                <w:szCs w:val="13"/>
                <w:color w:val="auto"/>
              </w:rPr>
            </w:pP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Number of Loans Transacted</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define the Number of Loans Transacted as the transaction volume, measured by number of loans facilitated on our platform, between a borrower and originating bank during the period presented. We believe this metric to be a good proxy for our overall scale and reach as a platform. Number of Loans Transacted has benefited from continuous improvements to our AI models and technology and our ability to streamline and automate the loan application and origination process. Number of Loans Transacted is also driven by our strategic relationships with loan aggregators to attract applicants to our platform.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Transacted, and we may experience additional reductions in traffic from Credit Karma in the future.</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Conversion Rate</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define Conversion Rate as the Number of Loans Transacted in a period divided by the number of rate inquiries received, which we record when a borrower requests a loan offer on our platform. We track this metric to understand the impact of improvements to the efficiency of our borrower funnel on our overall growth. Historically, our Conversion Rate has benefitted from improvements to our technology, which have made our evaluation of risk more accurate and our verification process more automated, or from the addition of bank partners that have made our offers more competitive. Our ability to continue to improve our Conversion Rate depends in part on our ability to continue to improve our AI models and Percentage of Loans Fully Automated and the mix of marketing channels in any given period.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Percentage of Loans Fully Automated</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 key driver of our contribution margin and operating efficiency is the Percentage of Loans Fully Automated, which is defined as the total number of loans in a given period originated end-to-end (from initial rate request to final funding) with no human involvement divided by the Number of Loans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0220"/>
          </w:cols>
          <w:pgMar w:left="320" w:top="407" w:right="135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Transacted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 origination process on our platform. We expect the Percentage of Loans Fully Automated to level off and remain relatively constant in the long term, and to the extent we expand our loan offerings beyond unsecured personal loans, we expect that such percentage may decrease in the short term.</w:t>
      </w:r>
    </w:p>
    <w:p>
      <w:pPr>
        <w:spacing w:after="0" w:line="242"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Components of Results of Operations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Platform and Referral Fees, Net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charge our bank partners platform fees in exchange for usage of our AI lending platform,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For bank partners that use our loan funding capabilities, these fees are charged net of any fees the bank partner charges Upstart. For the loans Upstart purchases from bank partners after the completion of the minimum holding periods, Upstart pays bank partners a one-time loan premium fee at the time the loan is sold by such bank partner to Upstart. Upstart also pays bank partners monthly loan trailing fees based on the amount and timing of principal and interest payments made by borrowers of the underlying loans.</w:t>
      </w:r>
      <w:r>
        <w:rPr>
          <w:rFonts w:ascii="Arial" w:cs="Arial" w:eastAsia="Arial" w:hAnsi="Arial"/>
          <w:sz w:val="12"/>
          <w:szCs w:val="12"/>
          <w:color w:val="auto"/>
        </w:rPr>
        <w:t>63</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Servicing Fees, Net</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platform,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consolidated balance sheet. Upstart currently acts as loan-servicer for substantially all outstanding loans facilitated through the Upstart platform.</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105"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on our consolidated balance sheets as part of our ongoing operating activities, excluding loan servicing assets and liabilities, common stock warrant liabilities and convertible preferred stock warrant liabilities. Interest income and fair value adjustments, net also includes the full amount of net interest income and expense incurred by consolidated variable interest entities, or VIEs, the majority of which has been historically allocated to third parties in the line item net (loss) income attributable to noncontrolling interests on our consolidated statements of operations and comprehensive income (loss). Interest income and fair value adjustments, net can fluctuate based on the fair value of financial instruments held on our consolidated balance sheet. This amount has historically been a small percentage of our total revenue, and we do not manage our business with a focus on growing this component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7" w:lineRule="exact"/>
        <w:rPr>
          <w:sz w:val="20"/>
          <w:szCs w:val="20"/>
          <w:color w:val="auto"/>
        </w:rPr>
      </w:pPr>
    </w:p>
    <w:p>
      <w:pPr>
        <w:ind w:left="1480" w:hanging="453"/>
        <w:spacing w:after="0"/>
        <w:tabs>
          <w:tab w:leader="none" w:pos="1480" w:val="left"/>
        </w:tabs>
        <w:numPr>
          <w:ilvl w:val="0"/>
          <w:numId w:val="58"/>
        </w:numPr>
        <w:rPr>
          <w:rFonts w:ascii="Arial" w:cs="Arial" w:eastAsia="Arial" w:hAnsi="Arial"/>
          <w:sz w:val="20"/>
          <w:szCs w:val="20"/>
          <w:color w:val="auto"/>
          <w:vertAlign w:val="superscript"/>
        </w:rPr>
      </w:pPr>
      <w:r>
        <w:rPr>
          <w:rFonts w:ascii="Arial" w:cs="Arial" w:eastAsia="Arial" w:hAnsi="Arial"/>
          <w:sz w:val="12"/>
          <w:szCs w:val="12"/>
          <w:color w:val="auto"/>
        </w:rPr>
        <w:t>See Note 2 to our consolidated financial statements for more information about loan premium fees and trailing fees.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0220"/>
          </w:cols>
          <w:pgMar w:left="320" w:top="407" w:right="135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10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Number of Loans Transacted.</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Engineering and product development expenses primarily consist of payroll and other personnel-related expenses, including stock-based compensation expense, for the engineering and product development teams as well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 Following the completion of this offering, we expect to incur additional general, administrative and other expenses as a result of operating as a public company, including expenses related to compliance with the rules and regulations of the SEC, additional insurance expenses, investor relations activities and other administrative and professional services. We also expect to increase the size of our general and administrative function to support the growth of our business. As a result, we expect that our general, administrative and other expenses will increase in absolute dollars but may fluctuate as a percentage of our total revenue from period to period.</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Other income primarily consists of dividend income earned on our unrestricted cash balances and sublease income. Other income is recognized in the period earned. During the nine months ended September 30, 2020, other income also included the proceeds from a forgivable loan under the Paycheck Protection Program. For additional details, refer to Note 1 “Description of Business and Significant Accounting Policies” of our consolidated financial statements.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0200"/>
          </w:cols>
          <w:pgMar w:left="320" w:top="407" w:right="137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Expense on Warrants and Convertible Notes, Net</w:t>
      </w:r>
    </w:p>
    <w:p>
      <w:pPr>
        <w:spacing w:after="0" w:line="105"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Expense on warrants and convertible notes, net is primarily comprised of the net changes in the fair value of our common and convertible preferred stock warrant liabilities, as well as interest expense on convertible notes outstanding in 2017 and 2018.</w:t>
      </w:r>
    </w:p>
    <w:p>
      <w:pPr>
        <w:spacing w:after="0" w:line="166"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incurred higher expenses in the quarters when the increases in the valuation of our preferred and common stock increased the most. In the fourth quarter of 2020, we estimate the expense for outstanding warrants to be approximately $6.5 million, which is significantly higher than the amount of the warrant expenses we experienced historically. We do not expect to incur additional expenses for the warrants in 2021 and beyond due to the exercise of the preferred stock warrants and the amendment to the common stock warrants as discussed in the sections titled “Description of Capital Stock” and “Liquidity and Capital Resources—Revolving Credit Facility”, respectively.</w:t>
      </w: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5"/>
          <w:szCs w:val="15"/>
          <w:b w:val="1"/>
          <w:bCs w:val="1"/>
          <w:color w:val="auto"/>
        </w:rPr>
        <w:t>Results of Operations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historical consolidated statements of operations data:</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6"/>
          </w:tcPr>
          <w:p>
            <w:pPr>
              <w:jc w:val="right"/>
              <w:ind w:right="24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52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2460" w:type="dxa"/>
            <w:vAlign w:val="bottom"/>
            <w:gridSpan w:val="9"/>
          </w:tcPr>
          <w:p>
            <w:pPr>
              <w:jc w:val="right"/>
              <w:ind w:right="64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420" w:type="dxa"/>
            <w:vAlign w:val="bottom"/>
            <w:gridSpan w:val="6"/>
          </w:tcPr>
          <w:p>
            <w:pPr>
              <w:jc w:val="right"/>
              <w:ind w:right="38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240" w:type="dxa"/>
            <w:vAlign w:val="bottom"/>
            <w:tcBorders>
              <w:bottom w:val="single" w:sz="8" w:color="CCEEFF"/>
            </w:tcBorders>
            <w:vMerge w:val="continue"/>
          </w:tcPr>
          <w:p>
            <w:pPr>
              <w:spacing w:after="0"/>
              <w:rPr>
                <w:sz w:val="10"/>
                <w:szCs w:val="10"/>
                <w:color w:val="auto"/>
              </w:rPr>
            </w:pPr>
          </w:p>
        </w:tc>
        <w:tc>
          <w:tcPr>
            <w:tcW w:w="50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5240" w:type="dxa"/>
            <w:vAlign w:val="bottom"/>
          </w:tcPr>
          <w:p>
            <w:pPr>
              <w:ind w:left="280"/>
              <w:spacing w:after="0" w:line="158" w:lineRule="exact"/>
              <w:rPr>
                <w:sz w:val="20"/>
                <w:szCs w:val="20"/>
                <w:color w:val="auto"/>
              </w:rPr>
            </w:pPr>
            <w:r>
              <w:rPr>
                <w:rFonts w:ascii="Arial" w:cs="Arial" w:eastAsia="Arial" w:hAnsi="Arial"/>
                <w:sz w:val="14"/>
                <w:szCs w:val="14"/>
                <w:color w:val="auto"/>
              </w:rPr>
              <w:t>Revenue from fees, net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$51,161</w:t>
            </w:r>
          </w:p>
        </w:tc>
        <w:tc>
          <w:tcPr>
            <w:tcW w:w="26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88,482</w:t>
            </w:r>
          </w:p>
        </w:tc>
        <w:tc>
          <w:tcPr>
            <w:tcW w:w="16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159,847</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98,699</w:t>
            </w:r>
          </w:p>
        </w:tc>
        <w:tc>
          <w:tcPr>
            <w:tcW w:w="1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144,179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6,128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4,342</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2,918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63"/>
        </w:trPr>
        <w:tc>
          <w:tcPr>
            <w:tcW w:w="5240" w:type="dxa"/>
            <w:vAlign w:val="bottom"/>
          </w:tcPr>
          <w:p>
            <w:pPr>
              <w:ind w:left="540"/>
              <w:spacing w:after="0"/>
              <w:rPr>
                <w:sz w:val="20"/>
                <w:szCs w:val="20"/>
                <w:color w:val="auto"/>
              </w:rPr>
            </w:pPr>
            <w:r>
              <w:rPr>
                <w:rFonts w:ascii="Arial" w:cs="Arial" w:eastAsia="Arial" w:hAnsi="Arial"/>
                <w:sz w:val="14"/>
                <w:szCs w:val="14"/>
                <w:color w:val="auto"/>
              </w:rPr>
              <w:t>Total revenue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57,289</w:t>
            </w:r>
          </w:p>
        </w:tc>
        <w:tc>
          <w:tcPr>
            <w:tcW w:w="2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164,189</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101,617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146,706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tcPr>
          <w:p>
            <w:pPr>
              <w:ind w:left="280"/>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33,838</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63,633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93,175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61,236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65,113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10,232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15,416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24,947</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16,593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24,792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tcPr>
          <w:p>
            <w:pPr>
              <w:ind w:left="280"/>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5,324</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8,415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11,480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24,651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15,431</w:t>
            </w:r>
          </w:p>
        </w:tc>
        <w:tc>
          <w:tcPr>
            <w:tcW w:w="2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20,399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30,778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240" w:type="dxa"/>
            <w:vAlign w:val="bottom"/>
          </w:tcPr>
          <w:p>
            <w:pPr>
              <w:ind w:left="540"/>
              <w:spacing w:after="0"/>
              <w:rPr>
                <w:sz w:val="20"/>
                <w:szCs w:val="20"/>
                <w:color w:val="auto"/>
              </w:rPr>
            </w:pPr>
            <w:r>
              <w:rPr>
                <w:rFonts w:ascii="Arial" w:cs="Arial" w:eastAsia="Arial" w:hAnsi="Arial"/>
                <w:sz w:val="14"/>
                <w:szCs w:val="14"/>
                <w:color w:val="auto"/>
              </w:rPr>
              <w:t>Total operating expenses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64,825</w:t>
            </w:r>
          </w:p>
        </w:tc>
        <w:tc>
          <w:tcPr>
            <w:tcW w:w="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107,284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168,764</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109,708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145,334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(7,536)</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(7,971)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(4,575)</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(8,091)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58"/>
        </w:trPr>
        <w:tc>
          <w:tcPr>
            <w:tcW w:w="52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487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1,036</w:t>
            </w: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832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5,497</w:t>
            </w: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on warrants and convertible notes, net</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(3,734)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(1,407)</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(2,626)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Net (loss) income before income taxes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(8,855)</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(11,218)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(4,946)</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(9,885)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3"/>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Net (loss) income before attribution to noncontrolling interests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(8,861)</w:t>
            </w:r>
          </w:p>
        </w:tc>
        <w:tc>
          <w:tcPr>
            <w:tcW w:w="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(11,218)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(5,020)</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(9,885)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58"/>
        </w:trPr>
        <w:tc>
          <w:tcPr>
            <w:tcW w:w="5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7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(1,144)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(4,554)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(3,368)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Net (loss) income attributable to Upstart Holdings, Inc. common stockholders</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w w:val="92"/>
              </w:rPr>
              <w:t>$ (7,717)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(12,319)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(6,517)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0" w:lineRule="exact"/>
        <w:rPr>
          <w:sz w:val="20"/>
          <w:szCs w:val="20"/>
          <w:color w:val="auto"/>
        </w:rPr>
      </w:pPr>
    </w:p>
    <w:p>
      <w:pPr>
        <w:ind w:left="1480" w:hanging="453"/>
        <w:spacing w:after="0"/>
        <w:tabs>
          <w:tab w:leader="none" w:pos="14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w:t>
      </w:r>
    </w:p>
    <w:tbl>
      <w:tblPr>
        <w:tblLayout w:type="fixed"/>
        <w:tblInd w:w="1480" w:type="dxa"/>
        <w:tblCellMar>
          <w:top w:w="0" w:type="dxa"/>
          <w:left w:w="0" w:type="dxa"/>
          <w:bottom w:w="0" w:type="dxa"/>
          <w:right w:w="0" w:type="dxa"/>
        </w:tblCellMar>
      </w:tblPr>
      <w:tr>
        <w:trPr>
          <w:trHeight w:val="121"/>
        </w:trPr>
        <w:tc>
          <w:tcPr>
            <w:tcW w:w="38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7"/>
          </w:tcPr>
          <w:p>
            <w:pPr>
              <w:jc w:val="right"/>
              <w:ind w:right="80"/>
              <w:spacing w:after="0" w:line="121" w:lineRule="exact"/>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38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880" w:type="dxa"/>
            <w:vAlign w:val="bottom"/>
          </w:tcPr>
          <w:p>
            <w:pPr>
              <w:spacing w:after="0"/>
              <w:rPr>
                <w:sz w:val="12"/>
                <w:szCs w:val="12"/>
                <w:color w:val="auto"/>
              </w:rPr>
            </w:pPr>
          </w:p>
        </w:tc>
        <w:tc>
          <w:tcPr>
            <w:tcW w:w="1760" w:type="dxa"/>
            <w:vAlign w:val="bottom"/>
            <w:gridSpan w:val="9"/>
          </w:tcPr>
          <w:p>
            <w:pPr>
              <w:ind w:left="2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1140" w:type="dxa"/>
            <w:vAlign w:val="bottom"/>
            <w:gridSpan w:val="6"/>
          </w:tcPr>
          <w:p>
            <w:pPr>
              <w:jc w:val="right"/>
              <w:ind w:right="2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3860" w:type="dxa"/>
            <w:vAlign w:val="bottom"/>
            <w:tcBorders>
              <w:bottom w:val="single" w:sz="8" w:color="CCEEFF"/>
            </w:tcBorders>
            <w:vMerge w:val="continue"/>
          </w:tcPr>
          <w:p>
            <w:pPr>
              <w:spacing w:after="0"/>
              <w:rPr>
                <w:sz w:val="10"/>
                <w:szCs w:val="10"/>
                <w:color w:val="auto"/>
              </w:rPr>
            </w:pPr>
          </w:p>
        </w:tc>
        <w:tc>
          <w:tcPr>
            <w:tcW w:w="1880" w:type="dxa"/>
            <w:vAlign w:val="bottom"/>
            <w:tcBorders>
              <w:bottom w:val="single" w:sz="8" w:color="CCEEFF"/>
            </w:tcBorders>
          </w:tcPr>
          <w:p>
            <w:pPr>
              <w:spacing w:after="0"/>
              <w:rPr>
                <w:sz w:val="10"/>
                <w:szCs w:val="10"/>
                <w:color w:val="auto"/>
              </w:rPr>
            </w:pPr>
          </w:p>
        </w:tc>
        <w:tc>
          <w:tcPr>
            <w:tcW w:w="340" w:type="dxa"/>
            <w:vAlign w:val="bottom"/>
            <w:tcBorders>
              <w:top w:val="single" w:sz="8" w:color="auto"/>
              <w:bottom w:val="single" w:sz="8" w:color="auto"/>
            </w:tcBorders>
          </w:tcPr>
          <w:p>
            <w:pPr>
              <w:spacing w:after="0" w:line="126" w:lineRule="exact"/>
              <w:rPr>
                <w:sz w:val="20"/>
                <w:szCs w:val="20"/>
                <w:color w:val="auto"/>
              </w:rPr>
            </w:pPr>
            <w:r>
              <w:rPr>
                <w:rFonts w:ascii="Arial" w:cs="Arial" w:eastAsia="Arial" w:hAnsi="Arial"/>
                <w:sz w:val="12"/>
                <w:szCs w:val="12"/>
                <w:b w:val="1"/>
                <w:bCs w:val="1"/>
                <w:color w:val="auto"/>
              </w:rPr>
              <w:t>2017</w:t>
            </w:r>
          </w:p>
        </w:tc>
        <w:tc>
          <w:tcPr>
            <w:tcW w:w="10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2018</w:t>
            </w:r>
          </w:p>
        </w:tc>
        <w:tc>
          <w:tcPr>
            <w:tcW w:w="200" w:type="dxa"/>
            <w:vAlign w:val="bottom"/>
            <w:tcBorders>
              <w:top w:val="single" w:sz="8" w:color="auto"/>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w w:val="89"/>
              </w:rPr>
              <w:t>2019</w:t>
            </w:r>
          </w:p>
        </w:tc>
        <w:tc>
          <w:tcPr>
            <w:tcW w:w="2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w w:val="97"/>
              </w:rPr>
              <w:t>2019</w:t>
            </w:r>
          </w:p>
        </w:tc>
        <w:tc>
          <w:tcPr>
            <w:tcW w:w="10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1880" w:type="dxa"/>
            <w:vAlign w:val="bottom"/>
            <w:tcBorders>
              <w:right w:val="single" w:sz="8" w:color="CCEEFF"/>
            </w:tcBorders>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32</w:t>
            </w:r>
          </w:p>
        </w:tc>
        <w:tc>
          <w:tcPr>
            <w:tcW w:w="18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183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157</w:t>
            </w:r>
          </w:p>
        </w:tc>
        <w:tc>
          <w:tcPr>
            <w:tcW w:w="200" w:type="dxa"/>
            <w:vAlign w:val="bottom"/>
            <w:gridSpan w:val="2"/>
            <w:shd w:val="clear" w:color="auto" w:fill="CCEEFF"/>
          </w:tcPr>
          <w:p>
            <w:pPr>
              <w:jc w:val="right"/>
              <w:ind w:right="20"/>
              <w:spacing w:after="0" w:line="12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5"/>
        </w:trPr>
        <w:tc>
          <w:tcPr>
            <w:tcW w:w="386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1880" w:type="dxa"/>
            <w:vAlign w:val="bottom"/>
          </w:tcPr>
          <w:p>
            <w:pPr>
              <w:spacing w:after="0"/>
              <w:rPr>
                <w:sz w:val="11"/>
                <w:szCs w:val="11"/>
                <w:color w:val="auto"/>
              </w:rPr>
            </w:pPr>
          </w:p>
        </w:tc>
        <w:tc>
          <w:tcPr>
            <w:tcW w:w="4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124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178</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433</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625</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1880" w:type="dxa"/>
            <w:vAlign w:val="bottom"/>
            <w:tcBorders>
              <w:right w:val="single" w:sz="8" w:color="CCEEFF"/>
            </w:tcBorders>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753</w:t>
            </w: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1,803</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932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3,181</w:t>
            </w:r>
          </w:p>
        </w:tc>
        <w:tc>
          <w:tcPr>
            <w:tcW w:w="0" w:type="dxa"/>
            <w:vAlign w:val="bottom"/>
          </w:tcPr>
          <w:p>
            <w:pPr>
              <w:spacing w:after="0"/>
              <w:rPr>
                <w:sz w:val="1"/>
                <w:szCs w:val="1"/>
                <w:color w:val="auto"/>
              </w:rPr>
            </w:pPr>
          </w:p>
        </w:tc>
      </w:tr>
      <w:tr>
        <w:trPr>
          <w:trHeight w:val="135"/>
        </w:trPr>
        <w:tc>
          <w:tcPr>
            <w:tcW w:w="386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1880" w:type="dxa"/>
            <w:vAlign w:val="bottom"/>
          </w:tcPr>
          <w:p>
            <w:pPr>
              <w:spacing w:after="0"/>
              <w:rPr>
                <w:sz w:val="11"/>
                <w:szCs w:val="11"/>
                <w:color w:val="auto"/>
              </w:rPr>
            </w:pPr>
          </w:p>
        </w:tc>
        <w:tc>
          <w:tcPr>
            <w:tcW w:w="44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931</w:t>
            </w:r>
          </w:p>
        </w:tc>
        <w:tc>
          <w:tcPr>
            <w:tcW w:w="60" w:type="dxa"/>
            <w:vAlign w:val="bottom"/>
          </w:tcPr>
          <w:p>
            <w:pPr>
              <w:spacing w:after="0"/>
              <w:rPr>
                <w:sz w:val="11"/>
                <w:szCs w:val="11"/>
                <w:color w:val="auto"/>
              </w:rPr>
            </w:pPr>
          </w:p>
        </w:tc>
        <w:tc>
          <w:tcPr>
            <w:tcW w:w="54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1,292</w:t>
            </w:r>
          </w:p>
        </w:tc>
        <w:tc>
          <w:tcPr>
            <w:tcW w:w="10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863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2,160</w:t>
            </w:r>
          </w:p>
        </w:tc>
        <w:tc>
          <w:tcPr>
            <w:tcW w:w="0" w:type="dxa"/>
            <w:vAlign w:val="bottom"/>
          </w:tcPr>
          <w:p>
            <w:pPr>
              <w:spacing w:after="0"/>
              <w:rPr>
                <w:sz w:val="1"/>
                <w:szCs w:val="1"/>
                <w:color w:val="auto"/>
              </w:rPr>
            </w:pPr>
          </w:p>
        </w:tc>
      </w:tr>
      <w:tr>
        <w:trPr>
          <w:trHeight w:val="23"/>
        </w:trPr>
        <w:tc>
          <w:tcPr>
            <w:tcW w:w="3860" w:type="dxa"/>
            <w:vAlign w:val="bottom"/>
          </w:tcPr>
          <w:p>
            <w:pPr>
              <w:spacing w:after="0" w:line="20" w:lineRule="exact"/>
              <w:rPr>
                <w:sz w:val="1"/>
                <w:szCs w:val="1"/>
                <w:color w:val="auto"/>
              </w:rPr>
            </w:pPr>
          </w:p>
        </w:tc>
        <w:tc>
          <w:tcPr>
            <w:tcW w:w="18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188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1,290</w:t>
            </w:r>
          </w:p>
        </w:tc>
        <w:tc>
          <w:tcPr>
            <w:tcW w:w="18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2,045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3,806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2,204</w:t>
            </w:r>
          </w:p>
        </w:tc>
        <w:tc>
          <w:tcPr>
            <w:tcW w:w="20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7,102</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0220"/>
          </w:cols>
          <w:pgMar w:left="320" w:top="407" w:right="1359" w:bottom="1440" w:gutter="0" w:footer="0" w:header="0"/>
        </w:sectPr>
      </w:pPr>
    </w:p>
    <w:bookmarkStart w:id="118" w:name="page119"/>
    <w:bookmarkEnd w:id="1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300"/>
        <w:spacing w:after="0"/>
        <w:rPr>
          <w:sz w:val="20"/>
          <w:szCs w:val="20"/>
          <w:color w:val="auto"/>
        </w:rPr>
      </w:pPr>
      <w:r>
        <w:rPr>
          <w:rFonts w:ascii="Arial" w:cs="Arial" w:eastAsia="Arial" w:hAnsi="Arial"/>
          <w:sz w:val="15"/>
          <w:szCs w:val="15"/>
          <w:b w:val="1"/>
          <w:bCs w:val="1"/>
          <w:color w:val="auto"/>
        </w:rPr>
        <w:t>Comparison of Nine Months Ended September 30, 2019 and 2020</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Revenue</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 forth our revenue from fees, net in the periods shown:</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Nine Months Ended September 30,</w:t>
            </w:r>
          </w:p>
        </w:tc>
        <w:tc>
          <w:tcPr>
            <w:tcW w:w="5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 Change</w:t>
            </w:r>
          </w:p>
        </w:tc>
        <w:tc>
          <w:tcPr>
            <w:tcW w:w="42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60" w:type="dxa"/>
            <w:vAlign w:val="bottom"/>
            <w:tcBorders>
              <w:bottom w:val="single" w:sz="8" w:color="CCEEFF"/>
            </w:tcBorders>
            <w:vMerge w:val="continue"/>
          </w:tcPr>
          <w:p>
            <w:pPr>
              <w:spacing w:after="0"/>
              <w:rPr>
                <w:sz w:val="10"/>
                <w:szCs w:val="10"/>
                <w:color w:val="auto"/>
              </w:rPr>
            </w:pPr>
          </w:p>
        </w:tc>
        <w:tc>
          <w:tcPr>
            <w:tcW w:w="12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ind w:right="251"/>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69"/>
              <w:spacing w:after="0" w:line="126" w:lineRule="exact"/>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Platform and referral fees, net</w:t>
            </w: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89,049</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123,485</w:t>
            </w:r>
          </w:p>
        </w:tc>
        <w:tc>
          <w:tcPr>
            <w:tcW w:w="4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99"/>
              </w:rPr>
              <w:t>$34,436</w:t>
            </w:r>
          </w:p>
        </w:tc>
        <w:tc>
          <w:tcPr>
            <w:tcW w:w="4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69"/>
        </w:trPr>
        <w:tc>
          <w:tcPr>
            <w:tcW w:w="3460" w:type="dxa"/>
            <w:vAlign w:val="bottom"/>
          </w:tcPr>
          <w:p>
            <w:pPr>
              <w:spacing w:after="0" w:line="169" w:lineRule="exact"/>
              <w:rPr>
                <w:sz w:val="20"/>
                <w:szCs w:val="20"/>
                <w:color w:val="auto"/>
              </w:rPr>
            </w:pPr>
            <w:r>
              <w:rPr>
                <w:rFonts w:ascii="Arial" w:cs="Arial" w:eastAsia="Arial" w:hAnsi="Arial"/>
                <w:sz w:val="15"/>
                <w:szCs w:val="15"/>
                <w:color w:val="auto"/>
              </w:rPr>
              <w:t>Servicing fees, net</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9,650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20,694</w:t>
            </w:r>
          </w:p>
        </w:tc>
        <w:tc>
          <w:tcPr>
            <w:tcW w:w="98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11,044</w:t>
            </w:r>
          </w:p>
        </w:tc>
        <w:tc>
          <w:tcPr>
            <w:tcW w:w="7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3"/>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Total revenue from fees, net</w:t>
            </w:r>
          </w:p>
        </w:tc>
        <w:tc>
          <w:tcPr>
            <w:tcW w:w="14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102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98,699</w:t>
            </w:r>
          </w:p>
        </w:tc>
        <w:tc>
          <w:tcPr>
            <w:tcW w:w="420" w:type="dxa"/>
            <w:vAlign w:val="bottom"/>
            <w:gridSpan w:val="2"/>
            <w:shd w:val="clear" w:color="auto" w:fill="CCEEFF"/>
          </w:tcPr>
          <w:p>
            <w:pPr>
              <w:jc w:val="right"/>
              <w:ind w:right="65"/>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144,179</w:t>
            </w:r>
          </w:p>
        </w:tc>
        <w:tc>
          <w:tcPr>
            <w:tcW w:w="98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w w:val="99"/>
              </w:rPr>
              <w:t>$45,480</w:t>
            </w:r>
          </w:p>
        </w:tc>
        <w:tc>
          <w:tcPr>
            <w:tcW w:w="7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Revenue from fees, net increased $ 45.5 million, or 46%, in the nine months ended September 30, 2020, compared to the same period in 2019, which included an increase of $34.4 million in revenue from platform and referral fees, net and an increase of $11.0 million in servicing fees, net. The increase of the platform and referral fees net was primarily driven by a 30% increase in the Number of Loans Transacted from 136,468 in the nine months ended September 30, 2019 to 176,983 for the same period in 2020 as well as an increase in prices of our services in response to the market conditions caused by the COVID-19 pandemic. The increase in the servicing fees, net was primarily due to an 85% increase in outstanding loan principal, as well as a downward revaluation to the net liability of our servicing obligation.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6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0" w:type="dxa"/>
            <w:vAlign w:val="bottom"/>
          </w:tcPr>
          <w:p>
            <w:pPr>
              <w:spacing w:after="0"/>
              <w:rPr>
                <w:sz w:val="12"/>
                <w:szCs w:val="12"/>
                <w:color w:val="auto"/>
              </w:rPr>
            </w:pPr>
          </w:p>
        </w:tc>
        <w:tc>
          <w:tcPr>
            <w:tcW w:w="262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Nine Months Ended September 30,</w:t>
            </w:r>
          </w:p>
        </w:tc>
        <w:tc>
          <w:tcPr>
            <w:tcW w:w="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2"/>
                <w:szCs w:val="12"/>
                <w:b w:val="1"/>
                <w:bCs w:val="1"/>
                <w:color w:val="auto"/>
                <w:w w:val="99"/>
              </w:rPr>
              <w:t>Change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26"/>
        </w:trPr>
        <w:tc>
          <w:tcPr>
            <w:tcW w:w="46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47"/>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46"/>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5"/>
                <w:szCs w:val="15"/>
                <w:color w:val="auto"/>
              </w:rPr>
              <w:t>Operating entities</w:t>
            </w:r>
            <w:r>
              <w:rPr>
                <w:rFonts w:ascii="Arial" w:cs="Arial" w:eastAsia="Arial" w:hAnsi="Arial"/>
                <w:sz w:val="12"/>
                <w:szCs w:val="12"/>
                <w:color w:val="auto"/>
              </w:rPr>
              <w:t>(1)</w:t>
            </w:r>
            <w:r>
              <w:rPr>
                <w:rFonts w:ascii="Arial" w:cs="Arial" w:eastAsia="Arial" w:hAnsi="Arial"/>
                <w:sz w:val="15"/>
                <w:szCs w:val="15"/>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10,655</w:t>
            </w:r>
          </w:p>
        </w:tc>
        <w:tc>
          <w:tcPr>
            <w:tcW w:w="200" w:type="dxa"/>
            <w:vAlign w:val="bottom"/>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16,275</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5,620</w:t>
            </w: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(5,187)</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(4,655)</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(532)</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Fair value adjustments, net</w:t>
            </w:r>
          </w:p>
        </w:tc>
        <w:tc>
          <w:tcPr>
            <w:tcW w:w="120" w:type="dxa"/>
            <w:vAlign w:val="bottom"/>
          </w:tcPr>
          <w:p>
            <w:pPr>
              <w:spacing w:after="0"/>
              <w:rPr>
                <w:sz w:val="14"/>
                <w:szCs w:val="14"/>
                <w:color w:val="auto"/>
              </w:rPr>
            </w:pP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(1,873)</w:t>
            </w:r>
          </w:p>
        </w:tc>
        <w:tc>
          <w:tcPr>
            <w:tcW w:w="200" w:type="dxa"/>
            <w:vAlign w:val="bottom"/>
          </w:tcPr>
          <w:p>
            <w:pPr>
              <w:spacing w:after="0"/>
              <w:rPr>
                <w:sz w:val="14"/>
                <w:szCs w:val="14"/>
                <w:color w:val="auto"/>
              </w:rPr>
            </w:pPr>
          </w:p>
        </w:tc>
        <w:tc>
          <w:tcPr>
            <w:tcW w:w="118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(9,675)</w:t>
            </w:r>
          </w:p>
        </w:tc>
        <w:tc>
          <w:tcPr>
            <w:tcW w:w="100" w:type="dxa"/>
            <w:vAlign w:val="bottom"/>
          </w:tcPr>
          <w:p>
            <w:pPr>
              <w:spacing w:after="0"/>
              <w:rPr>
                <w:sz w:val="14"/>
                <w:szCs w:val="14"/>
                <w:color w:val="auto"/>
              </w:rPr>
            </w:pPr>
          </w:p>
        </w:tc>
        <w:tc>
          <w:tcPr>
            <w:tcW w:w="940" w:type="dxa"/>
            <w:vAlign w:val="bottom"/>
            <w:gridSpan w:val="2"/>
          </w:tcPr>
          <w:p>
            <w:pPr>
              <w:jc w:val="right"/>
              <w:ind w:right="440"/>
              <w:spacing w:after="0" w:line="169" w:lineRule="exact"/>
              <w:rPr>
                <w:sz w:val="20"/>
                <w:szCs w:val="20"/>
                <w:color w:val="auto"/>
              </w:rPr>
            </w:pPr>
            <w:r>
              <w:rPr>
                <w:rFonts w:ascii="Arial" w:cs="Arial" w:eastAsia="Arial" w:hAnsi="Arial"/>
                <w:sz w:val="15"/>
                <w:szCs w:val="15"/>
                <w:color w:val="auto"/>
              </w:rPr>
              <w:t>7,802</w:t>
            </w:r>
          </w:p>
        </w:tc>
        <w:tc>
          <w:tcPr>
            <w:tcW w:w="8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Other consolidated entities</w:t>
            </w:r>
            <w:r>
              <w:rPr>
                <w:rFonts w:ascii="Arial" w:cs="Arial" w:eastAsia="Arial" w:hAnsi="Arial"/>
                <w:sz w:val="12"/>
                <w:szCs w:val="12"/>
                <w:color w:val="auto"/>
              </w:rPr>
              <w:t>(2)</w:t>
            </w:r>
            <w:r>
              <w:rPr>
                <w:rFonts w:ascii="Arial" w:cs="Arial" w:eastAsia="Arial" w:hAnsi="Arial"/>
                <w:sz w:val="15"/>
                <w:szCs w:val="15"/>
                <w:color w:val="auto"/>
              </w:rPr>
              <w:t>:</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40,644</w:t>
            </w:r>
          </w:p>
        </w:tc>
        <w:tc>
          <w:tcPr>
            <w:tcW w:w="200" w:type="dxa"/>
            <w:vAlign w:val="bottom"/>
          </w:tcPr>
          <w:p>
            <w:pPr>
              <w:spacing w:after="0"/>
              <w:rPr>
                <w:sz w:val="14"/>
                <w:szCs w:val="14"/>
                <w:color w:val="auto"/>
              </w:rPr>
            </w:pPr>
          </w:p>
        </w:tc>
        <w:tc>
          <w:tcPr>
            <w:tcW w:w="118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6,430</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(34,214)</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(16,941)</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(2,297)</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3"/>
              </w:rPr>
              <w:t>(14,644)</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Fair value adjustments, net</w:t>
            </w:r>
          </w:p>
        </w:tc>
        <w:tc>
          <w:tcPr>
            <w:tcW w:w="120" w:type="dxa"/>
            <w:vAlign w:val="bottom"/>
          </w:tcPr>
          <w:p>
            <w:pPr>
              <w:spacing w:after="0"/>
              <w:rPr>
                <w:sz w:val="14"/>
                <w:szCs w:val="14"/>
                <w:color w:val="auto"/>
              </w:rPr>
            </w:pP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(24,380)</w:t>
            </w:r>
          </w:p>
        </w:tc>
        <w:tc>
          <w:tcPr>
            <w:tcW w:w="200" w:type="dxa"/>
            <w:vAlign w:val="bottom"/>
          </w:tcPr>
          <w:p>
            <w:pPr>
              <w:spacing w:after="0"/>
              <w:rPr>
                <w:sz w:val="14"/>
                <w:szCs w:val="14"/>
                <w:color w:val="auto"/>
              </w:rPr>
            </w:pPr>
          </w:p>
        </w:tc>
        <w:tc>
          <w:tcPr>
            <w:tcW w:w="118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(3,551)</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(20,829)</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Company:</w:t>
            </w: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spacing w:after="0"/>
              <w:rPr>
                <w:sz w:val="14"/>
                <w:szCs w:val="14"/>
                <w:color w:val="auto"/>
              </w:rPr>
            </w:pPr>
          </w:p>
        </w:tc>
        <w:tc>
          <w:tcPr>
            <w:tcW w:w="124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51,299</w:t>
            </w:r>
          </w:p>
        </w:tc>
        <w:tc>
          <w:tcPr>
            <w:tcW w:w="200" w:type="dxa"/>
            <w:vAlign w:val="bottom"/>
          </w:tcPr>
          <w:p>
            <w:pPr>
              <w:spacing w:after="0"/>
              <w:rPr>
                <w:sz w:val="14"/>
                <w:szCs w:val="14"/>
                <w:color w:val="auto"/>
              </w:rPr>
            </w:pPr>
          </w:p>
        </w:tc>
        <w:tc>
          <w:tcPr>
            <w:tcW w:w="1180" w:type="dxa"/>
            <w:vAlign w:val="bottom"/>
            <w:gridSpan w:val="2"/>
          </w:tcPr>
          <w:p>
            <w:pPr>
              <w:jc w:val="right"/>
              <w:ind w:right="460"/>
              <w:spacing w:after="0" w:line="169" w:lineRule="exact"/>
              <w:rPr>
                <w:sz w:val="20"/>
                <w:szCs w:val="20"/>
                <w:color w:val="auto"/>
              </w:rPr>
            </w:pPr>
            <w:r>
              <w:rPr>
                <w:rFonts w:ascii="Arial" w:cs="Arial" w:eastAsia="Arial" w:hAnsi="Arial"/>
                <w:sz w:val="15"/>
                <w:szCs w:val="15"/>
                <w:color w:val="auto"/>
              </w:rPr>
              <w:t>22,705</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(28,594)</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ind w:left="300"/>
              <w:spacing w:after="0" w:line="169" w:lineRule="exact"/>
              <w:rPr>
                <w:sz w:val="20"/>
                <w:szCs w:val="20"/>
                <w:color w:val="auto"/>
              </w:rPr>
            </w:pPr>
            <w:r>
              <w:rPr>
                <w:rFonts w:ascii="Arial" w:cs="Arial" w:eastAsia="Arial" w:hAnsi="Arial"/>
                <w:sz w:val="15"/>
                <w:szCs w:val="15"/>
                <w:color w:val="auto"/>
              </w:rPr>
              <w:t>Interest expense</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20"/>
              <w:spacing w:after="0" w:line="169" w:lineRule="exact"/>
              <w:rPr>
                <w:sz w:val="20"/>
                <w:szCs w:val="20"/>
                <w:color w:val="auto"/>
              </w:rPr>
            </w:pPr>
            <w:r>
              <w:rPr>
                <w:rFonts w:ascii="Arial" w:cs="Arial" w:eastAsia="Arial" w:hAnsi="Arial"/>
                <w:sz w:val="15"/>
                <w:szCs w:val="15"/>
                <w:color w:val="auto"/>
              </w:rPr>
              <w:t>(22,128)</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(6,952)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w w:val="93"/>
              </w:rPr>
              <w:t>(15,176)</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69"/>
        </w:trPr>
        <w:tc>
          <w:tcPr>
            <w:tcW w:w="4600" w:type="dxa"/>
            <w:vAlign w:val="bottom"/>
          </w:tcPr>
          <w:p>
            <w:pPr>
              <w:ind w:left="300"/>
              <w:spacing w:after="0" w:line="169" w:lineRule="exact"/>
              <w:rPr>
                <w:sz w:val="20"/>
                <w:szCs w:val="20"/>
                <w:color w:val="auto"/>
              </w:rPr>
            </w:pPr>
            <w:r>
              <w:rPr>
                <w:rFonts w:ascii="Arial" w:cs="Arial" w:eastAsia="Arial" w:hAnsi="Arial"/>
                <w:sz w:val="15"/>
                <w:szCs w:val="15"/>
                <w:color w:val="auto"/>
              </w:rPr>
              <w:t>Fair value adjustments, net</w:t>
            </w:r>
          </w:p>
        </w:tc>
        <w:tc>
          <w:tcPr>
            <w:tcW w:w="120" w:type="dxa"/>
            <w:vAlign w:val="bottom"/>
          </w:tcPr>
          <w:p>
            <w:pPr>
              <w:spacing w:after="0"/>
              <w:rPr>
                <w:sz w:val="14"/>
                <w:szCs w:val="14"/>
                <w:color w:val="auto"/>
              </w:rPr>
            </w:pPr>
          </w:p>
        </w:tc>
        <w:tc>
          <w:tcPr>
            <w:tcW w:w="1240" w:type="dxa"/>
            <w:vAlign w:val="bottom"/>
            <w:gridSpan w:val="2"/>
          </w:tcPr>
          <w:p>
            <w:pPr>
              <w:jc w:val="right"/>
              <w:ind w:right="420"/>
              <w:spacing w:after="0" w:line="169" w:lineRule="exact"/>
              <w:rPr>
                <w:sz w:val="20"/>
                <w:szCs w:val="20"/>
                <w:color w:val="auto"/>
              </w:rPr>
            </w:pPr>
            <w:r>
              <w:rPr>
                <w:rFonts w:ascii="Arial" w:cs="Arial" w:eastAsia="Arial" w:hAnsi="Arial"/>
                <w:sz w:val="15"/>
                <w:szCs w:val="15"/>
                <w:color w:val="auto"/>
              </w:rPr>
              <w:t>(26,253)</w:t>
            </w:r>
          </w:p>
        </w:tc>
        <w:tc>
          <w:tcPr>
            <w:tcW w:w="200" w:type="dxa"/>
            <w:vAlign w:val="bottom"/>
          </w:tcPr>
          <w:p>
            <w:pPr>
              <w:spacing w:after="0"/>
              <w:rPr>
                <w:sz w:val="14"/>
                <w:szCs w:val="14"/>
                <w:color w:val="auto"/>
              </w:rPr>
            </w:pPr>
          </w:p>
        </w:tc>
        <w:tc>
          <w:tcPr>
            <w:tcW w:w="118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rPr>
              <w:t>(13,226)</w:t>
            </w:r>
          </w:p>
        </w:tc>
        <w:tc>
          <w:tcPr>
            <w:tcW w:w="100" w:type="dxa"/>
            <w:vAlign w:val="bottom"/>
          </w:tcPr>
          <w:p>
            <w:pPr>
              <w:spacing w:after="0"/>
              <w:rPr>
                <w:sz w:val="14"/>
                <w:szCs w:val="14"/>
                <w:color w:val="auto"/>
              </w:rPr>
            </w:pPr>
          </w:p>
        </w:tc>
        <w:tc>
          <w:tcPr>
            <w:tcW w:w="940" w:type="dxa"/>
            <w:vAlign w:val="bottom"/>
            <w:gridSpan w:val="2"/>
          </w:tcPr>
          <w:p>
            <w:pPr>
              <w:jc w:val="right"/>
              <w:ind w:right="400"/>
              <w:spacing w:after="0" w:line="169" w:lineRule="exact"/>
              <w:rPr>
                <w:sz w:val="20"/>
                <w:szCs w:val="20"/>
                <w:color w:val="auto"/>
              </w:rPr>
            </w:pPr>
            <w:r>
              <w:rPr>
                <w:rFonts w:ascii="Arial" w:cs="Arial" w:eastAsia="Arial" w:hAnsi="Arial"/>
                <w:sz w:val="15"/>
                <w:szCs w:val="15"/>
                <w:color w:val="auto"/>
                <w:w w:val="93"/>
              </w:rPr>
              <w:t>(13,027)</w:t>
            </w:r>
          </w:p>
        </w:tc>
        <w:tc>
          <w:tcPr>
            <w:tcW w:w="8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 interest income and fair value adjustments, net</w:t>
            </w: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60"/>
              <w:spacing w:after="0" w:line="169" w:lineRule="exact"/>
              <w:rPr>
                <w:sz w:val="20"/>
                <w:szCs w:val="20"/>
                <w:color w:val="auto"/>
              </w:rPr>
            </w:pPr>
            <w:r>
              <w:rPr>
                <w:rFonts w:ascii="Arial" w:cs="Arial" w:eastAsia="Arial" w:hAnsi="Arial"/>
                <w:sz w:val="15"/>
                <w:szCs w:val="15"/>
                <w:color w:val="auto"/>
              </w:rPr>
              <w:t>2,918</w:t>
            </w:r>
          </w:p>
        </w:tc>
        <w:tc>
          <w:tcPr>
            <w:tcW w:w="200" w:type="dxa"/>
            <w:vAlign w:val="bottom"/>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60"/>
              <w:spacing w:after="0" w:line="169" w:lineRule="exact"/>
              <w:rPr>
                <w:sz w:val="20"/>
                <w:szCs w:val="20"/>
                <w:color w:val="auto"/>
              </w:rPr>
            </w:pPr>
            <w:r>
              <w:rPr>
                <w:rFonts w:ascii="Arial" w:cs="Arial" w:eastAsia="Arial" w:hAnsi="Arial"/>
                <w:sz w:val="15"/>
                <w:szCs w:val="15"/>
                <w:color w:val="auto"/>
              </w:rPr>
              <w:t>2,527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(391)</w:t>
            </w:r>
          </w:p>
        </w:tc>
        <w:tc>
          <w:tcPr>
            <w:tcW w:w="82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Consist of balances recognized by entities participating in our ongoing operating activities, including warehouse entities.</w:t>
      </w:r>
    </w:p>
    <w:p>
      <w:pPr>
        <w:ind w:left="1480" w:hanging="453"/>
        <w:spacing w:after="0"/>
        <w:tabs>
          <w:tab w:leader="none" w:pos="1480" w:val="left"/>
        </w:tabs>
        <w:numPr>
          <w:ilvl w:val="0"/>
          <w:numId w:val="60"/>
        </w:numPr>
        <w:rPr>
          <w:rFonts w:ascii="Arial" w:cs="Arial" w:eastAsia="Arial" w:hAnsi="Arial"/>
          <w:sz w:val="12"/>
          <w:szCs w:val="12"/>
          <w:color w:val="auto"/>
        </w:rPr>
      </w:pPr>
      <w:r>
        <w:rPr>
          <w:rFonts w:ascii="Arial" w:cs="Arial" w:eastAsia="Arial" w:hAnsi="Arial"/>
          <w:sz w:val="12"/>
          <w:szCs w:val="12"/>
          <w:color w:val="auto"/>
        </w:rPr>
        <w:t>Consists of balances recognized by other entities, including securitization entities and the fractional loan program (discontinued in 2019).</w:t>
      </w:r>
    </w:p>
    <w:p>
      <w:pPr>
        <w:spacing w:after="0" w:line="173"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Interest income and fair value adjustments, net decreased $0.4 million, or 13%, in the nine months ended September 30, 2020, compared to the same period in 2019. The decrease was driven by a $ 34.2 million decline in interest income and a decline in interest expense and fair value adjustments, of $14.6 million and $20.8 million, respectively, recognized by other consolidated entities. These decreases were due to a reduction of consolidated loan balances from securitization-related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0220"/>
          </w:cols>
          <w:pgMar w:left="320" w:top="407" w:right="1359" w:bottom="1440" w:gutter="0" w:footer="0" w:header="0"/>
        </w:sectPr>
      </w:pPr>
    </w:p>
    <w:bookmarkStart w:id="119" w:name="page120"/>
    <w:bookmarkEnd w:id="1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VIEs caused by the deconsolidation of previously consolidated securitizations 2017-1, 2017-2, and 2018-1. The deconsolidation of these entities was a result of the expiration of the related risk retention requirements, which caused us to conclude that we are no longer a primary beneficiary of these entities. For additional details, refer to Note 3, “Securitizations and Variable Interest Entities” of our consolidated financial statements. The decrease of the total net interest income and fair value adjustment was also caused by an increase of $7.8 million of fair value adjustments recognized by the operating entities. These negative adjustments were primarily due to the market changes caused by the COVID-19 pandemic. This increase was partially offset by an increase of $5.6 million of interest income in these entities. This increase was a result of an increased average loan balances held by the operating entities during these periods.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Operating Expenses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00" w:type="dxa"/>
            <w:vAlign w:val="bottom"/>
            <w:tcBorders>
              <w:bottom w:val="single" w:sz="8" w:color="CCEEFF"/>
            </w:tcBorders>
            <w:vMerge w:val="continue"/>
          </w:tcPr>
          <w:p>
            <w:pPr>
              <w:spacing w:after="0"/>
              <w:rPr>
                <w:sz w:val="10"/>
                <w:szCs w:val="10"/>
                <w:color w:val="auto"/>
              </w:rPr>
            </w:pPr>
          </w:p>
        </w:tc>
        <w:tc>
          <w:tcPr>
            <w:tcW w:w="162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0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Sales and marketing</w:t>
            </w:r>
          </w:p>
        </w:tc>
        <w:tc>
          <w:tcPr>
            <w:tcW w:w="162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61,236</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65,113</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3,877</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Sales and marketing expenses increased by $ 3.9 million, or 6%, in the nine months ended September 30, 2020, compared to the same period in 2019. The increase was primarily due to a $2.1 million increase in payroll and other personnel-related expenses driven by increased headcount, as well as a $0.7 million increase in advertising and other traffic acquisition costs.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02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020" w:type="dxa"/>
            <w:vAlign w:val="bottom"/>
            <w:tcBorders>
              <w:bottom w:val="single" w:sz="8" w:color="CCEEFF"/>
            </w:tcBorders>
            <w:vMerge w:val="continue"/>
          </w:tcPr>
          <w:p>
            <w:pPr>
              <w:spacing w:after="0"/>
              <w:rPr>
                <w:sz w:val="10"/>
                <w:szCs w:val="10"/>
                <w:color w:val="auto"/>
              </w:rPr>
            </w:pPr>
          </w:p>
        </w:tc>
        <w:tc>
          <w:tcPr>
            <w:tcW w:w="16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02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Customer Operations</w:t>
            </w:r>
          </w:p>
        </w:tc>
        <w:tc>
          <w:tcPr>
            <w:tcW w:w="16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16,593</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24,792</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8,199</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Customer operations expenses increased by $ 8.2 million, or 49%, in the nine months ended September 30, 2020, compared to the same period in 2019. The increase was primarily due to an increase of $6.4 million in payroll and other personnel-related expenses due to an increase in headcount as well as increased spending of $1.7 million in information verification and platform operations due to a growing volume of loans facilitated through our platform.</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6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Change</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6"/>
              </w:rPr>
              <w:t>% Change</w:t>
            </w:r>
          </w:p>
        </w:tc>
        <w:tc>
          <w:tcPr>
            <w:tcW w:w="0" w:type="dxa"/>
            <w:vAlign w:val="bottom"/>
          </w:tcPr>
          <w:p>
            <w:pPr>
              <w:spacing w:after="0"/>
              <w:rPr>
                <w:sz w:val="1"/>
                <w:szCs w:val="1"/>
                <w:color w:val="auto"/>
              </w:rPr>
            </w:pPr>
          </w:p>
        </w:tc>
      </w:tr>
      <w:tr>
        <w:trPr>
          <w:trHeight w:val="126"/>
        </w:trPr>
        <w:tc>
          <w:tcPr>
            <w:tcW w:w="36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75"/>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Engineering and product development</w:t>
            </w:r>
          </w:p>
        </w:tc>
        <w:tc>
          <w:tcPr>
            <w:tcW w:w="11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660" w:type="dxa"/>
            <w:vAlign w:val="bottom"/>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11,480</w:t>
            </w:r>
          </w:p>
        </w:tc>
        <w:tc>
          <w:tcPr>
            <w:tcW w:w="400" w:type="dxa"/>
            <w:vAlign w:val="bottom"/>
            <w:vMerge w:val="continue"/>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24,651</w:t>
            </w:r>
          </w:p>
        </w:tc>
        <w:tc>
          <w:tcPr>
            <w:tcW w:w="400" w:type="dxa"/>
            <w:vAlign w:val="bottom"/>
            <w:vMerge w:val="continue"/>
            <w:shd w:val="clear" w:color="auto" w:fill="CCEEFF"/>
          </w:tcPr>
          <w:p>
            <w:pPr>
              <w:spacing w:after="0"/>
              <w:rPr>
                <w:sz w:val="13"/>
                <w:szCs w:val="13"/>
                <w:color w:val="auto"/>
              </w:rPr>
            </w:pPr>
          </w:p>
        </w:tc>
        <w:tc>
          <w:tcPr>
            <w:tcW w:w="54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$13,171</w:t>
            </w:r>
          </w:p>
        </w:tc>
        <w:tc>
          <w:tcPr>
            <w:tcW w:w="420" w:type="dxa"/>
            <w:vAlign w:val="bottom"/>
            <w:vMerge w:val="continue"/>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115%</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Engineering and product development expenses increased by $13.2 million, or 115%, in the nine months ended September 30, 2020, compared to the same period in 2019. The increase was primarily due to an increase of $10.2 million in payroll and other personnel-related expenses driven by an increase in headcount, as well as a $2.9 million increase in spending on consultants and other engineering support services.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38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60" w:type="dxa"/>
            <w:vAlign w:val="bottom"/>
            <w:gridSpan w:val="5"/>
          </w:tcPr>
          <w:p>
            <w:pPr>
              <w:ind w:left="40"/>
              <w:spacing w:after="0"/>
              <w:rPr>
                <w:sz w:val="20"/>
                <w:szCs w:val="20"/>
                <w:color w:val="auto"/>
              </w:rPr>
            </w:pPr>
            <w:r>
              <w:rPr>
                <w:rFonts w:ascii="Arial" w:cs="Arial" w:eastAsia="Arial" w:hAnsi="Arial"/>
                <w:sz w:val="12"/>
                <w:szCs w:val="12"/>
                <w:b w:val="1"/>
                <w:bCs w:val="1"/>
                <w:color w:val="auto"/>
              </w:rPr>
              <w:t>Nine Months Ended September 30,</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w w:val="99"/>
              </w:rPr>
              <w:t>$ 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380" w:type="dxa"/>
            <w:vAlign w:val="bottom"/>
            <w:tcBorders>
              <w:bottom w:val="single" w:sz="8" w:color="CCEEFF"/>
            </w:tcBorders>
            <w:vMerge w:val="continue"/>
          </w:tcPr>
          <w:p>
            <w:pPr>
              <w:spacing w:after="0"/>
              <w:rPr>
                <w:sz w:val="10"/>
                <w:szCs w:val="10"/>
                <w:color w:val="auto"/>
              </w:rPr>
            </w:pPr>
          </w:p>
        </w:tc>
        <w:tc>
          <w:tcPr>
            <w:tcW w:w="122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38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General, administrative, and other</w:t>
            </w:r>
          </w:p>
        </w:tc>
        <w:tc>
          <w:tcPr>
            <w:tcW w:w="12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20,399</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45"/>
              <w:spacing w:after="0" w:line="161" w:lineRule="exact"/>
              <w:rPr>
                <w:sz w:val="20"/>
                <w:szCs w:val="20"/>
                <w:color w:val="auto"/>
              </w:rPr>
            </w:pPr>
            <w:r>
              <w:rPr>
                <w:rFonts w:ascii="Arial" w:cs="Arial" w:eastAsia="Arial" w:hAnsi="Arial"/>
                <w:sz w:val="15"/>
                <w:szCs w:val="15"/>
                <w:color w:val="auto"/>
                <w:w w:val="95"/>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30,778</w:t>
            </w:r>
          </w:p>
        </w:tc>
        <w:tc>
          <w:tcPr>
            <w:tcW w:w="4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9"/>
              </w:rPr>
              <w:t>$10,379</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51%</w:t>
            </w:r>
          </w:p>
        </w:tc>
        <w:tc>
          <w:tcPr>
            <w:tcW w:w="0" w:type="dxa"/>
            <w:vAlign w:val="bottom"/>
          </w:tcPr>
          <w:p>
            <w:pPr>
              <w:spacing w:after="0"/>
              <w:rPr>
                <w:sz w:val="1"/>
                <w:szCs w:val="1"/>
                <w:color w:val="auto"/>
              </w:rPr>
            </w:pPr>
          </w:p>
        </w:tc>
      </w:tr>
      <w:tr>
        <w:trPr>
          <w:trHeight w:val="303"/>
        </w:trPr>
        <w:tc>
          <w:tcPr>
            <w:tcW w:w="33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110</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320" w:top="407" w:right="1359" w:bottom="1440" w:gutter="0" w:footer="0" w:header="0"/>
        </w:sectPr>
      </w:pPr>
    </w:p>
    <w:bookmarkStart w:id="120" w:name="page121"/>
    <w:bookmarkEnd w:id="1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General, administrative, and other expenses increased by $10.4 million, or 51%, in the nine months ended September 30, 2020, compared to the same period in 2019. The increase was primarily due to an increase of $ 3.1 million in personnel-related costs as a result of increased headcount; an increase of $2.2 million in office rent and other facility-related expenses due to the opening of our second headquarters in Columbus, Ohio, and relocation of our first headquarters from San Carlos, California to San Mateo, California; an increase of $1.5 million in legal and compliance-related expenses; and an increase of $1.1 million in other professional services fees.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Other Income</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76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860" w:type="dxa"/>
            <w:vAlign w:val="bottom"/>
          </w:tcPr>
          <w:p>
            <w:pPr>
              <w:spacing w:after="0"/>
              <w:rPr>
                <w:sz w:val="12"/>
                <w:szCs w:val="12"/>
                <w:color w:val="auto"/>
              </w:rPr>
            </w:pPr>
          </w:p>
        </w:tc>
        <w:tc>
          <w:tcPr>
            <w:tcW w:w="2820" w:type="dxa"/>
            <w:vAlign w:val="bottom"/>
            <w:gridSpan w:val="6"/>
          </w:tcPr>
          <w:p>
            <w:pPr>
              <w:ind w:left="180"/>
              <w:spacing w:after="0"/>
              <w:rPr>
                <w:sz w:val="20"/>
                <w:szCs w:val="20"/>
                <w:color w:val="auto"/>
              </w:rPr>
            </w:pPr>
            <w:r>
              <w:rPr>
                <w:rFonts w:ascii="Arial" w:cs="Arial" w:eastAsia="Arial" w:hAnsi="Arial"/>
                <w:sz w:val="12"/>
                <w:szCs w:val="12"/>
                <w:b w:val="1"/>
                <w:bCs w:val="1"/>
                <w:color w:val="auto"/>
              </w:rPr>
              <w:t>Nine Months Ended September 30,</w:t>
            </w:r>
          </w:p>
        </w:tc>
        <w:tc>
          <w:tcPr>
            <w:tcW w:w="80" w:type="dxa"/>
            <w:vAlign w:val="bottom"/>
            <w:vMerge w:val="restart"/>
          </w:tcPr>
          <w:p>
            <w:pPr>
              <w:spacing w:after="0"/>
              <w:rPr>
                <w:sz w:val="20"/>
                <w:szCs w:val="20"/>
                <w:color w:val="auto"/>
              </w:rPr>
            </w:pPr>
            <w:r>
              <w:rPr>
                <w:rFonts w:ascii="Arial" w:cs="Arial" w:eastAsia="Arial" w:hAnsi="Arial"/>
                <w:sz w:val="12"/>
                <w:szCs w:val="12"/>
                <w:b w:val="1"/>
                <w:bCs w:val="1"/>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9"/>
              </w:rPr>
              <w:t>Change</w:t>
            </w:r>
          </w:p>
        </w:tc>
        <w:tc>
          <w:tcPr>
            <w:tcW w:w="460" w:type="dxa"/>
            <w:vAlign w:val="bottom"/>
            <w:vMerge w:val="restart"/>
          </w:tcPr>
          <w:p>
            <w:pPr>
              <w:spacing w:after="0"/>
              <w:rPr>
                <w:sz w:val="12"/>
                <w:szCs w:val="12"/>
                <w:color w:val="auto"/>
              </w:rPr>
            </w:pPr>
          </w:p>
        </w:tc>
        <w:tc>
          <w:tcPr>
            <w:tcW w:w="580" w:type="dxa"/>
            <w:vAlign w:val="bottom"/>
            <w:vMerge w:val="restart"/>
          </w:tcPr>
          <w:p>
            <w:pPr>
              <w:spacing w:after="0"/>
              <w:rPr>
                <w:sz w:val="20"/>
                <w:szCs w:val="20"/>
                <w:color w:val="auto"/>
              </w:rPr>
            </w:pPr>
            <w:r>
              <w:rPr>
                <w:rFonts w:ascii="Arial" w:cs="Arial" w:eastAsia="Arial" w:hAnsi="Arial"/>
                <w:sz w:val="12"/>
                <w:szCs w:val="12"/>
                <w:b w:val="1"/>
                <w:bCs w:val="1"/>
                <w:color w:val="auto"/>
                <w:w w:val="96"/>
              </w:rPr>
              <w:t>% Change</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tcBorders>
              <w:bottom w:val="single" w:sz="8" w:color="CCEEFF"/>
            </w:tcBorders>
            <w:vMerge w:val="continue"/>
          </w:tcPr>
          <w:p>
            <w:pPr>
              <w:spacing w:after="0"/>
              <w:rPr>
                <w:sz w:val="10"/>
                <w:szCs w:val="10"/>
                <w:color w:val="auto"/>
              </w:rPr>
            </w:pPr>
          </w:p>
        </w:tc>
        <w:tc>
          <w:tcPr>
            <w:tcW w:w="186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ind w:right="292"/>
              <w:spacing w:after="0" w:line="126" w:lineRule="exact"/>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4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760" w:type="dxa"/>
            <w:vAlign w:val="bottom"/>
            <w:shd w:val="clear" w:color="auto" w:fill="CCEEFF"/>
          </w:tcPr>
          <w:p>
            <w:pPr>
              <w:spacing w:after="0" w:line="160" w:lineRule="exact"/>
              <w:rPr>
                <w:sz w:val="20"/>
                <w:szCs w:val="20"/>
                <w:color w:val="auto"/>
              </w:rPr>
            </w:pPr>
            <w:r>
              <w:rPr>
                <w:rFonts w:ascii="Arial" w:cs="Arial" w:eastAsia="Arial" w:hAnsi="Arial"/>
                <w:sz w:val="15"/>
                <w:szCs w:val="15"/>
                <w:color w:val="auto"/>
              </w:rPr>
              <w:t>Other income</w:t>
            </w:r>
          </w:p>
        </w:tc>
        <w:tc>
          <w:tcPr>
            <w:tcW w:w="18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475"/>
              <w:spacing w:after="0" w:line="161" w:lineRule="exact"/>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832</w:t>
            </w: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5"/>
              <w:spacing w:after="0" w:line="161" w:lineRule="exact"/>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5,497</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4,665</w:t>
            </w:r>
          </w:p>
        </w:tc>
        <w:tc>
          <w:tcPr>
            <w:tcW w:w="4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561%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Other income increased by $4.7 million, or 561%, in the nine months ended September 30, 2020, compared to the same period in 2019. The increase was primarily due to receipt of funds under the PPP, totaling $5.3 million and an increase in unrestricted cash balances held in interest-bearing deposit accounts throughout the year at commercial banks, which was partially offset by a decrease in dividend income of $0.8 million.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Expense on Warrants and Convertible Notes,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50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120" w:type="dxa"/>
            <w:vAlign w:val="bottom"/>
          </w:tcPr>
          <w:p>
            <w:pPr>
              <w:spacing w:after="0"/>
              <w:rPr>
                <w:sz w:val="12"/>
                <w:szCs w:val="12"/>
                <w:color w:val="auto"/>
              </w:rPr>
            </w:pPr>
          </w:p>
        </w:tc>
        <w:tc>
          <w:tcPr>
            <w:tcW w:w="2500" w:type="dxa"/>
            <w:vAlign w:val="bottom"/>
            <w:gridSpan w:val="5"/>
          </w:tcPr>
          <w:p>
            <w:pPr>
              <w:ind w:left="60"/>
              <w:spacing w:after="0"/>
              <w:rPr>
                <w:sz w:val="20"/>
                <w:szCs w:val="20"/>
                <w:color w:val="auto"/>
              </w:rPr>
            </w:pPr>
            <w:r>
              <w:rPr>
                <w:rFonts w:ascii="Arial" w:cs="Arial" w:eastAsia="Arial" w:hAnsi="Arial"/>
                <w:sz w:val="12"/>
                <w:szCs w:val="12"/>
                <w:b w:val="1"/>
                <w:bCs w:val="1"/>
                <w:color w:val="auto"/>
              </w:rPr>
              <w:t>Nine Months Ended September 30,</w:t>
            </w:r>
          </w:p>
        </w:tc>
        <w:tc>
          <w:tcPr>
            <w:tcW w:w="220" w:type="dxa"/>
            <w:vAlign w:val="bottom"/>
            <w:vMerge w:val="restart"/>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2"/>
                <w:szCs w:val="12"/>
                <w:b w:val="1"/>
                <w:bCs w:val="1"/>
                <w:color w:val="auto"/>
                <w:w w:val="95"/>
              </w:rPr>
              <w:t>Change</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99"/>
              </w:rPr>
              <w:t>% Change</w:t>
            </w:r>
          </w:p>
        </w:tc>
        <w:tc>
          <w:tcPr>
            <w:tcW w:w="0" w:type="dxa"/>
            <w:vAlign w:val="bottom"/>
          </w:tcPr>
          <w:p>
            <w:pPr>
              <w:spacing w:after="0"/>
              <w:rPr>
                <w:sz w:val="1"/>
                <w:szCs w:val="1"/>
                <w:color w:val="auto"/>
              </w:rPr>
            </w:pPr>
          </w:p>
        </w:tc>
      </w:tr>
      <w:tr>
        <w:trPr>
          <w:trHeight w:val="126"/>
        </w:trPr>
        <w:tc>
          <w:tcPr>
            <w:tcW w:w="4500" w:type="dxa"/>
            <w:vAlign w:val="bottom"/>
            <w:vMerge w:val="continue"/>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255"/>
              <w:spacing w:after="0" w:line="126" w:lineRule="exact"/>
              <w:rPr>
                <w:sz w:val="20"/>
                <w:szCs w:val="20"/>
                <w:color w:val="auto"/>
              </w:rPr>
            </w:pPr>
            <w:r>
              <w:rPr>
                <w:rFonts w:ascii="Arial" w:cs="Arial" w:eastAsia="Arial" w:hAnsi="Arial"/>
                <w:sz w:val="12"/>
                <w:szCs w:val="12"/>
                <w:b w:val="1"/>
                <w:bCs w:val="1"/>
                <w:color w:val="auto"/>
              </w:rPr>
              <w:t>2019</w:t>
            </w: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272"/>
              <w:spacing w:after="0" w:line="126" w:lineRule="exact"/>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Expense on warrants and convertible notes, net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(2,626)</w:t>
            </w:r>
          </w:p>
        </w:tc>
        <w:tc>
          <w:tcPr>
            <w:tcW w:w="52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jc w:val="right"/>
              <w:ind w:right="45"/>
              <w:spacing w:after="0" w:line="161"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(2,317)</w:t>
            </w:r>
          </w:p>
        </w:tc>
        <w:tc>
          <w:tcPr>
            <w:tcW w:w="280" w:type="dxa"/>
            <w:vAlign w:val="bottom"/>
            <w:vMerge w:val="continue"/>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line="161" w:lineRule="exact"/>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line="161" w:lineRule="exact"/>
              <w:rPr>
                <w:sz w:val="20"/>
                <w:szCs w:val="20"/>
                <w:color w:val="auto"/>
              </w:rPr>
            </w:pPr>
            <w:r>
              <w:rPr>
                <w:rFonts w:ascii="Arial" w:cs="Arial" w:eastAsia="Arial" w:hAnsi="Arial"/>
                <w:sz w:val="15"/>
                <w:szCs w:val="15"/>
                <w:color w:val="auto"/>
              </w:rPr>
              <w:t>(309)</w:t>
            </w:r>
          </w:p>
        </w:tc>
        <w:tc>
          <w:tcPr>
            <w:tcW w:w="500" w:type="dxa"/>
            <w:vAlign w:val="bottom"/>
            <w:vMerge w:val="continue"/>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line="161"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Expense on warrants and convertible notes decreased by $ 0.3 million, or 12%, in the nine months ended September 30, 2020, compared to the same period in 2019. The decrease was primarily a result of a lower number of instruments outstanding in 2020 due to a repurchase and retirement of certain warrants in the fourth quarter of 2019.</w:t>
      </w:r>
    </w:p>
    <w:p>
      <w:pPr>
        <w:spacing w:after="0" w:line="242" w:lineRule="exact"/>
        <w:rPr>
          <w:sz w:val="20"/>
          <w:szCs w:val="20"/>
          <w:color w:val="auto"/>
        </w:rPr>
      </w:pPr>
    </w:p>
    <w:p>
      <w:pPr>
        <w:ind w:left="3220"/>
        <w:spacing w:after="0"/>
        <w:rPr>
          <w:sz w:val="20"/>
          <w:szCs w:val="20"/>
          <w:color w:val="auto"/>
        </w:rPr>
      </w:pPr>
      <w:r>
        <w:rPr>
          <w:rFonts w:ascii="Arial" w:cs="Arial" w:eastAsia="Arial" w:hAnsi="Arial"/>
          <w:sz w:val="15"/>
          <w:szCs w:val="15"/>
          <w:b w:val="1"/>
          <w:bCs w:val="1"/>
          <w:color w:val="auto"/>
        </w:rPr>
        <w:t>Comparison of the Years Ended December 31, 2017, 2018, and 2019</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Revenue</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 forth our revenue from fees, net in the periods shown:</w:t>
      </w:r>
    </w:p>
    <w:p>
      <w:pPr>
        <w:spacing w:after="0" w:line="393" w:lineRule="exact"/>
        <w:rPr>
          <w:sz w:val="20"/>
          <w:szCs w:val="20"/>
          <w:color w:val="auto"/>
        </w:rPr>
      </w:pPr>
    </w:p>
    <w:tbl>
      <w:tblPr>
        <w:tblLayout w:type="fixed"/>
        <w:tblInd w:w="1020" w:type="dxa"/>
        <w:tblCellMar>
          <w:top w:w="0" w:type="dxa"/>
          <w:left w:w="0" w:type="dxa"/>
          <w:bottom w:w="0" w:type="dxa"/>
          <w:right w:w="0" w:type="dxa"/>
        </w:tblCellMar>
      </w:tblPr>
      <w:tr>
        <w:trPr>
          <w:trHeight w:val="157"/>
        </w:trPr>
        <w:tc>
          <w:tcPr>
            <w:tcW w:w="3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0" w:type="dxa"/>
            <w:vAlign w:val="bottom"/>
            <w:tcBorders>
              <w:bottom w:val="single" w:sz="8" w:color="auto"/>
            </w:tcBorders>
            <w:gridSpan w:val="6"/>
          </w:tcPr>
          <w:p>
            <w:pPr>
              <w:jc w:val="right"/>
              <w:ind w:right="396"/>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3"/>
                <w:szCs w:val="13"/>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310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11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jc w:val="right"/>
              <w:ind w:right="96"/>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31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Platform and referral fees, net</w:t>
            </w:r>
          </w:p>
        </w:tc>
        <w:tc>
          <w:tcPr>
            <w:tcW w:w="1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$48,067</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$83,381</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$144,055</w:t>
            </w:r>
          </w:p>
        </w:tc>
        <w:tc>
          <w:tcPr>
            <w:tcW w:w="16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73%</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r>
      <w:tr>
        <w:trPr>
          <w:trHeight w:val="160"/>
        </w:trPr>
        <w:tc>
          <w:tcPr>
            <w:tcW w:w="3100" w:type="dxa"/>
            <w:vAlign w:val="bottom"/>
          </w:tcPr>
          <w:p>
            <w:pPr>
              <w:spacing w:after="0" w:line="158" w:lineRule="exact"/>
              <w:rPr>
                <w:sz w:val="20"/>
                <w:szCs w:val="20"/>
                <w:color w:val="auto"/>
              </w:rPr>
            </w:pPr>
            <w:r>
              <w:rPr>
                <w:rFonts w:ascii="Arial" w:cs="Arial" w:eastAsia="Arial" w:hAnsi="Arial"/>
                <w:sz w:val="14"/>
                <w:szCs w:val="14"/>
                <w:color w:val="auto"/>
              </w:rPr>
              <w:t>Servicing fees, net</w:t>
            </w:r>
          </w:p>
        </w:tc>
        <w:tc>
          <w:tcPr>
            <w:tcW w:w="11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3,094</w:t>
            </w:r>
          </w:p>
        </w:tc>
        <w:tc>
          <w:tcPr>
            <w:tcW w:w="4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5,101</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15,792</w:t>
            </w:r>
          </w:p>
        </w:tc>
        <w:tc>
          <w:tcPr>
            <w:tcW w:w="16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65%</w:t>
            </w:r>
          </w:p>
        </w:tc>
        <w:tc>
          <w:tcPr>
            <w:tcW w:w="8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210%</w:t>
            </w:r>
          </w:p>
        </w:tc>
      </w:tr>
      <w:tr>
        <w:trPr>
          <w:trHeight w:val="158"/>
        </w:trPr>
        <w:tc>
          <w:tcPr>
            <w:tcW w:w="3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revenue from fees, net</w:t>
            </w:r>
          </w:p>
        </w:tc>
        <w:tc>
          <w:tcPr>
            <w:tcW w:w="1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51,161</w:t>
            </w:r>
          </w:p>
        </w:tc>
        <w:tc>
          <w:tcPr>
            <w:tcW w:w="4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88,482</w:t>
            </w:r>
          </w:p>
        </w:tc>
        <w:tc>
          <w:tcPr>
            <w:tcW w:w="2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159,847</w:t>
            </w:r>
          </w:p>
        </w:tc>
        <w:tc>
          <w:tcPr>
            <w:tcW w:w="16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73%</w:t>
            </w:r>
          </w:p>
        </w:tc>
        <w:tc>
          <w:tcPr>
            <w:tcW w:w="8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81%</w:t>
            </w:r>
          </w:p>
        </w:tc>
      </w:tr>
      <w:tr>
        <w:trPr>
          <w:trHeight w:val="20"/>
        </w:trPr>
        <w:tc>
          <w:tcPr>
            <w:tcW w:w="3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Revenue from fees, net increased $71.4 million, or 81%, in the year ended December 31, 2019, compared to the prior year. The increase was primarily due to an increase of $60.7 million in revenue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0220"/>
          </w:cols>
          <w:pgMar w:left="320" w:top="407" w:right="1359" w:bottom="1440" w:gutter="0" w:footer="0" w:header="0"/>
        </w:sectPr>
      </w:pPr>
    </w:p>
    <w:bookmarkStart w:id="121" w:name="page122"/>
    <w:bookmarkEnd w:id="1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line="238" w:lineRule="auto"/>
        <w:rPr>
          <w:sz w:val="20"/>
          <w:szCs w:val="20"/>
          <w:color w:val="auto"/>
        </w:rPr>
      </w:pPr>
      <w:r>
        <w:rPr>
          <w:rFonts w:ascii="Arial" w:cs="Arial" w:eastAsia="Arial" w:hAnsi="Arial"/>
          <w:sz w:val="15"/>
          <w:szCs w:val="15"/>
          <w:color w:val="auto"/>
        </w:rPr>
        <w:t>from platform and referral fees, net. This increase was primarily driven by an 88% increase in the Number of Loans Transacted from 114,125 for the year ended December 31, 2018 to 215,122 for the year ended December 31, 2019. Servicing fees, net increased by $10.7 million due to a doubling in average outstanding loan principal, as well as a downward revaluation to the net liability of our servicing obligation.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Revenue from fees, net increased $37.3 million, or 73%, in the year ended December 31, 2018 compared to the prior year, comprised primarily of an increase of $35.3 million in revenue from platform and referral fees, net. This increase was primarily due to an 62% increase in the Number of Loans Transacted from 70,457 for the year ended December 31, 2017 to 114,125 for the year ended December 31, 2018.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46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w w:val="98"/>
              </w:rPr>
              <w:t>2017 to 2018</w:t>
            </w:r>
          </w:p>
        </w:tc>
        <w:tc>
          <w:tcPr>
            <w:tcW w:w="9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3640" w:type="dxa"/>
            <w:vAlign w:val="bottom"/>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ind w:right="34"/>
              <w:spacing w:after="0" w:line="126" w:lineRule="exact"/>
              <w:rPr>
                <w:sz w:val="20"/>
                <w:szCs w:val="20"/>
                <w:color w:val="auto"/>
              </w:rPr>
            </w:pPr>
            <w:r>
              <w:rPr>
                <w:rFonts w:ascii="Arial" w:cs="Arial" w:eastAsia="Arial" w:hAnsi="Arial"/>
                <w:sz w:val="12"/>
                <w:szCs w:val="12"/>
                <w:b w:val="1"/>
                <w:bCs w:val="1"/>
                <w:color w:val="auto"/>
              </w:rPr>
              <w:t>2017</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2019</w:t>
            </w:r>
          </w:p>
        </w:tc>
        <w:tc>
          <w:tcPr>
            <w:tcW w:w="440" w:type="dxa"/>
            <w:vAlign w:val="bottom"/>
          </w:tcPr>
          <w:p>
            <w:pPr>
              <w:spacing w:after="0"/>
              <w:rPr>
                <w:sz w:val="10"/>
                <w:szCs w:val="10"/>
                <w:color w:val="auto"/>
              </w:rPr>
            </w:pPr>
          </w:p>
        </w:tc>
        <w:tc>
          <w:tcPr>
            <w:tcW w:w="1260" w:type="dxa"/>
            <w:vAlign w:val="bottom"/>
            <w:gridSpan w:val="2"/>
          </w:tcPr>
          <w:p>
            <w:pPr>
              <w:jc w:val="right"/>
              <w:ind w:right="620"/>
              <w:spacing w:after="0" w:line="126" w:lineRule="exact"/>
              <w:rPr>
                <w:sz w:val="20"/>
                <w:szCs w:val="20"/>
                <w:color w:val="auto"/>
              </w:rPr>
            </w:pPr>
            <w:r>
              <w:rPr>
                <w:rFonts w:ascii="Arial" w:cs="Arial" w:eastAsia="Arial" w:hAnsi="Arial"/>
                <w:sz w:val="12"/>
                <w:szCs w:val="12"/>
                <w:b w:val="1"/>
                <w:bCs w:val="1"/>
                <w:color w:val="auto"/>
              </w:rPr>
              <w:t>% Change</w:t>
            </w:r>
          </w:p>
        </w:tc>
        <w:tc>
          <w:tcPr>
            <w:tcW w:w="920" w:type="dxa"/>
            <w:vAlign w:val="bottom"/>
            <w:gridSpan w:val="2"/>
          </w:tcPr>
          <w:p>
            <w:pPr>
              <w:jc w:val="right"/>
              <w:ind w:right="280"/>
              <w:spacing w:after="0" w:line="126" w:lineRule="exact"/>
              <w:rPr>
                <w:sz w:val="20"/>
                <w:szCs w:val="20"/>
                <w:color w:val="auto"/>
              </w:rPr>
            </w:pPr>
            <w:r>
              <w:rPr>
                <w:rFonts w:ascii="Arial" w:cs="Arial" w:eastAsia="Arial" w:hAnsi="Arial"/>
                <w:sz w:val="12"/>
                <w:szCs w:val="12"/>
                <w:b w:val="1"/>
                <w:bCs w:val="1"/>
                <w:color w:val="auto"/>
              </w:rPr>
              <w:t>% Change</w:t>
            </w:r>
          </w:p>
        </w:tc>
      </w:tr>
      <w:tr>
        <w:trPr>
          <w:trHeight w:val="138"/>
        </w:trPr>
        <w:tc>
          <w:tcPr>
            <w:tcW w:w="36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0"/>
                <w:szCs w:val="10"/>
                <w:color w:val="auto"/>
              </w:rPr>
              <w:t>Operating entities</w:t>
            </w:r>
            <w:r>
              <w:rPr>
                <w:rFonts w:ascii="Arial" w:cs="Arial" w:eastAsia="Arial" w:hAnsi="Arial"/>
                <w:sz w:val="15"/>
                <w:szCs w:val="15"/>
                <w:color w:val="auto"/>
                <w:vertAlign w:val="superscript"/>
              </w:rPr>
              <w:t>(1)</w:t>
            </w:r>
            <w:r>
              <w:rPr>
                <w:rFonts w:ascii="Arial" w:cs="Arial" w:eastAsia="Arial" w:hAnsi="Arial"/>
                <w:sz w:val="10"/>
                <w:szCs w:val="10"/>
                <w:color w:val="auto"/>
              </w:rPr>
              <w:t>:</w:t>
            </w:r>
          </w:p>
        </w:tc>
        <w:tc>
          <w:tcPr>
            <w:tcW w:w="5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4,386</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9,924</w:t>
            </w: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16,092</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126%</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62%</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(2,335)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(4,818)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(7,184)</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106%</w:t>
            </w:r>
          </w:p>
        </w:tc>
        <w:tc>
          <w:tcPr>
            <w:tcW w:w="9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49%</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646</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(1,619)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(796)</w:t>
            </w:r>
          </w:p>
        </w:tc>
        <w:tc>
          <w:tcPr>
            <w:tcW w:w="126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(351%)</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51%</w:t>
            </w:r>
          </w:p>
        </w:tc>
      </w:tr>
      <w:tr>
        <w:trPr>
          <w:trHeight w:val="158"/>
        </w:trPr>
        <w:tc>
          <w:tcPr>
            <w:tcW w:w="36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Other consolidated entities</w:t>
            </w:r>
            <w:r>
              <w:rPr>
                <w:rFonts w:ascii="Arial" w:cs="Arial" w:eastAsia="Arial" w:hAnsi="Arial"/>
                <w:sz w:val="18"/>
                <w:szCs w:val="18"/>
                <w:color w:val="auto"/>
                <w:vertAlign w:val="superscript"/>
              </w:rPr>
              <w:t>(2)</w:t>
            </w:r>
            <w:r>
              <w:rPr>
                <w:rFonts w:ascii="Arial" w:cs="Arial" w:eastAsia="Arial" w:hAnsi="Arial"/>
                <w:sz w:val="12"/>
                <w:szCs w:val="12"/>
                <w:color w:val="auto"/>
              </w:rPr>
              <w:t>:</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16,748</w:t>
            </w:r>
          </w:p>
        </w:tc>
        <w:tc>
          <w:tcPr>
            <w:tcW w:w="240" w:type="dxa"/>
            <w:vAlign w:val="bottom"/>
          </w:tcPr>
          <w:p>
            <w:pPr>
              <w:spacing w:after="0"/>
              <w:rPr>
                <w:sz w:val="13"/>
                <w:szCs w:val="13"/>
                <w:color w:val="auto"/>
              </w:rPr>
            </w:pP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66,759</w:t>
            </w:r>
          </w:p>
        </w:tc>
        <w:tc>
          <w:tcPr>
            <w:tcW w:w="240" w:type="dxa"/>
            <w:vAlign w:val="bottom"/>
          </w:tcPr>
          <w:p>
            <w:pPr>
              <w:spacing w:after="0"/>
              <w:rPr>
                <w:sz w:val="13"/>
                <w:szCs w:val="13"/>
                <w:color w:val="auto"/>
              </w:rPr>
            </w:pPr>
          </w:p>
        </w:tc>
        <w:tc>
          <w:tcPr>
            <w:tcW w:w="2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47,221</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299%</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(29%)</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(7,085)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1"/>
              </w:rPr>
              <w:t>(21,665)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5"/>
              </w:rPr>
              <w:t>(19,301)</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206%</w:t>
            </w: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9"/>
              </w:rPr>
              <w:t>(6,232)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w w:val="91"/>
              </w:rPr>
              <w:t>(37,750)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(31,690)</w:t>
            </w: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506%</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w:t>
            </w: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Company:</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21,134</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76,683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63,313</w:t>
            </w:r>
          </w:p>
        </w:tc>
        <w:tc>
          <w:tcPr>
            <w:tcW w:w="440" w:type="dxa"/>
            <w:vAlign w:val="bottom"/>
          </w:tcPr>
          <w:p>
            <w:pPr>
              <w:spacing w:after="0"/>
              <w:rPr>
                <w:sz w:val="13"/>
                <w:szCs w:val="13"/>
                <w:color w:val="auto"/>
              </w:rPr>
            </w:pP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263%</w:t>
            </w:r>
          </w:p>
        </w:tc>
        <w:tc>
          <w:tcPr>
            <w:tcW w:w="9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17%</w:t>
            </w:r>
          </w:p>
        </w:tc>
      </w:tr>
      <w:tr>
        <w:trPr>
          <w:trHeight w:val="158"/>
        </w:trPr>
        <w:tc>
          <w:tcPr>
            <w:tcW w:w="3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9"/>
              </w:rPr>
              <w:t>(9,420)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w w:val="91"/>
              </w:rPr>
              <w:t>(26,483)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w w:val="95"/>
              </w:rPr>
              <w:t>(26,485)</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181%</w:t>
            </w:r>
          </w:p>
        </w:tc>
        <w:tc>
          <w:tcPr>
            <w:tcW w:w="9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w:t>
            </w:r>
          </w:p>
        </w:tc>
      </w:tr>
      <w:tr>
        <w:trPr>
          <w:trHeight w:val="158"/>
        </w:trPr>
        <w:tc>
          <w:tcPr>
            <w:tcW w:w="3640" w:type="dxa"/>
            <w:vAlign w:val="bottom"/>
          </w:tcPr>
          <w:p>
            <w:pPr>
              <w:ind w:left="280"/>
              <w:spacing w:after="0" w:line="158" w:lineRule="exact"/>
              <w:rPr>
                <w:sz w:val="20"/>
                <w:szCs w:val="20"/>
                <w:color w:val="auto"/>
              </w:rPr>
            </w:pPr>
            <w:r>
              <w:rPr>
                <w:rFonts w:ascii="Arial" w:cs="Arial" w:eastAsia="Arial" w:hAnsi="Arial"/>
                <w:sz w:val="14"/>
                <w:szCs w:val="14"/>
                <w:color w:val="auto"/>
              </w:rPr>
              <w:t>Fair value adjustments, net</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w w:val="99"/>
              </w:rPr>
              <w:t>(5,586)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w w:val="91"/>
              </w:rPr>
              <w:t>(39,369)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w w:val="95"/>
              </w:rPr>
              <w:t>(32,486)</w:t>
            </w:r>
          </w:p>
        </w:tc>
        <w:tc>
          <w:tcPr>
            <w:tcW w:w="126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605%</w:t>
            </w:r>
          </w:p>
        </w:tc>
        <w:tc>
          <w:tcPr>
            <w:tcW w:w="9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w:t>
            </w:r>
          </w:p>
        </w:tc>
      </w:tr>
      <w:tr>
        <w:trPr>
          <w:trHeight w:val="158"/>
        </w:trPr>
        <w:tc>
          <w:tcPr>
            <w:tcW w:w="36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w:t>
            </w: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6,128</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10,831</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4,342</w:t>
            </w:r>
          </w:p>
        </w:tc>
        <w:tc>
          <w:tcPr>
            <w:tcW w:w="126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77%</w:t>
            </w:r>
          </w:p>
        </w:tc>
        <w:tc>
          <w:tcPr>
            <w:tcW w:w="9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Consist of balances recognized by entities participating in our ongoing operating activities, including warehouse entities.</w:t>
      </w:r>
    </w:p>
    <w:p>
      <w:pPr>
        <w:ind w:left="1480" w:hanging="453"/>
        <w:spacing w:after="0"/>
        <w:tabs>
          <w:tab w:leader="none" w:pos="1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Consists of balances recognized by other entities, including securitization entities and the fractional loan program (discontinued in 2019).</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Interest income and fair value adjustments, net decreased $6.5 million, or 60%, in the year ended December 31, 2019 compared to the prior year. The decrease was primarily driven by a $19.5 million decline in interest income due to a reduction of consolidated loan balances from other consolidated entities, including securitization-related VIEs, in the year ended December 31, 2019. This reduction was primarily a result of the change in the structure of the risk retention for securitizations sponsored by us, which allowed us to conclude that we are not a primary beneficiary of securitizations completed after the first half of 2018. For additional details, refer to Note 3, “Securitizations and Variable Interest Entities” of our consolidated financial statements. This decrease was partially offset by the increase of $6.2 million in the amount of interest income recognized by the operating entities due to a higher average loan balances held by operating entities as well as the lower amount of fair value adjustments to consolidated assets held by the other consolidated entities, which decreased by $6.0 million, primarily due to a reduction of consolidated loan balances from these entities.</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0220"/>
          </w:cols>
          <w:pgMar w:left="320" w:top="407" w:right="1359" w:bottom="1440" w:gutter="0" w:footer="0" w:header="0"/>
        </w:sectPr>
      </w:pPr>
    </w:p>
    <w:bookmarkStart w:id="122" w:name="page123"/>
    <w:bookmarkEnd w:id="1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Interest income and fair value adjustments, net increased $4.7 million, or 77%, in the year ended December 31, 2018 compared to the prior year. The increase was primarily driven by the increase of $50.0 million in interest income due to growth in consolidated loan balances from other consolidated entities, including securitization-related VIEs, in the year ended December 31, 2018. The increase was a result of securitizations, for which we were a primary beneficiary, that were completed in late 2017 and early 2018. For additional details, refer to Note 3, “Securitizations and Variable Interest Entities” of our consolidated financial statements. The increase in the outstanding balance of loans on our consolidated balance sheets was primarily attributable to our securitization program, which launched in June of 2017 and increased during the year ended December 31, 2018. This increase was partially offset by an increase of $31.5 million in the fair value adjustments for assets held by these entities as well as a $14.6 million increase in interest expense recognized by these entities for the year ended December 31, 2018, which were primarily caused by an increase in related consolidated loan balances and senior securities issued against these securitized loan pools.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Operating Expenses</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Sales and Marketing</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Sales and marketing</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$33,838</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$63,633</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$93,175</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Sales and marketing expenses increased by $29.5 million, or 46%, in the year ended December 31, 2019 compared to the prior year. The increase was primarily due to increased spending of $26.8 million for partnerships with parties providing borrower referrals and a $1.6 million increase in payroll and other personnel-related expenses driven by increased headcount, as well as a $1.1 million increase in advertising and other traffic acquisition costs. As a percentage of total revenue, sales and marketing expenses decreased from 64% to 57%.</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Sales and marketing expenses increased by $29.8 million, or 88%, in the year ended December 31, 2018 compared to the prior year. The increase was primarily due to increased spending of $14.6 million in digital and direct mail advertising campaigns, as well as an increase of $13.5 million in spending for partnerships with parties providing borrower referrals. As a percentage of total revenue, sales and marketing expenses increased from 59% to 64%.</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Customer Operations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2300" w:type="dxa"/>
            <w:vAlign w:val="bottom"/>
            <w:tcBorders>
              <w:bottom w:val="single" w:sz="8" w:color="auto"/>
            </w:tcBorders>
            <w:gridSpan w:val="5"/>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40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Customer operations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$10,232</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$15,416</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$24,947</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51%</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Customer operations expenses increased by $9.5 million, or 62%, in the year ended December 31, 2019 compared to the prior year. The increase was primarily due to an increase of $5.0 million in payroll and other personnel-related expenses due to increases in headcount, as well as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0220"/>
          </w:cols>
          <w:pgMar w:left="320" w:top="407" w:right="1359" w:bottom="1440" w:gutter="0" w:footer="0" w:header="0"/>
        </w:sectPr>
      </w:pPr>
    </w:p>
    <w:bookmarkStart w:id="123" w:name="page124"/>
    <w:bookmarkEnd w:id="1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45" w:lineRule="auto"/>
        <w:rPr>
          <w:sz w:val="20"/>
          <w:szCs w:val="20"/>
          <w:color w:val="auto"/>
        </w:rPr>
      </w:pPr>
      <w:r>
        <w:rPr>
          <w:rFonts w:ascii="Arial" w:cs="Arial" w:eastAsia="Arial" w:hAnsi="Arial"/>
          <w:sz w:val="15"/>
          <w:szCs w:val="15"/>
          <w:color w:val="auto"/>
        </w:rPr>
        <w:t>increased spending of $4.4 million in information verification and platform operations due to a growing volume of loans facilitated through our platform. As a percentage of total revenue, customer operations expenses decreased from 16% to 15%.</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Customer operations expenses increased by $5.2 million, or 51%, in the year ended December 31, 2018 compared to the prior year. The increase was primarily due to an increase of $2.7 million in payroll and other personnel-related expenses due to increases in headcount, as well as increased spending of $2.3 million related to information verification and platform operations due to a growing volume of loans facilitated through our platform. As a percentage of total revenue, customer operations expenses decreased from 18% to 16%.</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Engineering and Product Development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460" w:type="dxa"/>
            <w:vAlign w:val="bottom"/>
          </w:tcPr>
          <w:p>
            <w:pPr>
              <w:spacing w:after="0"/>
              <w:rPr>
                <w:sz w:val="12"/>
                <w:szCs w:val="12"/>
                <w:color w:val="auto"/>
              </w:rPr>
            </w:pPr>
          </w:p>
        </w:tc>
        <w:tc>
          <w:tcPr>
            <w:tcW w:w="2180" w:type="dxa"/>
            <w:vAlign w:val="bottom"/>
            <w:tcBorders>
              <w:bottom w:val="single" w:sz="8" w:color="auto"/>
            </w:tcBorders>
            <w:gridSpan w:val="6"/>
          </w:tcPr>
          <w:p>
            <w:pPr>
              <w:ind w:left="360"/>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Pr>
          <w:p>
            <w:pPr>
              <w:spacing w:after="0"/>
              <w:rPr>
                <w:sz w:val="12"/>
                <w:szCs w:val="12"/>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4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20" w:type="dxa"/>
            <w:vAlign w:val="bottom"/>
            <w:tcBorders>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4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Engineering and product development</w:t>
            </w: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w w:val="93"/>
              </w:rPr>
              <w:t>$5,324</w:t>
            </w: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7"/>
              </w:rPr>
              <w:t>$8,415</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$18,777</w:t>
            </w:r>
          </w:p>
        </w:tc>
        <w:tc>
          <w:tcPr>
            <w:tcW w:w="16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58%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Engineering and product development expenses increased by $10.4 million, or 123%, in the year ended December 31, 2019 compared to the prior year. The increase was primarily due to an increase of $8.9 million in payroll and other personnel-related expenses driven by an increase in headcount, as well as a $1.5 million increase in spending on consultants and other engineering services. As a percentage of total revenue, engineering and product development expenses increased from 8% to 11%.</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Engineering and product development expenses increased by $3.1 million, or 58%, in the year ended December 31, 2018 compared to the prior year. The increase was primarily due to an increase of $2.4 million in payroll and other personnel-related expenses driven by an increase in headcount, as well as a $0.7 million increase in spending on consultants and other engineering services. As a percentage of total revenue, engineering and product development expenses decreased from 9% to 8%.</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General, Administrative, and Other</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2720" w:type="dxa"/>
            <w:vAlign w:val="bottom"/>
            <w:gridSpan w:val="6"/>
          </w:tcPr>
          <w:p>
            <w:pPr>
              <w:ind w:left="42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436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500" w:type="dxa"/>
            <w:vAlign w:val="bottom"/>
            <w:tcBorders>
              <w:top w:val="single" w:sz="8" w:color="auto"/>
              <w:bottom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43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General, administrative, and other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$15,431</w:t>
            </w: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$19,820</w:t>
            </w:r>
          </w:p>
        </w:tc>
        <w:tc>
          <w:tcPr>
            <w:tcW w:w="132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$31,865</w:t>
            </w: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General, administrative, and other expenses increased by $12.0 million, or 61%, in the year ended December 31, 2019 compared to the prior year. The increase was primarily due to an increase of $6.0 million in personnel-related costs as a result of increased headcount; an increase of $2.6 million in office rent and other facility-related expenses due to the opening of our second headquarters in Columbus, Ohio, and relocation of our first headquarters from San Carlos, California to San Mateo, California; an increase of $1.1 million in legal and compliance -related expenses; and an increase of $1.0 million in professional services fees. As a percentage of total revenue, general, administrative, and other expenses decreased from 20% to 19%.</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0220"/>
          </w:cols>
          <w:pgMar w:left="320" w:top="407" w:right="135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General, administrative, and other expenses increased by $4.4 million, or 28%, in the year ended December 31, 2018 compared to the prior year. The increase was primarily due to an increase of $3.4 million in personnel-related costs as a result of increased headcount; an increase of $2.0 million in office and administrative related expenses; and an increase of $0.7 million in legal and compliance-related expenses. This increase was partially offset by a $2.2 million decrease in professional fees. As a percentage of total revenue, general, administrative, and other expenses decreased from 27% to 20%.</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Other Income</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7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460" w:type="dxa"/>
            <w:vAlign w:val="bottom"/>
            <w:gridSpan w:val="7"/>
          </w:tcPr>
          <w:p>
            <w:pPr>
              <w:ind w:left="280"/>
              <w:spacing w:after="0"/>
              <w:rPr>
                <w:sz w:val="20"/>
                <w:szCs w:val="20"/>
                <w:color w:val="auto"/>
              </w:rPr>
            </w:pPr>
            <w:r>
              <w:rPr>
                <w:rFonts w:ascii="Arial" w:cs="Arial" w:eastAsia="Arial" w:hAnsi="Arial"/>
                <w:sz w:val="12"/>
                <w:szCs w:val="12"/>
                <w:b w:val="1"/>
                <w:bCs w:val="1"/>
                <w:color w:val="auto"/>
              </w:rPr>
              <w:t>Year Ended December 31,</w:t>
            </w:r>
          </w:p>
        </w:tc>
        <w:tc>
          <w:tcPr>
            <w:tcW w:w="1240" w:type="dxa"/>
            <w:vAlign w:val="bottom"/>
            <w:gridSpan w:val="2"/>
          </w:tcPr>
          <w:p>
            <w:pPr>
              <w:jc w:val="center"/>
              <w:ind w:right="540"/>
              <w:spacing w:after="0"/>
              <w:rPr>
                <w:sz w:val="20"/>
                <w:szCs w:val="20"/>
                <w:color w:val="auto"/>
              </w:rPr>
            </w:pPr>
            <w:r>
              <w:rPr>
                <w:rFonts w:ascii="Arial" w:cs="Arial" w:eastAsia="Arial" w:hAnsi="Arial"/>
                <w:sz w:val="12"/>
                <w:szCs w:val="12"/>
                <w:b w:val="1"/>
                <w:bCs w:val="1"/>
                <w:color w:val="auto"/>
                <w:w w:val="98"/>
              </w:rPr>
              <w:t>2017 to 2018</w:t>
            </w: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2018 to 2019</w:t>
            </w:r>
          </w:p>
        </w:tc>
      </w:tr>
      <w:tr>
        <w:trPr>
          <w:trHeight w:val="126"/>
        </w:trPr>
        <w:tc>
          <w:tcPr>
            <w:tcW w:w="272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1900" w:type="dxa"/>
            <w:vAlign w:val="bottom"/>
            <w:tcBorders>
              <w:bottom w:val="single" w:sz="8" w:color="CCEEFF"/>
            </w:tcBorders>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2017</w:t>
            </w:r>
          </w:p>
        </w:tc>
        <w:tc>
          <w:tcPr>
            <w:tcW w:w="40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20"/>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5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160" w:type="dxa"/>
            <w:vAlign w:val="bottom"/>
            <w:tcBorders>
              <w:bottom w:val="single" w:sz="8" w:color="CCEEFF"/>
            </w:tcBorders>
          </w:tcPr>
          <w:p>
            <w:pPr>
              <w:spacing w:after="0"/>
              <w:rPr>
                <w:sz w:val="10"/>
                <w:szCs w:val="10"/>
                <w:color w:val="auto"/>
              </w:rPr>
            </w:pPr>
          </w:p>
        </w:tc>
      </w:tr>
      <w:tr>
        <w:trPr>
          <w:trHeight w:val="149"/>
        </w:trPr>
        <w:tc>
          <w:tcPr>
            <w:tcW w:w="27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Other income</w:t>
            </w:r>
          </w:p>
        </w:tc>
        <w:tc>
          <w:tcPr>
            <w:tcW w:w="27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330</w:t>
            </w: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  487</w:t>
            </w:r>
          </w:p>
        </w:tc>
        <w:tc>
          <w:tcPr>
            <w:tcW w:w="10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$1,036</w:t>
            </w:r>
          </w:p>
        </w:tc>
        <w:tc>
          <w:tcPr>
            <w:tcW w:w="12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113%</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Other income increased by $0.5 million, or 113%, in the year ended December 31, 2019 compared to the prior year. The increase was primarily due to an increase in unrestricted cash balances held in interest-bearing deposit accounts throughout the year at commercial banks.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Other income increased by $0.2 million, or 48%, in the year ended December 31, 2018 compared to the prior year. The increase was primarily due to an increase in unrestricted cash balances held in interest-bearing deposit accounts at commercial banks.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Expense on Warrants and Convertible Notes, Net</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800" w:type="dxa"/>
            <w:vAlign w:val="bottom"/>
          </w:tcPr>
          <w:p>
            <w:pPr>
              <w:spacing w:after="0"/>
              <w:rPr>
                <w:sz w:val="12"/>
                <w:szCs w:val="12"/>
                <w:color w:val="auto"/>
              </w:rPr>
            </w:pPr>
          </w:p>
        </w:tc>
        <w:tc>
          <w:tcPr>
            <w:tcW w:w="2300" w:type="dxa"/>
            <w:vAlign w:val="bottom"/>
            <w:gridSpan w:val="6"/>
          </w:tcPr>
          <w:p>
            <w:pPr>
              <w:ind w:left="240"/>
              <w:spacing w:after="0"/>
              <w:rPr>
                <w:sz w:val="20"/>
                <w:szCs w:val="20"/>
                <w:color w:val="auto"/>
              </w:rPr>
            </w:pPr>
            <w:r>
              <w:rPr>
                <w:rFonts w:ascii="Arial" w:cs="Arial" w:eastAsia="Arial" w:hAnsi="Arial"/>
                <w:sz w:val="12"/>
                <w:szCs w:val="12"/>
                <w:b w:val="1"/>
                <w:bCs w:val="1"/>
                <w:color w:val="auto"/>
              </w:rPr>
              <w:t>Year Ended December 31,</w:t>
            </w:r>
          </w:p>
        </w:tc>
        <w:tc>
          <w:tcPr>
            <w:tcW w:w="11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rPr>
              <w:t>2017 to 2018</w:t>
            </w: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2018 to 2019</w:t>
            </w:r>
          </w:p>
        </w:tc>
      </w:tr>
      <w:tr>
        <w:trPr>
          <w:trHeight w:val="126"/>
        </w:trPr>
        <w:tc>
          <w:tcPr>
            <w:tcW w:w="4800" w:type="dxa"/>
            <w:vAlign w:val="bottom"/>
            <w:tcBorders>
              <w:bottom w:val="single" w:sz="8" w:color="CCEEFF"/>
            </w:tcBorders>
          </w:tcPr>
          <w:p>
            <w:pPr>
              <w:spacing w:after="0" w:line="126" w:lineRule="exact"/>
              <w:rPr>
                <w:sz w:val="20"/>
                <w:szCs w:val="20"/>
                <w:color w:val="auto"/>
              </w:rPr>
            </w:pPr>
            <w:r>
              <w:rPr>
                <w:rFonts w:ascii="Arial" w:cs="Arial" w:eastAsia="Arial" w:hAnsi="Arial"/>
                <w:sz w:val="12"/>
                <w:szCs w:val="12"/>
                <w:i w:val="1"/>
                <w:iCs w:val="1"/>
                <w:color w:val="auto"/>
              </w:rPr>
              <w:t>(In thousands)</w:t>
            </w:r>
          </w:p>
        </w:tc>
        <w:tc>
          <w:tcPr>
            <w:tcW w:w="420" w:type="dxa"/>
            <w:vAlign w:val="bottom"/>
            <w:tcBorders>
              <w:top w:val="single" w:sz="8" w:color="auto"/>
              <w:bottom w:val="single" w:sz="8" w:color="auto"/>
            </w:tcBorders>
          </w:tcPr>
          <w:p>
            <w:pPr>
              <w:jc w:val="right"/>
              <w:ind w:right="17"/>
              <w:spacing w:after="0" w:line="126" w:lineRule="exact"/>
              <w:rPr>
                <w:sz w:val="20"/>
                <w:szCs w:val="20"/>
                <w:color w:val="auto"/>
              </w:rPr>
            </w:pPr>
            <w:r>
              <w:rPr>
                <w:rFonts w:ascii="Arial" w:cs="Arial" w:eastAsia="Arial" w:hAnsi="Arial"/>
                <w:sz w:val="12"/>
                <w:szCs w:val="12"/>
                <w:b w:val="1"/>
                <w:bCs w:val="1"/>
                <w:color w:val="auto"/>
              </w:rPr>
              <w:t>2017</w:t>
            </w:r>
          </w:p>
        </w:tc>
        <w:tc>
          <w:tcPr>
            <w:tcW w:w="340" w:type="dxa"/>
            <w:vAlign w:val="bottom"/>
            <w:tcBorders>
              <w:top w:val="single" w:sz="8" w:color="auto"/>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6"/>
              <w:spacing w:after="0" w:line="126"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4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center"/>
              <w:spacing w:after="0" w:line="126" w:lineRule="exact"/>
              <w:rPr>
                <w:sz w:val="20"/>
                <w:szCs w:val="20"/>
                <w:color w:val="auto"/>
              </w:rPr>
            </w:pPr>
            <w:r>
              <w:rPr>
                <w:rFonts w:ascii="Arial" w:cs="Arial" w:eastAsia="Arial" w:hAnsi="Arial"/>
                <w:sz w:val="12"/>
                <w:szCs w:val="12"/>
                <w:b w:val="1"/>
                <w:bCs w:val="1"/>
                <w:color w:val="auto"/>
                <w:w w:val="99"/>
              </w:rPr>
              <w:t>% Change</w:t>
            </w:r>
          </w:p>
        </w:tc>
        <w:tc>
          <w:tcPr>
            <w:tcW w:w="200" w:type="dxa"/>
            <w:vAlign w:val="bottom"/>
            <w:tcBorders>
              <w:bottom w:val="single" w:sz="8" w:color="CCEEFF"/>
            </w:tcBorders>
          </w:tcPr>
          <w:p>
            <w:pPr>
              <w:spacing w:after="0"/>
              <w:rPr>
                <w:sz w:val="10"/>
                <w:szCs w:val="10"/>
                <w:color w:val="auto"/>
              </w:rPr>
            </w:pPr>
          </w:p>
        </w:tc>
      </w:tr>
      <w:tr>
        <w:trPr>
          <w:trHeight w:val="149"/>
        </w:trPr>
        <w:tc>
          <w:tcPr>
            <w:tcW w:w="48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Expense on warrants and convertible notes, net</w:t>
            </w:r>
          </w:p>
        </w:tc>
        <w:tc>
          <w:tcPr>
            <w:tcW w:w="7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$1,649</w:t>
            </w:r>
          </w:p>
        </w:tc>
        <w:tc>
          <w:tcPr>
            <w:tcW w:w="7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7"/>
              </w:rPr>
              <w:t>$3,734</w:t>
            </w:r>
          </w:p>
        </w:tc>
        <w:tc>
          <w:tcPr>
            <w:tcW w:w="7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7"/>
              </w:rPr>
              <w:t>$1,407</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126%</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2018 Compared to 2019</w:t>
      </w:r>
    </w:p>
    <w:p>
      <w:pPr>
        <w:spacing w:after="0" w:line="103"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Expense on warrants and convertible notes decreased by $2.3 million, or 62%, in the year ended December 31, 2019 compared to the prior year. The decrease was primarily due to a decrease of $2.1 million in the fair value of outstanding convertible preferred stock warrants as a result of warrants exercised or repurchased and retired during the year, and a decrease in interest expense on convertible notes of $ 0.7 million as the convertible notes were converted into convertible preferred stock in the year ended December 31, 2018. The decrease was partially offset by an increase of $0.5 million in the fair value of common stock warrants.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2017 Compared to 2018</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Expense on warrants and convertible notes increased by $2.1 million, or 126%, in the year ended December 31, 2018 compared to the prior year. The increase was primarily due to an increase of $1.5 million in the fair value of outstanding convertible preferred stock warrants as well as an increase in interest expense on convertible notes of $0.4 million, which were issued in September and October 2017 and converted into Series C-1 convertible preferred stock in June 2018.</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0220"/>
          </w:cols>
          <w:pgMar w:left="320" w:top="407" w:right="1359" w:bottom="1440" w:gutter="0" w:footer="0" w:header="0"/>
        </w:sectPr>
      </w:pPr>
    </w:p>
    <w:bookmarkStart w:id="125" w:name="page126"/>
    <w:bookmarkEnd w:id="1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Quarterly Results of Operations</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following table sets forth our unaudited quarterly consolidated results of operations for each of the quarterly periods for the last eight quarters. These unaudited quarterly results of operations have been prepared on the same basis as our audited consolidated financial statements included elsewhere in this prospectus. In the opinion of management, the financial information set forth in the table below reflects all normal recurring adjustments necessary for a fair presentation of the results of operations for these periods. Our historical results are not necessarily indicative of the results that may be expected in the future. The following unaudited quarterly consolidated results of operations should be read in conjunction with our consolidated financial statements and related notes included elsewhere in this prospectus.</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ind w:left="2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3840" w:type="dxa"/>
            <w:vAlign w:val="bottom"/>
          </w:tcPr>
          <w:p>
            <w:pPr>
              <w:spacing w:after="0"/>
              <w:rPr>
                <w:sz w:val="10"/>
                <w:szCs w:val="10"/>
                <w:color w:val="auto"/>
              </w:rPr>
            </w:pPr>
          </w:p>
        </w:tc>
        <w:tc>
          <w:tcPr>
            <w:tcW w:w="600" w:type="dxa"/>
            <w:vAlign w:val="bottom"/>
            <w:gridSpan w:val="2"/>
          </w:tcPr>
          <w:p>
            <w:pPr>
              <w:jc w:val="right"/>
              <w:ind w:right="120"/>
              <w:spacing w:after="0" w:line="117" w:lineRule="exact"/>
              <w:rPr>
                <w:sz w:val="20"/>
                <w:szCs w:val="20"/>
                <w:color w:val="auto"/>
              </w:rPr>
            </w:pPr>
            <w:r>
              <w:rPr>
                <w:rFonts w:ascii="Arial" w:cs="Arial" w:eastAsia="Arial" w:hAnsi="Arial"/>
                <w:sz w:val="12"/>
                <w:szCs w:val="12"/>
                <w:b w:val="1"/>
                <w:bCs w:val="1"/>
                <w:color w:val="auto"/>
              </w:rPr>
              <w:t>Dec. 31,</w:t>
            </w:r>
          </w:p>
        </w:tc>
        <w:tc>
          <w:tcPr>
            <w:tcW w:w="80" w:type="dxa"/>
            <w:vAlign w:val="bottom"/>
          </w:tcPr>
          <w:p>
            <w:pPr>
              <w:spacing w:after="0"/>
              <w:rPr>
                <w:sz w:val="10"/>
                <w:szCs w:val="10"/>
                <w:color w:val="auto"/>
              </w:rPr>
            </w:pPr>
          </w:p>
        </w:tc>
        <w:tc>
          <w:tcPr>
            <w:tcW w:w="660" w:type="dxa"/>
            <w:vAlign w:val="bottom"/>
            <w:gridSpan w:val="2"/>
          </w:tcPr>
          <w:p>
            <w:pPr>
              <w:jc w:val="right"/>
              <w:ind w:right="200"/>
              <w:spacing w:after="0" w:line="117" w:lineRule="exact"/>
              <w:rPr>
                <w:sz w:val="20"/>
                <w:szCs w:val="20"/>
                <w:color w:val="auto"/>
              </w:rPr>
            </w:pPr>
            <w:r>
              <w:rPr>
                <w:rFonts w:ascii="Arial" w:cs="Arial" w:eastAsia="Arial" w:hAnsi="Arial"/>
                <w:sz w:val="12"/>
                <w:szCs w:val="12"/>
                <w:b w:val="1"/>
                <w:bCs w:val="1"/>
                <w:color w:val="auto"/>
                <w:w w:val="98"/>
              </w:rPr>
              <w:t>Mar. 31,</w:t>
            </w:r>
          </w:p>
        </w:tc>
        <w:tc>
          <w:tcPr>
            <w:tcW w:w="680" w:type="dxa"/>
            <w:vAlign w:val="bottom"/>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w w:val="99"/>
              </w:rPr>
              <w:t>June 30,</w:t>
            </w:r>
          </w:p>
        </w:tc>
        <w:tc>
          <w:tcPr>
            <w:tcW w:w="62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60" w:type="dxa"/>
            <w:vAlign w:val="bottom"/>
          </w:tcPr>
          <w:p>
            <w:pPr>
              <w:spacing w:after="0"/>
              <w:rPr>
                <w:sz w:val="10"/>
                <w:szCs w:val="10"/>
                <w:color w:val="auto"/>
              </w:rPr>
            </w:pPr>
          </w:p>
        </w:tc>
        <w:tc>
          <w:tcPr>
            <w:tcW w:w="680" w:type="dxa"/>
            <w:vAlign w:val="bottom"/>
            <w:gridSpan w:val="3"/>
          </w:tcPr>
          <w:p>
            <w:pPr>
              <w:jc w:val="right"/>
              <w:ind w:right="200"/>
              <w:spacing w:after="0" w:line="117" w:lineRule="exact"/>
              <w:rPr>
                <w:sz w:val="20"/>
                <w:szCs w:val="20"/>
                <w:color w:val="auto"/>
              </w:rPr>
            </w:pPr>
            <w:r>
              <w:rPr>
                <w:rFonts w:ascii="Arial" w:cs="Arial" w:eastAsia="Arial" w:hAnsi="Arial"/>
                <w:sz w:val="12"/>
                <w:szCs w:val="12"/>
                <w:b w:val="1"/>
                <w:bCs w:val="1"/>
                <w:color w:val="auto"/>
              </w:rPr>
              <w:t>Dec. 31,</w:t>
            </w:r>
          </w:p>
        </w:tc>
        <w:tc>
          <w:tcPr>
            <w:tcW w:w="68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w w:val="98"/>
              </w:rPr>
              <w:t>Mar. 31,</w:t>
            </w:r>
          </w:p>
        </w:tc>
        <w:tc>
          <w:tcPr>
            <w:tcW w:w="72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w w:val="99"/>
              </w:rPr>
              <w:t>June 30,</w:t>
            </w:r>
          </w:p>
        </w:tc>
        <w:tc>
          <w:tcPr>
            <w:tcW w:w="5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Sept. 30,</w:t>
            </w:r>
          </w:p>
        </w:tc>
        <w:tc>
          <w:tcPr>
            <w:tcW w:w="80" w:type="dxa"/>
            <w:vAlign w:val="bottom"/>
          </w:tcPr>
          <w:p>
            <w:pPr>
              <w:spacing w:after="0"/>
              <w:rPr>
                <w:sz w:val="10"/>
                <w:szCs w:val="10"/>
                <w:color w:val="auto"/>
              </w:rPr>
            </w:pPr>
          </w:p>
        </w:tc>
      </w:tr>
      <w:tr>
        <w:trPr>
          <w:trHeight w:val="145"/>
        </w:trPr>
        <w:tc>
          <w:tcPr>
            <w:tcW w:w="384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500" w:type="dxa"/>
            <w:vAlign w:val="bottom"/>
          </w:tcPr>
          <w:p>
            <w:pPr>
              <w:jc w:val="right"/>
              <w:ind w:right="53"/>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56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500" w:type="dxa"/>
            <w:vAlign w:val="bottom"/>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73"/>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2"/>
                <w:szCs w:val="12"/>
                <w:color w:val="auto"/>
              </w:rPr>
            </w:pPr>
          </w:p>
        </w:tc>
      </w:tr>
      <w:tr>
        <w:trPr>
          <w:trHeight w:val="138"/>
        </w:trPr>
        <w:tc>
          <w:tcPr>
            <w:tcW w:w="384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rPr>
              <w:t>Revenue:</w:t>
            </w: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Revenue from fees, net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$23,694</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$22,242</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$28,558</w:t>
            </w:r>
          </w:p>
        </w:tc>
        <w:tc>
          <w:tcPr>
            <w:tcW w:w="18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47,899</w:t>
            </w:r>
          </w:p>
        </w:tc>
        <w:tc>
          <w:tcPr>
            <w:tcW w:w="120" w:type="dxa"/>
            <w:vAlign w:val="bottom"/>
          </w:tcPr>
          <w:p>
            <w:pPr>
              <w:spacing w:after="0"/>
              <w:rPr>
                <w:sz w:val="13"/>
                <w:szCs w:val="13"/>
                <w:color w:val="auto"/>
              </w:rPr>
            </w:pPr>
          </w:p>
        </w:tc>
        <w:tc>
          <w:tcPr>
            <w:tcW w:w="1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61,148</w:t>
            </w:r>
          </w:p>
        </w:tc>
        <w:tc>
          <w:tcPr>
            <w:tcW w:w="18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68,013</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13,305</w:t>
            </w:r>
          </w:p>
        </w:tc>
        <w:tc>
          <w:tcPr>
            <w:tcW w:w="180" w:type="dxa"/>
            <w:vAlign w:val="bottom"/>
          </w:tcPr>
          <w:p>
            <w:pPr>
              <w:spacing w:after="0"/>
              <w:rPr>
                <w:sz w:val="13"/>
                <w:szCs w:val="13"/>
                <w:color w:val="auto"/>
              </w:rPr>
            </w:pPr>
          </w:p>
        </w:tc>
        <w:tc>
          <w:tcPr>
            <w:tcW w:w="80" w:type="dxa"/>
            <w:vAlign w:val="bottom"/>
          </w:tcPr>
          <w:p>
            <w:pPr>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62,861</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6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197</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(2,631)</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3,961</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1,588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1,424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9"/>
              </w:rPr>
              <w:t>(4,019)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4,048</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2,498</w:t>
            </w: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Total revenue</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23,891</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19,611</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32,519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49,487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62,572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63,994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17,353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65,359</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expenses:</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3840" w:type="dxa"/>
            <w:vAlign w:val="bottom"/>
          </w:tcPr>
          <w:p>
            <w:pPr>
              <w:spacing w:after="0" w:line="157" w:lineRule="exact"/>
              <w:rPr>
                <w:sz w:val="20"/>
                <w:szCs w:val="20"/>
                <w:color w:val="auto"/>
              </w:rPr>
            </w:pPr>
            <w:r>
              <w:rPr>
                <w:rFonts w:ascii="Arial" w:cs="Arial" w:eastAsia="Arial" w:hAnsi="Arial"/>
                <w:sz w:val="12"/>
                <w:szCs w:val="12"/>
                <w:color w:val="auto"/>
              </w:rPr>
              <w:t>Sales and marketing</w:t>
            </w:r>
            <w:r>
              <w:rPr>
                <w:rFonts w:ascii="Arial" w:cs="Arial" w:eastAsia="Arial" w:hAnsi="Arial"/>
                <w:sz w:val="18"/>
                <w:szCs w:val="18"/>
                <w:color w:val="auto"/>
                <w:vertAlign w:val="superscript"/>
              </w:rPr>
              <w:t>(1)</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17,109</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14,593</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19,314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27,329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31,939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35,952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5,436</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23,725</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Customer operations</w:t>
            </w:r>
            <w:r>
              <w:rPr>
                <w:rFonts w:ascii="Arial" w:cs="Arial" w:eastAsia="Arial" w:hAnsi="Arial"/>
                <w:sz w:val="18"/>
                <w:szCs w:val="18"/>
                <w:color w:val="auto"/>
                <w:vertAlign w:val="superscript"/>
              </w:rPr>
              <w:t>(1)</w:t>
            </w:r>
          </w:p>
        </w:tc>
        <w:tc>
          <w:tcPr>
            <w:tcW w:w="6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4,076</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4,518</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5,386</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6,689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8,354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8,811</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6,621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9,360</w:t>
            </w:r>
          </w:p>
        </w:tc>
      </w:tr>
      <w:tr>
        <w:trPr>
          <w:trHeight w:val="158"/>
        </w:trPr>
        <w:tc>
          <w:tcPr>
            <w:tcW w:w="3840" w:type="dxa"/>
            <w:vAlign w:val="bottom"/>
          </w:tcPr>
          <w:p>
            <w:pPr>
              <w:spacing w:after="0" w:line="157" w:lineRule="exact"/>
              <w:rPr>
                <w:sz w:val="20"/>
                <w:szCs w:val="20"/>
                <w:color w:val="auto"/>
              </w:rPr>
            </w:pPr>
            <w:r>
              <w:rPr>
                <w:rFonts w:ascii="Arial" w:cs="Arial" w:eastAsia="Arial" w:hAnsi="Arial"/>
                <w:sz w:val="12"/>
                <w:szCs w:val="12"/>
                <w:color w:val="auto"/>
              </w:rPr>
              <w:t>Engineering and product development</w:t>
            </w:r>
            <w:r>
              <w:rPr>
                <w:rFonts w:ascii="Arial" w:cs="Arial" w:eastAsia="Arial" w:hAnsi="Arial"/>
                <w:sz w:val="18"/>
                <w:szCs w:val="18"/>
                <w:color w:val="auto"/>
                <w:vertAlign w:val="superscript"/>
              </w:rPr>
              <w:t>(1)</w:t>
            </w:r>
          </w:p>
        </w:tc>
        <w:tc>
          <w:tcPr>
            <w:tcW w:w="6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2,314</w:t>
            </w:r>
          </w:p>
        </w:tc>
        <w:tc>
          <w:tcPr>
            <w:tcW w:w="74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2,932</w:t>
            </w:r>
          </w:p>
        </w:tc>
        <w:tc>
          <w:tcPr>
            <w:tcW w:w="6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3,485</w:t>
            </w: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5,063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7,297</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7,018</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7,667</w:t>
            </w: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9,966</w:t>
            </w:r>
          </w:p>
        </w:tc>
      </w:tr>
      <w:tr>
        <w:trPr>
          <w:trHeight w:val="158"/>
        </w:trPr>
        <w:tc>
          <w:tcPr>
            <w:tcW w:w="3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General, administrative, and other</w:t>
            </w:r>
            <w:r>
              <w:rPr>
                <w:rFonts w:ascii="Arial" w:cs="Arial" w:eastAsia="Arial" w:hAnsi="Arial"/>
                <w:sz w:val="18"/>
                <w:szCs w:val="18"/>
                <w:color w:val="auto"/>
                <w:vertAlign w:val="superscript"/>
              </w:rPr>
              <w:t>(1)</w:t>
            </w:r>
          </w:p>
        </w:tc>
        <w:tc>
          <w:tcPr>
            <w:tcW w:w="6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4,692</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6,022</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11,466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11,660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9,017</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10,101</w:t>
            </w:r>
          </w:p>
        </w:tc>
        <w:tc>
          <w:tcPr>
            <w:tcW w:w="80" w:type="dxa"/>
            <w:vAlign w:val="bottom"/>
            <w:shd w:val="clear" w:color="auto" w:fill="CCEEFF"/>
          </w:tcPr>
          <w:p>
            <w:pPr>
              <w:spacing w:after="0"/>
              <w:rPr>
                <w:sz w:val="13"/>
                <w:szCs w:val="13"/>
                <w:color w:val="auto"/>
              </w:rPr>
            </w:pP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Total operating expenses</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28,191</w:t>
            </w:r>
          </w:p>
        </w:tc>
        <w:tc>
          <w:tcPr>
            <w:tcW w:w="100" w:type="dxa"/>
            <w:vAlign w:val="bottom"/>
          </w:tcPr>
          <w:p>
            <w:pPr>
              <w:spacing w:after="0"/>
              <w:rPr>
                <w:sz w:val="13"/>
                <w:szCs w:val="13"/>
                <w:color w:val="auto"/>
              </w:rPr>
            </w:pP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28,065</w:t>
            </w:r>
          </w:p>
        </w:tc>
        <w:tc>
          <w:tcPr>
            <w:tcW w:w="1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34,144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47,499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59,056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63,441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28,741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w w:val="93"/>
              </w:rPr>
              <w:t>53,152</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(Loss) income from operations</w:t>
            </w: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(4,300)</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(8,454)</w:t>
            </w:r>
          </w:p>
        </w:tc>
        <w:tc>
          <w:tcPr>
            <w:tcW w:w="6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(1,625)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1"/>
              </w:rPr>
              <w:t>(11,388)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12,207</w:t>
            </w:r>
          </w:p>
        </w:tc>
        <w:tc>
          <w:tcPr>
            <w:tcW w:w="80" w:type="dxa"/>
            <w:vAlign w:val="bottom"/>
            <w:shd w:val="clear" w:color="auto" w:fill="CCEEFF"/>
          </w:tcPr>
          <w:p>
            <w:pPr>
              <w:spacing w:after="0"/>
              <w:rPr>
                <w:sz w:val="13"/>
                <w:szCs w:val="13"/>
                <w:color w:val="auto"/>
              </w:rPr>
            </w:pP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Other income</w:t>
            </w:r>
          </w:p>
        </w:tc>
        <w:tc>
          <w:tcPr>
            <w:tcW w:w="6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267</w:t>
            </w: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358</w:t>
            </w:r>
          </w:p>
        </w:tc>
        <w:tc>
          <w:tcPr>
            <w:tcW w:w="180" w:type="dxa"/>
            <w:vAlign w:val="bottom"/>
          </w:tcPr>
          <w:p>
            <w:pPr>
              <w:spacing w:after="0"/>
              <w:rPr>
                <w:sz w:val="13"/>
                <w:szCs w:val="13"/>
                <w:color w:val="auto"/>
              </w:rPr>
            </w:pPr>
          </w:p>
        </w:tc>
        <w:tc>
          <w:tcPr>
            <w:tcW w:w="6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249</w:t>
            </w: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225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204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5,297</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50</w:t>
            </w:r>
          </w:p>
        </w:tc>
        <w:tc>
          <w:tcPr>
            <w:tcW w:w="80" w:type="dxa"/>
            <w:vAlign w:val="bottom"/>
          </w:tcPr>
          <w:p>
            <w:pPr>
              <w:spacing w:after="0"/>
              <w:rPr>
                <w:sz w:val="13"/>
                <w:szCs w:val="13"/>
                <w:color w:val="auto"/>
              </w:rPr>
            </w:pP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(Expense) income on warrants and convertible notes, net</w:t>
            </w: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(1,593)</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(89)</w:t>
            </w:r>
          </w:p>
        </w:tc>
        <w:tc>
          <w:tcPr>
            <w:tcW w:w="6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w w:val="99"/>
              </w:rPr>
              <w:t>(2,418)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1,219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(2,588)</w:t>
            </w: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Net (loss) income before income taxes</w:t>
            </w: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(5,626)</w:t>
            </w:r>
          </w:p>
        </w:tc>
        <w:tc>
          <w:tcPr>
            <w:tcW w:w="74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(8,185)</w:t>
            </w: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(1,495)</w:t>
            </w: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4,939</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992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(6,109)</w:t>
            </w: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9,669</w:t>
            </w: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8"/>
        </w:trPr>
        <w:tc>
          <w:tcPr>
            <w:tcW w:w="3840" w:type="dxa"/>
            <w:vAlign w:val="bottom"/>
          </w:tcPr>
          <w:p>
            <w:pPr>
              <w:spacing w:after="0" w:line="158" w:lineRule="exact"/>
              <w:rPr>
                <w:sz w:val="20"/>
                <w:szCs w:val="20"/>
                <w:color w:val="auto"/>
              </w:rPr>
            </w:pPr>
            <w:r>
              <w:rPr>
                <w:rFonts w:ascii="Arial" w:cs="Arial" w:eastAsia="Arial" w:hAnsi="Arial"/>
                <w:sz w:val="14"/>
                <w:szCs w:val="14"/>
                <w:color w:val="auto"/>
              </w:rPr>
              <w:t>Net (loss) income before attribution to noncontrolling interests</w:t>
            </w: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(5,626)</w:t>
            </w:r>
          </w:p>
        </w:tc>
        <w:tc>
          <w:tcPr>
            <w:tcW w:w="74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(8,185)</w:t>
            </w: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(1,495)</w:t>
            </w: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(205)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4,865</w:t>
            </w:r>
          </w:p>
        </w:tc>
        <w:tc>
          <w:tcPr>
            <w:tcW w:w="8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992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(6,109)</w:t>
            </w: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9,669</w:t>
            </w:r>
          </w:p>
        </w:tc>
      </w:tr>
      <w:tr>
        <w:trPr>
          <w:trHeight w:val="158"/>
        </w:trPr>
        <w:tc>
          <w:tcPr>
            <w:tcW w:w="3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Net (loss) income attributable to noncontrolling interests</w:t>
            </w: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(1,014)</w:t>
            </w:r>
          </w:p>
        </w:tc>
        <w:tc>
          <w:tcPr>
            <w:tcW w:w="74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(3,720)</w:t>
            </w: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117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9"/>
              </w:rPr>
              <w:t>(1,186)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r>
      <w:tr>
        <w:trPr>
          <w:trHeight w:val="159"/>
        </w:trPr>
        <w:tc>
          <w:tcPr>
            <w:tcW w:w="3840" w:type="dxa"/>
            <w:vAlign w:val="bottom"/>
          </w:tcPr>
          <w:p>
            <w:pPr>
              <w:spacing w:after="0" w:line="159" w:lineRule="exact"/>
              <w:rPr>
                <w:sz w:val="20"/>
                <w:szCs w:val="20"/>
                <w:color w:val="auto"/>
              </w:rPr>
            </w:pPr>
            <w:r>
              <w:rPr>
                <w:rFonts w:ascii="Arial" w:cs="Arial" w:eastAsia="Arial" w:hAnsi="Arial"/>
                <w:sz w:val="14"/>
                <w:szCs w:val="14"/>
                <w:color w:val="auto"/>
              </w:rPr>
              <w:t>Net (loss) income attributable to Upstart Holdings, Inc.</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3840" w:type="dxa"/>
            <w:vAlign w:val="bottom"/>
          </w:tcPr>
          <w:p>
            <w:pPr>
              <w:ind w:left="140"/>
              <w:spacing w:after="0"/>
              <w:rPr>
                <w:sz w:val="20"/>
                <w:szCs w:val="20"/>
                <w:color w:val="auto"/>
              </w:rPr>
            </w:pPr>
            <w:r>
              <w:rPr>
                <w:rFonts w:ascii="Arial" w:cs="Arial" w:eastAsia="Arial" w:hAnsi="Arial"/>
                <w:sz w:val="14"/>
                <w:szCs w:val="14"/>
                <w:color w:val="auto"/>
              </w:rPr>
              <w:t>common stockholders</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w w:val="92"/>
              </w:rPr>
              <w:t>$ (4,612)</w:t>
            </w:r>
          </w:p>
        </w:tc>
        <w:tc>
          <w:tcPr>
            <w:tcW w:w="740" w:type="dxa"/>
            <w:vAlign w:val="bottom"/>
            <w:gridSpan w:val="3"/>
          </w:tcPr>
          <w:p>
            <w:pPr>
              <w:jc w:val="right"/>
              <w:ind w:right="120"/>
              <w:spacing w:after="0"/>
              <w:rPr>
                <w:sz w:val="20"/>
                <w:szCs w:val="20"/>
                <w:color w:val="auto"/>
              </w:rPr>
            </w:pPr>
            <w:r>
              <w:rPr>
                <w:rFonts w:ascii="Arial" w:cs="Arial" w:eastAsia="Arial" w:hAnsi="Arial"/>
                <w:sz w:val="14"/>
                <w:szCs w:val="14"/>
                <w:color w:val="auto"/>
              </w:rPr>
              <w:t>$ (4,465)</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96"/>
              </w:rPr>
              <w:t>$ (1,730)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(322)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6,051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1,480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(6,193)</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9,669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6" w:lineRule="exact"/>
        <w:rPr>
          <w:sz w:val="20"/>
          <w:szCs w:val="20"/>
          <w:color w:val="auto"/>
        </w:rPr>
      </w:pPr>
    </w:p>
    <w:p>
      <w:pPr>
        <w:ind w:left="1480" w:hanging="453"/>
        <w:spacing w:after="0"/>
        <w:tabs>
          <w:tab w:leader="none" w:pos="14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stock-based compensation expense as follows (in thousands):</w:t>
      </w:r>
    </w:p>
    <w:p>
      <w:pPr>
        <w:spacing w:after="0" w:line="186" w:lineRule="exact"/>
        <w:rPr>
          <w:sz w:val="20"/>
          <w:szCs w:val="20"/>
          <w:color w:val="auto"/>
        </w:rPr>
      </w:pPr>
    </w:p>
    <w:tbl>
      <w:tblPr>
        <w:tblLayout w:type="fixed"/>
        <w:tblInd w:w="1480" w:type="dxa"/>
        <w:tblCellMar>
          <w:top w:w="0" w:type="dxa"/>
          <w:left w:w="0" w:type="dxa"/>
          <w:bottom w:w="0" w:type="dxa"/>
          <w:right w:w="0" w:type="dxa"/>
        </w:tblCellMar>
      </w:tblPr>
      <w:tr>
        <w:trPr>
          <w:trHeight w:val="145"/>
        </w:trPr>
        <w:tc>
          <w:tcPr>
            <w:tcW w:w="2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7"/>
          </w:tcPr>
          <w:p>
            <w:pPr>
              <w:ind w:left="10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2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Dec. 31,</w:t>
            </w:r>
          </w:p>
        </w:tc>
        <w:tc>
          <w:tcPr>
            <w:tcW w:w="5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Mar. 31,</w:t>
            </w:r>
          </w:p>
        </w:tc>
        <w:tc>
          <w:tcPr>
            <w:tcW w:w="10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0"/>
                <w:szCs w:val="10"/>
                <w:color w:val="auto"/>
              </w:rPr>
            </w:pPr>
          </w:p>
        </w:tc>
        <w:tc>
          <w:tcPr>
            <w:tcW w:w="6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6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Mar. 31,</w:t>
            </w: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0"/>
                <w:szCs w:val="10"/>
                <w:color w:val="auto"/>
              </w:rPr>
            </w:pPr>
          </w:p>
        </w:tc>
        <w:tc>
          <w:tcPr>
            <w:tcW w:w="48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3"/>
              </w:rPr>
              <w:t>Sept. 30,</w:t>
            </w:r>
          </w:p>
        </w:tc>
        <w:tc>
          <w:tcPr>
            <w:tcW w:w="40" w:type="dxa"/>
            <w:vAlign w:val="bottom"/>
          </w:tcPr>
          <w:p>
            <w:pPr>
              <w:spacing w:after="0"/>
              <w:rPr>
                <w:sz w:val="10"/>
                <w:szCs w:val="10"/>
                <w:color w:val="auto"/>
              </w:rPr>
            </w:pPr>
          </w:p>
        </w:tc>
      </w:tr>
      <w:tr>
        <w:trPr>
          <w:trHeight w:val="145"/>
        </w:trPr>
        <w:tc>
          <w:tcPr>
            <w:tcW w:w="28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2018</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2019</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7"/>
              </w:rPr>
              <w:t>2020</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26"/>
        </w:trPr>
        <w:tc>
          <w:tcPr>
            <w:tcW w:w="280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rPr>
              <w:t>Sales and marketing</w:t>
            </w:r>
          </w:p>
        </w:tc>
        <w:tc>
          <w:tcPr>
            <w:tcW w:w="860" w:type="dxa"/>
            <w:vAlign w:val="bottom"/>
            <w:gridSpan w:val="2"/>
            <w:shd w:val="clear" w:color="auto" w:fill="CCEEFF"/>
          </w:tcPr>
          <w:p>
            <w:pPr>
              <w:ind w:left="780"/>
              <w:spacing w:after="0" w:line="12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51</w:t>
            </w:r>
          </w:p>
        </w:tc>
        <w:tc>
          <w:tcPr>
            <w:tcW w:w="18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55</w:t>
            </w:r>
          </w:p>
        </w:tc>
        <w:tc>
          <w:tcPr>
            <w:tcW w:w="18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51</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121</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0"/>
              <w:spacing w:after="0" w:line="126" w:lineRule="exact"/>
              <w:rPr>
                <w:sz w:val="20"/>
                <w:szCs w:val="20"/>
                <w:color w:val="auto"/>
              </w:rPr>
            </w:pPr>
            <w:r>
              <w:rPr>
                <w:rFonts w:ascii="Arial" w:cs="Arial" w:eastAsia="Arial" w:hAnsi="Arial"/>
                <w:sz w:val="12"/>
                <w:szCs w:val="12"/>
                <w:color w:val="auto"/>
              </w:rPr>
              <w:t>284</w:t>
            </w:r>
          </w:p>
        </w:tc>
        <w:tc>
          <w:tcPr>
            <w:tcW w:w="80" w:type="dxa"/>
            <w:vAlign w:val="bottom"/>
            <w:shd w:val="clear" w:color="auto" w:fill="CCEEFF"/>
          </w:tcPr>
          <w:p>
            <w:pPr>
              <w:spacing w:after="0" w:line="12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405</w:t>
            </w:r>
          </w:p>
        </w:tc>
        <w:tc>
          <w:tcPr>
            <w:tcW w:w="180" w:type="dxa"/>
            <w:vAlign w:val="bottom"/>
            <w:gridSpan w:val="2"/>
            <w:shd w:val="clear" w:color="auto" w:fill="CCEEFF"/>
          </w:tcPr>
          <w:p>
            <w:pPr>
              <w:ind w:left="100"/>
              <w:spacing w:after="0" w:line="126" w:lineRule="exact"/>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2"/>
                <w:szCs w:val="12"/>
                <w:color w:val="auto"/>
              </w:rPr>
              <w:t>447</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Customer operations</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48</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91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102</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181</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199</w:t>
            </w: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205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221</w:t>
            </w:r>
          </w:p>
        </w:tc>
      </w:tr>
      <w:tr>
        <w:trPr>
          <w:trHeight w:val="135"/>
        </w:trPr>
        <w:tc>
          <w:tcPr>
            <w:tcW w:w="2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Engineering and product development</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214</w:t>
            </w:r>
          </w:p>
        </w:tc>
        <w:tc>
          <w:tcPr>
            <w:tcW w:w="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322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376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871</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926</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1,112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1,143</w:t>
            </w:r>
          </w:p>
        </w:tc>
      </w:tr>
      <w:tr>
        <w:trPr>
          <w:trHeight w:val="135"/>
        </w:trPr>
        <w:tc>
          <w:tcPr>
            <w:tcW w:w="2800" w:type="dxa"/>
            <w:vAlign w:val="bottom"/>
          </w:tcPr>
          <w:p>
            <w:pPr>
              <w:spacing w:after="0" w:line="136" w:lineRule="exact"/>
              <w:rPr>
                <w:sz w:val="20"/>
                <w:szCs w:val="20"/>
                <w:color w:val="auto"/>
              </w:rPr>
            </w:pPr>
            <w:r>
              <w:rPr>
                <w:rFonts w:ascii="Arial" w:cs="Arial" w:eastAsia="Arial" w:hAnsi="Arial"/>
                <w:sz w:val="12"/>
                <w:szCs w:val="12"/>
                <w:color w:val="auto"/>
              </w:rPr>
              <w:t>General, administrative, and other</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296</w:t>
            </w:r>
          </w:p>
        </w:tc>
        <w:tc>
          <w:tcPr>
            <w:tcW w:w="80" w:type="dxa"/>
            <w:vAlign w:val="bottom"/>
          </w:tcPr>
          <w:p>
            <w:pPr>
              <w:spacing w:after="0"/>
              <w:rPr>
                <w:sz w:val="11"/>
                <w:szCs w:val="11"/>
                <w:color w:val="auto"/>
              </w:rPr>
            </w:pPr>
          </w:p>
        </w:tc>
        <w:tc>
          <w:tcPr>
            <w:tcW w:w="46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233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312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318</w:t>
            </w:r>
          </w:p>
        </w:tc>
        <w:tc>
          <w:tcPr>
            <w:tcW w:w="80" w:type="dxa"/>
            <w:vAlign w:val="bottom"/>
          </w:tcPr>
          <w:p>
            <w:pPr>
              <w:spacing w:after="0"/>
              <w:rPr>
                <w:sz w:val="11"/>
                <w:szCs w:val="11"/>
                <w:color w:val="auto"/>
              </w:rPr>
            </w:pPr>
          </w:p>
        </w:tc>
        <w:tc>
          <w:tcPr>
            <w:tcW w:w="58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429</w:t>
            </w:r>
          </w:p>
        </w:tc>
        <w:tc>
          <w:tcPr>
            <w:tcW w:w="80" w:type="dxa"/>
            <w:vAlign w:val="bottom"/>
          </w:tcPr>
          <w:p>
            <w:pPr>
              <w:spacing w:after="0"/>
              <w:rPr>
                <w:sz w:val="11"/>
                <w:szCs w:val="11"/>
                <w:color w:val="auto"/>
              </w:rPr>
            </w:pPr>
          </w:p>
        </w:tc>
        <w:tc>
          <w:tcPr>
            <w:tcW w:w="560" w:type="dxa"/>
            <w:vAlign w:val="bottom"/>
            <w:gridSpan w:val="2"/>
          </w:tcPr>
          <w:p>
            <w:pPr>
              <w:jc w:val="right"/>
              <w:ind w:right="200"/>
              <w:spacing w:after="0" w:line="136" w:lineRule="exact"/>
              <w:rPr>
                <w:sz w:val="20"/>
                <w:szCs w:val="20"/>
                <w:color w:val="auto"/>
              </w:rPr>
            </w:pPr>
            <w:r>
              <w:rPr>
                <w:rFonts w:ascii="Arial" w:cs="Arial" w:eastAsia="Arial" w:hAnsi="Arial"/>
                <w:sz w:val="12"/>
                <w:szCs w:val="12"/>
                <w:color w:val="auto"/>
              </w:rPr>
              <w:t>556</w:t>
            </w:r>
          </w:p>
        </w:tc>
        <w:tc>
          <w:tcPr>
            <w:tcW w:w="80" w:type="dxa"/>
            <w:vAlign w:val="bottom"/>
          </w:tcPr>
          <w:p>
            <w:pPr>
              <w:spacing w:after="0"/>
              <w:rPr>
                <w:sz w:val="11"/>
                <w:szCs w:val="11"/>
                <w:color w:val="auto"/>
              </w:rPr>
            </w:pPr>
          </w:p>
        </w:tc>
        <w:tc>
          <w:tcPr>
            <w:tcW w:w="500" w:type="dxa"/>
            <w:vAlign w:val="bottom"/>
            <w:gridSpan w:val="2"/>
          </w:tcPr>
          <w:p>
            <w:pPr>
              <w:jc w:val="right"/>
              <w:ind w:right="100"/>
              <w:spacing w:after="0" w:line="136" w:lineRule="exact"/>
              <w:rPr>
                <w:sz w:val="20"/>
                <w:szCs w:val="20"/>
                <w:color w:val="auto"/>
              </w:rPr>
            </w:pPr>
            <w:r>
              <w:rPr>
                <w:rFonts w:ascii="Arial" w:cs="Arial" w:eastAsia="Arial" w:hAnsi="Arial"/>
                <w:sz w:val="12"/>
                <w:szCs w:val="12"/>
                <w:color w:val="auto"/>
              </w:rPr>
              <w:t>797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807</w:t>
            </w:r>
          </w:p>
        </w:tc>
      </w:tr>
      <w:tr>
        <w:trPr>
          <w:trHeight w:val="135"/>
        </w:trPr>
        <w:tc>
          <w:tcPr>
            <w:tcW w:w="28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Total stock-based compensation</w:t>
            </w:r>
          </w:p>
        </w:tc>
        <w:tc>
          <w:tcPr>
            <w:tcW w:w="860" w:type="dxa"/>
            <w:vAlign w:val="bottom"/>
            <w:gridSpan w:val="2"/>
            <w:shd w:val="clear" w:color="auto" w:fill="CCEEFF"/>
          </w:tcPr>
          <w:p>
            <w:pPr>
              <w:ind w:left="780"/>
              <w:spacing w:after="0" w:line="13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608</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46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577</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780</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847</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1,602</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2"/>
                <w:szCs w:val="12"/>
                <w:color w:val="auto"/>
              </w:rPr>
              <w:t>1,965</w:t>
            </w: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50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2,519</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44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2,618</w:t>
            </w:r>
          </w:p>
        </w:tc>
      </w:tr>
    </w:tbl>
    <w:p>
      <w:pPr>
        <w:spacing w:after="0" w:line="12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0220"/>
          </w:cols>
          <w:pgMar w:left="320" w:top="407" w:right="1359" w:bottom="1440" w:gutter="0" w:footer="0" w:header="0"/>
        </w:sectPr>
      </w:pPr>
    </w:p>
    <w:bookmarkStart w:id="126" w:name="page127"/>
    <w:bookmarkEnd w:id="1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key operating metrics we use to evaluate our business for each of the last eight quarters: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16"/>
        </w:trPr>
        <w:tc>
          <w:tcPr>
            <w:tcW w:w="3480" w:type="dxa"/>
            <w:vAlign w:val="bottom"/>
          </w:tcPr>
          <w:p>
            <w:pPr>
              <w:spacing w:after="0"/>
              <w:rPr>
                <w:sz w:val="10"/>
                <w:szCs w:val="10"/>
                <w:color w:val="auto"/>
              </w:rPr>
            </w:pPr>
          </w:p>
        </w:tc>
        <w:tc>
          <w:tcPr>
            <w:tcW w:w="72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6"/>
              </w:rPr>
              <w:t>Dec. 31,</w:t>
            </w:r>
          </w:p>
        </w:tc>
        <w:tc>
          <w:tcPr>
            <w:tcW w:w="70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3"/>
              </w:rPr>
              <w:t>Mar. 31,</w:t>
            </w:r>
          </w:p>
        </w:tc>
        <w:tc>
          <w:tcPr>
            <w:tcW w:w="740" w:type="dxa"/>
            <w:vAlign w:val="bottom"/>
            <w:gridSpan w:val="2"/>
          </w:tcPr>
          <w:p>
            <w:pPr>
              <w:jc w:val="right"/>
              <w:ind w:right="240"/>
              <w:spacing w:after="0" w:line="117" w:lineRule="exact"/>
              <w:rPr>
                <w:sz w:val="20"/>
                <w:szCs w:val="20"/>
                <w:color w:val="auto"/>
              </w:rPr>
            </w:pPr>
            <w:r>
              <w:rPr>
                <w:rFonts w:ascii="Arial" w:cs="Arial" w:eastAsia="Arial" w:hAnsi="Arial"/>
                <w:sz w:val="12"/>
                <w:szCs w:val="12"/>
                <w:b w:val="1"/>
                <w:bCs w:val="1"/>
                <w:color w:val="auto"/>
                <w:w w:val="99"/>
              </w:rPr>
              <w:t>June 30,</w:t>
            </w:r>
          </w:p>
        </w:tc>
        <w:tc>
          <w:tcPr>
            <w:tcW w:w="740" w:type="dxa"/>
            <w:vAlign w:val="bottom"/>
            <w:gridSpan w:val="2"/>
          </w:tcPr>
          <w:p>
            <w:pPr>
              <w:jc w:val="right"/>
              <w:ind w:right="240"/>
              <w:spacing w:after="0" w:line="117" w:lineRule="exact"/>
              <w:rPr>
                <w:sz w:val="20"/>
                <w:szCs w:val="20"/>
                <w:color w:val="auto"/>
              </w:rPr>
            </w:pPr>
            <w:r>
              <w:rPr>
                <w:rFonts w:ascii="Arial" w:cs="Arial" w:eastAsia="Arial" w:hAnsi="Arial"/>
                <w:sz w:val="12"/>
                <w:szCs w:val="12"/>
                <w:b w:val="1"/>
                <w:bCs w:val="1"/>
                <w:color w:val="auto"/>
                <w:w w:val="97"/>
              </w:rPr>
              <w:t>Sept. 30,</w:t>
            </w:r>
          </w:p>
        </w:tc>
        <w:tc>
          <w:tcPr>
            <w:tcW w:w="72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6"/>
              </w:rPr>
              <w:t>Dec. 31,</w:t>
            </w:r>
          </w:p>
        </w:tc>
        <w:tc>
          <w:tcPr>
            <w:tcW w:w="70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3"/>
              </w:rPr>
              <w:t>Mar. 31,</w:t>
            </w:r>
          </w:p>
        </w:tc>
        <w:tc>
          <w:tcPr>
            <w:tcW w:w="740" w:type="dxa"/>
            <w:vAlign w:val="bottom"/>
            <w:gridSpan w:val="2"/>
          </w:tcPr>
          <w:p>
            <w:pPr>
              <w:jc w:val="right"/>
              <w:ind w:right="260"/>
              <w:spacing w:after="0" w:line="117" w:lineRule="exact"/>
              <w:rPr>
                <w:sz w:val="20"/>
                <w:szCs w:val="20"/>
                <w:color w:val="auto"/>
              </w:rPr>
            </w:pPr>
            <w:r>
              <w:rPr>
                <w:rFonts w:ascii="Arial" w:cs="Arial" w:eastAsia="Arial" w:hAnsi="Arial"/>
                <w:sz w:val="12"/>
                <w:szCs w:val="12"/>
                <w:b w:val="1"/>
                <w:bCs w:val="1"/>
                <w:color w:val="auto"/>
                <w:w w:val="95"/>
              </w:rPr>
              <w:t>June 30,</w:t>
            </w:r>
          </w:p>
        </w:tc>
        <w:tc>
          <w:tcPr>
            <w:tcW w:w="50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7"/>
              </w:rPr>
              <w:t>Sept. 30,</w:t>
            </w:r>
          </w:p>
        </w:tc>
        <w:tc>
          <w:tcPr>
            <w:tcW w:w="160" w:type="dxa"/>
            <w:vAlign w:val="bottom"/>
          </w:tcPr>
          <w:p>
            <w:pPr>
              <w:spacing w:after="0"/>
              <w:rPr>
                <w:sz w:val="10"/>
                <w:szCs w:val="10"/>
                <w:color w:val="auto"/>
              </w:rPr>
            </w:pPr>
          </w:p>
        </w:tc>
      </w:tr>
      <w:tr>
        <w:trPr>
          <w:trHeight w:val="145"/>
        </w:trPr>
        <w:tc>
          <w:tcPr>
            <w:tcW w:w="348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 except percentages)</w:t>
            </w: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2018</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2020</w:t>
            </w:r>
          </w:p>
        </w:tc>
        <w:tc>
          <w:tcPr>
            <w:tcW w:w="2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2020</w:t>
            </w:r>
          </w:p>
        </w:tc>
        <w:tc>
          <w:tcPr>
            <w:tcW w:w="2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CEEFF"/>
            </w:tcBorders>
          </w:tcPr>
          <w:p>
            <w:pPr>
              <w:spacing w:after="0"/>
              <w:rPr>
                <w:sz w:val="12"/>
                <w:szCs w:val="12"/>
                <w:color w:val="auto"/>
              </w:rPr>
            </w:pPr>
          </w:p>
        </w:tc>
      </w:tr>
      <w:tr>
        <w:trPr>
          <w:trHeight w:val="149"/>
        </w:trPr>
        <w:tc>
          <w:tcPr>
            <w:tcW w:w="34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Number of Loans Transacted</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33,036</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30,998</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41,211</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64,259</w:t>
            </w: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78,654</w:t>
            </w:r>
          </w:p>
        </w:tc>
        <w:tc>
          <w:tcPr>
            <w:tcW w:w="2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84,214</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11,876</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80,893</w:t>
            </w:r>
          </w:p>
        </w:tc>
        <w:tc>
          <w:tcPr>
            <w:tcW w:w="160" w:type="dxa"/>
            <w:vAlign w:val="bottom"/>
            <w:shd w:val="clear" w:color="auto" w:fill="CCEEFF"/>
          </w:tcPr>
          <w:p>
            <w:pPr>
              <w:spacing w:after="0"/>
              <w:rPr>
                <w:sz w:val="12"/>
                <w:szCs w:val="12"/>
                <w:color w:val="auto"/>
              </w:rPr>
            </w:pPr>
          </w:p>
        </w:tc>
      </w:tr>
      <w:tr>
        <w:trPr>
          <w:trHeight w:val="158"/>
        </w:trPr>
        <w:tc>
          <w:tcPr>
            <w:tcW w:w="3480" w:type="dxa"/>
            <w:vAlign w:val="bottom"/>
          </w:tcPr>
          <w:p>
            <w:pPr>
              <w:spacing w:after="0" w:line="158" w:lineRule="exact"/>
              <w:rPr>
                <w:sz w:val="20"/>
                <w:szCs w:val="20"/>
                <w:color w:val="auto"/>
              </w:rPr>
            </w:pPr>
            <w:r>
              <w:rPr>
                <w:rFonts w:ascii="Arial" w:cs="Arial" w:eastAsia="Arial" w:hAnsi="Arial"/>
                <w:sz w:val="14"/>
                <w:szCs w:val="14"/>
                <w:color w:val="auto"/>
              </w:rPr>
              <w:t>Conversion Rate</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10.7%</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10.8%</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11.3%</w:t>
            </w:r>
          </w:p>
        </w:tc>
        <w:tc>
          <w:tcPr>
            <w:tcW w:w="7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13.8%</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14.9%</w:t>
            </w:r>
          </w:p>
        </w:tc>
        <w:tc>
          <w:tcPr>
            <w:tcW w:w="7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14.1%</w:t>
            </w: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8.7%</w:t>
            </w: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15.2%</w:t>
            </w:r>
          </w:p>
        </w:tc>
      </w:tr>
      <w:tr>
        <w:trPr>
          <w:trHeight w:val="158"/>
        </w:trPr>
        <w:tc>
          <w:tcPr>
            <w:tcW w:w="3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Percentage of Loans Fully Automated</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58%</w:t>
            </w:r>
          </w:p>
        </w:tc>
        <w:tc>
          <w:tcPr>
            <w:tcW w:w="7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59%</w:t>
            </w: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64%</w:t>
            </w:r>
          </w:p>
        </w:tc>
        <w:tc>
          <w:tcPr>
            <w:tcW w:w="7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67%</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69%</w:t>
            </w:r>
          </w:p>
        </w:tc>
        <w:tc>
          <w:tcPr>
            <w:tcW w:w="7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70%</w:t>
            </w:r>
          </w:p>
        </w:tc>
        <w:tc>
          <w:tcPr>
            <w:tcW w:w="7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58%</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69%</w:t>
            </w:r>
          </w:p>
        </w:tc>
      </w:tr>
    </w:tbl>
    <w:p>
      <w:pPr>
        <w:spacing w:after="0" w:line="18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non-GAAP financial measures we use to evaluate our business for each of the last eight quarters: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3500" w:type="dxa"/>
            <w:vAlign w:val="bottom"/>
          </w:tcPr>
          <w:p>
            <w:pPr>
              <w:spacing w:after="0"/>
              <w:rPr>
                <w:sz w:val="10"/>
                <w:szCs w:val="10"/>
                <w:color w:val="auto"/>
              </w:rPr>
            </w:pPr>
          </w:p>
        </w:tc>
        <w:tc>
          <w:tcPr>
            <w:tcW w:w="6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rPr>
              <w:t>Dec. 31,</w:t>
            </w:r>
          </w:p>
        </w:tc>
        <w:tc>
          <w:tcPr>
            <w:tcW w:w="100" w:type="dxa"/>
            <w:vAlign w:val="bottom"/>
          </w:tcPr>
          <w:p>
            <w:pPr>
              <w:spacing w:after="0"/>
              <w:rPr>
                <w:sz w:val="10"/>
                <w:szCs w:val="10"/>
                <w:color w:val="auto"/>
              </w:rPr>
            </w:pPr>
          </w:p>
        </w:tc>
        <w:tc>
          <w:tcPr>
            <w:tcW w:w="740" w:type="dxa"/>
            <w:vAlign w:val="bottom"/>
            <w:gridSpan w:val="2"/>
          </w:tcPr>
          <w:p>
            <w:pPr>
              <w:jc w:val="center"/>
              <w:ind w:right="260"/>
              <w:spacing w:after="0" w:line="117" w:lineRule="exact"/>
              <w:rPr>
                <w:sz w:val="20"/>
                <w:szCs w:val="20"/>
                <w:color w:val="auto"/>
              </w:rPr>
            </w:pPr>
            <w:r>
              <w:rPr>
                <w:rFonts w:ascii="Arial" w:cs="Arial" w:eastAsia="Arial" w:hAnsi="Arial"/>
                <w:sz w:val="12"/>
                <w:szCs w:val="12"/>
                <w:b w:val="1"/>
                <w:bCs w:val="1"/>
                <w:color w:val="auto"/>
                <w:w w:val="98"/>
              </w:rPr>
              <w:t>Mar. 31,</w:t>
            </w:r>
          </w:p>
        </w:tc>
        <w:tc>
          <w:tcPr>
            <w:tcW w:w="64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120" w:type="dxa"/>
            <w:vAlign w:val="bottom"/>
          </w:tcPr>
          <w:p>
            <w:pPr>
              <w:spacing w:after="0"/>
              <w:rPr>
                <w:sz w:val="10"/>
                <w:szCs w:val="10"/>
                <w:color w:val="auto"/>
              </w:rPr>
            </w:pPr>
          </w:p>
        </w:tc>
        <w:tc>
          <w:tcPr>
            <w:tcW w:w="72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720" w:type="dxa"/>
            <w:vAlign w:val="bottom"/>
            <w:gridSpan w:val="3"/>
          </w:tcPr>
          <w:p>
            <w:pPr>
              <w:ind w:left="20"/>
              <w:spacing w:after="0" w:line="117" w:lineRule="exact"/>
              <w:rPr>
                <w:sz w:val="20"/>
                <w:szCs w:val="20"/>
                <w:color w:val="auto"/>
              </w:rPr>
            </w:pPr>
            <w:r>
              <w:rPr>
                <w:rFonts w:ascii="Arial" w:cs="Arial" w:eastAsia="Arial" w:hAnsi="Arial"/>
                <w:sz w:val="12"/>
                <w:szCs w:val="12"/>
                <w:b w:val="1"/>
                <w:bCs w:val="1"/>
                <w:color w:val="auto"/>
              </w:rPr>
              <w:t>Dec. 31,</w:t>
            </w:r>
          </w:p>
        </w:tc>
        <w:tc>
          <w:tcPr>
            <w:tcW w:w="620" w:type="dxa"/>
            <w:vAlign w:val="bottom"/>
            <w:gridSpan w:val="3"/>
          </w:tcPr>
          <w:p>
            <w:pPr>
              <w:jc w:val="right"/>
              <w:ind w:right="140"/>
              <w:spacing w:after="0" w:line="117" w:lineRule="exact"/>
              <w:rPr>
                <w:sz w:val="20"/>
                <w:szCs w:val="20"/>
                <w:color w:val="auto"/>
              </w:rPr>
            </w:pPr>
            <w:r>
              <w:rPr>
                <w:rFonts w:ascii="Arial" w:cs="Arial" w:eastAsia="Arial" w:hAnsi="Arial"/>
                <w:sz w:val="12"/>
                <w:szCs w:val="12"/>
                <w:b w:val="1"/>
                <w:bCs w:val="1"/>
                <w:color w:val="auto"/>
              </w:rPr>
              <w:t>Mar. 31,</w:t>
            </w:r>
          </w:p>
        </w:tc>
        <w:tc>
          <w:tcPr>
            <w:tcW w:w="100" w:type="dxa"/>
            <w:vAlign w:val="bottom"/>
          </w:tcPr>
          <w:p>
            <w:pPr>
              <w:spacing w:after="0"/>
              <w:rPr>
                <w:sz w:val="10"/>
                <w:szCs w:val="10"/>
                <w:color w:val="auto"/>
              </w:rPr>
            </w:pPr>
          </w:p>
        </w:tc>
        <w:tc>
          <w:tcPr>
            <w:tcW w:w="7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500" w:type="dxa"/>
            <w:vAlign w:val="bottom"/>
          </w:tcPr>
          <w:p>
            <w:pPr>
              <w:spacing w:after="0" w:line="117"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10"/>
                <w:szCs w:val="10"/>
                <w:color w:val="auto"/>
              </w:rPr>
            </w:pPr>
          </w:p>
        </w:tc>
      </w:tr>
      <w:tr>
        <w:trPr>
          <w:trHeight w:val="145"/>
        </w:trPr>
        <w:tc>
          <w:tcPr>
            <w:tcW w:w="350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w w:val="97"/>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2019</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w w:val="97"/>
              </w:rPr>
              <w:t>2020</w:t>
            </w: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2020</w:t>
            </w:r>
          </w:p>
        </w:tc>
        <w:tc>
          <w:tcPr>
            <w:tcW w:w="40" w:type="dxa"/>
            <w:vAlign w:val="bottom"/>
            <w:tcBorders>
              <w:bottom w:val="single" w:sz="8" w:color="CCEEFF"/>
            </w:tcBorders>
          </w:tcPr>
          <w:p>
            <w:pPr>
              <w:spacing w:after="0"/>
              <w:rPr>
                <w:sz w:val="12"/>
                <w:szCs w:val="12"/>
                <w:color w:val="auto"/>
              </w:rPr>
            </w:pPr>
          </w:p>
        </w:tc>
      </w:tr>
      <w:tr>
        <w:trPr>
          <w:trHeight w:val="149"/>
        </w:trPr>
        <w:tc>
          <w:tcPr>
            <w:tcW w:w="350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Contribution Profit</w:t>
            </w:r>
          </w:p>
        </w:tc>
        <w:tc>
          <w:tcPr>
            <w:tcW w:w="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$ 3,875</w:t>
            </w:r>
          </w:p>
        </w:tc>
        <w:tc>
          <w:tcPr>
            <w:tcW w:w="84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$ 4,556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5,479</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15,525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23,380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25,660</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4,256</w:t>
            </w:r>
          </w:p>
        </w:tc>
        <w:tc>
          <w:tcPr>
            <w:tcW w:w="5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$33,780</w:t>
            </w:r>
          </w:p>
        </w:tc>
        <w:tc>
          <w:tcPr>
            <w:tcW w:w="40" w:type="dxa"/>
            <w:vAlign w:val="bottom"/>
            <w:shd w:val="clear" w:color="auto" w:fill="CCEEFF"/>
          </w:tcPr>
          <w:p>
            <w:pPr>
              <w:spacing w:after="0"/>
              <w:rPr>
                <w:sz w:val="12"/>
                <w:szCs w:val="12"/>
                <w:color w:val="auto"/>
              </w:rPr>
            </w:pPr>
          </w:p>
        </w:tc>
      </w:tr>
      <w:tr>
        <w:trPr>
          <w:trHeight w:val="164"/>
        </w:trPr>
        <w:tc>
          <w:tcPr>
            <w:tcW w:w="3500" w:type="dxa"/>
            <w:vAlign w:val="bottom"/>
          </w:tcPr>
          <w:p>
            <w:pPr>
              <w:spacing w:after="0"/>
              <w:rPr>
                <w:sz w:val="20"/>
                <w:szCs w:val="20"/>
                <w:color w:val="auto"/>
              </w:rPr>
            </w:pPr>
            <w:r>
              <w:rPr>
                <w:rFonts w:ascii="Arial" w:cs="Arial" w:eastAsia="Arial" w:hAnsi="Arial"/>
                <w:sz w:val="14"/>
                <w:szCs w:val="14"/>
                <w:color w:val="auto"/>
              </w:rPr>
              <w:t>Adjusted EBITDA</w:t>
            </w:r>
          </w:p>
        </w:tc>
        <w:tc>
          <w:tcPr>
            <w:tcW w:w="640" w:type="dxa"/>
            <w:vAlign w:val="bottom"/>
            <w:gridSpan w:val="2"/>
          </w:tcPr>
          <w:p>
            <w:pPr>
              <w:spacing w:after="0"/>
              <w:rPr>
                <w:sz w:val="20"/>
                <w:szCs w:val="20"/>
                <w:color w:val="auto"/>
              </w:rPr>
            </w:pPr>
            <w:r>
              <w:rPr>
                <w:rFonts w:ascii="Arial" w:cs="Arial" w:eastAsia="Arial" w:hAnsi="Arial"/>
                <w:sz w:val="14"/>
                <w:szCs w:val="14"/>
                <w:color w:val="auto"/>
              </w:rPr>
              <w:t>$(2,326)</w:t>
            </w:r>
          </w:p>
        </w:tc>
        <w:tc>
          <w:tcPr>
            <w:tcW w:w="840" w:type="dxa"/>
            <w:vAlign w:val="bottom"/>
            <w:gridSpan w:val="3"/>
          </w:tcPr>
          <w:p>
            <w:pPr>
              <w:ind w:left="100"/>
              <w:spacing w:after="0"/>
              <w:rPr>
                <w:sz w:val="20"/>
                <w:szCs w:val="20"/>
                <w:color w:val="auto"/>
              </w:rPr>
            </w:pPr>
            <w:r>
              <w:rPr>
                <w:rFonts w:ascii="Arial" w:cs="Arial" w:eastAsia="Arial" w:hAnsi="Arial"/>
                <w:sz w:val="14"/>
                <w:szCs w:val="14"/>
                <w:color w:val="auto"/>
              </w:rPr>
              <w:t>$(3,709)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(734)</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3,080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6,958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3,671</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(3,121)</w:t>
            </w:r>
          </w:p>
        </w:tc>
        <w:tc>
          <w:tcPr>
            <w:tcW w:w="500" w:type="dxa"/>
            <w:vAlign w:val="bottom"/>
          </w:tcPr>
          <w:p>
            <w:pPr>
              <w:jc w:val="center"/>
              <w:spacing w:after="0"/>
              <w:rPr>
                <w:sz w:val="20"/>
                <w:szCs w:val="20"/>
                <w:color w:val="auto"/>
              </w:rPr>
            </w:pPr>
            <w:r>
              <w:rPr>
                <w:rFonts w:ascii="Arial" w:cs="Arial" w:eastAsia="Arial" w:hAnsi="Arial"/>
                <w:sz w:val="14"/>
                <w:szCs w:val="14"/>
                <w:color w:val="auto"/>
                <w:w w:val="98"/>
              </w:rPr>
              <w:t>$15,456</w:t>
            </w:r>
          </w:p>
        </w:tc>
        <w:tc>
          <w:tcPr>
            <w:tcW w:w="40" w:type="dxa"/>
            <w:vAlign w:val="bottom"/>
          </w:tcPr>
          <w:p>
            <w:pPr>
              <w:spacing w:after="0"/>
              <w:rPr>
                <w:sz w:val="14"/>
                <w:szCs w:val="14"/>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provides the calculation of Contribution Profit for each of the last eight quarters: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9"/>
              </w:rPr>
              <w:t>Three Months Ended</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3560" w:type="dxa"/>
            <w:vAlign w:val="bottom"/>
          </w:tcPr>
          <w:p>
            <w:pPr>
              <w:spacing w:after="0"/>
              <w:rPr>
                <w:sz w:val="10"/>
                <w:szCs w:val="10"/>
                <w:color w:val="auto"/>
              </w:rPr>
            </w:pPr>
          </w:p>
        </w:tc>
        <w:tc>
          <w:tcPr>
            <w:tcW w:w="72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rPr>
              <w:t>Dec. 31,</w:t>
            </w:r>
          </w:p>
        </w:tc>
        <w:tc>
          <w:tcPr>
            <w:tcW w:w="660" w:type="dxa"/>
            <w:vAlign w:val="bottom"/>
            <w:gridSpan w:val="3"/>
          </w:tcPr>
          <w:p>
            <w:pPr>
              <w:jc w:val="right"/>
              <w:ind w:right="160"/>
              <w:spacing w:after="0" w:line="117" w:lineRule="exact"/>
              <w:rPr>
                <w:sz w:val="20"/>
                <w:szCs w:val="20"/>
                <w:color w:val="auto"/>
              </w:rPr>
            </w:pPr>
            <w:r>
              <w:rPr>
                <w:rFonts w:ascii="Arial" w:cs="Arial" w:eastAsia="Arial" w:hAnsi="Arial"/>
                <w:sz w:val="12"/>
                <w:szCs w:val="12"/>
                <w:b w:val="1"/>
                <w:bCs w:val="1"/>
                <w:color w:val="auto"/>
              </w:rPr>
              <w:t>Mar. 31,</w:t>
            </w:r>
          </w:p>
        </w:tc>
        <w:tc>
          <w:tcPr>
            <w:tcW w:w="60" w:type="dxa"/>
            <w:vAlign w:val="bottom"/>
          </w:tcPr>
          <w:p>
            <w:pPr>
              <w:spacing w:after="0"/>
              <w:rPr>
                <w:sz w:val="10"/>
                <w:szCs w:val="10"/>
                <w:color w:val="auto"/>
              </w:rPr>
            </w:pPr>
          </w:p>
        </w:tc>
        <w:tc>
          <w:tcPr>
            <w:tcW w:w="740" w:type="dxa"/>
            <w:vAlign w:val="bottom"/>
            <w:gridSpan w:val="3"/>
          </w:tcPr>
          <w:p>
            <w:pPr>
              <w:jc w:val="right"/>
              <w:ind w:right="220"/>
              <w:spacing w:after="0" w:line="117" w:lineRule="exact"/>
              <w:rPr>
                <w:sz w:val="20"/>
                <w:szCs w:val="20"/>
                <w:color w:val="auto"/>
              </w:rPr>
            </w:pPr>
            <w:r>
              <w:rPr>
                <w:rFonts w:ascii="Arial" w:cs="Arial" w:eastAsia="Arial" w:hAnsi="Arial"/>
                <w:sz w:val="12"/>
                <w:szCs w:val="12"/>
                <w:b w:val="1"/>
                <w:bCs w:val="1"/>
                <w:color w:val="auto"/>
              </w:rPr>
              <w:t>June 30,</w:t>
            </w:r>
          </w:p>
        </w:tc>
        <w:tc>
          <w:tcPr>
            <w:tcW w:w="720" w:type="dxa"/>
            <w:vAlign w:val="bottom"/>
            <w:gridSpan w:val="2"/>
          </w:tcPr>
          <w:p>
            <w:pPr>
              <w:jc w:val="right"/>
              <w:ind w:right="220"/>
              <w:spacing w:after="0" w:line="117" w:lineRule="exact"/>
              <w:rPr>
                <w:sz w:val="20"/>
                <w:szCs w:val="20"/>
                <w:color w:val="auto"/>
              </w:rPr>
            </w:pPr>
            <w:r>
              <w:rPr>
                <w:rFonts w:ascii="Arial" w:cs="Arial" w:eastAsia="Arial" w:hAnsi="Arial"/>
                <w:sz w:val="12"/>
                <w:szCs w:val="12"/>
                <w:b w:val="1"/>
                <w:bCs w:val="1"/>
                <w:color w:val="auto"/>
                <w:w w:val="97"/>
              </w:rPr>
              <w:t>Sept. 30,</w:t>
            </w:r>
          </w:p>
        </w:tc>
        <w:tc>
          <w:tcPr>
            <w:tcW w:w="640" w:type="dxa"/>
            <w:vAlign w:val="bottom"/>
            <w:gridSpan w:val="2"/>
          </w:tcPr>
          <w:p>
            <w:pPr>
              <w:jc w:val="right"/>
              <w:ind w:right="160"/>
              <w:spacing w:after="0" w:line="117" w:lineRule="exact"/>
              <w:rPr>
                <w:sz w:val="20"/>
                <w:szCs w:val="20"/>
                <w:color w:val="auto"/>
              </w:rPr>
            </w:pPr>
            <w:r>
              <w:rPr>
                <w:rFonts w:ascii="Arial" w:cs="Arial" w:eastAsia="Arial" w:hAnsi="Arial"/>
                <w:sz w:val="12"/>
                <w:szCs w:val="12"/>
                <w:b w:val="1"/>
                <w:bCs w:val="1"/>
                <w:color w:val="auto"/>
              </w:rPr>
              <w:t>Dec. 31,</w:t>
            </w:r>
          </w:p>
        </w:tc>
        <w:tc>
          <w:tcPr>
            <w:tcW w:w="80" w:type="dxa"/>
            <w:vAlign w:val="bottom"/>
          </w:tcPr>
          <w:p>
            <w:pPr>
              <w:spacing w:after="0"/>
              <w:rPr>
                <w:sz w:val="10"/>
                <w:szCs w:val="10"/>
                <w:color w:val="auto"/>
              </w:rPr>
            </w:pPr>
          </w:p>
        </w:tc>
        <w:tc>
          <w:tcPr>
            <w:tcW w:w="720" w:type="dxa"/>
            <w:vAlign w:val="bottom"/>
            <w:gridSpan w:val="2"/>
          </w:tcPr>
          <w:p>
            <w:pPr>
              <w:jc w:val="right"/>
              <w:ind w:right="240"/>
              <w:spacing w:after="0" w:line="117" w:lineRule="exact"/>
              <w:rPr>
                <w:sz w:val="20"/>
                <w:szCs w:val="20"/>
                <w:color w:val="auto"/>
              </w:rPr>
            </w:pPr>
            <w:r>
              <w:rPr>
                <w:rFonts w:ascii="Arial" w:cs="Arial" w:eastAsia="Arial" w:hAnsi="Arial"/>
                <w:sz w:val="12"/>
                <w:szCs w:val="12"/>
                <w:b w:val="1"/>
                <w:bCs w:val="1"/>
                <w:color w:val="auto"/>
              </w:rPr>
              <w:t>Mar. 31,</w:t>
            </w: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7"/>
              </w:rPr>
              <w:t>Sept. 30,</w:t>
            </w:r>
          </w:p>
        </w:tc>
        <w:tc>
          <w:tcPr>
            <w:tcW w:w="80" w:type="dxa"/>
            <w:vAlign w:val="bottom"/>
          </w:tcPr>
          <w:p>
            <w:pPr>
              <w:spacing w:after="0"/>
              <w:rPr>
                <w:sz w:val="10"/>
                <w:szCs w:val="10"/>
                <w:color w:val="auto"/>
              </w:rPr>
            </w:pPr>
          </w:p>
        </w:tc>
      </w:tr>
      <w:tr>
        <w:trPr>
          <w:trHeight w:val="145"/>
        </w:trPr>
        <w:tc>
          <w:tcPr>
            <w:tcW w:w="35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149"/>
        </w:trPr>
        <w:tc>
          <w:tcPr>
            <w:tcW w:w="35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Referral fees, net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14,141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13,042</w:t>
            </w: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16,938</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$ 26,137</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$ 34,555</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$ 38,219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4,597</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$ 38,012</w:t>
            </w:r>
          </w:p>
        </w:tc>
        <w:tc>
          <w:tcPr>
            <w:tcW w:w="80" w:type="dxa"/>
            <w:vAlign w:val="bottom"/>
            <w:shd w:val="clear" w:color="auto" w:fill="CCEEFF"/>
          </w:tcPr>
          <w:p>
            <w:pPr>
              <w:spacing w:after="0"/>
              <w:rPr>
                <w:sz w:val="12"/>
                <w:szCs w:val="12"/>
                <w:color w:val="auto"/>
              </w:rPr>
            </w:pPr>
          </w:p>
        </w:tc>
      </w:tr>
      <w:tr>
        <w:trPr>
          <w:trHeight w:val="158"/>
        </w:trPr>
        <w:tc>
          <w:tcPr>
            <w:tcW w:w="3560" w:type="dxa"/>
            <w:vAlign w:val="bottom"/>
          </w:tcPr>
          <w:p>
            <w:pPr>
              <w:spacing w:after="0" w:line="158" w:lineRule="exact"/>
              <w:rPr>
                <w:sz w:val="20"/>
                <w:szCs w:val="20"/>
                <w:color w:val="auto"/>
              </w:rPr>
            </w:pPr>
            <w:r>
              <w:rPr>
                <w:rFonts w:ascii="Arial" w:cs="Arial" w:eastAsia="Arial" w:hAnsi="Arial"/>
                <w:sz w:val="14"/>
                <w:szCs w:val="14"/>
                <w:color w:val="auto"/>
              </w:rPr>
              <w:t>Platform fees, net</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7,826</w:t>
            </w: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7,267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9,532</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16,133</w:t>
            </w: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20,451</w:t>
            </w:r>
          </w:p>
        </w:tc>
        <w:tc>
          <w:tcPr>
            <w:tcW w:w="1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22,011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3,015</w:t>
            </w: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17,631</w:t>
            </w:r>
          </w:p>
        </w:tc>
        <w:tc>
          <w:tcPr>
            <w:tcW w:w="80" w:type="dxa"/>
            <w:vAlign w:val="bottom"/>
          </w:tcPr>
          <w:p>
            <w:pPr>
              <w:spacing w:after="0"/>
              <w:rPr>
                <w:sz w:val="13"/>
                <w:szCs w:val="13"/>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net</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1,727</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1,933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2,088</w:t>
            </w: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5,629</w:t>
            </w: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6,142</w:t>
            </w:r>
          </w:p>
        </w:tc>
        <w:tc>
          <w:tcPr>
            <w:tcW w:w="80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7,783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5,693</w:t>
            </w:r>
          </w:p>
        </w:tc>
        <w:tc>
          <w:tcPr>
            <w:tcW w:w="700" w:type="dxa"/>
            <w:vAlign w:val="bottom"/>
            <w:gridSpan w:val="3"/>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7,218</w:t>
            </w:r>
          </w:p>
        </w:tc>
      </w:tr>
      <w:tr>
        <w:trPr>
          <w:trHeight w:val="158"/>
        </w:trPr>
        <w:tc>
          <w:tcPr>
            <w:tcW w:w="3560" w:type="dxa"/>
            <w:vAlign w:val="bottom"/>
          </w:tcPr>
          <w:p>
            <w:pPr>
              <w:spacing w:after="0" w:line="158" w:lineRule="exact"/>
              <w:rPr>
                <w:sz w:val="20"/>
                <w:szCs w:val="20"/>
                <w:color w:val="auto"/>
              </w:rPr>
            </w:pPr>
            <w:r>
              <w:rPr>
                <w:rFonts w:ascii="Arial" w:cs="Arial" w:eastAsia="Arial" w:hAnsi="Arial"/>
                <w:sz w:val="14"/>
                <w:szCs w:val="14"/>
                <w:color w:val="auto"/>
              </w:rPr>
              <w:t>Revenue from fees, net</w:t>
            </w: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23,694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22,242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28,558</w:t>
            </w: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47,899</w:t>
            </w:r>
          </w:p>
        </w:tc>
        <w:tc>
          <w:tcPr>
            <w:tcW w:w="1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61,148</w:t>
            </w:r>
          </w:p>
        </w:tc>
        <w:tc>
          <w:tcPr>
            <w:tcW w:w="10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68,013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w w:val="88"/>
              </w:rPr>
              <w:t>13,305</w:t>
            </w:r>
          </w:p>
        </w:tc>
        <w:tc>
          <w:tcPr>
            <w:tcW w:w="12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62,861</w:t>
            </w:r>
          </w:p>
        </w:tc>
        <w:tc>
          <w:tcPr>
            <w:tcW w:w="80" w:type="dxa"/>
            <w:vAlign w:val="bottom"/>
          </w:tcPr>
          <w:p>
            <w:pPr>
              <w:spacing w:after="0"/>
              <w:rPr>
                <w:sz w:val="13"/>
                <w:szCs w:val="13"/>
                <w:color w:val="auto"/>
              </w:rPr>
            </w:pP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Borrower acquisition costs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5"/>
              </w:rPr>
              <w:t>(16,260)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(13,724)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5"/>
              </w:rPr>
              <w:t>(18,466)</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(26,575)</w:t>
            </w:r>
          </w:p>
        </w:tc>
        <w:tc>
          <w:tcPr>
            <w:tcW w:w="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(30,804)</w:t>
            </w:r>
          </w:p>
        </w:tc>
        <w:tc>
          <w:tcPr>
            <w:tcW w:w="8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(34,703)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9"/>
              </w:rPr>
              <w:t>(3,578)</w:t>
            </w:r>
          </w:p>
        </w:tc>
        <w:tc>
          <w:tcPr>
            <w:tcW w:w="7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(21,183)</w:t>
            </w:r>
          </w:p>
        </w:tc>
      </w:tr>
      <w:tr>
        <w:trPr>
          <w:trHeight w:val="158"/>
        </w:trPr>
        <w:tc>
          <w:tcPr>
            <w:tcW w:w="3560" w:type="dxa"/>
            <w:vAlign w:val="bottom"/>
          </w:tcPr>
          <w:p>
            <w:pPr>
              <w:spacing w:after="0" w:line="158" w:lineRule="exact"/>
              <w:rPr>
                <w:sz w:val="20"/>
                <w:szCs w:val="20"/>
                <w:color w:val="auto"/>
              </w:rPr>
            </w:pPr>
            <w:r>
              <w:rPr>
                <w:rFonts w:ascii="Arial" w:cs="Arial" w:eastAsia="Arial" w:hAnsi="Arial"/>
                <w:sz w:val="14"/>
                <w:szCs w:val="14"/>
                <w:color w:val="auto"/>
              </w:rPr>
              <w:t>Borrower verification and servicing costs</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(3,559)</w:t>
            </w:r>
          </w:p>
        </w:tc>
        <w:tc>
          <w:tcPr>
            <w:tcW w:w="8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(3,962)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(4,613)</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(5,799)</w:t>
            </w: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(6,964)</w:t>
            </w:r>
          </w:p>
        </w:tc>
        <w:tc>
          <w:tcPr>
            <w:tcW w:w="8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(7,650)</w:t>
            </w:r>
          </w:p>
        </w:tc>
        <w:tc>
          <w:tcPr>
            <w:tcW w:w="80" w:type="dxa"/>
            <w:vAlign w:val="bottom"/>
          </w:tcPr>
          <w:p>
            <w:pPr>
              <w:spacing w:after="0"/>
              <w:rPr>
                <w:sz w:val="13"/>
                <w:szCs w:val="13"/>
                <w:color w:val="auto"/>
              </w:rPr>
            </w:pPr>
          </w:p>
        </w:tc>
        <w:tc>
          <w:tcPr>
            <w:tcW w:w="5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9"/>
              </w:rPr>
              <w:t>(5,471)</w:t>
            </w:r>
          </w:p>
        </w:tc>
        <w:tc>
          <w:tcPr>
            <w:tcW w:w="7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(7,898)</w:t>
            </w:r>
          </w:p>
        </w:tc>
      </w:tr>
      <w:tr>
        <w:trPr>
          <w:trHeight w:val="158"/>
        </w:trPr>
        <w:tc>
          <w:tcPr>
            <w:tcW w:w="3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direct expenses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5"/>
              </w:rPr>
              <w:t>(19,819)</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(17,686)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5"/>
              </w:rPr>
              <w:t>(23,079)</w:t>
            </w:r>
          </w:p>
        </w:tc>
        <w:tc>
          <w:tcPr>
            <w:tcW w:w="7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(32,374)</w:t>
            </w:r>
          </w:p>
        </w:tc>
        <w:tc>
          <w:tcPr>
            <w:tcW w:w="64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(37,768)</w:t>
            </w:r>
          </w:p>
        </w:tc>
        <w:tc>
          <w:tcPr>
            <w:tcW w:w="8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(42,353)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9"/>
              </w:rPr>
              <w:t>(9,049)</w:t>
            </w:r>
          </w:p>
        </w:tc>
        <w:tc>
          <w:tcPr>
            <w:tcW w:w="70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(29,081)</w:t>
            </w:r>
          </w:p>
        </w:tc>
      </w:tr>
      <w:tr>
        <w:trPr>
          <w:trHeight w:val="164"/>
        </w:trPr>
        <w:tc>
          <w:tcPr>
            <w:tcW w:w="3560" w:type="dxa"/>
            <w:vAlign w:val="bottom"/>
          </w:tcPr>
          <w:p>
            <w:pPr>
              <w:spacing w:after="0"/>
              <w:rPr>
                <w:sz w:val="20"/>
                <w:szCs w:val="20"/>
                <w:color w:val="auto"/>
              </w:rPr>
            </w:pPr>
            <w:r>
              <w:rPr>
                <w:rFonts w:ascii="Arial" w:cs="Arial" w:eastAsia="Arial" w:hAnsi="Arial"/>
                <w:sz w:val="14"/>
                <w:szCs w:val="14"/>
                <w:color w:val="auto"/>
              </w:rPr>
              <w:t>Contribution profit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3,875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4,556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5,479</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$ 15,525</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$ 23,380</w:t>
            </w: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$ 25,660</w:t>
            </w:r>
          </w:p>
        </w:tc>
        <w:tc>
          <w:tcPr>
            <w:tcW w:w="18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4,256</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$ 33,780</w:t>
            </w:r>
          </w:p>
        </w:tc>
        <w:tc>
          <w:tcPr>
            <w:tcW w:w="80" w:type="dxa"/>
            <w:vAlign w:val="bottom"/>
          </w:tcPr>
          <w:p>
            <w:pPr>
              <w:spacing w:after="0"/>
              <w:rPr>
                <w:sz w:val="14"/>
                <w:szCs w:val="14"/>
                <w:color w:val="auto"/>
              </w:rPr>
            </w:pPr>
          </w:p>
        </w:tc>
      </w:tr>
    </w:tbl>
    <w:p>
      <w:pPr>
        <w:spacing w:after="0" w:line="173"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See the section titled “Reconciliation of Non-GAAP Financial Measures” for a reconciliation of loss from operations to Contribution Profit and of net loss attributable to Upstart Holdings, Inc. common stockholders to Adjusted EBITDA.</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Quarterly Trends</w:t>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Revenue from Fees, Net</w:t>
      </w:r>
    </w:p>
    <w:p>
      <w:pPr>
        <w:spacing w:after="0" w:line="10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Revenue from fees, net trended upwards on an annual basis, but fluctuated during the quarters presented. Revenue from fees, net is highly correlated with the Number of Loans Transacted on our platform during the period. The increase in revenue from the second quarter of 2019 to the first quarter of 2020 was primarily a result of the overall growth of our business, continuous improvements to our AI models and technology, and our ability to streamline and automate the loan application and origination process. The changes in the second and the third quarter of 2020 were driven by the impact of the COVID-19 pandemic on our business and a recovery from it, respectively.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Interest Income and Fair Value Adjustments, Net</w:t>
      </w:r>
    </w:p>
    <w:p>
      <w:pPr>
        <w:spacing w:after="0" w:line="103"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Interest income and fair value adjustments, net fluctuated quarterly primarily due to the outstanding balance of loans included in our consolidated balance sheets and changes to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0220"/>
          </w:cols>
          <w:pgMar w:left="320" w:top="407" w:right="1359" w:bottom="1440" w:gutter="0" w:footer="0" w:header="0"/>
        </w:sectPr>
      </w:pPr>
    </w:p>
    <w:bookmarkStart w:id="127" w:name="page128"/>
    <w:bookmarkEnd w:id="1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characteristics of such loans, such as the average age of the loans and the interest rates of the loans, during the respective periods presented. The decrease in interest income and fair value adjustment in the first quarter of 2020 was primarily due to the market changes caused by the COVID-19 pandemic.</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Sales and Marketing</w:t>
      </w:r>
    </w:p>
    <w:p>
      <w:pPr>
        <w:spacing w:after="0" w:line="103"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Sales and marketing expenses trended upwards on an annual basis, but fluctuated during the quarters presented. The overall increase and the changes between different periods are primarily driven by the timing and extent of borrower acquisition and marketing initiatives across various channels. The changes in the second and the third quarter of 2020 were driven by decreased spending on marketing campaigns as a result of the COVID-19 pandemic and a recovery from it, respectively.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Customer Operations</w:t>
      </w:r>
    </w:p>
    <w:p>
      <w:pPr>
        <w:spacing w:after="0" w:line="103" w:lineRule="exact"/>
        <w:rPr>
          <w:sz w:val="20"/>
          <w:szCs w:val="20"/>
          <w:color w:val="auto"/>
        </w:rPr>
      </w:pPr>
    </w:p>
    <w:p>
      <w:pPr>
        <w:ind w:left="1020" w:right="240" w:firstLine="460"/>
        <w:spacing w:after="0" w:line="237" w:lineRule="auto"/>
        <w:rPr>
          <w:sz w:val="20"/>
          <w:szCs w:val="20"/>
          <w:color w:val="auto"/>
        </w:rPr>
      </w:pPr>
      <w:r>
        <w:rPr>
          <w:rFonts w:ascii="Arial" w:cs="Arial" w:eastAsia="Arial" w:hAnsi="Arial"/>
          <w:sz w:val="15"/>
          <w:szCs w:val="15"/>
          <w:color w:val="auto"/>
        </w:rPr>
        <w:t>Similar to sales and marketing, customer operations trended upwards on an annual basis but fluctuated during the quarters presented primarily due variability in the Number of Loans Transacted. The increase was primarily due to increases in payroll and personnel-related expenses driven by increases in our headcount, as well as an overall increase in spending related to our information verification and platform operations due to the growing volume of loans facilitated through our platform. The changes in the second and the third quarter of 2020 were driven by decreased spending on information verification as a result of the COVID-19 pandemic on our business and a recovery from it, respectively.</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Engineering and Product Development</w:t>
      </w:r>
    </w:p>
    <w:p>
      <w:pPr>
        <w:spacing w:after="0" w:line="10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Engineering and product development generally increased for the quarters presented. This was primarily due to increases in payroll and personnel-related expenses driven by increases in our headcount, as well as increases in infrastructure-related costs.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General, Administrative and Other</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General, administrative and other expenses have trended upwards on an annual basis but fluctuated during the quarters presented. The overall increase is reflective of increasing costs of fees for professional services, including legal and financial services as well an increase in personnel-related costs driven by additions of legal, human resources, and finance personnel. In the second half of 2019, general, administrative and other expenses also increased as a result of an increase in office rent and other facility-related expenses due to the opening of our second headquarters in Columbus, Ohio and relocation of our first headquarters from San Carlos, California, to San Mateo, California.</w:t>
      </w:r>
    </w:p>
    <w:p>
      <w:pPr>
        <w:spacing w:after="0" w:line="247"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(Expense) Income on Warrants and Convertible Notes, Net</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Expense on warrants and convertible notes, net fluctuated during the quarters presented and reflect the variable nature and timing of the increases and decreases in the fair value of outstanding common stock warrants and convertible preferred stock warrants, which highly correlate with the valuation of the underlying securities. We incurred higher expenses in the quarters when the increases in the valuation of our preferred and common stock increased the most. In the fourth quarter of 2020, we estimate the expense for outstanding warrants to be approximately $6.5 million, which is significantly higher than the amount of warrant expenses we experienced historically. We do not expect to incur additional expenses for these warrants in 2021 and beyond due to the exercise of the remaining preferred stock warrants and the amendment to the common stock warrants as discussed in the sections titled “Description of Capital Stock” and “Liquidity and Capital Resources—Revolving Credit Facility”, respectively.</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0220"/>
          </w:cols>
          <w:pgMar w:left="320" w:top="407" w:right="1359" w:bottom="1440" w:gutter="0" w:footer="0" w:header="0"/>
        </w:sectPr>
      </w:pPr>
    </w:p>
    <w:bookmarkStart w:id="128" w:name="page129"/>
    <w:bookmarkEnd w:id="1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We recorded income on warrants and convertible notes reported in the fourth quarter of 2019 due to a gain on repurchase and retirement of convertible preferred stock warrants.</w:t>
      </w:r>
    </w:p>
    <w:p>
      <w:pPr>
        <w:spacing w:after="0" w:line="240"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Number of Loans Transacted</w:t>
      </w:r>
    </w:p>
    <w:p>
      <w:pPr>
        <w:spacing w:after="0" w:line="103"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Number of Loans Transacted trended upwards on an annual basis but fluctuated during the quarters presented. The overall increase was primarily a result of continuous improvements to our AI models and technology, and our ability to streamline and automate the loan application and origination process. However, such improvements could occasionally impact transaction volume negatively. For example, an upgrade to our AI models in the fourth quarter of 2018 related to prepayment predictions led to a temporary decrease in the total number of loans transacted. In addition, we experience significant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The changes in the second and the third quarter of 2020 were driven by the impact of the COVID-19 pandemic on our business and a recovery from it, respectively.</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Conversion Rate</w:t>
      </w:r>
    </w:p>
    <w:p>
      <w:pPr>
        <w:spacing w:after="0" w:line="103"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Conversion Rate has trended upwards on an annual basis but fluctuated during the quarters presented. The overall increase was primarily a result of continuous improvements to our AI models and technology. Historically, our Conversion Rate has benefitted from improvements to our technology, which have made our evaluation of risk more accurate and our verification process more automated, or from the addition of bank partners that have made our offers more competitive. The changes in the second and the third quarter of 2020 were driven by the impact of the COVID-19 pandemic on our business and a recovery from it, respectively.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Percentage of Loans Fully Automated</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Percentage of Loans Fully Automated has trended upwards on an annual basis, but fluctuated during the quarters presented. The overall increase was primarily a result of continuous improvements to our AI models and technology. Better AI models increased our ability to rapidly streamline and automate the loan application and origination process on our platform. The changes in the second and the third quarter of 2020 were driven by the impact of the COVID-19 pandemic on our business and a recovery from it, respectively.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Contribution Profit</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Contribution Profit (which is a function of revenue from fees, net and borrower acquisition cost and borrower verification and servicing cost) is highly correlated with the Number of Loans Transacted on our platform during the period and trended upwards on an annual basis but fluctuated during the quarters presented. The overall increase was primarily due to improvements to borrower acquisition efforts and our operating efficiency. The quarterly fluctuations are primarily due to the timing and extent of borrower acquisition and marketing initiatives across various channels. The changes in the second and the third quarter of 2020 are driven by the impact of the COVID-19 pandemic on our business and a recovery from it, respectively. See the section titled “Reconciliation of Non-GAAP Financial Measures” for a reconciliation of loss from operations to Contribution Profit.</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Adjusted EBITDA</w:t>
      </w:r>
    </w:p>
    <w:p>
      <w:pPr>
        <w:spacing w:after="0" w:line="103"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Adjusted EBITDA trended upwards on an annual basis but fluctuated during the quarters presented. Adjusted EBITDA is highly correlated with the Number of Loans Transacted on our platform</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0200"/>
          </w:cols>
          <w:pgMar w:left="320" w:top="407" w:right="1379" w:bottom="1440" w:gutter="0" w:footer="0" w:header="0"/>
        </w:sectPr>
      </w:pPr>
    </w:p>
    <w:bookmarkStart w:id="129" w:name="page130"/>
    <w:bookmarkEnd w:id="1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8" w:lineRule="auto"/>
        <w:rPr>
          <w:sz w:val="20"/>
          <w:szCs w:val="20"/>
          <w:color w:val="auto"/>
        </w:rPr>
      </w:pPr>
      <w:r>
        <w:rPr>
          <w:rFonts w:ascii="Arial" w:cs="Arial" w:eastAsia="Arial" w:hAnsi="Arial"/>
          <w:sz w:val="15"/>
          <w:szCs w:val="15"/>
          <w:color w:val="auto"/>
        </w:rPr>
        <w:t>during the period. The overall increase was primarily due to business growth outpacing expense growth. The changes in the second and the third quarter of 2020 are driven by the impact of the COVID-19 pandemic on our business and a recovery from it, respectively. See the section titled “Reconciliation of Non-GAAP Financial Measures” for a reconciliation of net loss attributable to Upstart Holdings, Inc. common stockholders to Adjusted EBITDA.</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supplement our consolidated financial statements prepared and presented in accordance with GAAP, we use the non-GAAP financial measures Contribution Profit and Adjusted EBITDA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 address these limitations, we provide a reconciliation of Contribution Profit and Adjusted EBITDA to loss from operations and net loss attributable to Upstart Holdings, Inc. common stockholders, respectively. We encourage investors and others to review our financial information in its entirety, not to rely on any single financial measure and to view Contribution Profit and Adjusted EBITDA in conjunction with their respective related GAAP financial measures.</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Contribution Profit</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use Contribution Profit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Contribution Profit is useful to investors for period-to period comparisons of our business and in evaluating and understanding our operating results and ability to scale. Contribution Profit is also useful to investors because our management uses Contribution Profit, in conjunction with financial measures prepared in accordance with GAAP, to evaluate our operating results and financial performance and the effectiveness of our strategies.</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Contribution Profit has limitations as an analytical tool, and you should not consider it in isolation or as a substitute for analysis of our results as reported under GAAP. Contribution Profit is not a GAAP financial measure of, nor does it imply, profitability. Even if our revenue exceeds variable expenses over time, we may not be able to achieve or maintain profitability, and the relationship of revenue to variable expenses is not necessarily indicative of future performance. Contribution Profit does not reflect all of our variable expenses and involves some judgment and discretion around what costs vary directly with loan volume. Other companies that present contribution profit calculate it differently and, therefore, similarly titled measures presented by other companies may not be directly comparable to ours.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120</w:t>
      </w:r>
    </w:p>
    <w:p>
      <w:pPr>
        <w:sectPr>
          <w:pgSz w:w="11900" w:h="16838" w:orient="portrait"/>
          <w:cols w:equalWidth="0" w:num="1">
            <w:col w:w="10200"/>
          </w:cols>
          <w:pgMar w:left="320" w:top="407" w:right="137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presents a reconciliation of loss from operations to Contribution Profit:</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6"/>
          </w:tcPr>
          <w:p>
            <w:pPr>
              <w:jc w:val="right"/>
              <w:ind w:right="20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48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8"/>
          </w:tcPr>
          <w:p>
            <w:pPr>
              <w:jc w:val="right"/>
              <w:ind w:right="58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13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84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Income (loss) from operations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9"/>
              </w:rPr>
              <w:t>(7,536)</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(7,971)</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2"/>
              </w:rPr>
              <w:t>$ (4,575)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(8,901)</w:t>
            </w: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58"/>
        </w:trPr>
        <w:tc>
          <w:tcPr>
            <w:tcW w:w="4840" w:type="dxa"/>
            <w:vAlign w:val="bottom"/>
          </w:tcPr>
          <w:p>
            <w:pPr>
              <w:spacing w:after="0" w:line="157" w:lineRule="exact"/>
              <w:rPr>
                <w:sz w:val="20"/>
                <w:szCs w:val="20"/>
                <w:color w:val="auto"/>
              </w:rPr>
            </w:pPr>
            <w:r>
              <w:rPr>
                <w:rFonts w:ascii="Arial" w:cs="Arial" w:eastAsia="Arial" w:hAnsi="Arial"/>
                <w:sz w:val="12"/>
                <w:szCs w:val="12"/>
                <w:color w:val="auto"/>
              </w:rPr>
              <w:t>Sales and marketing, net of borrower acquisition costs</w:t>
            </w:r>
            <w:r>
              <w:rPr>
                <w:rFonts w:ascii="Arial" w:cs="Arial" w:eastAsia="Arial" w:hAnsi="Arial"/>
                <w:sz w:val="18"/>
                <w:szCs w:val="18"/>
                <w:color w:val="auto"/>
                <w:vertAlign w:val="superscript"/>
              </w:rPr>
              <w:t>(1)</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1,061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1,975</w:t>
            </w:r>
          </w:p>
        </w:tc>
        <w:tc>
          <w:tcPr>
            <w:tcW w:w="7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3,606</w:t>
            </w:r>
          </w:p>
        </w:tc>
        <w:tc>
          <w:tcPr>
            <w:tcW w:w="100" w:type="dxa"/>
            <w:vAlign w:val="bottom"/>
          </w:tcPr>
          <w:p>
            <w:pPr>
              <w:spacing w:after="0"/>
              <w:rPr>
                <w:sz w:val="13"/>
                <w:szCs w:val="13"/>
                <w:color w:val="auto"/>
              </w:rPr>
            </w:pPr>
          </w:p>
        </w:tc>
        <w:tc>
          <w:tcPr>
            <w:tcW w:w="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2,471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5,650</w:t>
            </w: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Customer operations, net of borrower verification and servicing costs</w:t>
            </w:r>
            <w:r>
              <w:rPr>
                <w:rFonts w:ascii="Arial" w:cs="Arial" w:eastAsia="Arial" w:hAnsi="Arial"/>
                <w:sz w:val="18"/>
                <w:szCs w:val="18"/>
                <w:color w:val="auto"/>
                <w:vertAlign w:val="superscript"/>
              </w:rPr>
              <w:t>(2)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1,113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1,690</w:t>
            </w:r>
          </w:p>
        </w:tc>
        <w:tc>
          <w:tcPr>
            <w:tcW w:w="7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3,609</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2,219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3,773</w:t>
            </w:r>
          </w:p>
        </w:tc>
        <w:tc>
          <w:tcPr>
            <w:tcW w:w="0" w:type="dxa"/>
            <w:vAlign w:val="bottom"/>
          </w:tcPr>
          <w:p>
            <w:pPr>
              <w:spacing w:after="0"/>
              <w:rPr>
                <w:sz w:val="1"/>
                <w:szCs w:val="1"/>
                <w:color w:val="auto"/>
              </w:rPr>
            </w:pPr>
          </w:p>
        </w:tc>
      </w:tr>
      <w:tr>
        <w:trPr>
          <w:trHeight w:val="158"/>
        </w:trPr>
        <w:tc>
          <w:tcPr>
            <w:tcW w:w="4840" w:type="dxa"/>
            <w:vAlign w:val="bottom"/>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5,324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8,415</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18,777</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11,480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24,651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15,431</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31,865</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20,399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30,778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40" w:type="dxa"/>
            <w:vAlign w:val="bottom"/>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9"/>
              </w:rPr>
              <w:t>(6,128)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w w:val="91"/>
              </w:rPr>
              <w:t>(10,831)</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(4,342)</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(2,918)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23"/>
        </w:trPr>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8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Contribution Profit</w:t>
            </w: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9,265</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13,098</w:t>
            </w: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48,940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25,560</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63,697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480" w:right="340" w:hanging="453"/>
        <w:spacing w:after="0" w:line="239" w:lineRule="auto"/>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Borrower acquisition costs were $32.8 million, $61.7 million and $89.6 million for the years ended December 31, 2017, 2018 and 2019, respectively, and $58.8 million and $59.5 million in the nine months ended September 30, 2019 and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spacing w:after="0" w:line="92" w:lineRule="exact"/>
        <w:rPr>
          <w:rFonts w:ascii="Arial" w:cs="Arial" w:eastAsia="Arial" w:hAnsi="Arial"/>
          <w:sz w:val="12"/>
          <w:szCs w:val="12"/>
          <w:color w:val="auto"/>
        </w:rPr>
      </w:pPr>
    </w:p>
    <w:p>
      <w:pPr>
        <w:ind w:left="1480" w:right="20" w:hanging="453"/>
        <w:spacing w:after="0" w:line="238" w:lineRule="auto"/>
        <w:tabs>
          <w:tab w:leader="none" w:pos="1480" w:val="left"/>
        </w:tabs>
        <w:numPr>
          <w:ilvl w:val="0"/>
          <w:numId w:val="63"/>
        </w:numPr>
        <w:rPr>
          <w:rFonts w:ascii="Arial" w:cs="Arial" w:eastAsia="Arial" w:hAnsi="Arial"/>
          <w:sz w:val="12"/>
          <w:szCs w:val="12"/>
          <w:color w:val="auto"/>
        </w:rPr>
      </w:pPr>
      <w:r>
        <w:rPr>
          <w:rFonts w:ascii="Arial" w:cs="Arial" w:eastAsia="Arial" w:hAnsi="Arial"/>
          <w:sz w:val="12"/>
          <w:szCs w:val="12"/>
          <w:color w:val="auto"/>
        </w:rPr>
        <w:t>Borrower verification and servicing costs were $9.1 million, $13.7 million and $21.3 million for the years ended December 31, 2017, 2018 and 2019, respectively, and $14.4 million and $21.0 million in the nine months ended September 30, 2019 and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2"/>
                <w:szCs w:val="12"/>
                <w:b w:val="1"/>
                <w:bCs w:val="1"/>
                <w:color w:val="auto"/>
                <w:w w:val="99"/>
              </w:rPr>
              <w:t>Three Months Ended</w:t>
            </w: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6"/>
        </w:trPr>
        <w:tc>
          <w:tcPr>
            <w:tcW w:w="3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00"/>
              <w:spacing w:after="0" w:line="117" w:lineRule="exact"/>
              <w:rPr>
                <w:sz w:val="20"/>
                <w:szCs w:val="20"/>
                <w:color w:val="auto"/>
              </w:rPr>
            </w:pPr>
            <w:r>
              <w:rPr>
                <w:rFonts w:ascii="Arial" w:cs="Arial" w:eastAsia="Arial" w:hAnsi="Arial"/>
                <w:sz w:val="12"/>
                <w:szCs w:val="12"/>
                <w:b w:val="1"/>
                <w:bCs w:val="1"/>
                <w:color w:val="auto"/>
                <w:w w:val="96"/>
              </w:rPr>
              <w:t>Dec. 31,</w:t>
            </w:r>
          </w:p>
        </w:tc>
        <w:tc>
          <w:tcPr>
            <w:tcW w:w="580" w:type="dxa"/>
            <w:vAlign w:val="bottom"/>
            <w:gridSpan w:val="2"/>
          </w:tcPr>
          <w:p>
            <w:pPr>
              <w:jc w:val="center"/>
              <w:ind w:right="140"/>
              <w:spacing w:after="0" w:line="117" w:lineRule="exact"/>
              <w:rPr>
                <w:sz w:val="20"/>
                <w:szCs w:val="20"/>
                <w:color w:val="auto"/>
              </w:rPr>
            </w:pPr>
            <w:r>
              <w:rPr>
                <w:rFonts w:ascii="Arial" w:cs="Arial" w:eastAsia="Arial" w:hAnsi="Arial"/>
                <w:sz w:val="12"/>
                <w:szCs w:val="12"/>
                <w:b w:val="1"/>
                <w:bCs w:val="1"/>
                <w:color w:val="auto"/>
                <w:w w:val="98"/>
              </w:rPr>
              <w:t>Mar. 31,</w:t>
            </w:r>
          </w:p>
        </w:tc>
        <w:tc>
          <w:tcPr>
            <w:tcW w:w="60" w:type="dxa"/>
            <w:vAlign w:val="bottom"/>
          </w:tcPr>
          <w:p>
            <w:pPr>
              <w:spacing w:after="0"/>
              <w:rPr>
                <w:sz w:val="10"/>
                <w:szCs w:val="10"/>
                <w:color w:val="auto"/>
              </w:rPr>
            </w:pP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66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680" w:type="dxa"/>
            <w:vAlign w:val="bottom"/>
            <w:gridSpan w:val="3"/>
          </w:tcPr>
          <w:p>
            <w:pPr>
              <w:jc w:val="right"/>
              <w:ind w:right="200"/>
              <w:spacing w:after="0" w:line="117"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3"/>
          </w:tcPr>
          <w:p>
            <w:pPr>
              <w:ind w:left="40"/>
              <w:spacing w:after="0" w:line="117" w:lineRule="exact"/>
              <w:rPr>
                <w:sz w:val="20"/>
                <w:szCs w:val="20"/>
                <w:color w:val="auto"/>
              </w:rPr>
            </w:pPr>
            <w:r>
              <w:rPr>
                <w:rFonts w:ascii="Arial" w:cs="Arial" w:eastAsia="Arial" w:hAnsi="Arial"/>
                <w:sz w:val="12"/>
                <w:szCs w:val="12"/>
                <w:b w:val="1"/>
                <w:bCs w:val="1"/>
                <w:color w:val="auto"/>
              </w:rPr>
              <w:t>Mar. 31,</w:t>
            </w:r>
          </w:p>
        </w:tc>
        <w:tc>
          <w:tcPr>
            <w:tcW w:w="720" w:type="dxa"/>
            <w:vAlign w:val="bottom"/>
            <w:gridSpan w:val="2"/>
          </w:tcPr>
          <w:p>
            <w:pPr>
              <w:jc w:val="right"/>
              <w:ind w:right="220"/>
              <w:spacing w:after="0" w:line="117" w:lineRule="exact"/>
              <w:rPr>
                <w:sz w:val="20"/>
                <w:szCs w:val="20"/>
                <w:color w:val="auto"/>
              </w:rPr>
            </w:pPr>
            <w:r>
              <w:rPr>
                <w:rFonts w:ascii="Arial" w:cs="Arial" w:eastAsia="Arial" w:hAnsi="Arial"/>
                <w:sz w:val="12"/>
                <w:szCs w:val="12"/>
                <w:b w:val="1"/>
                <w:bCs w:val="1"/>
                <w:color w:val="auto"/>
                <w:w w:val="99"/>
              </w:rPr>
              <w:t>June 30,</w:t>
            </w:r>
          </w:p>
        </w:tc>
        <w:tc>
          <w:tcPr>
            <w:tcW w:w="500" w:type="dxa"/>
            <w:vAlign w:val="bottom"/>
          </w:tcPr>
          <w:p>
            <w:pPr>
              <w:jc w:val="right"/>
              <w:spacing w:after="0" w:line="117" w:lineRule="exact"/>
              <w:rPr>
                <w:sz w:val="20"/>
                <w:szCs w:val="20"/>
                <w:color w:val="auto"/>
              </w:rPr>
            </w:pPr>
            <w:r>
              <w:rPr>
                <w:rFonts w:ascii="Arial" w:cs="Arial" w:eastAsia="Arial" w:hAnsi="Arial"/>
                <w:sz w:val="12"/>
                <w:szCs w:val="12"/>
                <w:b w:val="1"/>
                <w:bCs w:val="1"/>
                <w:color w:val="auto"/>
                <w:w w:val="97"/>
              </w:rPr>
              <w:t>Sept. 30,</w:t>
            </w:r>
          </w:p>
        </w:tc>
        <w:tc>
          <w:tcPr>
            <w:tcW w:w="80" w:type="dxa"/>
            <w:vAlign w:val="bottom"/>
          </w:tcPr>
          <w:p>
            <w:pPr>
              <w:spacing w:after="0"/>
              <w:rPr>
                <w:sz w:val="10"/>
                <w:szCs w:val="10"/>
                <w:color w:val="auto"/>
              </w:rPr>
            </w:pPr>
          </w:p>
        </w:tc>
      </w:tr>
      <w:tr>
        <w:trPr>
          <w:trHeight w:val="145"/>
        </w:trPr>
        <w:tc>
          <w:tcPr>
            <w:tcW w:w="3860" w:type="dxa"/>
            <w:vAlign w:val="bottom"/>
            <w:tcBorders>
              <w:bottom w:val="single" w:sz="8" w:color="CCEEFF"/>
            </w:tcBorders>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1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149"/>
        </w:trPr>
        <w:tc>
          <w:tcPr>
            <w:tcW w:w="38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Income (loss) from operations</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$(4,300)</w:t>
            </w:r>
          </w:p>
        </w:tc>
        <w:tc>
          <w:tcPr>
            <w:tcW w:w="5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$(8,454)</w:t>
            </w:r>
          </w:p>
        </w:tc>
        <w:tc>
          <w:tcPr>
            <w:tcW w:w="1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4"/>
              </w:rPr>
              <w:t>(1,625)</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3,516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553</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$(11,388)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$12,207</w:t>
            </w:r>
          </w:p>
        </w:tc>
        <w:tc>
          <w:tcPr>
            <w:tcW w:w="80" w:type="dxa"/>
            <w:vAlign w:val="bottom"/>
            <w:shd w:val="clear" w:color="auto" w:fill="CCEEFF"/>
          </w:tcPr>
          <w:p>
            <w:pPr>
              <w:spacing w:after="0"/>
              <w:rPr>
                <w:sz w:val="12"/>
                <w:szCs w:val="12"/>
                <w:color w:val="auto"/>
              </w:rPr>
            </w:pPr>
          </w:p>
        </w:tc>
      </w:tr>
      <w:tr>
        <w:trPr>
          <w:trHeight w:val="158"/>
        </w:trPr>
        <w:tc>
          <w:tcPr>
            <w:tcW w:w="3860" w:type="dxa"/>
            <w:vAlign w:val="bottom"/>
          </w:tcPr>
          <w:p>
            <w:pPr>
              <w:spacing w:after="0" w:line="157" w:lineRule="exact"/>
              <w:rPr>
                <w:sz w:val="20"/>
                <w:szCs w:val="20"/>
                <w:color w:val="auto"/>
              </w:rPr>
            </w:pPr>
            <w:r>
              <w:rPr>
                <w:rFonts w:ascii="Arial" w:cs="Arial" w:eastAsia="Arial" w:hAnsi="Arial"/>
                <w:sz w:val="12"/>
                <w:szCs w:val="12"/>
                <w:color w:val="auto"/>
              </w:rPr>
              <w:t>Sales and marketing, net of borrower acquisition costs</w:t>
            </w:r>
            <w:r>
              <w:rPr>
                <w:rFonts w:ascii="Arial" w:cs="Arial" w:eastAsia="Arial" w:hAnsi="Arial"/>
                <w:sz w:val="18"/>
                <w:szCs w:val="18"/>
                <w:color w:val="auto"/>
                <w:vertAlign w:val="superscript"/>
              </w:rPr>
              <w:t>(1)</w:t>
            </w:r>
          </w:p>
        </w:tc>
        <w:tc>
          <w:tcPr>
            <w:tcW w:w="5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849</w:t>
            </w:r>
          </w:p>
        </w:tc>
        <w:tc>
          <w:tcPr>
            <w:tcW w:w="1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869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848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754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1,135</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1,249</w:t>
            </w: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1,858</w:t>
            </w: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2,542</w:t>
            </w:r>
          </w:p>
        </w:tc>
      </w:tr>
      <w:tr>
        <w:trPr>
          <w:trHeight w:val="155"/>
        </w:trPr>
        <w:tc>
          <w:tcPr>
            <w:tcW w:w="38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98"/>
              </w:rPr>
              <w:t>Customer operations, net of borrower verification and servicing</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0"/>
        </w:trPr>
        <w:tc>
          <w:tcPr>
            <w:tcW w:w="3860" w:type="dxa"/>
            <w:vAlign w:val="bottom"/>
            <w:shd w:val="clear" w:color="auto" w:fill="CCEEFF"/>
          </w:tcPr>
          <w:p>
            <w:pPr>
              <w:ind w:left="140"/>
              <w:spacing w:after="0" w:line="160" w:lineRule="exact"/>
              <w:rPr>
                <w:sz w:val="20"/>
                <w:szCs w:val="20"/>
                <w:color w:val="auto"/>
              </w:rPr>
            </w:pPr>
            <w:r>
              <w:rPr>
                <w:rFonts w:ascii="Arial" w:cs="Arial" w:eastAsia="Arial" w:hAnsi="Arial"/>
                <w:sz w:val="12"/>
                <w:szCs w:val="12"/>
                <w:color w:val="auto"/>
              </w:rPr>
              <w:t>costs</w:t>
            </w:r>
            <w:r>
              <w:rPr>
                <w:rFonts w:ascii="Arial" w:cs="Arial" w:eastAsia="Arial" w:hAnsi="Arial"/>
                <w:sz w:val="18"/>
                <w:szCs w:val="18"/>
                <w:color w:val="auto"/>
                <w:vertAlign w:val="superscript"/>
              </w:rPr>
              <w:t>(2)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1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556</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1,390</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1,161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1,150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1,462</w:t>
            </w: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74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2,314</w:t>
            </w: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2,932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3,485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5,063</w:t>
            </w:r>
          </w:p>
        </w:tc>
        <w:tc>
          <w:tcPr>
            <w:tcW w:w="80" w:type="dxa"/>
            <w:vAlign w:val="bottom"/>
          </w:tcPr>
          <w:p>
            <w:pPr>
              <w:spacing w:after="0"/>
              <w:rPr>
                <w:sz w:val="13"/>
                <w:szCs w:val="13"/>
                <w:color w:val="auto"/>
              </w:rPr>
            </w:pPr>
          </w:p>
        </w:tc>
        <w:tc>
          <w:tcPr>
            <w:tcW w:w="6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7,297</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7,018</w:t>
            </w: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7,667</w:t>
            </w: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9,966</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4,692</w:t>
            </w: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6,022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5,959</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8,418</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11,466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11,660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9,017</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10,101</w:t>
            </w:r>
          </w:p>
        </w:tc>
        <w:tc>
          <w:tcPr>
            <w:tcW w:w="80" w:type="dxa"/>
            <w:vAlign w:val="bottom"/>
            <w:shd w:val="clear" w:color="auto" w:fill="CCEEFF"/>
          </w:tcPr>
          <w:p>
            <w:pPr>
              <w:spacing w:after="0"/>
              <w:rPr>
                <w:sz w:val="13"/>
                <w:szCs w:val="13"/>
                <w:color w:val="auto"/>
              </w:rPr>
            </w:pPr>
          </w:p>
        </w:tc>
      </w:tr>
      <w:tr>
        <w:trPr>
          <w:trHeight w:val="158"/>
        </w:trPr>
        <w:tc>
          <w:tcPr>
            <w:tcW w:w="3860" w:type="dxa"/>
            <w:vAlign w:val="bottom"/>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74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(197)</w:t>
            </w: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2,631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w w:val="94"/>
              </w:rPr>
              <w:t>(3,961)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(1,588)</w:t>
            </w:r>
          </w:p>
        </w:tc>
        <w:tc>
          <w:tcPr>
            <w:tcW w:w="8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9"/>
              </w:rPr>
              <w:t>(1,424)</w:t>
            </w:r>
          </w:p>
        </w:tc>
        <w:tc>
          <w:tcPr>
            <w:tcW w:w="80" w:type="dxa"/>
            <w:vAlign w:val="bottom"/>
          </w:tcPr>
          <w:p>
            <w:pPr>
              <w:spacing w:after="0"/>
              <w:rPr>
                <w:sz w:val="13"/>
                <w:szCs w:val="13"/>
                <w:color w:val="auto"/>
              </w:rPr>
            </w:pPr>
          </w:p>
        </w:tc>
        <w:tc>
          <w:tcPr>
            <w:tcW w:w="5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4,019</w:t>
            </w:r>
          </w:p>
        </w:tc>
        <w:tc>
          <w:tcPr>
            <w:tcW w:w="7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(4,048)</w:t>
            </w: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(2,498)</w:t>
            </w:r>
          </w:p>
        </w:tc>
      </w:tr>
      <w:tr>
        <w:trPr>
          <w:trHeight w:val="158"/>
        </w:trPr>
        <w:tc>
          <w:tcPr>
            <w:tcW w:w="38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Contribution Profit</w:t>
            </w:r>
          </w:p>
        </w:tc>
        <w:tc>
          <w:tcPr>
            <w:tcW w:w="74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$ 3,875</w:t>
            </w: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4"/>
              </w:rPr>
              <w:t>$ 4,556</w:t>
            </w:r>
          </w:p>
        </w:tc>
        <w:tc>
          <w:tcPr>
            <w:tcW w:w="1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5,479</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15,525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23,380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25,660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4,256</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$33,780</w:t>
            </w:r>
          </w:p>
        </w:tc>
        <w:tc>
          <w:tcPr>
            <w:tcW w:w="8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right="20" w:hanging="453"/>
        <w:spacing w:after="0" w:line="235" w:lineRule="auto"/>
        <w:tabs>
          <w:tab w:leader="none" w:pos="1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Borrower acquisition costs were $16.3 million for the three months ended December 31, 2018; $13.7 million, $18.5 million, $26.6 million, and $30.8 million for the three months ended March 31, 2019, June 30, 2019, September 30, 2019 and December 31, 2019, respectively; $34.7 million, $3.6 million, and $21.2 million for the three months ended March 31, 2020, June 30, 2020, and September 30, 2020,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ind w:left="1480" w:right="20" w:hanging="453"/>
        <w:spacing w:after="0" w:line="237" w:lineRule="auto"/>
        <w:tabs>
          <w:tab w:leader="none" w:pos="1480" w:val="left"/>
        </w:tabs>
        <w:numPr>
          <w:ilvl w:val="0"/>
          <w:numId w:val="64"/>
        </w:numPr>
        <w:rPr>
          <w:rFonts w:ascii="Arial" w:cs="Arial" w:eastAsia="Arial" w:hAnsi="Arial"/>
          <w:sz w:val="12"/>
          <w:szCs w:val="12"/>
          <w:color w:val="auto"/>
        </w:rPr>
      </w:pPr>
      <w:r>
        <w:rPr>
          <w:rFonts w:ascii="Arial" w:cs="Arial" w:eastAsia="Arial" w:hAnsi="Arial"/>
          <w:sz w:val="12"/>
          <w:szCs w:val="12"/>
          <w:color w:val="auto"/>
        </w:rPr>
        <w:t>Borrower verification and servicing costs were $3.6 million for the three months ended December 31, 2018; $4.0 million, $4.6 million, $5.8 million and $7.0 million for the three months ended March 31, 2019, June 30, 2019, September 30, 2019 and December 31, 2019, respectively, $7.7 million, $5,5 million, and $7.9 million for the three months ended March 31, 2020, June 30, 2020, and September 30, 2020,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0220"/>
          </w:cols>
          <w:pgMar w:left="320" w:top="407" w:right="1359" w:bottom="1440" w:gutter="0" w:footer="0" w:header="0"/>
        </w:sectPr>
      </w:pPr>
    </w:p>
    <w:bookmarkStart w:id="131" w:name="page132"/>
    <w:bookmarkEnd w:id="1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Adjusted EBITDA</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We believe that Adjusted EBITDA is useful for investors to use in comparing our financial performance with the performance of other companies for the following reasons:</w:t>
      </w:r>
    </w:p>
    <w:p>
      <w:pPr>
        <w:spacing w:after="0" w:line="87" w:lineRule="exact"/>
        <w:rPr>
          <w:sz w:val="20"/>
          <w:szCs w:val="20"/>
          <w:color w:val="auto"/>
        </w:rPr>
      </w:pPr>
    </w:p>
    <w:p>
      <w:pPr>
        <w:ind w:left="1660" w:right="20" w:hanging="183"/>
        <w:spacing w:after="0"/>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is widely used by investors and securities analysts to measure a company’s operating performance without regard to items such as stock-based compensation expense, depreciation and interest expense, that can vary substantially from company to company depending upon their financing and capital structures, and the method by which assets were acquired; and</w:t>
      </w:r>
    </w:p>
    <w:p>
      <w:pPr>
        <w:spacing w:after="0" w:line="91" w:lineRule="exact"/>
        <w:rPr>
          <w:rFonts w:ascii="Arial" w:cs="Arial" w:eastAsia="Arial" w:hAnsi="Arial"/>
          <w:sz w:val="15"/>
          <w:szCs w:val="15"/>
          <w:color w:val="auto"/>
        </w:rPr>
      </w:pPr>
    </w:p>
    <w:p>
      <w:pPr>
        <w:ind w:left="1660" w:right="160" w:hanging="183"/>
        <w:spacing w:after="0" w:line="245" w:lineRule="auto"/>
        <w:tabs>
          <w:tab w:leader="none" w:pos="16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Adjusted EBITDA provides consistency and comparability with our past financial performance, and facilitates comparisons with other companies, many of which use similar non-GAAP financial measures to supplement their GAAP results.</w:t>
      </w:r>
    </w:p>
    <w:p>
      <w:pPr>
        <w:spacing w:after="0" w:line="166"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Our use of Adjusted EBITDA has limitations as an analytical tool, and you should not consider this measure in isolation or as a substitute for analysis of our financial results as reported under GAAP. Some of these limitations are as follows:</w:t>
      </w:r>
    </w:p>
    <w:p>
      <w:pPr>
        <w:spacing w:after="0" w:line="87" w:lineRule="exact"/>
        <w:rPr>
          <w:sz w:val="20"/>
          <w:szCs w:val="20"/>
          <w:color w:val="auto"/>
        </w:rPr>
      </w:pPr>
    </w:p>
    <w:p>
      <w:pPr>
        <w:jc w:val="both"/>
        <w:ind w:left="1660" w:right="200" w:hanging="183"/>
        <w:spacing w:after="0"/>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does not reflect cash capital expenditure requirements for such replacements or for new capital expenditure requirements;</w:t>
      </w:r>
    </w:p>
    <w:p>
      <w:pPr>
        <w:spacing w:after="0" w:line="91" w:lineRule="exact"/>
        <w:rPr>
          <w:rFonts w:ascii="Arial" w:cs="Arial" w:eastAsia="Arial" w:hAnsi="Arial"/>
          <w:sz w:val="15"/>
          <w:szCs w:val="15"/>
          <w:color w:val="auto"/>
        </w:rPr>
      </w:pPr>
    </w:p>
    <w:p>
      <w:pPr>
        <w:ind w:left="1660" w:right="34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Adjusted EBITDA excludes stock-based compensation expense, which has been, and will continue to be for the foreseeable future, a significant recurring expense for our business and an important part of our compensation strategy;</w:t>
      </w:r>
    </w:p>
    <w:p>
      <w:pPr>
        <w:spacing w:after="0" w:line="87" w:lineRule="exact"/>
        <w:rPr>
          <w:rFonts w:ascii="Arial" w:cs="Arial" w:eastAsia="Arial" w:hAnsi="Arial"/>
          <w:sz w:val="15"/>
          <w:szCs w:val="15"/>
          <w:color w:val="auto"/>
        </w:rPr>
      </w:pPr>
    </w:p>
    <w:p>
      <w:pPr>
        <w:ind w:left="1660" w:right="180" w:hanging="183"/>
        <w:spacing w:after="0" w:line="251" w:lineRule="auto"/>
        <w:tabs>
          <w:tab w:leader="none" w:pos="1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Adjusted EBITDA does not reflect: (1) changes in, or cash requirements for, our working capital needs; (2) interest expense, or the cash requirements necessary to service interest or principal payments on our debt, which reduces cash available to us; or</w:t>
      </w:r>
    </w:p>
    <w:p>
      <w:pPr>
        <w:spacing w:after="0" w:line="1" w:lineRule="exact"/>
        <w:rPr>
          <w:rFonts w:ascii="Arial" w:cs="Arial" w:eastAsia="Arial" w:hAnsi="Arial"/>
          <w:sz w:val="14"/>
          <w:szCs w:val="14"/>
          <w:color w:val="auto"/>
        </w:rPr>
      </w:pPr>
    </w:p>
    <w:p>
      <w:pPr>
        <w:ind w:left="1660"/>
        <w:spacing w:after="0"/>
        <w:rPr>
          <w:rFonts w:ascii="Arial" w:cs="Arial" w:eastAsia="Arial" w:hAnsi="Arial"/>
          <w:sz w:val="14"/>
          <w:szCs w:val="14"/>
          <w:color w:val="auto"/>
        </w:rPr>
      </w:pPr>
      <w:r>
        <w:rPr>
          <w:rFonts w:ascii="Arial" w:cs="Arial" w:eastAsia="Arial" w:hAnsi="Arial"/>
          <w:sz w:val="15"/>
          <w:szCs w:val="15"/>
          <w:color w:val="auto"/>
        </w:rPr>
        <w:t>(3) tax payments that may represent a reduction in cash available to us; and</w:t>
      </w:r>
    </w:p>
    <w:p>
      <w:pPr>
        <w:spacing w:after="0" w:line="97" w:lineRule="exact"/>
        <w:rPr>
          <w:rFonts w:ascii="Arial" w:cs="Arial" w:eastAsia="Arial" w:hAnsi="Arial"/>
          <w:sz w:val="14"/>
          <w:szCs w:val="14"/>
          <w:color w:val="auto"/>
        </w:rPr>
      </w:pPr>
    </w:p>
    <w:p>
      <w:pPr>
        <w:ind w:left="1660" w:right="300" w:hanging="183"/>
        <w:spacing w:after="0" w:line="245" w:lineRule="auto"/>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expenses and other items that we exclude in our calculation of Adjusted EBITDA may differ from the expenses and other items, if any, that other companies may exclude from Adjusted EBITDA when they report their operating results.</w:t>
      </w:r>
    </w:p>
    <w:p>
      <w:pPr>
        <w:spacing w:after="0" w:line="166"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Because of these limitations, Adjusted EBITDA should be considered along with other operating and financial performance measures presented in accordance with GAAP. The following table provides a reconciliation of net loss attributable to Upstart Holdings, Inc. common stockholders to Adjusted EBITDA:</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9"/>
              </w:rPr>
              <w:t>Nine Months Ended</w:t>
            </w:r>
          </w:p>
        </w:tc>
        <w:tc>
          <w:tcPr>
            <w:tcW w:w="0" w:type="dxa"/>
            <w:vAlign w:val="bottom"/>
          </w:tcPr>
          <w:p>
            <w:pPr>
              <w:spacing w:after="0"/>
              <w:rPr>
                <w:sz w:val="1"/>
                <w:szCs w:val="1"/>
                <w:color w:val="auto"/>
              </w:rPr>
            </w:pPr>
          </w:p>
        </w:tc>
      </w:tr>
      <w:tr>
        <w:trPr>
          <w:trHeight w:val="145"/>
        </w:trPr>
        <w:tc>
          <w:tcPr>
            <w:tcW w:w="508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Pr>
          <w:p>
            <w:pPr>
              <w:spacing w:after="0"/>
              <w:rPr>
                <w:sz w:val="12"/>
                <w:szCs w:val="12"/>
                <w:color w:val="auto"/>
              </w:rPr>
            </w:pPr>
          </w:p>
        </w:tc>
        <w:tc>
          <w:tcPr>
            <w:tcW w:w="2140" w:type="dxa"/>
            <w:vAlign w:val="bottom"/>
            <w:gridSpan w:val="9"/>
          </w:tcPr>
          <w:p>
            <w:pPr>
              <w:jc w:val="right"/>
              <w:ind w:right="420"/>
              <w:spacing w:after="0"/>
              <w:rPr>
                <w:sz w:val="20"/>
                <w:szCs w:val="20"/>
                <w:color w:val="auto"/>
              </w:rPr>
            </w:pPr>
            <w:r>
              <w:rPr>
                <w:rFonts w:ascii="Arial" w:cs="Arial" w:eastAsia="Arial" w:hAnsi="Arial"/>
                <w:sz w:val="12"/>
                <w:szCs w:val="12"/>
                <w:b w:val="1"/>
                <w:bCs w:val="1"/>
                <w:color w:val="auto"/>
              </w:rPr>
              <w:t>Year Ended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508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3"/>
              <w:spacing w:after="0" w:line="126" w:lineRule="exact"/>
              <w:rPr>
                <w:sz w:val="20"/>
                <w:szCs w:val="20"/>
                <w:color w:val="auto"/>
              </w:rPr>
            </w:pPr>
            <w:r>
              <w:rPr>
                <w:rFonts w:ascii="Arial" w:cs="Arial" w:eastAsia="Arial" w:hAnsi="Arial"/>
                <w:sz w:val="12"/>
                <w:szCs w:val="12"/>
                <w:b w:val="1"/>
                <w:bCs w:val="1"/>
                <w:color w:val="auto"/>
                <w:w w:val="97"/>
              </w:rPr>
              <w:t>2019</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Net (loss) income attributable to Upstart Holdings, Inc. common stockholders</w:t>
            </w:r>
          </w:p>
        </w:tc>
        <w:tc>
          <w:tcPr>
            <w:tcW w:w="12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(12,319)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(6,517)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4,956</w:t>
            </w: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Adjusted to exclude the following:</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1220" w:type="dxa"/>
            <w:vAlign w:val="bottom"/>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1,290</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3,806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7,102</w:t>
            </w: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Depreciation and amortization</w:t>
            </w:r>
          </w:p>
        </w:tc>
        <w:tc>
          <w:tcPr>
            <w:tcW w:w="1220" w:type="dxa"/>
            <w:vAlign w:val="bottom"/>
            <w:gridSpan w:val="3"/>
          </w:tcPr>
          <w:p>
            <w:pPr>
              <w:jc w:val="right"/>
              <w:ind w:right="280"/>
              <w:spacing w:after="0" w:line="158" w:lineRule="exact"/>
              <w:rPr>
                <w:sz w:val="20"/>
                <w:szCs w:val="20"/>
                <w:color w:val="auto"/>
              </w:rPr>
            </w:pPr>
            <w:r>
              <w:rPr>
                <w:rFonts w:ascii="Arial" w:cs="Arial" w:eastAsia="Arial" w:hAnsi="Arial"/>
                <w:sz w:val="14"/>
                <w:szCs w:val="14"/>
                <w:color w:val="auto"/>
              </w:rPr>
              <w:t>93</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774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324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58"/>
        </w:trPr>
        <w:tc>
          <w:tcPr>
            <w:tcW w:w="50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Expense on warrants and convertible notes, net</w:t>
            </w:r>
            <w:r>
              <w:rPr>
                <w:rFonts w:ascii="Arial" w:cs="Arial" w:eastAsia="Arial" w:hAnsi="Arial"/>
                <w:sz w:val="18"/>
                <w:szCs w:val="18"/>
                <w:color w:val="auto"/>
                <w:vertAlign w:val="superscript"/>
              </w:rPr>
              <w:t>(1)</w:t>
            </w:r>
          </w:p>
        </w:tc>
        <w:tc>
          <w:tcPr>
            <w:tcW w:w="1220" w:type="dxa"/>
            <w:vAlign w:val="bottom"/>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1,649</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3,734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1,407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2,626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158"/>
        </w:trPr>
        <w:tc>
          <w:tcPr>
            <w:tcW w:w="5080" w:type="dxa"/>
            <w:vAlign w:val="bottom"/>
          </w:tcPr>
          <w:p>
            <w:pPr>
              <w:spacing w:after="0" w:line="158" w:lineRule="exact"/>
              <w:rPr>
                <w:sz w:val="20"/>
                <w:szCs w:val="20"/>
                <w:color w:val="auto"/>
              </w:rPr>
            </w:pPr>
            <w:r>
              <w:rPr>
                <w:rFonts w:ascii="Arial" w:cs="Arial" w:eastAsia="Arial" w:hAnsi="Arial"/>
                <w:sz w:val="14"/>
                <w:szCs w:val="14"/>
                <w:color w:val="auto"/>
              </w:rPr>
              <w:t>Provision for income taxes</w:t>
            </w:r>
          </w:p>
        </w:tc>
        <w:tc>
          <w:tcPr>
            <w:tcW w:w="480" w:type="dxa"/>
            <w:vAlign w:val="bottom"/>
          </w:tcPr>
          <w:p>
            <w:pPr>
              <w:spacing w:after="0"/>
              <w:rPr>
                <w:sz w:val="13"/>
                <w:szCs w:val="13"/>
                <w:color w:val="auto"/>
              </w:rPr>
            </w:pPr>
          </w:p>
        </w:tc>
        <w:tc>
          <w:tcPr>
            <w:tcW w:w="74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3"/>
                <w:szCs w:val="13"/>
                <w:color w:val="auto"/>
              </w:rPr>
            </w:pPr>
          </w:p>
        </w:tc>
        <w:tc>
          <w:tcPr>
            <w:tcW w:w="62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80" w:type="dxa"/>
            <w:vAlign w:val="bottom"/>
            <w:gridSpan w:val="2"/>
          </w:tcPr>
          <w:p>
            <w:pPr>
              <w:ind w:left="22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Adjusted EBITDA</w:t>
            </w:r>
          </w:p>
        </w:tc>
        <w:tc>
          <w:tcPr>
            <w:tcW w:w="122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(4,679)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(6,226)</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5,595</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16,006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ind w:left="1480" w:hanging="453"/>
        <w:spacing w:after="0"/>
        <w:tabs>
          <w:tab w:leader="none" w:pos="148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Consists of fair value adjustments to our warrant liability and interest expense on convertible notes.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0220"/>
          </w:cols>
          <w:pgMar w:left="320" w:top="407" w:right="1359" w:bottom="1440" w:gutter="0" w:footer="0" w:header="0"/>
        </w:sectPr>
      </w:pPr>
    </w:p>
    <w:bookmarkStart w:id="132" w:name="page133"/>
    <w:bookmarkEnd w:id="1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0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2"/>
                <w:szCs w:val="12"/>
                <w:b w:val="1"/>
                <w:bCs w:val="1"/>
                <w:color w:val="auto"/>
              </w:rPr>
              <w:t>Three Months Ended</w:t>
            </w:r>
          </w:p>
        </w:tc>
        <w:tc>
          <w:tcPr>
            <w:tcW w:w="4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6"/>
        </w:trPr>
        <w:tc>
          <w:tcPr>
            <w:tcW w:w="406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Arial" w:cs="Arial" w:eastAsia="Arial" w:hAnsi="Arial"/>
                <w:sz w:val="12"/>
                <w:szCs w:val="12"/>
                <w:b w:val="1"/>
                <w:bCs w:val="1"/>
                <w:color w:val="auto"/>
                <w:w w:val="96"/>
              </w:rPr>
              <w:t>Dec. 31,</w:t>
            </w:r>
          </w:p>
        </w:tc>
        <w:tc>
          <w:tcPr>
            <w:tcW w:w="80" w:type="dxa"/>
            <w:vAlign w:val="bottom"/>
          </w:tcPr>
          <w:p>
            <w:pPr>
              <w:spacing w:after="0"/>
              <w:rPr>
                <w:sz w:val="10"/>
                <w:szCs w:val="10"/>
                <w:color w:val="auto"/>
              </w:rPr>
            </w:pPr>
          </w:p>
        </w:tc>
        <w:tc>
          <w:tcPr>
            <w:tcW w:w="580" w:type="dxa"/>
            <w:vAlign w:val="bottom"/>
            <w:gridSpan w:val="2"/>
          </w:tcPr>
          <w:p>
            <w:pPr>
              <w:jc w:val="right"/>
              <w:ind w:right="120"/>
              <w:spacing w:after="0" w:line="117" w:lineRule="exact"/>
              <w:rPr>
                <w:sz w:val="20"/>
                <w:szCs w:val="20"/>
                <w:color w:val="auto"/>
              </w:rPr>
            </w:pPr>
            <w:r>
              <w:rPr>
                <w:rFonts w:ascii="Arial" w:cs="Arial" w:eastAsia="Arial" w:hAnsi="Arial"/>
                <w:sz w:val="12"/>
                <w:szCs w:val="12"/>
                <w:b w:val="1"/>
                <w:bCs w:val="1"/>
                <w:color w:val="auto"/>
                <w:w w:val="98"/>
              </w:rPr>
              <w:t>Mar. 31,</w:t>
            </w:r>
          </w:p>
        </w:tc>
        <w:tc>
          <w:tcPr>
            <w:tcW w:w="8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10"/>
                <w:szCs w:val="10"/>
                <w:color w:val="auto"/>
              </w:rPr>
            </w:pPr>
          </w:p>
        </w:tc>
        <w:tc>
          <w:tcPr>
            <w:tcW w:w="600" w:type="dxa"/>
            <w:vAlign w:val="bottom"/>
            <w:gridSpan w:val="3"/>
          </w:tcPr>
          <w:p>
            <w:pPr>
              <w:spacing w:after="0" w:line="117" w:lineRule="exact"/>
              <w:rPr>
                <w:sz w:val="20"/>
                <w:szCs w:val="20"/>
                <w:color w:val="auto"/>
              </w:rPr>
            </w:pPr>
            <w:r>
              <w:rPr>
                <w:rFonts w:ascii="Arial" w:cs="Arial" w:eastAsia="Arial" w:hAnsi="Arial"/>
                <w:sz w:val="12"/>
                <w:szCs w:val="12"/>
                <w:b w:val="1"/>
                <w:bCs w:val="1"/>
                <w:color w:val="auto"/>
              </w:rPr>
              <w:t>Sept. 30,</w:t>
            </w:r>
          </w:p>
        </w:tc>
        <w:tc>
          <w:tcPr>
            <w:tcW w:w="80" w:type="dxa"/>
            <w:vAlign w:val="bottom"/>
          </w:tcPr>
          <w:p>
            <w:pPr>
              <w:spacing w:after="0"/>
              <w:rPr>
                <w:sz w:val="10"/>
                <w:szCs w:val="10"/>
                <w:color w:val="auto"/>
              </w:rPr>
            </w:pPr>
          </w:p>
        </w:tc>
        <w:tc>
          <w:tcPr>
            <w:tcW w:w="640" w:type="dxa"/>
            <w:vAlign w:val="bottom"/>
            <w:gridSpan w:val="2"/>
          </w:tcPr>
          <w:p>
            <w:pPr>
              <w:jc w:val="center"/>
              <w:ind w:right="180"/>
              <w:spacing w:after="0" w:line="117" w:lineRule="exact"/>
              <w:rPr>
                <w:sz w:val="20"/>
                <w:szCs w:val="20"/>
                <w:color w:val="auto"/>
              </w:rPr>
            </w:pPr>
            <w:r>
              <w:rPr>
                <w:rFonts w:ascii="Arial" w:cs="Arial" w:eastAsia="Arial" w:hAnsi="Arial"/>
                <w:sz w:val="12"/>
                <w:szCs w:val="12"/>
                <w:b w:val="1"/>
                <w:bCs w:val="1"/>
                <w:color w:val="auto"/>
              </w:rPr>
              <w:t>Dec. 31,</w:t>
            </w:r>
          </w:p>
        </w:tc>
        <w:tc>
          <w:tcPr>
            <w:tcW w:w="640" w:type="dxa"/>
            <w:vAlign w:val="bottom"/>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w w:val="98"/>
              </w:rPr>
              <w:t>Mar. 31,</w:t>
            </w:r>
          </w:p>
        </w:tc>
        <w:tc>
          <w:tcPr>
            <w:tcW w:w="660" w:type="dxa"/>
            <w:vAlign w:val="bottom"/>
            <w:gridSpan w:val="2"/>
          </w:tcPr>
          <w:p>
            <w:pPr>
              <w:jc w:val="right"/>
              <w:ind w:right="180"/>
              <w:spacing w:after="0" w:line="117" w:lineRule="exact"/>
              <w:rPr>
                <w:sz w:val="20"/>
                <w:szCs w:val="20"/>
                <w:color w:val="auto"/>
              </w:rPr>
            </w:pPr>
            <w:r>
              <w:rPr>
                <w:rFonts w:ascii="Arial" w:cs="Arial" w:eastAsia="Arial" w:hAnsi="Arial"/>
                <w:sz w:val="12"/>
                <w:szCs w:val="12"/>
                <w:b w:val="1"/>
                <w:bCs w:val="1"/>
                <w:color w:val="auto"/>
                <w:w w:val="95"/>
              </w:rPr>
              <w:t>June 30,</w:t>
            </w:r>
          </w:p>
        </w:tc>
        <w:tc>
          <w:tcPr>
            <w:tcW w:w="500" w:type="dxa"/>
            <w:vAlign w:val="bottom"/>
            <w:gridSpan w:val="2"/>
          </w:tcPr>
          <w:p>
            <w:pPr>
              <w:spacing w:after="0" w:line="117" w:lineRule="exact"/>
              <w:rPr>
                <w:sz w:val="20"/>
                <w:szCs w:val="20"/>
                <w:color w:val="auto"/>
              </w:rPr>
            </w:pPr>
            <w:r>
              <w:rPr>
                <w:rFonts w:ascii="Arial" w:cs="Arial" w:eastAsia="Arial" w:hAnsi="Arial"/>
                <w:sz w:val="12"/>
                <w:szCs w:val="12"/>
                <w:b w:val="1"/>
                <w:bCs w:val="1"/>
                <w:color w:val="auto"/>
                <w:w w:val="97"/>
              </w:rPr>
              <w:t>Sept. 30,</w:t>
            </w:r>
          </w:p>
        </w:tc>
        <w:tc>
          <w:tcPr>
            <w:tcW w:w="40" w:type="dxa"/>
            <w:vAlign w:val="bottom"/>
          </w:tcPr>
          <w:p>
            <w:pPr>
              <w:spacing w:after="0"/>
              <w:rPr>
                <w:sz w:val="10"/>
                <w:szCs w:val="10"/>
                <w:color w:val="auto"/>
              </w:rPr>
            </w:pPr>
          </w:p>
        </w:tc>
      </w:tr>
      <w:tr>
        <w:trPr>
          <w:trHeight w:val="145"/>
        </w:trPr>
        <w:tc>
          <w:tcPr>
            <w:tcW w:w="406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480" w:type="dxa"/>
            <w:vAlign w:val="bottom"/>
          </w:tcPr>
          <w:p>
            <w:pPr>
              <w:jc w:val="right"/>
              <w:ind w:right="34"/>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2"/>
                <w:szCs w:val="12"/>
                <w:color w:val="auto"/>
              </w:rPr>
            </w:pPr>
          </w:p>
        </w:tc>
        <w:tc>
          <w:tcPr>
            <w:tcW w:w="540" w:type="dxa"/>
            <w:vAlign w:val="bottom"/>
            <w:gridSpan w:val="2"/>
          </w:tcPr>
          <w:p>
            <w:pPr>
              <w:jc w:val="right"/>
              <w:ind w:right="36"/>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53"/>
              <w:spacing w:after="0"/>
              <w:rPr>
                <w:sz w:val="20"/>
                <w:szCs w:val="20"/>
                <w:color w:val="auto"/>
              </w:rPr>
            </w:pPr>
            <w:r>
              <w:rPr>
                <w:rFonts w:ascii="Arial" w:cs="Arial" w:eastAsia="Arial" w:hAnsi="Arial"/>
                <w:sz w:val="12"/>
                <w:szCs w:val="12"/>
                <w:b w:val="1"/>
                <w:bCs w:val="1"/>
                <w:color w:val="auto"/>
                <w:w w:val="97"/>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180" w:type="dxa"/>
            <w:vAlign w:val="bottom"/>
          </w:tcPr>
          <w:p>
            <w:pPr>
              <w:spacing w:after="0"/>
              <w:rPr>
                <w:sz w:val="12"/>
                <w:szCs w:val="12"/>
                <w:color w:val="auto"/>
              </w:rPr>
            </w:pPr>
          </w:p>
        </w:tc>
        <w:tc>
          <w:tcPr>
            <w:tcW w:w="460" w:type="dxa"/>
            <w:vAlign w:val="bottom"/>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480" w:type="dxa"/>
            <w:vAlign w:val="bottom"/>
          </w:tcPr>
          <w:p>
            <w:pPr>
              <w:jc w:val="right"/>
              <w:ind w:right="34"/>
              <w:spacing w:after="0"/>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53"/>
              <w:spacing w:after="0"/>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2"/>
                <w:szCs w:val="12"/>
                <w:color w:val="auto"/>
              </w:rPr>
            </w:pPr>
          </w:p>
        </w:tc>
      </w:tr>
      <w:tr>
        <w:trPr>
          <w:trHeight w:val="139"/>
        </w:trPr>
        <w:tc>
          <w:tcPr>
            <w:tcW w:w="4060" w:type="dxa"/>
            <w:vAlign w:val="bottom"/>
            <w:tcBorders>
              <w:top w:val="single" w:sz="8" w:color="CCEEFF"/>
            </w:tcBorders>
            <w:shd w:val="clear" w:color="auto" w:fill="CCEEFF"/>
          </w:tcPr>
          <w:p>
            <w:pPr>
              <w:spacing w:after="0" w:line="139" w:lineRule="exact"/>
              <w:rPr>
                <w:sz w:val="20"/>
                <w:szCs w:val="20"/>
                <w:color w:val="auto"/>
              </w:rPr>
            </w:pPr>
            <w:r>
              <w:rPr>
                <w:rFonts w:ascii="Arial" w:cs="Arial" w:eastAsia="Arial" w:hAnsi="Arial"/>
                <w:sz w:val="14"/>
                <w:szCs w:val="14"/>
                <w:color w:val="auto"/>
              </w:rPr>
              <w:t>Net income (loss) attributable to Upstart Holdings, Inc. common</w:t>
            </w: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6"/>
        </w:trPr>
        <w:tc>
          <w:tcPr>
            <w:tcW w:w="40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stockholders</w:t>
            </w:r>
          </w:p>
        </w:tc>
        <w:tc>
          <w:tcPr>
            <w:tcW w:w="58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w w:val="95"/>
              </w:rPr>
              <w:t>$(4,612)</w:t>
            </w:r>
          </w:p>
        </w:tc>
        <w:tc>
          <w:tcPr>
            <w:tcW w:w="660" w:type="dxa"/>
            <w:vAlign w:val="bottom"/>
            <w:gridSpan w:val="3"/>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$(4,465)</w:t>
            </w:r>
          </w:p>
        </w:tc>
        <w:tc>
          <w:tcPr>
            <w:tcW w:w="16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w w:val="94"/>
              </w:rPr>
              <w:t>(1,730)</w:t>
            </w:r>
          </w:p>
        </w:tc>
        <w:tc>
          <w:tcPr>
            <w:tcW w:w="160" w:type="dxa"/>
            <w:vAlign w:val="bottom"/>
            <w:gridSpan w:val="2"/>
            <w:shd w:val="clear" w:color="auto" w:fill="CCEEFF"/>
          </w:tcPr>
          <w:p>
            <w:pPr>
              <w:ind w:left="80"/>
              <w:spacing w:after="0" w:line="156"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(322)</w:t>
            </w:r>
          </w:p>
        </w:tc>
        <w:tc>
          <w:tcPr>
            <w:tcW w:w="720" w:type="dxa"/>
            <w:vAlign w:val="bottom"/>
            <w:gridSpan w:val="3"/>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$ 6,051</w:t>
            </w:r>
          </w:p>
        </w:tc>
        <w:tc>
          <w:tcPr>
            <w:tcW w:w="64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w w:val="94"/>
              </w:rPr>
              <w:t>$ 1,480</w:t>
            </w:r>
          </w:p>
        </w:tc>
        <w:tc>
          <w:tcPr>
            <w:tcW w:w="6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w w:val="89"/>
              </w:rPr>
              <w:t>$ (6,193)</w:t>
            </w:r>
          </w:p>
        </w:tc>
        <w:tc>
          <w:tcPr>
            <w:tcW w:w="8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9,669</w:t>
            </w:r>
          </w:p>
        </w:tc>
      </w:tr>
      <w:tr>
        <w:trPr>
          <w:trHeight w:val="158"/>
        </w:trPr>
        <w:tc>
          <w:tcPr>
            <w:tcW w:w="4060" w:type="dxa"/>
            <w:vAlign w:val="bottom"/>
          </w:tcPr>
          <w:p>
            <w:pPr>
              <w:spacing w:after="0" w:line="158" w:lineRule="exact"/>
              <w:rPr>
                <w:sz w:val="20"/>
                <w:szCs w:val="20"/>
                <w:color w:val="auto"/>
              </w:rPr>
            </w:pPr>
            <w:r>
              <w:rPr>
                <w:rFonts w:ascii="Arial" w:cs="Arial" w:eastAsia="Arial" w:hAnsi="Arial"/>
                <w:sz w:val="14"/>
                <w:szCs w:val="14"/>
                <w:color w:val="auto"/>
              </w:rPr>
              <w:t>Adjusted to exclude the following:</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5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608</w:t>
            </w:r>
          </w:p>
        </w:tc>
        <w:tc>
          <w:tcPr>
            <w:tcW w:w="66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847</w:t>
            </w:r>
          </w:p>
        </w:tc>
        <w:tc>
          <w:tcPr>
            <w:tcW w:w="72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1,602</w:t>
            </w: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1,965</w:t>
            </w:r>
          </w:p>
        </w:tc>
        <w:tc>
          <w:tcPr>
            <w:tcW w:w="6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2,519</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2,618</w:t>
            </w:r>
          </w:p>
        </w:tc>
      </w:tr>
      <w:tr>
        <w:trPr>
          <w:trHeight w:val="158"/>
        </w:trPr>
        <w:tc>
          <w:tcPr>
            <w:tcW w:w="4060" w:type="dxa"/>
            <w:vAlign w:val="bottom"/>
          </w:tcPr>
          <w:p>
            <w:pPr>
              <w:spacing w:after="0" w:line="158" w:lineRule="exact"/>
              <w:rPr>
                <w:sz w:val="20"/>
                <w:szCs w:val="20"/>
                <w:color w:val="auto"/>
              </w:rPr>
            </w:pPr>
            <w:r>
              <w:rPr>
                <w:rFonts w:ascii="Arial" w:cs="Arial" w:eastAsia="Arial" w:hAnsi="Arial"/>
                <w:sz w:val="14"/>
                <w:szCs w:val="14"/>
                <w:color w:val="auto"/>
              </w:rPr>
              <w:t>Depreciation and amortization</w:t>
            </w:r>
          </w:p>
        </w:tc>
        <w:tc>
          <w:tcPr>
            <w:tcW w:w="5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85</w:t>
            </w:r>
          </w:p>
        </w:tc>
        <w:tc>
          <w:tcPr>
            <w:tcW w:w="660" w:type="dxa"/>
            <w:vAlign w:val="bottom"/>
            <w:gridSpan w:val="3"/>
          </w:tcPr>
          <w:p>
            <w:pPr>
              <w:jc w:val="right"/>
              <w:ind w:right="100"/>
              <w:spacing w:after="0" w:line="158" w:lineRule="exact"/>
              <w:rPr>
                <w:sz w:val="20"/>
                <w:szCs w:val="20"/>
                <w:color w:val="auto"/>
              </w:rPr>
            </w:pPr>
            <w:r>
              <w:rPr>
                <w:rFonts w:ascii="Arial" w:cs="Arial" w:eastAsia="Arial" w:hAnsi="Arial"/>
                <w:sz w:val="14"/>
                <w:szCs w:val="14"/>
                <w:color w:val="auto"/>
              </w:rPr>
              <w:t>90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137</w:t>
            </w:r>
          </w:p>
        </w:tc>
        <w:tc>
          <w:tcPr>
            <w:tcW w:w="72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450</w:t>
            </w:r>
          </w:p>
        </w:tc>
        <w:tc>
          <w:tcPr>
            <w:tcW w:w="64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515</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535</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581</w:t>
            </w:r>
          </w:p>
        </w:tc>
      </w:tr>
      <w:tr>
        <w:trPr>
          <w:trHeight w:val="158"/>
        </w:trPr>
        <w:tc>
          <w:tcPr>
            <w:tcW w:w="40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Expense on warrants and convertible notes, net</w:t>
            </w:r>
            <w:r>
              <w:rPr>
                <w:rFonts w:ascii="Arial" w:cs="Arial" w:eastAsia="Arial" w:hAnsi="Arial"/>
                <w:sz w:val="18"/>
                <w:szCs w:val="18"/>
                <w:color w:val="auto"/>
                <w:vertAlign w:val="superscript"/>
              </w:rPr>
              <w:t>(1)</w:t>
            </w:r>
          </w:p>
        </w:tc>
        <w:tc>
          <w:tcPr>
            <w:tcW w:w="5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1,593</w:t>
            </w:r>
          </w:p>
        </w:tc>
        <w:tc>
          <w:tcPr>
            <w:tcW w:w="66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2,418</w:t>
            </w:r>
          </w:p>
        </w:tc>
        <w:tc>
          <w:tcPr>
            <w:tcW w:w="72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(1,219)</w:t>
            </w:r>
          </w:p>
        </w:tc>
        <w:tc>
          <w:tcPr>
            <w:tcW w:w="6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(289)</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2,588</w:t>
            </w:r>
          </w:p>
        </w:tc>
      </w:tr>
      <w:tr>
        <w:trPr>
          <w:trHeight w:val="158"/>
        </w:trPr>
        <w:tc>
          <w:tcPr>
            <w:tcW w:w="4060" w:type="dxa"/>
            <w:vAlign w:val="bottom"/>
          </w:tcPr>
          <w:p>
            <w:pPr>
              <w:spacing w:after="0" w:line="158" w:lineRule="exact"/>
              <w:rPr>
                <w:sz w:val="20"/>
                <w:szCs w:val="20"/>
                <w:color w:val="auto"/>
              </w:rPr>
            </w:pPr>
            <w:r>
              <w:rPr>
                <w:rFonts w:ascii="Arial" w:cs="Arial" w:eastAsia="Arial" w:hAnsi="Arial"/>
                <w:sz w:val="14"/>
                <w:szCs w:val="14"/>
                <w:color w:val="auto"/>
              </w:rPr>
              <w:t>Provision on income taxes</w:t>
            </w: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74</w:t>
            </w:r>
          </w:p>
        </w:tc>
        <w:tc>
          <w:tcPr>
            <w:tcW w:w="6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60" w:type="dxa"/>
            <w:vAlign w:val="bottom"/>
            <w:gridSpan w:val="2"/>
          </w:tcPr>
          <w:p>
            <w:pPr>
              <w:ind w:left="200"/>
              <w:spacing w:after="0" w:line="158" w:lineRule="exact"/>
              <w:rPr>
                <w:sz w:val="20"/>
                <w:szCs w:val="20"/>
                <w:color w:val="auto"/>
              </w:rPr>
            </w:pPr>
            <w:r>
              <w:rPr>
                <w:rFonts w:ascii="Arial" w:cs="Arial" w:eastAsia="Arial" w:hAnsi="Arial"/>
                <w:sz w:val="14"/>
                <w:szCs w:val="14"/>
                <w:color w:val="auto"/>
              </w:rPr>
              <w:t>—</w:t>
            </w:r>
          </w:p>
        </w:tc>
      </w:tr>
      <w:tr>
        <w:trPr>
          <w:trHeight w:val="158"/>
        </w:trPr>
        <w:tc>
          <w:tcPr>
            <w:tcW w:w="40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Adjusted EBITDA</w:t>
            </w: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5"/>
              </w:rPr>
              <w:t>$(2,326)</w:t>
            </w:r>
          </w:p>
        </w:tc>
        <w:tc>
          <w:tcPr>
            <w:tcW w:w="6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$(3,709)</w:t>
            </w:r>
          </w:p>
        </w:tc>
        <w:tc>
          <w:tcPr>
            <w:tcW w:w="160" w:type="dxa"/>
            <w:vAlign w:val="bottom"/>
            <w:gridSpan w:val="2"/>
            <w:shd w:val="clear" w:color="auto" w:fill="CCEEFF"/>
          </w:tcPr>
          <w:p>
            <w:pPr>
              <w:ind w:left="8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(734)</w:t>
            </w:r>
          </w:p>
        </w:tc>
        <w:tc>
          <w:tcPr>
            <w:tcW w:w="160" w:type="dxa"/>
            <w:vAlign w:val="bottom"/>
            <w:gridSpan w:val="2"/>
            <w:shd w:val="clear" w:color="auto" w:fill="CCEEFF"/>
          </w:tcPr>
          <w:p>
            <w:pPr>
              <w:ind w:left="80"/>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3,080</w:t>
            </w:r>
          </w:p>
        </w:tc>
        <w:tc>
          <w:tcPr>
            <w:tcW w:w="72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$ 6,958</w:t>
            </w:r>
          </w:p>
        </w:tc>
        <w:tc>
          <w:tcPr>
            <w:tcW w:w="64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w w:val="94"/>
              </w:rPr>
              <w:t>$ 3,671</w:t>
            </w:r>
          </w:p>
        </w:tc>
        <w:tc>
          <w:tcPr>
            <w:tcW w:w="6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89"/>
              </w:rPr>
              <w:t>$ (3,121)</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15,456</w:t>
            </w:r>
          </w:p>
        </w:tc>
        <w:tc>
          <w:tcPr>
            <w:tcW w:w="4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hanging="453"/>
        <w:spacing w:after="0"/>
        <w:tabs>
          <w:tab w:leader="none" w:pos="14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Consists of fair value adjustments to our warrant liability and interest expense on convertible notes.</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Liquidity and Capital Resources</w:t>
      </w:r>
    </w:p>
    <w:p>
      <w:pPr>
        <w:spacing w:after="0" w:line="195" w:lineRule="exact"/>
        <w:rPr>
          <w:sz w:val="20"/>
          <w:szCs w:val="20"/>
          <w:color w:val="auto"/>
        </w:rPr>
      </w:pPr>
    </w:p>
    <w:p>
      <w:pPr>
        <w:jc w:val="both"/>
        <w:ind w:left="1020" w:right="300" w:firstLine="460"/>
        <w:spacing w:after="0"/>
        <w:rPr>
          <w:sz w:val="20"/>
          <w:szCs w:val="20"/>
          <w:color w:val="auto"/>
        </w:rPr>
      </w:pPr>
      <w:r>
        <w:rPr>
          <w:rFonts w:ascii="Arial" w:cs="Arial" w:eastAsia="Arial" w:hAnsi="Arial"/>
          <w:sz w:val="15"/>
          <w:szCs w:val="15"/>
          <w:color w:val="auto"/>
        </w:rPr>
        <w:t>Since inception, we have financed our operations, corporate investments, and capital expenditures primarily through the sale of convertible preferred stock, term loans and draws on our revolving credit facilities, and cash generated from operations. We have also periodically issued convertible promissory notes, none of which were outstanding as of September 30, 2020.</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Our outstanding debt consists of borrowings from term loan agreements, advances on our revolving credit facilities, including our warehouse credit facilities, and amounts borrowed under loan and security agreements to finance risk retention balances for certain unconsolidated securitizations we sponsor. As of September 30, 2020, we had an aggregate principal balance of $ 100.7 million outstanding, of which $30.4 million is due within the next 12 months. See “Note 7. Borrowings” to our consolidated financial statements included elsewhere in this prospectus for further information.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As of September 30, 2020, our primary source of liquidity was cash of $53.2 million. Changes in the balance of cash are generally a result of working capital fluctuations or the timing of purchases of loans facilitated through our platform. To finance purchases of certain loans facilitated through our platform, we rely on our warehouse credit facility, which allows us to borrow up to an aggregate of</w:t>
      </w:r>
    </w:p>
    <w:p>
      <w:pPr>
        <w:jc w:val="both"/>
        <w:ind w:left="1020" w:right="120"/>
        <w:spacing w:after="0"/>
        <w:rPr>
          <w:sz w:val="20"/>
          <w:szCs w:val="20"/>
          <w:color w:val="auto"/>
        </w:rPr>
      </w:pPr>
      <w:r>
        <w:rPr>
          <w:rFonts w:ascii="Arial" w:cs="Arial" w:eastAsia="Arial" w:hAnsi="Arial"/>
          <w:sz w:val="15"/>
          <w:szCs w:val="15"/>
          <w:color w:val="auto"/>
        </w:rPr>
        <w:t>$100.0 million through the special-purpose trust, or the warehouse trust. Loans purchased by the trust are classified as held-for-sale and can be sold to third-party investors or in securitization transactions to generate additional liquidity. As of September 30, 2020, the amount borrowed under this credit facility was $52.7 million.</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believe that our cash on hand, funds available from our revolving credit facilities, amounts borrowed under our term loans,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and our capital expenditures.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To the extent our cash balances, cash generated by operations, revolving credit facilities, term loans and the proceeds from this offering are insufficient to satisfy our liquidity needs in the future, we may need to raise additional capital through equity or debt financing and may not be able to do so on terms acceptable to us or at all. If we are unable to raise additional capital when needed, our results of operations and financial condition would be materially and adversely impacted.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Term Loans</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In 2016, we, along with our wholly owned subsidiary, Upstart Network, Inc., or UNI, as the co-borrower, entered into a loan and security agreement, or LSA, with a third-party lender to obtain 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0220"/>
          </w:cols>
          <w:pgMar w:left="320" w:top="407" w:right="1359" w:bottom="1440" w:gutter="0" w:footer="0" w:header="0"/>
        </w:sectPr>
      </w:pPr>
    </w:p>
    <w:bookmarkStart w:id="133" w:name="page134"/>
    <w:bookmarkEnd w:id="1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spacing w:after="0" w:line="245" w:lineRule="auto"/>
        <w:rPr>
          <w:sz w:val="20"/>
          <w:szCs w:val="20"/>
          <w:color w:val="auto"/>
        </w:rPr>
      </w:pPr>
      <w:r>
        <w:rPr>
          <w:rFonts w:ascii="Arial" w:cs="Arial" w:eastAsia="Arial" w:hAnsi="Arial"/>
          <w:sz w:val="15"/>
          <w:szCs w:val="15"/>
          <w:color w:val="auto"/>
        </w:rPr>
        <w:t>term loan of $5.5 million. The loan bears a floating interest of prime rate plus 1.75% per annum. As of December 1, 2020, this term loan was fully repaid.</w:t>
      </w:r>
    </w:p>
    <w:p>
      <w:pPr>
        <w:spacing w:after="0" w:line="166"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In 2018, we entered into a mezzanine loan and security agreement with the same lender to obtain a second term loan of up to $15.0 million, or the Mezzanine Loan. The Mezzanine Loan bears interest at the greater of prime rate plus 5.25% or 10.00% per annum and matures on October 1, 2021. As of September 30, 2020, the outstanding principal balance of these loans was $15.6 million.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Our revolving credit facility has an aggregate credit limit of $5.5 million and as of September 30, 2020, we were fully drawn on such facility. In November 2020, the original maturity date of the facility was extended from December 1, 2020 to June 1, 2021 when the outstanding principal and any accrued and unpaid interest are due and payable in full. On December 1, 2020, we also agreed to amend warrants to purchase 150,000 shares of our common stock previously granted to our lender in October 2018, to provide our lender the right to require us to repurchase such warrants for a total aggregate purchase price of $3.0 million, which right is exercisable following the pricing of this offering and terminates after 10 business days following the date of this prospectus. Our revolving credit facility bears floating interest rates, payable on a monthly basis, and contains certain financial covenants. Failure to comply with these covenants may result in an acceleration of payment on the outstanding principal and accrued interest. Borrowings under the revolving credit facility are secured by all assets of the company, excluding assets of consolidated securitizations and cash and restricted cash related to other borrowing arrangements. We have in the past not been in compliance with certain financial covenants under our revolving credit facility; however, we have received waivers for all such instances of past non-compliance.</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Warehouse Credit Facilities</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We have entered into two warehouse credit facilities with separate third-party lenders through our warehouse trusts, which are consolidated VIEs. On November 2, 2020, we repaid all outstanding borrowings under one of our warehouse credit facilities in the amount of $4.0 million and terminated the corresponding warehouse credit facility. The remaining warehouse facility is used to fund purchases of personal whole loans originated by certain bank partners on our platform; the assets of the warehouse trust secure the borrowings provided by the warehouse lender and are not available to settle claims of our general creditors. In May 2020, the maturity date of this credit facility, with a borrowing limit of $100.0 million, was extended to May 2022 when repayment of any outstanding principal, together with any accrued interest and unpaid interest, is due and payable. As of September 30, 2020, we have borrowed $52.7 million under this warehouse credit facility and may continue to borrow under this warehouse credit facility until May 2021. Our warehouse credit facility bears floating interest rates, payable on a monthly basis, and contain certain financial covenants. Failure to comply with these covenants may result in an acceleration of payment on outstanding principal and accrued interest. As of December 31, 2018 and 2019, and September 30, 2020, we were in compliance with the applicable covenants under our remaining warehouse credit facility.</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Risk Retention Funding Loans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obtained financing under two loan and security agreements to fund the purchase of securitization notes and residual certificates issued by certain of our consolidated VIEs in our sponsored securitization transactions. These purchases were made in the amounts required to satisfy the requirements of U.S. risk retention regulations. The loans under these agreements bear interest at rates of 4.00% and 4.33% per annum. Interest is paid using cash distributions received monthly on the related securitization notes and residual certificates held by these entities. As of September 30, 2020, the aggregate outstanding principal amount of these loans was $9.4 million. These borrowings are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0200"/>
          </w:cols>
          <w:pgMar w:left="320" w:top="407" w:right="137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solely obligations of these consolidated VIEs and are not available to satisfy potential claims of our creditors.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Cash Flows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our cash flows during the periods indicated:</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740" w:type="dxa"/>
            <w:vAlign w:val="bottom"/>
            <w:vMerge w:val="restart"/>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194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740" w:type="dxa"/>
            <w:vAlign w:val="bottom"/>
            <w:tcBorders>
              <w:bottom w:val="single" w:sz="8" w:color="CCEEFF"/>
            </w:tcBorders>
            <w:vMerge w:val="continue"/>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2017</w:t>
            </w:r>
          </w:p>
        </w:tc>
        <w:tc>
          <w:tcPr>
            <w:tcW w:w="20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40" w:type="dxa"/>
            <w:vAlign w:val="bottom"/>
            <w:shd w:val="clear" w:color="auto" w:fill="CCEEFF"/>
          </w:tcPr>
          <w:p>
            <w:pPr>
              <w:ind w:left="280"/>
              <w:spacing w:after="0" w:line="144" w:lineRule="exact"/>
              <w:rPr>
                <w:sz w:val="20"/>
                <w:szCs w:val="20"/>
                <w:color w:val="auto"/>
              </w:rPr>
            </w:pPr>
            <w:r>
              <w:rPr>
                <w:rFonts w:ascii="Arial" w:cs="Arial" w:eastAsia="Arial" w:hAnsi="Arial"/>
                <w:sz w:val="14"/>
                <w:szCs w:val="14"/>
                <w:color w:val="auto"/>
              </w:rPr>
              <w:t>Net cash (used in) provided by operating activities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10,357</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50,338</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31,582</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$ 21,027</w:t>
            </w:r>
          </w:p>
        </w:tc>
        <w:tc>
          <w:tcPr>
            <w:tcW w:w="2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(52,817)</w:t>
            </w:r>
          </w:p>
        </w:tc>
        <w:tc>
          <w:tcPr>
            <w:tcW w:w="0" w:type="dxa"/>
            <w:vAlign w:val="bottom"/>
          </w:tcPr>
          <w:p>
            <w:pPr>
              <w:spacing w:after="0"/>
              <w:rPr>
                <w:sz w:val="1"/>
                <w:szCs w:val="1"/>
                <w:color w:val="auto"/>
              </w:rPr>
            </w:pPr>
          </w:p>
        </w:tc>
      </w:tr>
      <w:tr>
        <w:trPr>
          <w:trHeight w:val="158"/>
        </w:trPr>
        <w:tc>
          <w:tcPr>
            <w:tcW w:w="4740" w:type="dxa"/>
            <w:vAlign w:val="bottom"/>
          </w:tcPr>
          <w:p>
            <w:pPr>
              <w:ind w:left="280"/>
              <w:spacing w:after="0" w:line="158" w:lineRule="exact"/>
              <w:rPr>
                <w:sz w:val="20"/>
                <w:szCs w:val="20"/>
                <w:color w:val="auto"/>
              </w:rPr>
            </w:pPr>
            <w:r>
              <w:rPr>
                <w:rFonts w:ascii="Arial" w:cs="Arial" w:eastAsia="Arial" w:hAnsi="Arial"/>
                <w:sz w:val="14"/>
                <w:szCs w:val="14"/>
                <w:color w:val="auto"/>
              </w:rPr>
              <w:t>Net cash (used in) provided by investing activities</w:t>
            </w:r>
          </w:p>
        </w:tc>
        <w:tc>
          <w:tcPr>
            <w:tcW w:w="80" w:type="dxa"/>
            <w:vAlign w:val="bottom"/>
          </w:tcPr>
          <w:p>
            <w:pPr>
              <w:spacing w:after="0"/>
              <w:rPr>
                <w:sz w:val="13"/>
                <w:szCs w:val="13"/>
                <w:color w:val="auto"/>
              </w:rPr>
            </w:pP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3"/>
              </w:rPr>
              <w:t>(393,421)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6"/>
              </w:rPr>
              <w:t>(137,237)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45,433</w:t>
            </w:r>
          </w:p>
        </w:tc>
        <w:tc>
          <w:tcPr>
            <w:tcW w:w="6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53,520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127,710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cash (used in) provided by financing activities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412,715</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135,766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3"/>
              </w:rPr>
              <w:t>(119,190)</w:t>
            </w:r>
          </w:p>
        </w:tc>
        <w:tc>
          <w:tcPr>
            <w:tcW w:w="88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(96,733)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9"/>
              </w:rPr>
              <w:t>(44,312)</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40" w:type="dxa"/>
            <w:vAlign w:val="bottom"/>
          </w:tcPr>
          <w:p>
            <w:pPr>
              <w:spacing w:after="0"/>
              <w:rPr>
                <w:sz w:val="20"/>
                <w:szCs w:val="20"/>
                <w:color w:val="auto"/>
              </w:rPr>
            </w:pPr>
            <w:r>
              <w:rPr>
                <w:rFonts w:ascii="Arial" w:cs="Arial" w:eastAsia="Arial" w:hAnsi="Arial"/>
                <w:sz w:val="14"/>
                <w:szCs w:val="14"/>
                <w:color w:val="auto"/>
              </w:rPr>
              <w:t>Net (decrease) increase in cash and restricted cash</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29,651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48,867</w:t>
            </w:r>
          </w:p>
        </w:tc>
        <w:tc>
          <w:tcPr>
            <w:tcW w:w="20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(42,175)</w:t>
            </w:r>
          </w:p>
        </w:tc>
        <w:tc>
          <w:tcPr>
            <w:tcW w:w="880" w:type="dxa"/>
            <w:vAlign w:val="bottom"/>
            <w:gridSpan w:val="3"/>
          </w:tcPr>
          <w:p>
            <w:pPr>
              <w:jc w:val="right"/>
              <w:ind w:right="1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(22,186)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30,581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Operating Activities</w:t>
      </w:r>
    </w:p>
    <w:p>
      <w:pPr>
        <w:spacing w:after="0" w:line="105"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Our main sources of cash provided by operating activities are our revenue from fees earned under contracts with bank partners and loan investors and interest income we receive for loans held on our balance sheet.</w:t>
      </w:r>
    </w:p>
    <w:p>
      <w:pPr>
        <w:spacing w:after="0" w:line="166"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Our main uses of cash in our operating activities include payments to marketing partners, vendor payments, payroll and other personnel-related expenses, payments for facilities, and other general business expenditures.</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Net cash used in operating activities was $52.8 million for the nine months ended September 30, 2020, which primarily consisted of a $84.0 million change in net operating assets and liabilities, offset by a change in fair value of financial instruments of $18.8 million, net income before attribution to noncontrolling interests of $ 4.6 million and stock-based compensation of $7.1 million. The change in fair value of financial instruments was primarily due to a decrease in the fair value of loans. The change in net operating assets and liabilities was mainly related to a $109.1 million increase in purchases of loans held for sale.</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Net cash provided by operating activities was $21.0 million for the nine months ended September 30, 2019, which primarily consisted of a net loss before attribution to noncontrolling interests of $9.9 million, offset by a change in fair value of financial instruments of $29.6 million. The change in fair value of financial instruments was primarily related to a $33.1 million decrease in the fair value of loans, partially offset by a $4.3 million decrease in the fair value of payable to securitization note holders and residual certificate holders.</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Net cash provided by operating activities was $31.6 million for the year ended December 31, 2019, which primarily consisted of a net loss before attribution to noncontrolling interests of $5.0 million, offset by a change in fair value of financial instruments of $34.7 million. The change in fair value of financial instruments was primarily related to a $42.1 million decrease in the fair value of loans held-for-investment, partially offset by a $6.1 million decrease in the fair value of payable to securitization note holders and residual certificate holders.</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Net cash provided by operating activities was $50.3 million for the year ended December 31, 2018, which primarily consisted of a net loss before attribution to noncontrolling interests of $11.2 million,</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0220"/>
          </w:cols>
          <w:pgMar w:left="320" w:top="407" w:right="1359" w:bottom="1440" w:gutter="0" w:footer="0" w:header="0"/>
        </w:sectPr>
      </w:pPr>
    </w:p>
    <w:bookmarkStart w:id="135" w:name="page136"/>
    <w:bookmarkEnd w:id="13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80"/>
        <w:spacing w:after="0"/>
        <w:rPr>
          <w:sz w:val="20"/>
          <w:szCs w:val="20"/>
          <w:color w:val="auto"/>
        </w:rPr>
      </w:pPr>
      <w:r>
        <w:rPr>
          <w:rFonts w:ascii="Arial" w:cs="Arial" w:eastAsia="Arial" w:hAnsi="Arial"/>
          <w:sz w:val="15"/>
          <w:szCs w:val="15"/>
          <w:color w:val="auto"/>
        </w:rPr>
        <w:t>offset by a change in fair value of financial instruments of $42.3 million and a $14.0 million change in net operating assets and liabilities. The change in fair value of financial instruments was primarily related to a $45.8 million decrease in the fair value of loans held-for-investment. The change in net operating assets and liabilities was mainly related to a $14.1 million increase in payable to investors.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Net cash provided by operating activities was $10.4 million for the year ended December 31, 2017, which primarily consisted of a net loss before attribution to noncontrolling interests of $8.9 million and a change in fair value of financial instruments of $5.2 million, offset by a $ 21.0 million change in net operating assets and liabilities. The change in fair value of financial instruments was primarily related to a $12.3 million decrease in the fair value of payable to securitization note holders and residual certificate holders, partially offset by a $9.5 million decrease in the fair value of loans held-for-investment. The change in net operating assets and liabilities was mainly related to a $23.5 million increase in payable to investors.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Investing Activities</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primary sources of cash from investing activities are principal repayments received on loans held-for-investment through credit facilities and held by consolidated securitizations, proceeds from the sale of loans and payments on residual certificates held for risk retention purposes in sponsored securitizations.</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The primary use of cash for investing activities includes purchases of loans held-for investment, including loans collateralized in consolidated securitizations, as well as purchases of securitization notes and residual certificates to fulfill risk retention requirements in securitizations we have sponsored in the past.</w:t>
      </w:r>
    </w:p>
    <w:p>
      <w:pPr>
        <w:spacing w:after="0" w:line="170" w:lineRule="exact"/>
        <w:rPr>
          <w:sz w:val="20"/>
          <w:szCs w:val="20"/>
          <w:color w:val="auto"/>
        </w:rPr>
      </w:pPr>
    </w:p>
    <w:p>
      <w:pPr>
        <w:ind w:left="1020" w:right="680" w:firstLine="460"/>
        <w:spacing w:after="0" w:line="245" w:lineRule="auto"/>
        <w:rPr>
          <w:sz w:val="20"/>
          <w:szCs w:val="20"/>
          <w:color w:val="auto"/>
        </w:rPr>
      </w:pPr>
      <w:r>
        <w:rPr>
          <w:rFonts w:ascii="Arial" w:cs="Arial" w:eastAsia="Arial" w:hAnsi="Arial"/>
          <w:sz w:val="15"/>
          <w:szCs w:val="15"/>
          <w:color w:val="auto"/>
        </w:rPr>
        <w:t>Net cash provided by investing activities was $127.7 million for the nine months ended September 30, 2020 as a result of $88.1 million of net proceeds from sale of loans and $36.3 million of principal payments received for loans.</w:t>
      </w:r>
    </w:p>
    <w:p>
      <w:pPr>
        <w:spacing w:after="0" w:line="16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Net cash provided by investing activities was $53.5 million for the nine months ended September 30, 2019 as a result of</w:t>
      </w:r>
    </w:p>
    <w:p>
      <w:pPr>
        <w:ind w:left="1020"/>
        <w:spacing w:after="0" w:line="235" w:lineRule="auto"/>
        <w:rPr>
          <w:sz w:val="20"/>
          <w:szCs w:val="20"/>
          <w:color w:val="auto"/>
        </w:rPr>
      </w:pPr>
      <w:r>
        <w:rPr>
          <w:rFonts w:ascii="Arial" w:cs="Arial" w:eastAsia="Arial" w:hAnsi="Arial"/>
          <w:sz w:val="15"/>
          <w:szCs w:val="15"/>
          <w:color w:val="auto"/>
        </w:rPr>
        <w:t>$170.9 million of principal payments received on loans, $64.2 million net proceeds from sale of loans, which were partially offset by and</w:t>
      </w:r>
    </w:p>
    <w:p>
      <w:pPr>
        <w:ind w:left="1020"/>
        <w:spacing w:after="0"/>
        <w:rPr>
          <w:sz w:val="20"/>
          <w:szCs w:val="20"/>
          <w:color w:val="auto"/>
        </w:rPr>
      </w:pPr>
      <w:r>
        <w:rPr>
          <w:rFonts w:ascii="Arial" w:cs="Arial" w:eastAsia="Arial" w:hAnsi="Arial"/>
          <w:sz w:val="15"/>
          <w:szCs w:val="15"/>
          <w:color w:val="auto"/>
        </w:rPr>
        <w:t>$185.3 million of purchase of loans held-for-investment.</w:t>
      </w:r>
    </w:p>
    <w:p>
      <w:pPr>
        <w:spacing w:after="0" w:line="177"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Net cash provided by investing activities was $45.4 million for the year ended December 31, 2019 as a result of $207.0 million of principal payments received on loans and $100.7 million in net proceeds from the sale of loans, which were partially offset by $265.3 million in purchase of loans held-for-investment.</w:t>
      </w:r>
    </w:p>
    <w:p>
      <w:pPr>
        <w:spacing w:after="0" w:line="170"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Net cash used in investing activities was $137.2 million for the year ended December 31, 2018 as a result of $421.1 million in purchases of loans, which was partially offset by $238.0 million in principal payments received on loans and $45.7 million in net proceeds from the sale of loans.</w:t>
      </w:r>
    </w:p>
    <w:p>
      <w:pPr>
        <w:spacing w:after="0" w:line="170"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Net cash used in investing activities was $393.4 million for the year ended December 31, 2017 as a result of $513.9 million in purchases of loans, which was partially offset by $76.2 million in principal payments received on loans and $45.1 million in net proceeds from the sale of loans.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Net Cash from Financing Activities</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main sources of cash from financing activities include proceeds from issuance of securitization notes and residual certificates from consolidated securitizations, proceeds from borrowings, and proceeds from the issuance of convertible preferred stock, notes payable and convertible notes.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0200"/>
          </w:cols>
          <w:pgMar w:left="320" w:top="407" w:right="1379" w:bottom="1440" w:gutter="0" w:footer="0" w:header="0"/>
        </w:sectPr>
      </w:pPr>
    </w:p>
    <w:bookmarkStart w:id="136" w:name="page137"/>
    <w:bookmarkEnd w:id="1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primary uses of cash for financing activities include payments made to holders of securitization notes and residual certificates for consolidated securitizations and repayments of notes payable and borrowings.</w:t>
      </w:r>
    </w:p>
    <w:p>
      <w:pPr>
        <w:spacing w:after="0" w:line="166"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Net cash used in financing activities was $44.3 million for the nine months ended September 30, 2020 as a result of $126.0 million in payment on borrowings and securitization notes and certificates, which was partially offset by $81.8 million in proceeds from borrowings.</w:t>
      </w:r>
    </w:p>
    <w:p>
      <w:pPr>
        <w:spacing w:after="0" w:line="170"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Net cash used in financing activities was $96.7 million for the nine months ended September 30, 2019 as a result of $245.6 million in payment on borrowings, notes payable and securitization notes and certificates, which was partially offset by $110.8 million in proceeds from borrowings and $39.9 million in proceeds from issuance of notes payable.</w:t>
      </w:r>
    </w:p>
    <w:p>
      <w:pPr>
        <w:spacing w:after="0" w:line="170"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Net cash used in financing activities was $119.2 million for the year ended December 31, 2019 as a result of $199.4 million in payment on notes payable and securitization notes and certificates, which was partially offset by $43.6 million in net proceeds from borrowings and $39.9 million in proceeds from issuance of notes payable.</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Net cash provided by financing activities was $135.8 million for the year ended December 31, 2018 as a result of $285.0 million in proceeds from issuance of notes payable and securitization notes and certificates, $51.1 million in net proceeds from borrowings and $49.9 million in proceeds from the issuance of convertible preferred stock, net of issuance costs, which were partially offset by $248.2 million in payment on notes payable and securitization notes and certificates.</w:t>
      </w:r>
    </w:p>
    <w:p>
      <w:pPr>
        <w:spacing w:after="0" w:line="172" w:lineRule="exact"/>
        <w:rPr>
          <w:sz w:val="20"/>
          <w:szCs w:val="20"/>
          <w:color w:val="auto"/>
        </w:rPr>
      </w:pPr>
    </w:p>
    <w:p>
      <w:pPr>
        <w:ind w:left="1020" w:right="860" w:firstLine="460"/>
        <w:spacing w:after="0" w:line="245" w:lineRule="auto"/>
        <w:rPr>
          <w:sz w:val="20"/>
          <w:szCs w:val="20"/>
          <w:color w:val="auto"/>
        </w:rPr>
      </w:pPr>
      <w:r>
        <w:rPr>
          <w:rFonts w:ascii="Arial" w:cs="Arial" w:eastAsia="Arial" w:hAnsi="Arial"/>
          <w:sz w:val="15"/>
          <w:szCs w:val="15"/>
          <w:color w:val="auto"/>
        </w:rPr>
        <w:t>Net cash provided by financing activities was $ 412.7 million for the year ended December 31, 2017, primarily driven by $432.3 million in proceeds from the issuance of notes payable and securitization notes and certificates.</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Contractual Obligations and Off-Balance Sheet Arrangements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05" w:lineRule="exact"/>
        <w:rPr>
          <w:sz w:val="20"/>
          <w:szCs w:val="20"/>
          <w:color w:val="auto"/>
        </w:rPr>
      </w:pPr>
    </w:p>
    <w:p>
      <w:pPr>
        <w:jc w:val="both"/>
        <w:ind w:left="1020" w:right="240" w:firstLine="460"/>
        <w:spacing w:after="0" w:line="238" w:lineRule="auto"/>
        <w:rPr>
          <w:sz w:val="20"/>
          <w:szCs w:val="20"/>
          <w:color w:val="auto"/>
        </w:rPr>
      </w:pPr>
      <w:r>
        <w:rPr>
          <w:rFonts w:ascii="Arial" w:cs="Arial" w:eastAsia="Arial" w:hAnsi="Arial"/>
          <w:sz w:val="15"/>
          <w:szCs w:val="15"/>
          <w:color w:val="auto"/>
        </w:rPr>
        <w:t>Our principal commitments consist of obligations under our loan purchase agreements, debt obligations related to our revolving credit facilities, term loans and risk retention funding loans, and operating leases for office spaces. The following table summarizes our contractual obligations as of December 31, 2019 and the timing and effect that such commitments are expected to have on our liquidity and capital requirements in future periods: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Less than 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More than 5</w:t>
            </w:r>
          </w:p>
        </w:tc>
        <w:tc>
          <w:tcPr>
            <w:tcW w:w="0" w:type="dxa"/>
            <w:vAlign w:val="bottom"/>
          </w:tcPr>
          <w:p>
            <w:pPr>
              <w:spacing w:after="0"/>
              <w:rPr>
                <w:sz w:val="1"/>
                <w:szCs w:val="1"/>
                <w:color w:val="auto"/>
              </w:rPr>
            </w:pPr>
          </w:p>
        </w:tc>
      </w:tr>
      <w:tr>
        <w:trPr>
          <w:trHeight w:val="145"/>
        </w:trPr>
        <w:tc>
          <w:tcPr>
            <w:tcW w:w="4420" w:type="dxa"/>
            <w:vAlign w:val="bottom"/>
          </w:tcPr>
          <w:p>
            <w:pPr>
              <w:spacing w:after="0"/>
              <w:rPr>
                <w:sz w:val="20"/>
                <w:szCs w:val="20"/>
                <w:color w:val="auto"/>
              </w:rPr>
            </w:pPr>
            <w:r>
              <w:rPr>
                <w:rFonts w:ascii="Arial" w:cs="Arial" w:eastAsia="Arial" w:hAnsi="Arial"/>
                <w:sz w:val="12"/>
                <w:szCs w:val="12"/>
                <w:i w:val="1"/>
                <w:iCs w:val="1"/>
                <w:color w:val="auto"/>
              </w:rPr>
              <w:t>(In thousands)</w:t>
            </w:r>
          </w:p>
        </w:tc>
        <w:tc>
          <w:tcPr>
            <w:tcW w:w="80" w:type="dxa"/>
            <w:vAlign w:val="bottom"/>
          </w:tcPr>
          <w:p>
            <w:pPr>
              <w:spacing w:after="0"/>
              <w:rPr>
                <w:sz w:val="12"/>
                <w:szCs w:val="12"/>
                <w:color w:val="auto"/>
              </w:rPr>
            </w:pPr>
          </w:p>
        </w:tc>
        <w:tc>
          <w:tcPr>
            <w:tcW w:w="500" w:type="dxa"/>
            <w:vAlign w:val="bottom"/>
          </w:tcPr>
          <w:p>
            <w:pPr>
              <w:jc w:val="right"/>
              <w:ind w:right="73"/>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3"/>
              <w:spacing w:after="0"/>
              <w:rPr>
                <w:sz w:val="20"/>
                <w:szCs w:val="20"/>
                <w:color w:val="auto"/>
              </w:rPr>
            </w:pPr>
            <w:r>
              <w:rPr>
                <w:rFonts w:ascii="Arial" w:cs="Arial" w:eastAsia="Arial" w:hAnsi="Arial"/>
                <w:sz w:val="12"/>
                <w:szCs w:val="12"/>
                <w:b w:val="1"/>
                <w:bCs w:val="1"/>
                <w:color w:val="auto"/>
              </w:rPr>
              <w:t>year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9"/>
              </w:rPr>
              <w:t>1 to 3 years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6"/>
              </w:rPr>
              <w:t>3 to 5 years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years</w:t>
            </w:r>
          </w:p>
        </w:tc>
        <w:tc>
          <w:tcPr>
            <w:tcW w:w="0" w:type="dxa"/>
            <w:vAlign w:val="bottom"/>
          </w:tcPr>
          <w:p>
            <w:pPr>
              <w:spacing w:after="0"/>
              <w:rPr>
                <w:sz w:val="1"/>
                <w:szCs w:val="1"/>
                <w:color w:val="auto"/>
              </w:rPr>
            </w:pPr>
          </w:p>
        </w:tc>
      </w:tr>
      <w:tr>
        <w:trPr>
          <w:trHeight w:val="20"/>
        </w:trPr>
        <w:tc>
          <w:tcPr>
            <w:tcW w:w="4420" w:type="dxa"/>
            <w:vAlign w:val="bottom"/>
            <w:vMerge w:val="restart"/>
            <w:shd w:val="clear" w:color="auto" w:fill="CCEEFF"/>
          </w:tcPr>
          <w:p>
            <w:pPr>
              <w:ind w:left="280"/>
              <w:spacing w:after="0" w:line="169" w:lineRule="exact"/>
              <w:rPr>
                <w:sz w:val="20"/>
                <w:szCs w:val="20"/>
                <w:color w:val="auto"/>
              </w:rPr>
            </w:pPr>
            <w:r>
              <w:rPr>
                <w:rFonts w:ascii="Arial" w:cs="Arial" w:eastAsia="Arial" w:hAnsi="Arial"/>
                <w:sz w:val="12"/>
                <w:szCs w:val="12"/>
                <w:color w:val="auto"/>
              </w:rPr>
              <w:t>Loan purchase obligations</w:t>
            </w:r>
            <w:r>
              <w:rPr>
                <w:rFonts w:ascii="Arial" w:cs="Arial" w:eastAsia="Arial" w:hAnsi="Arial"/>
                <w:sz w:val="19"/>
                <w:szCs w:val="19"/>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51,854</w:t>
            </w:r>
          </w:p>
        </w:tc>
        <w:tc>
          <w:tcPr>
            <w:tcW w:w="1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51,854</w:t>
            </w: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tcPr>
          <w:p>
            <w:pPr>
              <w:ind w:left="280"/>
              <w:spacing w:after="0" w:line="158" w:lineRule="exact"/>
              <w:rPr>
                <w:sz w:val="20"/>
                <w:szCs w:val="20"/>
                <w:color w:val="auto"/>
              </w:rPr>
            </w:pPr>
            <w:r>
              <w:rPr>
                <w:rFonts w:ascii="Arial" w:cs="Arial" w:eastAsia="Arial" w:hAnsi="Arial"/>
                <w:sz w:val="14"/>
                <w:szCs w:val="14"/>
                <w:color w:val="auto"/>
              </w:rPr>
              <w:t>Term loans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17,200</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2,200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15,000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payments on term loans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3,089</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1,727</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1,362</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tcPr>
          <w:p>
            <w:pPr>
              <w:ind w:left="280"/>
              <w:spacing w:after="0" w:line="158" w:lineRule="exact"/>
              <w:rPr>
                <w:sz w:val="20"/>
                <w:szCs w:val="20"/>
                <w:color w:val="auto"/>
              </w:rPr>
            </w:pPr>
            <w:r>
              <w:rPr>
                <w:rFonts w:ascii="Arial" w:cs="Arial" w:eastAsia="Arial" w:hAnsi="Arial"/>
                <w:sz w:val="14"/>
                <w:szCs w:val="14"/>
                <w:color w:val="auto"/>
              </w:rPr>
              <w:t>Warehouse and revolving credit facilities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84,596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5,500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79,096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Risk retention funding loans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16,941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3,167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13,774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420" w:type="dxa"/>
            <w:vAlign w:val="bottom"/>
          </w:tcPr>
          <w:p>
            <w:pPr>
              <w:ind w:left="280"/>
              <w:spacing w:after="0" w:line="158" w:lineRule="exact"/>
              <w:rPr>
                <w:sz w:val="20"/>
                <w:szCs w:val="20"/>
                <w:color w:val="auto"/>
              </w:rPr>
            </w:pPr>
            <w:r>
              <w:rPr>
                <w:rFonts w:ascii="Arial" w:cs="Arial" w:eastAsia="Arial" w:hAnsi="Arial"/>
                <w:sz w:val="14"/>
                <w:szCs w:val="14"/>
                <w:color w:val="auto"/>
              </w:rPr>
              <w:t>Operating lease obligations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19,566</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4,117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8,593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5,959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340"/>
              <w:spacing w:after="0" w:line="158"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3"/>
        </w:trPr>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contractual obligations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193,246</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65,398</w:t>
            </w:r>
          </w:p>
        </w:tc>
        <w:tc>
          <w:tcPr>
            <w:tcW w:w="32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107,218</w:t>
            </w: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19,733</w:t>
            </w:r>
          </w:p>
        </w:tc>
        <w:tc>
          <w:tcPr>
            <w:tcW w:w="20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340"/>
              <w:spacing w:after="0" w:line="158"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53" w:lineRule="exact"/>
        <w:rPr>
          <w:sz w:val="20"/>
          <w:szCs w:val="20"/>
          <w:color w:val="auto"/>
        </w:rPr>
      </w:pPr>
    </w:p>
    <w:p>
      <w:pPr>
        <w:jc w:val="both"/>
        <w:ind w:left="1480" w:right="280" w:hanging="453"/>
        <w:spacing w:after="0" w:line="241" w:lineRule="auto"/>
        <w:tabs>
          <w:tab w:leader="none" w:pos="1480" w:val="left"/>
        </w:tabs>
        <w:numPr>
          <w:ilvl w:val="0"/>
          <w:numId w:val="69"/>
        </w:numPr>
        <w:rPr>
          <w:rFonts w:ascii="Arial" w:cs="Arial" w:eastAsia="Arial" w:hAnsi="Arial"/>
          <w:sz w:val="12"/>
          <w:szCs w:val="12"/>
          <w:color w:val="auto"/>
        </w:rPr>
      </w:pPr>
      <w:r>
        <w:rPr>
          <w:rFonts w:ascii="Arial" w:cs="Arial" w:eastAsia="Arial" w:hAnsi="Arial"/>
          <w:sz w:val="12"/>
          <w:szCs w:val="12"/>
          <w:color w:val="auto"/>
        </w:rPr>
        <w:t>Represents loans facilitated through our platform of which certain of our originating banks retain ownership for the duration of the holding period required by our contracts with the banks. This period is generally equal to three business days. We have committed to purchase the loans for the unpaid principal balance, plus accrued interest, at the conclusion of the required period.</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0220"/>
          </w:cols>
          <w:pgMar w:left="320" w:top="407" w:right="1359" w:bottom="1440" w:gutter="0" w:footer="0" w:header="0"/>
        </w:sectPr>
      </w:pPr>
    </w:p>
    <w:bookmarkStart w:id="137" w:name="page138"/>
    <w:bookmarkEnd w:id="1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For a discussion of our long-term debt obligations, operating lease obligations and loan repurchase agreement as of September 30, 2020, see “Note 7. Borrowings,” “Note 12. Leases,” and “Note 13. Commitments and Contingencies,” respectively, to our consolidated financial statements included elsewhere in this prospectus for further information.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Off-Balance Sheet Arrangements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the ordinary course of business, we engage in activities that are not reflected on our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When required by law, we retain at least 5% of the credit risk of the securities issued in these securitizations. We also engaged in activities with a personal loan trust entity created to facilitate fractional loan transactions. The fractional loan program was closed to new investments in 2019. We provide additional information regarding transactions with unconsolidated VIEs in “Note 3. Securitizations and Variable Interest Entities” to our consolidated financial statements included elsewhere in this prospectus.</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The preparation of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70"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significant accounting policies are described in “Note 1. Description of Business and Significant Accounting Policies” to our consolidated financial statements included elsewhere in this prospectus. We believe that the accounting policies described below reflect our most critical accounting policies and estimates, which represent those that involve a significant degree of judgment and complexity. Accordingly, we believe these policies are critical in fully understanding and evaluating our reported financial condition and results of operations.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Variable Interest Entities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 legal entity is considered a VIE if it either has a total equity investment that is insufficient to finance its operations without additional subordinated financial support or whose equity holders lack the characteristics of a controlling financial interest. Our variable interest arises from contractual, ownership, or other monetary interests in the entity. We consolidate a VIE when we are deemed to be the primary beneficiary. We determine whether we are the primary beneficiary if we have the power to direct activities that significantly impact the VIE’s economic performance and we have the obligation to absorb losses or receive benefits of the VIE that could be potentially significant to the VIE.</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are required to apply judgment in performing this assessment, including in identifying the activities that most significantly impact a VIE’s economic performance and determining significance of our obligation to absorb losses or receive benefits. Factors considered in assessing the significance include: the design of the VIE, including its capitalization structure; subordination of interests; payment priority; relative share of interests held within the VIE’s capital structure; and the nature of or reason behind our interest in the entity.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0220"/>
          </w:cols>
          <w:pgMar w:left="320" w:top="407" w:right="1359" w:bottom="1440" w:gutter="0" w:footer="0" w:header="0"/>
        </w:sectPr>
      </w:pPr>
    </w:p>
    <w:bookmarkStart w:id="138" w:name="page139"/>
    <w:bookmarkEnd w:id="1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We also apply judgment to determine whether decision-maker or service-provider fees are variable interests. Decision-maker or service-provider fees are not considered variable interests when the arrangement does not expose Upstart to risks of loss that a potential VIE was designed to pass on to its variable interest holders, the fees are commensurate, the arrangement is at market, and we do not have any other interests (including direct interests and certain indirect interests held through related parties) that absorb more than an insignificant amount of a VIE’s potential variability. Changes in our level of other interests in a potential VIE, such as those resulting from disposals of investments in securitization trusts serviced by us subsequent to the expiration of applicable risk retention requirements, can affect whether a decision-maker or service-provider fee is deemed a variable interest. This determination can have a significant impact on our consolidation conclusions, as it could affect whether a legal entity is a VIE and whether Upstart is the primary beneficiary of a VIE.</w:t>
      </w:r>
    </w:p>
    <w:p>
      <w:pPr>
        <w:spacing w:after="0" w:line="170"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At a VIE’s inception, we determine whether we are the primary beneficiary based on the facts and circumstances. We assess whether or not we are the primary beneficiary of a VIE on an ongoing basis.</w:t>
      </w:r>
    </w:p>
    <w:p>
      <w:pPr>
        <w:spacing w:after="0" w:line="166"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Upstart has an ongoing contractual relationship with one of its VIEs, Upstart Loan Trust, which is a bankruptcy-remote special purpose borrowing entity. Upstart, from time to time and as-desired, sells loans to Upstart Loan Trust pursuant to a loan sale agreement, and services those loans from the time of transfer to Upstart Loan Trust until such loans are either charged-off or mature pursuant to a loan servicing agreement. Upstart Loan Trust borrows from one bank pursuant to a revolving credit and security agreement in order to finance the purchases of the loans from Upstart.</w:t>
      </w:r>
    </w:p>
    <w:p>
      <w:pPr>
        <w:spacing w:after="0" w:line="170" w:lineRule="exact"/>
        <w:rPr>
          <w:sz w:val="20"/>
          <w:szCs w:val="20"/>
          <w:color w:val="auto"/>
        </w:rPr>
      </w:pPr>
    </w:p>
    <w:p>
      <w:pPr>
        <w:jc w:val="both"/>
        <w:ind w:left="1020" w:right="120" w:firstLine="460"/>
        <w:spacing w:after="0" w:line="238" w:lineRule="auto"/>
        <w:rPr>
          <w:sz w:val="20"/>
          <w:szCs w:val="20"/>
          <w:color w:val="auto"/>
        </w:rPr>
      </w:pPr>
      <w:r>
        <w:rPr>
          <w:rFonts w:ascii="Arial" w:cs="Arial" w:eastAsia="Arial" w:hAnsi="Arial"/>
          <w:sz w:val="15"/>
          <w:szCs w:val="15"/>
          <w:color w:val="auto"/>
        </w:rPr>
        <w:t>Upstart has also established a VIE special purpose trust, Upstart Loan Trust 2, that holds loans that have been repurchased by us following breaches of loan-level representations and warranties, loans that are ineligible to finance through the warehouse trust or loans that are held by Upstart. Upstart services the loans held by Upstart Loan Trust 2 until the loans are either charged-off or mature pursuant to a loan servicing agreement.</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Upstart has also established VIEs and grantor trusts pursuant to its sponsored securitization transactions involving the issuance of asset-backed securities, or ABS. Such VIEs or grantor trusts are respectively referred to elsewhere in this registration statement with the nomenclature Upstart Securitization Trust [Year]-[Number] and Upstart Funding Grantor Trust [Year]-[Number]. For each such securitization transaction, we (along with certain other loan contributors that have previously purchased whole loans from us) sold Upstart-powered loans via a bankruptcy-remote intermediate entity to the issuing trust and then to the grantor trust. For each transaction, the grantor trust holds legal title to the loans and issues a collateral certificate representing the beneficial interest in such loans to the issuing trust. The issuing trust in turn issues various tranches of asset-backed securitization notes and certificates, which are purchased by one or more investment bank initial purchasers for resale to qualified institutional buyers and backed by the payments from the grantor trust to the issuing trust reflecting payments on the underlying securitized loans. Upstart, in addition to being party to various loan transfer agreements that facilitate the contribution of loans to the grantor trust, also services the loans held by each grantor trust from the time of transfer to the trust until the loans are charged off or mature pursuant to a loan servicing agreement.</w:t>
      </w:r>
    </w:p>
    <w:p>
      <w:pPr>
        <w:spacing w:after="0" w:line="174"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In connection with each sponsored securitization transaction, Upstart facilitated the creation of a majority-owned affiliate, or MOA, which is a limited liability company and VIE. The purpose of these MOAs is to enable Upstart’s compliance with its risk retention obligations as a securitization sponsor pursuant to Regulation RR. Each MOA has held the requisite amount of ABS to comply with these obligations for the length of time required by the regulation. Upstart is party to the limited liability company agreement establishing each MOA.</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Upstart has also established Upstart Network Trust, a special purpose entity that purchased loans from Upstart in which individual accredited investors in turn have purchased securities representing</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0220"/>
          </w:cols>
          <w:pgMar w:left="320" w:top="407" w:right="1359" w:bottom="1440" w:gutter="0" w:footer="0" w:header="0"/>
        </w:sectPr>
      </w:pPr>
    </w:p>
    <w:bookmarkStart w:id="139" w:name="page140"/>
    <w:bookmarkEnd w:id="1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rPr>
          <w:sz w:val="20"/>
          <w:szCs w:val="20"/>
          <w:color w:val="auto"/>
        </w:rPr>
      </w:pPr>
      <w:r>
        <w:rPr>
          <w:rFonts w:ascii="Arial" w:cs="Arial" w:eastAsia="Arial" w:hAnsi="Arial"/>
          <w:sz w:val="15"/>
          <w:szCs w:val="15"/>
          <w:color w:val="auto"/>
        </w:rPr>
        <w:t>fractional interests in such purchased loans. Upstart, in addition to being party to a transfer agreement that facilitates the contribution of loans to Upstart Network Trust, services the loans held by Upstart Network Trust from the time of transfer until the loans are charged off or mature pursuant to a loan servicing agreement. Upstart Network Trust was closed to new investments as of the end of 2019.</w:t>
      </w:r>
    </w:p>
    <w:p>
      <w:pPr>
        <w:spacing w:after="0" w:line="242" w:lineRule="exact"/>
        <w:rPr>
          <w:sz w:val="20"/>
          <w:szCs w:val="20"/>
          <w:color w:val="auto"/>
        </w:rPr>
      </w:pPr>
    </w:p>
    <w:p>
      <w:pPr>
        <w:ind w:left="1020" w:right="40"/>
        <w:spacing w:after="0" w:line="270" w:lineRule="auto"/>
        <w:rPr>
          <w:sz w:val="20"/>
          <w:szCs w:val="20"/>
          <w:color w:val="auto"/>
        </w:rPr>
      </w:pPr>
      <w:r>
        <w:rPr>
          <w:rFonts w:ascii="Arial" w:cs="Arial" w:eastAsia="Arial" w:hAnsi="Arial"/>
          <w:sz w:val="15"/>
          <w:szCs w:val="15"/>
          <w:b w:val="1"/>
          <w:bCs w:val="1"/>
          <w:i w:val="1"/>
          <w:iCs w:val="1"/>
          <w:color w:val="auto"/>
        </w:rPr>
        <w:t>Fair Value of Loans, Notes Receivable and Residual Certificates, Payable to Securitization Note Holders and Residual Certificate Holders, and Notes Payable</w:t>
      </w:r>
    </w:p>
    <w:p>
      <w:pPr>
        <w:spacing w:after="0" w:line="58"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have elected the fair value option for loans, notes payable to investors who participate in the legacy fractional loan-related securities program, and financial instruments related to securitization transactions, including notes receivable and residual certificates representing required risk retention for sponsored non-consolidated securitizations, and amounts payable to note holders and residual certificate holders in consolidated securitizations. We believe the estimate of fair value of these financial instruments requires significant judgment. We use a discounted cash flow model to estimate the fair value of these financial instruments based on the present value of estimated future cash flows. This model uses both observable and unobservable inputs and reflects our best estimates of the assumptions a market participant would use to calculate fair value. Primary inputs that require significant judgment include discount rates, credit risk rates, and expected prepayment rates. These inputs are based on historical performance of loans facilitated through our platform, as well as the consideration of market participant requirements. See “Note 4. Fair Value Measurement</w:t>
      </w:r>
      <w:r>
        <w:rPr>
          <w:rFonts w:ascii="Arial" w:cs="Arial" w:eastAsia="Arial" w:hAnsi="Arial"/>
          <w:sz w:val="15"/>
          <w:szCs w:val="15"/>
          <w:i w:val="1"/>
          <w:iCs w:val="1"/>
          <w:color w:val="auto"/>
        </w:rPr>
        <w:t>”</w:t>
      </w:r>
      <w:r>
        <w:rPr>
          <w:rFonts w:ascii="Arial" w:cs="Arial" w:eastAsia="Arial" w:hAnsi="Arial"/>
          <w:sz w:val="15"/>
          <w:szCs w:val="15"/>
          <w:color w:val="auto"/>
        </w:rPr>
        <w:t xml:space="preserve"> to our consolidated financial statements included elsewhere in this prospectus for additional information</w:t>
      </w:r>
      <w:r>
        <w:rPr>
          <w:rFonts w:ascii="Arial" w:cs="Arial" w:eastAsia="Arial" w:hAnsi="Arial"/>
          <w:sz w:val="15"/>
          <w:szCs w:val="15"/>
          <w:i w:val="1"/>
          <w:iCs w:val="1"/>
          <w:color w:val="auto"/>
        </w:rPr>
        <w:t>.</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Fair Value of Loan Servicing Assets and Liabilities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We also record loan servicing assets and liabilities at estimated fair value when we transfer loans which qualify as sales under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with servicing rights retained or when we enter into servicing agreements with banks partners that retain Upstart-powered loans. Loan servicing assets and liabilities are reported in other assets and other liabilities on our consolidated balance sheets. The gain or loss on loan sale, as well as changes in the fair value of loan servicing assets and liabilities are reported in revenue from fees, net, on our consolidated statements of operations and comprehensive income (loss) in the period in which the changes occur. We use a discounted cash flow model to estimate the fair values of loan servicing assets and liabilities. The cash flows in the valuation model represent the difference between the servicing fees charged to loan investors and an estimated market servicing fee. Since servicing fees are generally based on the monthly unpaid principal balance of the underlying loans, the expected cash flows in the model incorporate estimated credit risk and expected prepayments on the loans. These inputs are consistent with the assumptions used in the valuation of loans held-for-investment and related securitization notes and residual certificates. See “Note 4. Fair Value Measurement” to our consolidated financial statements included elsewhere in this prospectus for additional information</w:t>
      </w:r>
      <w:r>
        <w:rPr>
          <w:rFonts w:ascii="Arial" w:cs="Arial" w:eastAsia="Arial" w:hAnsi="Arial"/>
          <w:sz w:val="15"/>
          <w:szCs w:val="15"/>
          <w:i w:val="1"/>
          <w:iCs w:val="1"/>
          <w:color w:val="auto"/>
        </w:rPr>
        <w:t>.</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revenue consists of two components: revenue from fees, net and interest income and fair value adjustments, net.</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020" w:right="220" w:firstLine="460"/>
        <w:spacing w:after="0" w:line="235" w:lineRule="auto"/>
        <w:rPr>
          <w:sz w:val="20"/>
          <w:szCs w:val="20"/>
          <w:color w:val="auto"/>
        </w:rPr>
      </w:pPr>
      <w:r>
        <w:rPr>
          <w:rFonts w:ascii="Arial" w:cs="Arial" w:eastAsia="Arial" w:hAnsi="Arial"/>
          <w:sz w:val="15"/>
          <w:szCs w:val="15"/>
          <w:color w:val="auto"/>
        </w:rPr>
        <w:t xml:space="preserve">The revenue from fees, net line item on the consolidated statements of operations is primarily comprised of platform and referral fees, net, which are recognized based on Accounting Standards Update, or ASU, 2014-09, </w:t>
      </w:r>
      <w:r>
        <w:rPr>
          <w:rFonts w:ascii="Arial" w:cs="Arial" w:eastAsia="Arial" w:hAnsi="Arial"/>
          <w:sz w:val="15"/>
          <w:szCs w:val="15"/>
          <w:i w:val="1"/>
          <w:iCs w:val="1"/>
          <w:color w:val="auto"/>
        </w:rPr>
        <w:t>Revenue from Contracts with</w:t>
      </w:r>
    </w:p>
    <w:p>
      <w:pPr>
        <w:ind w:left="1020" w:right="120"/>
        <w:spacing w:after="0" w:line="245" w:lineRule="auto"/>
        <w:rPr>
          <w:sz w:val="20"/>
          <w:szCs w:val="20"/>
          <w:color w:val="auto"/>
        </w:rPr>
      </w:pPr>
      <w:r>
        <w:rPr>
          <w:rFonts w:ascii="Arial" w:cs="Arial" w:eastAsia="Arial" w:hAnsi="Arial"/>
          <w:sz w:val="15"/>
          <w:szCs w:val="15"/>
          <w:i w:val="1"/>
          <w:iCs w:val="1"/>
          <w:color w:val="auto"/>
        </w:rPr>
        <w:t xml:space="preserve">Customers </w:t>
      </w:r>
      <w:r>
        <w:rPr>
          <w:rFonts w:ascii="Arial" w:cs="Arial" w:eastAsia="Arial" w:hAnsi="Arial"/>
          <w:sz w:val="15"/>
          <w:szCs w:val="15"/>
          <w:color w:val="auto"/>
        </w:rPr>
        <w:t>(Topic 606). Income historically recognized under Topic 860,</w:t>
      </w:r>
      <w:r>
        <w:rPr>
          <w:rFonts w:ascii="Arial" w:cs="Arial" w:eastAsia="Arial" w:hAnsi="Arial"/>
          <w:sz w:val="15"/>
          <w:szCs w:val="15"/>
          <w:i w:val="1"/>
          <w:iCs w:val="1"/>
          <w:color w:val="auto"/>
        </w:rPr>
        <w:t xml:space="preserve"> Transfers and Servicing </w:t>
      </w:r>
      <w:r>
        <w:rPr>
          <w:rFonts w:ascii="Arial" w:cs="Arial" w:eastAsia="Arial" w:hAnsi="Arial"/>
          <w:sz w:val="15"/>
          <w:szCs w:val="15"/>
          <w:color w:val="auto"/>
        </w:rPr>
        <w:t>and Topic 310,</w:t>
      </w:r>
      <w:r>
        <w:rPr>
          <w:rFonts w:ascii="Arial" w:cs="Arial" w:eastAsia="Arial" w:hAnsi="Arial"/>
          <w:sz w:val="15"/>
          <w:szCs w:val="15"/>
          <w:i w:val="1"/>
          <w:iCs w:val="1"/>
          <w:color w:val="auto"/>
        </w:rPr>
        <w:t xml:space="preserve"> Receivables </w:t>
      </w:r>
      <w:r>
        <w:rPr>
          <w:rFonts w:ascii="Arial" w:cs="Arial" w:eastAsia="Arial" w:hAnsi="Arial"/>
          <w:sz w:val="15"/>
          <w:szCs w:val="15"/>
          <w:color w:val="auto"/>
        </w:rPr>
        <w:t>is excluded</w:t>
      </w:r>
      <w:r>
        <w:rPr>
          <w:rFonts w:ascii="Arial" w:cs="Arial" w:eastAsia="Arial" w:hAnsi="Arial"/>
          <w:sz w:val="15"/>
          <w:szCs w:val="15"/>
          <w:i w:val="1"/>
          <w:iCs w:val="1"/>
          <w:color w:val="auto"/>
        </w:rPr>
        <w:t xml:space="preserve"> </w:t>
      </w:r>
      <w:r>
        <w:rPr>
          <w:rFonts w:ascii="Arial" w:cs="Arial" w:eastAsia="Arial" w:hAnsi="Arial"/>
          <w:sz w:val="15"/>
          <w:szCs w:val="15"/>
          <w:color w:val="auto"/>
        </w:rPr>
        <w:t>from the scope of the standard; as such, we have concluded that interest income and fair value adjustments,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130</w:t>
      </w:r>
    </w:p>
    <w:p>
      <w:pPr>
        <w:sectPr>
          <w:pgSz w:w="11900" w:h="16838" w:orient="portrait"/>
          <w:cols w:equalWidth="0" w:num="1">
            <w:col w:w="10200"/>
          </w:cols>
          <w:pgMar w:left="320" w:top="407" w:right="1379" w:bottom="1440" w:gutter="0" w:footer="0" w:header="0"/>
        </w:sectPr>
      </w:pPr>
    </w:p>
    <w:bookmarkStart w:id="140" w:name="page141"/>
    <w:bookmarkEnd w:id="1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20"/>
        <w:spacing w:after="0" w:line="238" w:lineRule="auto"/>
        <w:rPr>
          <w:sz w:val="20"/>
          <w:szCs w:val="20"/>
          <w:color w:val="auto"/>
        </w:rPr>
      </w:pPr>
      <w:r>
        <w:rPr>
          <w:rFonts w:ascii="Arial" w:cs="Arial" w:eastAsia="Arial" w:hAnsi="Arial"/>
          <w:sz w:val="15"/>
          <w:szCs w:val="15"/>
          <w:color w:val="auto"/>
        </w:rPr>
        <w:t>net and income from servicing fees will not change under the standard. We adopted Topic 606 as of January 1, 2019, using the modified retrospective method for all contracts not completed as of the date of adoption. The adoption of Topic 606 had no material impact on our consolidated balance sheet, consolidated statement of operations and comprehensive income (loss) and consolidated statement of cash flows as of the adoption date or for the year ended December 31, 2019.</w:t>
      </w:r>
    </w:p>
    <w:p>
      <w:pPr>
        <w:spacing w:after="0" w:line="172"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Topic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7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Our arrangements for platform and referral services typically consist of an obligation to provide one or both of these services to customers on a when and if needed basis (a stand-ready obligation), and we recognize revenue as such services are performed, which coincides with the amount billable to the customer. Additionally, the services have the same pattern and period of transfer, and when provided individually or together, are accounted for as a single combined performance obligation representing a series of distinct days of service.</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platform and referral fees represent variable consideration. Since the variable fees relate directly to the day the service is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also charge an ongoing loan servicing fee to the holder of the loan (either a bank or institutional investor) based on a predetermined percentage of the outstanding principal balance. Loan servicing fees are recognized in the period the services are provided. Servicing fees, net also includes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us for carrying out our servicing obligations. Servicing fees also include changes in fair value of loan servicing assets and liabilities in the periods presented.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fair value of financial instruments from our normal course of business held at fair value, including loans, notes receivable and residual certificates, payable to securitization note holders and residual certificate holders, and notes payable. We record these adjustments in earnings in the period incurred and include both realized and unrealized adjustments to the value of related assets and liabilities. See the subsection titled “Fair Value of Loans, Notes Receivable and Residual Certificates, Payable to Securitization Note Holders and Residual Certificate Holders, and Notes Payable” above for further details on the estimates of fair value of these assets and liabilities.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We estimate the grant date fair value of stock options granted to employees and nonemployees using the Black-Scholes option-pricing model. The fair value of stock options that is expected to vest is recognized as compensation expense on a straight-line basis over the requisite service period, which is typically the vesting period of the respective awards.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0200"/>
          </w:cols>
          <w:pgMar w:left="320" w:top="407" w:right="1379" w:bottom="1440" w:gutter="0" w:footer="0" w:header="0"/>
        </w:sectPr>
      </w:pPr>
    </w:p>
    <w:bookmarkStart w:id="141" w:name="page142"/>
    <w:bookmarkEnd w:id="1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Black-Scholes option-pricing model considers several variables and assumptions in estimating the grant date fair value of stock-based awards. These assumptions include:</w:t>
      </w:r>
    </w:p>
    <w:p>
      <w:pPr>
        <w:spacing w:after="0" w:line="71" w:lineRule="exact"/>
        <w:rPr>
          <w:sz w:val="20"/>
          <w:szCs w:val="20"/>
          <w:color w:val="auto"/>
        </w:rPr>
      </w:pPr>
    </w:p>
    <w:p>
      <w:pPr>
        <w:ind w:left="1660" w:hanging="183"/>
        <w:spacing w:after="0"/>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—See the subsection titled “Common Stock Valuations” below.</w:t>
      </w:r>
    </w:p>
    <w:p>
      <w:pPr>
        <w:spacing w:after="0" w:line="97" w:lineRule="exact"/>
        <w:rPr>
          <w:rFonts w:ascii="Arial" w:cs="Arial" w:eastAsia="Arial" w:hAnsi="Arial"/>
          <w:sz w:val="15"/>
          <w:szCs w:val="15"/>
          <w:color w:val="auto"/>
        </w:rPr>
      </w:pPr>
    </w:p>
    <w:p>
      <w:pPr>
        <w:ind w:left="1660" w:right="100" w:hanging="183"/>
        <w:spacing w:after="0" w:line="246"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the stock-based awards are expected to be outstanding. We</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the expected term for employee stock options based on historical terminations and exercise behavior, which factors in an extended post-termination exercise provision for vested awards for certain employees who provide more than three years of service. We use the contractual term for all nonemployee awards.</w:t>
      </w:r>
    </w:p>
    <w:p>
      <w:pPr>
        <w:spacing w:after="0" w:line="70"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Expected Volatility</w:t>
      </w:r>
      <w:r>
        <w:rPr>
          <w:rFonts w:ascii="Arial" w:cs="Arial" w:eastAsia="Arial" w:hAnsi="Arial"/>
          <w:sz w:val="15"/>
          <w:szCs w:val="15"/>
          <w:color w:val="auto"/>
        </w:rPr>
        <w:t>—Since we are not yet a public company and do not have any trading history for our common stock, the</w:t>
      </w:r>
      <w:r>
        <w:rPr>
          <w:rFonts w:ascii="Arial" w:cs="Arial" w:eastAsia="Arial" w:hAnsi="Arial"/>
          <w:sz w:val="15"/>
          <w:szCs w:val="15"/>
          <w:i w:val="1"/>
          <w:iCs w:val="1"/>
          <w:color w:val="auto"/>
        </w:rPr>
        <w:t xml:space="preserve"> </w:t>
      </w:r>
      <w:r>
        <w:rPr>
          <w:rFonts w:ascii="Arial" w:cs="Arial" w:eastAsia="Arial" w:hAnsi="Arial"/>
          <w:sz w:val="15"/>
          <w:szCs w:val="15"/>
          <w:color w:val="auto"/>
        </w:rPr>
        <w:t>expected volatility is estimated based on the average historical volatilities of common stock of comparable publicly traded entities over a period equal to the expected term of the stock option grants. We will continue to apply this process until a sufficient amount of historical information regarding the volatility of our own stock price becomes available.</w:t>
      </w:r>
    </w:p>
    <w:p>
      <w:pPr>
        <w:spacing w:after="0" w:line="70" w:lineRule="exact"/>
        <w:rPr>
          <w:rFonts w:ascii="Arial" w:cs="Arial" w:eastAsia="Arial" w:hAnsi="Arial"/>
          <w:sz w:val="15"/>
          <w:szCs w:val="15"/>
          <w:color w:val="auto"/>
        </w:rPr>
      </w:pPr>
    </w:p>
    <w:p>
      <w:pPr>
        <w:ind w:left="1660" w:right="720" w:hanging="183"/>
        <w:spacing w:after="0" w:line="304" w:lineRule="auto"/>
        <w:tabs>
          <w:tab w:leader="none" w:pos="1660" w:val="left"/>
        </w:tabs>
        <w:numPr>
          <w:ilvl w:val="0"/>
          <w:numId w:val="70"/>
        </w:numPr>
        <w:rPr>
          <w:rFonts w:ascii="Arial" w:cs="Arial" w:eastAsia="Arial" w:hAnsi="Arial"/>
          <w:sz w:val="14"/>
          <w:szCs w:val="14"/>
          <w:color w:val="auto"/>
        </w:rPr>
      </w:pPr>
      <w:r>
        <w:rPr>
          <w:rFonts w:ascii="Arial" w:cs="Arial" w:eastAsia="Arial" w:hAnsi="Arial"/>
          <w:sz w:val="14"/>
          <w:szCs w:val="14"/>
          <w:i w:val="1"/>
          <w:iCs w:val="1"/>
          <w:color w:val="auto"/>
        </w:rPr>
        <w:t>Risk-Free Interest Rate</w:t>
      </w:r>
      <w:r>
        <w:rPr>
          <w:rFonts w:ascii="Arial" w:cs="Arial" w:eastAsia="Arial" w:hAnsi="Arial"/>
          <w:sz w:val="14"/>
          <w:szCs w:val="14"/>
          <w:color w:val="auto"/>
        </w:rPr>
        <w:t>—The risk-free interest rate is based on the U.S. Treasury yield in effect at the time of grant for</w:t>
      </w:r>
      <w:r>
        <w:rPr>
          <w:rFonts w:ascii="Arial" w:cs="Arial" w:eastAsia="Arial" w:hAnsi="Arial"/>
          <w:sz w:val="14"/>
          <w:szCs w:val="14"/>
          <w:i w:val="1"/>
          <w:iCs w:val="1"/>
          <w:color w:val="auto"/>
        </w:rPr>
        <w:t xml:space="preserve"> </w:t>
      </w:r>
      <w:r>
        <w:rPr>
          <w:rFonts w:ascii="Arial" w:cs="Arial" w:eastAsia="Arial" w:hAnsi="Arial"/>
          <w:sz w:val="14"/>
          <w:szCs w:val="14"/>
          <w:color w:val="auto"/>
        </w:rPr>
        <w:t>zero-coupon U.S. Treasury notes with maturities approximately equal to the expected term of the stock option award.</w:t>
      </w:r>
    </w:p>
    <w:p>
      <w:pPr>
        <w:spacing w:after="0" w:line="31" w:lineRule="exact"/>
        <w:rPr>
          <w:rFonts w:ascii="Arial" w:cs="Arial" w:eastAsia="Arial" w:hAnsi="Arial"/>
          <w:sz w:val="14"/>
          <w:szCs w:val="14"/>
          <w:color w:val="auto"/>
        </w:rPr>
      </w:pPr>
    </w:p>
    <w:p>
      <w:pPr>
        <w:ind w:left="1660" w:hanging="183"/>
        <w:spacing w:after="0" w:line="267" w:lineRule="auto"/>
        <w:tabs>
          <w:tab w:leader="none" w:pos="1660" w:val="left"/>
        </w:tabs>
        <w:numPr>
          <w:ilvl w:val="0"/>
          <w:numId w:val="70"/>
        </w:numPr>
        <w:rPr>
          <w:rFonts w:ascii="Arial" w:cs="Arial" w:eastAsia="Arial" w:hAnsi="Arial"/>
          <w:sz w:val="15"/>
          <w:szCs w:val="15"/>
          <w:color w:val="auto"/>
        </w:rPr>
      </w:pPr>
      <w:r>
        <w:rPr>
          <w:rFonts w:ascii="Arial" w:cs="Arial" w:eastAsia="Arial" w:hAnsi="Arial"/>
          <w:sz w:val="15"/>
          <w:szCs w:val="15"/>
          <w:i w:val="1"/>
          <w:iCs w:val="1"/>
          <w:color w:val="auto"/>
        </w:rPr>
        <w:t>Expected Dividend</w:t>
      </w:r>
      <w:r>
        <w:rPr>
          <w:rFonts w:ascii="Arial" w:cs="Arial" w:eastAsia="Arial" w:hAnsi="Arial"/>
          <w:sz w:val="15"/>
          <w:szCs w:val="15"/>
          <w:color w:val="auto"/>
        </w:rPr>
        <w:t>—We have never paid dividends on our common stock since our inception, nor do we expect to pay dividends</w:t>
      </w:r>
      <w:r>
        <w:rPr>
          <w:rFonts w:ascii="Arial" w:cs="Arial" w:eastAsia="Arial" w:hAnsi="Arial"/>
          <w:sz w:val="15"/>
          <w:szCs w:val="15"/>
          <w:i w:val="1"/>
          <w:iCs w:val="1"/>
          <w:color w:val="auto"/>
        </w:rPr>
        <w:t xml:space="preserve"> </w:t>
      </w:r>
      <w:r>
        <w:rPr>
          <w:rFonts w:ascii="Arial" w:cs="Arial" w:eastAsia="Arial" w:hAnsi="Arial"/>
          <w:sz w:val="15"/>
          <w:szCs w:val="15"/>
          <w:color w:val="auto"/>
        </w:rPr>
        <w:t>in the foreseeable future. Therefore, we used an expected dividend yield of zero.</w:t>
      </w:r>
    </w:p>
    <w:p>
      <w:pPr>
        <w:spacing w:after="0" w:line="15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See “Note 11. Equity Incentive Plans” of our consolidated financial statements included elsewhere in this prospectus for information concerning certain of the specific assumptions we used in applying the Black-Scholes option-pricing model to determine the estimated fair value of our stock options granted in the years ended December 31, 2018 and 2019. Such assumptions involved inherent uncertainties and the application of significant judgment. As a result, if factors or expected outcomes change and we use significantly different assumptions or estimates, our stock-based compensation could be materially different.</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Stock-based compensation expense was $1.3 million, $2.0 million, $3.8 million, and $7.1 million during the years ended December 31, 2017, 2018 and 2019, and the nine months ended September 30, 2020, respectively. As of December 31, 2019 and September 30, 2020, we had $15.3 million and $ 22.9 million, respectively, of total unrecognized stock-based compensation costs which we expect to recognize over a weighted-average period of 2.5 years and 1.3 years, respectively. These amounts reflect our reassessment of the fair value of our common stock in the year ended December 31, 2019 and the nine months ended September 30, 2020.</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intrinsic value of all options outstanding as of September 30, 2020 was approximately $327.0 million, based on the initial public offering price of $20.00 per share, of which approximately $215.1 million is related to vested options and approximately $111.9 million is related to unvested options.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105"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Historically, for all periods prior to this initial public offering, since there has been no public market of our common stock to date, the fair value of the shares of common stock underlying our share-based awards was estimated on each grant date by our board of directors. In order to determine the fair value of our common stock underlying option grants, our board of directors considered, among other things, input from management, valuations of our common stock prepared by unrelated third-party valuation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0200"/>
          </w:cols>
          <w:pgMar w:left="320" w:top="407" w:right="1379" w:bottom="1440" w:gutter="0" w:footer="0" w:header="0"/>
        </w:sectPr>
      </w:pPr>
    </w:p>
    <w:bookmarkStart w:id="142" w:name="page143"/>
    <w:bookmarkEnd w:id="1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020" w:right="20"/>
        <w:spacing w:after="0" w:line="246" w:lineRule="auto"/>
        <w:rPr>
          <w:sz w:val="20"/>
          <w:szCs w:val="20"/>
          <w:color w:val="auto"/>
        </w:rPr>
      </w:pPr>
      <w:r>
        <w:rPr>
          <w:rFonts w:ascii="Arial" w:cs="Arial" w:eastAsia="Arial" w:hAnsi="Arial"/>
          <w:sz w:val="15"/>
          <w:szCs w:val="15"/>
          <w:color w:val="auto"/>
        </w:rPr>
        <w:t xml:space="preserve">firms in accordance with the guidance provided by the American Institute of Certified Public Accountants Practice Guide, </w:t>
      </w:r>
      <w:r>
        <w:rPr>
          <w:rFonts w:ascii="Arial" w:cs="Arial" w:eastAsia="Arial" w:hAnsi="Arial"/>
          <w:sz w:val="15"/>
          <w:szCs w:val="15"/>
          <w:i w:val="1"/>
          <w:iCs w:val="1"/>
          <w:color w:val="auto"/>
        </w:rPr>
        <w:t>Valuation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Privately-Held-Company Equity Securities Issued as Compensation</w:t>
      </w:r>
      <w:r>
        <w:rPr>
          <w:rFonts w:ascii="Arial" w:cs="Arial" w:eastAsia="Arial" w:hAnsi="Arial"/>
          <w:sz w:val="15"/>
          <w:szCs w:val="15"/>
          <w:color w:val="auto"/>
        </w:rPr>
        <w:t>, and our board of directors’ assessment of additional objective and</w:t>
      </w:r>
      <w:r>
        <w:rPr>
          <w:rFonts w:ascii="Arial" w:cs="Arial" w:eastAsia="Arial" w:hAnsi="Arial"/>
          <w:sz w:val="15"/>
          <w:szCs w:val="15"/>
          <w:i w:val="1"/>
          <w:iCs w:val="1"/>
          <w:color w:val="auto"/>
        </w:rPr>
        <w:t xml:space="preserve"> </w:t>
      </w:r>
      <w:r>
        <w:rPr>
          <w:rFonts w:ascii="Arial" w:cs="Arial" w:eastAsia="Arial" w:hAnsi="Arial"/>
          <w:sz w:val="15"/>
          <w:szCs w:val="15"/>
          <w:color w:val="auto"/>
        </w:rPr>
        <w:t>subjective factors that it believed were relevant, and factors that may have changed from the date of the most recent valuation through the date of the grant. These factors include, but are not limited to:</w:t>
      </w:r>
    </w:p>
    <w:p>
      <w:pPr>
        <w:spacing w:after="0" w:line="86" w:lineRule="exact"/>
        <w:rPr>
          <w:sz w:val="20"/>
          <w:szCs w:val="20"/>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our results of operations and financial position, including our levels of available capital resources;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our stage of development and material risks related to our business;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our business conditions and projections;</w:t>
      </w:r>
    </w:p>
    <w:p>
      <w:pPr>
        <w:spacing w:after="0" w:line="97" w:lineRule="exact"/>
        <w:rPr>
          <w:rFonts w:ascii="Arial" w:cs="Arial" w:eastAsia="Arial" w:hAnsi="Arial"/>
          <w:sz w:val="15"/>
          <w:szCs w:val="15"/>
          <w:color w:val="auto"/>
        </w:rPr>
      </w:pPr>
    </w:p>
    <w:p>
      <w:pPr>
        <w:ind w:left="1660" w:right="520" w:hanging="183"/>
        <w:spacing w:after="0" w:line="245"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valuation of publicly traded companies in the financial technology sectors, as well as recently completed mergers and acquisitions of peer companies;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lack of marketability of our common stock as a private company;</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prices at which we sold shares of our convertible preferred stock to outside investors in arms-length transactions;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rights, preferences, and privileges of our convertible preferred stock relative to those of our common stock;</w:t>
      </w:r>
    </w:p>
    <w:p>
      <w:pPr>
        <w:spacing w:after="0" w:line="9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likelihood of achieving a liquidity event for our securityholders, such as an initial public offering or a sale of our company, given prevailing market conditions;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hiring of key personnel and the experience of management;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trends and developments in our industry;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external market conditions affecting the financial technology industry sector.</w:t>
      </w:r>
    </w:p>
    <w:p>
      <w:pPr>
        <w:spacing w:after="0" w:line="1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Our board of directors considered the fair value of our common stock by first determining the equity value of our company, and then allocating that value among the various classes of our equity securities to derive a per share value of our common stock.</w:t>
      </w:r>
    </w:p>
    <w:p>
      <w:pPr>
        <w:spacing w:after="0" w:line="166"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equity value of our company was determined using the market approach by reference to the closest round of equity financing, if any, preceding the date of valuation and analysis of the trading values of publicly traded companies deemed comparable to us.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allocating the equity value of our company among various classes of stock, for our valuations performed on and prior to June 30,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 Furthermore, as of June 30, 2019, we were at an early stage of development and future liquidity events were difficult to forecast.</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For our valuations performed subsequent to June 30, 2019, we used a hybrid method of the OPM and the Probability-Weighted Expected Return Method, or PWERM. PWERM considers various potential liquidity outcomes. Our approach included the use of different timing of initial public offering scenarios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value of the common stock before a discount for lack of marketability is applied.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0200"/>
          </w:cols>
          <w:pgMar w:left="320" w:top="407" w:right="1379" w:bottom="1440" w:gutter="0" w:footer="0" w:header="0"/>
        </w:sectPr>
      </w:pPr>
    </w:p>
    <w:bookmarkStart w:id="143" w:name="page144"/>
    <w:bookmarkEnd w:id="1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In the course of preparing our consolidated financial statements with a retrospective view, we have reassessed the fair value of our common stock in 2019 solely for accounting purposes. For purposes of this determination, we determined that the reassessed fair value of our common stock increased on a linear basis between the dates of our third-party valuation reports. We believe that linear interpolation between these is appropriate as no single event caused the valuation of our common stock to increase.</w:t>
      </w:r>
    </w:p>
    <w:p>
      <w:pPr>
        <w:spacing w:after="0" w:line="172" w:lineRule="exact"/>
        <w:rPr>
          <w:sz w:val="20"/>
          <w:szCs w:val="20"/>
          <w:color w:val="auto"/>
        </w:rPr>
      </w:pPr>
    </w:p>
    <w:p>
      <w:pPr>
        <w:ind w:left="1020" w:right="200" w:firstLine="460"/>
        <w:spacing w:after="0" w:line="245" w:lineRule="auto"/>
        <w:rPr>
          <w:sz w:val="20"/>
          <w:szCs w:val="20"/>
          <w:color w:val="auto"/>
        </w:rPr>
      </w:pPr>
      <w:r>
        <w:rPr>
          <w:rFonts w:ascii="Arial" w:cs="Arial" w:eastAsia="Arial" w:hAnsi="Arial"/>
          <w:sz w:val="15"/>
          <w:szCs w:val="15"/>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05"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See “Note 1. Description of Business and Significant Accounting Policies” to our consolidated financial statements included in this prospectus for recently adopted accounting pronouncements and recently issued accounting pronouncements not yet adopted as of the date of this prospectus.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105" w:lineRule="exact"/>
        <w:rPr>
          <w:sz w:val="20"/>
          <w:szCs w:val="20"/>
          <w:color w:val="auto"/>
        </w:rPr>
      </w:pPr>
    </w:p>
    <w:p>
      <w:pPr>
        <w:ind w:left="1020" w:right="20" w:firstLine="460"/>
        <w:spacing w:after="0" w:line="235" w:lineRule="auto"/>
        <w:rPr>
          <w:sz w:val="20"/>
          <w:szCs w:val="20"/>
          <w:color w:val="auto"/>
        </w:rPr>
      </w:pPr>
      <w:r>
        <w:rPr>
          <w:rFonts w:ascii="Arial" w:cs="Arial" w:eastAsia="Arial" w:hAnsi="Arial"/>
          <w:sz w:val="15"/>
          <w:szCs w:val="15"/>
          <w:color w:val="auto"/>
        </w:rPr>
        <w:t xml:space="preserve">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consolidated financial statements may not be comparable to companies that comply with the new or revised accounting pronouncements as of public company effective dates. The JOBS Act does not preclude an emerging growth company from early adopting a new or revised accounting standard earlier than the time that such standard applies to private companies. We early adopted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w:t>
      </w:r>
    </w:p>
    <w:p>
      <w:pPr>
        <w:spacing w:after="0" w:line="1" w:lineRule="exact"/>
        <w:rPr>
          <w:sz w:val="20"/>
          <w:szCs w:val="20"/>
          <w:color w:val="auto"/>
        </w:rPr>
      </w:pPr>
    </w:p>
    <w:p>
      <w:pPr>
        <w:ind w:left="1020" w:firstLine="7"/>
        <w:spacing w:after="0" w:line="245" w:lineRule="auto"/>
        <w:tabs>
          <w:tab w:leader="none" w:pos="1362" w:val="left"/>
        </w:tabs>
        <w:numPr>
          <w:ilvl w:val="0"/>
          <w:numId w:val="72"/>
        </w:numPr>
        <w:rPr>
          <w:rFonts w:ascii="Arial" w:cs="Arial" w:eastAsia="Arial" w:hAnsi="Arial"/>
          <w:sz w:val="15"/>
          <w:szCs w:val="15"/>
          <w:color w:val="auto"/>
        </w:rPr>
      </w:pPr>
      <w:r>
        <w:rPr>
          <w:rFonts w:ascii="Arial" w:cs="Arial" w:eastAsia="Arial" w:hAnsi="Arial"/>
          <w:sz w:val="15"/>
          <w:szCs w:val="15"/>
          <w:color w:val="auto"/>
        </w:rPr>
        <w:t>effective January 1, 2019 and have elected not to restate comparative periods presented in the consolidated financial statements. We expect to use the extended transition period for any other new or revised accounting.</w:t>
      </w:r>
    </w:p>
    <w:p>
      <w:pPr>
        <w:spacing w:after="0" w:line="238"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Quantitative and Qualitative Discussions of Market Risk</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market discount rates, credit risks, and interest rates. We are exposed to market risk directly through loans and securities held on our consolidated balance sheets, access to the securitization markets, investor demand for unsecured personal loans facilitated through our platform, and availability of funding under our current credit facilities and term loans. Such fluctuations to date have not been significant.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Discount Rate Risk</w:t>
      </w:r>
    </w:p>
    <w:p>
      <w:pPr>
        <w:spacing w:after="0" w:line="105"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Discount rate sensitivity refers to the risk of loss to future earnings, values or future cash flows that may result from changes in market discount rates.</w:t>
      </w:r>
    </w:p>
    <w:p>
      <w:pPr>
        <w:spacing w:after="0" w:line="150" w:lineRule="exact"/>
        <w:rPr>
          <w:sz w:val="20"/>
          <w:szCs w:val="20"/>
          <w:color w:val="auto"/>
        </w:rPr>
      </w:pPr>
    </w:p>
    <w:p>
      <w:pPr>
        <w:ind w:left="1020" w:right="140" w:firstLine="460"/>
        <w:spacing w:after="0" w:line="246" w:lineRule="auto"/>
        <w:rPr>
          <w:sz w:val="20"/>
          <w:szCs w:val="20"/>
          <w:color w:val="auto"/>
        </w:rPr>
      </w:pPr>
      <w:r>
        <w:rPr>
          <w:rFonts w:ascii="Arial" w:cs="Arial" w:eastAsia="Arial" w:hAnsi="Arial"/>
          <w:sz w:val="15"/>
          <w:szCs w:val="15"/>
          <w:i w:val="1"/>
          <w:iCs w:val="1"/>
          <w:color w:val="auto"/>
        </w:rPr>
        <w:t>Loans at Fair Value</w:t>
      </w:r>
      <w:r>
        <w:rPr>
          <w:rFonts w:ascii="Arial" w:cs="Arial" w:eastAsia="Arial" w:hAnsi="Arial"/>
          <w:sz w:val="15"/>
          <w:szCs w:val="15"/>
          <w:color w:val="auto"/>
        </w:rPr>
        <w:t>—As of December 31, 2019 and September 30, 2020, we were exposed to market discount rate risk on</w:t>
      </w:r>
      <w:r>
        <w:rPr>
          <w:rFonts w:ascii="Arial" w:cs="Arial" w:eastAsia="Arial" w:hAnsi="Arial"/>
          <w:sz w:val="15"/>
          <w:szCs w:val="15"/>
          <w:i w:val="1"/>
          <w:iCs w:val="1"/>
          <w:color w:val="auto"/>
        </w:rPr>
        <w:t xml:space="preserve"> </w:t>
      </w:r>
      <w:r>
        <w:rPr>
          <w:rFonts w:ascii="Arial" w:cs="Arial" w:eastAsia="Arial" w:hAnsi="Arial"/>
          <w:sz w:val="15"/>
          <w:szCs w:val="15"/>
          <w:color w:val="auto"/>
        </w:rPr>
        <w:t>$141.6 million and $ 122.7 million, respectively of loans held-for-investment and held-for-sale on our consolidated balance sheet. The fair value of these loans is estimated using a discounted cash flow methodology, where the discount rate represents an estimate of the required rate</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0220"/>
          </w:cols>
          <w:pgMar w:left="320" w:top="407" w:right="135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7" w:lineRule="auto"/>
        <w:rPr>
          <w:sz w:val="20"/>
          <w:szCs w:val="20"/>
          <w:color w:val="auto"/>
        </w:rPr>
      </w:pPr>
      <w:r>
        <w:rPr>
          <w:rFonts w:ascii="Arial" w:cs="Arial" w:eastAsia="Arial" w:hAnsi="Arial"/>
          <w:sz w:val="15"/>
          <w:szCs w:val="15"/>
          <w:color w:val="auto"/>
        </w:rPr>
        <w:t>of return by market participants. The discount rates for loans facilitated through our platform may change due to changes in expected loan performance or changes in the expected returns of similar financial instruments available in the market. Any gains and losses from discount rate changes are recorded in earnings. As of December 31, 2019, a hypothetical 100 basis point and 200 basis point increase in discount rate would result in a $1.9 million and $3.8 million decrease, respectively, in the fair value of these loans. As of September 30, 2020, a hypothetical 100 basis point and 200 basis point increase in discount rate would result in a $1.5 million and $2.9 million decrease, respectively, in the fair value of these loans.</w:t>
      </w:r>
    </w:p>
    <w:p>
      <w:pPr>
        <w:spacing w:after="0" w:line="156"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—As of December 31, 2019, we were exposed to discount rate risk on</w:t>
      </w:r>
      <w:r>
        <w:rPr>
          <w:rFonts w:ascii="Arial" w:cs="Arial" w:eastAsia="Arial" w:hAnsi="Arial"/>
          <w:sz w:val="15"/>
          <w:szCs w:val="15"/>
          <w:i w:val="1"/>
          <w:iCs w:val="1"/>
          <w:color w:val="auto"/>
        </w:rPr>
        <w:t xml:space="preserve"> </w:t>
      </w:r>
      <w:r>
        <w:rPr>
          <w:rFonts w:ascii="Arial" w:cs="Arial" w:eastAsia="Arial" w:hAnsi="Arial"/>
          <w:sz w:val="15"/>
          <w:szCs w:val="15"/>
          <w:color w:val="auto"/>
        </w:rPr>
        <w:t>$34.1 million of notes receivable and residual certificates and $89.7 million of payable to securitization note holders and residual certificate holders. As of September 30, 2020, we were exposed to discount rate risk on $22.1 million of notes receivable and residual certificates. We assess the sensitivity of securitization notes and residual certificates by reviewing the average impact across all securitization transactions. As of December 31, 2019, a hypothetical 100 basis point and 200 basis point increase in discount rates would result in a decrease in fair value of these securities of 1.40% and 2.77%, respectively, on average across all securitizations. As of September 30, 2020, a hypothetical 100 basis point and 200 basis point increase in discount rates would result in a decrease in fair value of these securities of 1.15% and 2.28%, respectively, on average across all securitizations.</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Credit Risk</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consolidated balance sheets are dependent on the credit performance of loans facilitated by us. To manage this risk, we monitor borrower payment performance through our lending platform and utilize our AI capabilities to price loans in a manner that we believe is reflective of their credit risk.</w:t>
      </w:r>
    </w:p>
    <w:p>
      <w:pPr>
        <w:spacing w:after="0" w:line="170"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50" w:lineRule="exact"/>
        <w:rPr>
          <w:sz w:val="20"/>
          <w:szCs w:val="20"/>
          <w:color w:val="auto"/>
        </w:rPr>
      </w:pPr>
    </w:p>
    <w:p>
      <w:pPr>
        <w:jc w:val="both"/>
        <w:ind w:left="1020" w:right="200" w:firstLine="460"/>
        <w:spacing w:after="0" w:line="241" w:lineRule="auto"/>
        <w:rPr>
          <w:sz w:val="20"/>
          <w:szCs w:val="20"/>
          <w:color w:val="auto"/>
        </w:rPr>
      </w:pPr>
      <w:r>
        <w:rPr>
          <w:rFonts w:ascii="Arial" w:cs="Arial" w:eastAsia="Arial" w:hAnsi="Arial"/>
          <w:sz w:val="15"/>
          <w:szCs w:val="15"/>
          <w:i w:val="1"/>
          <w:iCs w:val="1"/>
          <w:color w:val="auto"/>
        </w:rPr>
        <w:t>Loans, at Fair Value—</w:t>
      </w:r>
      <w:r>
        <w:rPr>
          <w:rFonts w:ascii="Arial" w:cs="Arial" w:eastAsia="Arial" w:hAnsi="Arial"/>
          <w:sz w:val="15"/>
          <w:szCs w:val="15"/>
          <w:color w:val="auto"/>
        </w:rPr>
        <w:t>As of December 31, 2019 and September 30, 2020, we were exposed to credit risk on $141.6 million and</w:t>
      </w:r>
      <w:r>
        <w:rPr>
          <w:rFonts w:ascii="Arial" w:cs="Arial" w:eastAsia="Arial" w:hAnsi="Arial"/>
          <w:sz w:val="15"/>
          <w:szCs w:val="15"/>
          <w:i w:val="1"/>
          <w:iCs w:val="1"/>
          <w:color w:val="auto"/>
        </w:rPr>
        <w:t xml:space="preserve"> </w:t>
      </w:r>
      <w:r>
        <w:rPr>
          <w:rFonts w:ascii="Arial" w:cs="Arial" w:eastAsia="Arial" w:hAnsi="Arial"/>
          <w:sz w:val="15"/>
          <w:szCs w:val="15"/>
          <w:color w:val="auto"/>
        </w:rPr>
        <w:t>$122.7 million, respectively of loans in held-for-investment and held-for-sale in our consolidated balance sheet. These loans bear fixed interest rates and are carried on our consolidated balance sheets at fair value. As of December 31, 2019, a hypothetical 10% and 20% increase in credit risk would result in a $2.3 million and $4.7 million decrease, respectively, in the fair value of loans held-for-investment (excluding loans held as collateral by consolidated securitizations). As of September 30, 2020, a hypothetical 10% and 20% increase in credit risk would result in a $2.0 million and $3.9 million decrease, respectively.</w:t>
      </w:r>
    </w:p>
    <w:p>
      <w:pPr>
        <w:spacing w:after="0" w:line="155" w:lineRule="exact"/>
        <w:rPr>
          <w:sz w:val="20"/>
          <w:szCs w:val="20"/>
          <w:color w:val="auto"/>
        </w:rPr>
      </w:pPr>
    </w:p>
    <w:p>
      <w:pPr>
        <w:ind w:left="1020" w:firstLine="460"/>
        <w:spacing w:after="0" w:line="251" w:lineRule="auto"/>
        <w:rPr>
          <w:sz w:val="20"/>
          <w:szCs w:val="20"/>
          <w:color w:val="auto"/>
        </w:rPr>
      </w:pPr>
      <w:r>
        <w:rPr>
          <w:rFonts w:ascii="Arial" w:cs="Arial" w:eastAsia="Arial" w:hAnsi="Arial"/>
          <w:sz w:val="15"/>
          <w:szCs w:val="15"/>
          <w:i w:val="1"/>
          <w:iCs w:val="1"/>
          <w:color w:val="auto"/>
        </w:rPr>
        <w:t>Assets and Liabilities related to Securitization Transactions—</w:t>
      </w:r>
      <w:r>
        <w:rPr>
          <w:rFonts w:ascii="Arial" w:cs="Arial" w:eastAsia="Arial" w:hAnsi="Arial"/>
          <w:sz w:val="15"/>
          <w:szCs w:val="15"/>
          <w:color w:val="auto"/>
        </w:rPr>
        <w:t>Transactions—As of December 31, 2019, we were exposed to credit</w:t>
      </w:r>
      <w:r>
        <w:rPr>
          <w:rFonts w:ascii="Arial" w:cs="Arial" w:eastAsia="Arial" w:hAnsi="Arial"/>
          <w:sz w:val="15"/>
          <w:szCs w:val="15"/>
          <w:i w:val="1"/>
          <w:iCs w:val="1"/>
          <w:color w:val="auto"/>
        </w:rPr>
        <w:t xml:space="preserve"> </w:t>
      </w:r>
      <w:r>
        <w:rPr>
          <w:rFonts w:ascii="Arial" w:cs="Arial" w:eastAsia="Arial" w:hAnsi="Arial"/>
          <w:sz w:val="15"/>
          <w:szCs w:val="15"/>
          <w:color w:val="auto"/>
        </w:rPr>
        <w:t>risk on $34.1 million of notes receivable and residual certificates and $89.7 million of payable to securitization note holders and residual certificate holders. As of September 30, 2020, we were exposed to credit risk on $22.1 million of notes receivable and residual certificates.</w:t>
      </w:r>
    </w:p>
    <w:p>
      <w:pPr>
        <w:spacing w:after="0" w:line="162"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The securities issued in the securitizations are senior or subordinated based on the waterfall criteria of loan payments to each security class, with the residual interest, or the residual certificates, issued being the first to absorb credit losses in accordance with the waterfall criteria. Accordingly,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135</w:t>
      </w:r>
    </w:p>
    <w:p>
      <w:pPr>
        <w:sectPr>
          <w:pgSz w:w="11900" w:h="16838" w:orient="portrait"/>
          <w:cols w:equalWidth="0" w:num="1">
            <w:col w:w="10200"/>
          </w:cols>
          <w:pgMar w:left="320" w:top="407" w:right="1379" w:bottom="1440" w:gutter="0" w:footer="0" w:header="0"/>
        </w:sectPr>
      </w:pPr>
    </w:p>
    <w:bookmarkStart w:id="145" w:name="page146"/>
    <w:bookmarkEnd w:id="1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25% decrease in the fair value of the residual certificates. The remaining classes of securities, with the exception of those in the August 2018 securitization transaction, are all overcollateralized such that changes in credit risk rates are not expected to have significant impacts on their fair values.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As of December 31, 2019 and September 30, 2020, we are exposed to credit risk of $80.1 million and $110.6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consolidated balance sheets exceeds the insured amounts by the Federal Deposit Insurance Corporation, or FDIC. We reduce credit risk by placing our cash and restricted cash in reputable institutions.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05"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The interest rates charged on the loans that our bank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borrowers and their ability and willingness to borrow money. Higher interest rates often lead to higher payment obligations, which may reduce the ability of individual borrowers to remain current on their obligations to our bank partners and, therefore, lead to increased delinquencies, defaults, customer bankruptcies and charge-offs, and decreasing recoveries, all of which could have a material adverse effect on our business.</w:t>
      </w:r>
    </w:p>
    <w:p>
      <w:pPr>
        <w:spacing w:after="0" w:line="156"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Term Loans, Warehouse Credit Facilities and Revolving Credit Facility</w:t>
      </w:r>
      <w:r>
        <w:rPr>
          <w:rFonts w:ascii="Arial" w:cs="Arial" w:eastAsia="Arial" w:hAnsi="Arial"/>
          <w:sz w:val="15"/>
          <w:szCs w:val="15"/>
          <w:color w:val="auto"/>
        </w:rPr>
        <w:t>—As of December 31, 2019 and September 30, 2020, we are</w:t>
      </w:r>
      <w:r>
        <w:rPr>
          <w:rFonts w:ascii="Arial" w:cs="Arial" w:eastAsia="Arial" w:hAnsi="Arial"/>
          <w:sz w:val="15"/>
          <w:szCs w:val="15"/>
          <w:i w:val="1"/>
          <w:iCs w:val="1"/>
          <w:color w:val="auto"/>
        </w:rPr>
        <w:t xml:space="preserve"> </w:t>
      </w:r>
      <w:r>
        <w:rPr>
          <w:rFonts w:ascii="Arial" w:cs="Arial" w:eastAsia="Arial" w:hAnsi="Arial"/>
          <w:sz w:val="15"/>
          <w:szCs w:val="15"/>
          <w:color w:val="auto"/>
        </w:rPr>
        <w:t>exposed to interest rate risk on $101.8 million and $91.3 million, respectively, under the term loans and revolving credit facility arrangements which bear floating interest rates. Changes in interest rates may impact our cost of borrowing. Future funding activities under the revolving credit facilities may increase our exposure to interest rate risk, as the interest rates payable on such funding are tied to short-term market rates. From time to time, we enter into interest rate hedges in connection with our warehouse credit facilities.</w:t>
      </w:r>
    </w:p>
    <w:p>
      <w:pPr>
        <w:spacing w:after="0" w:line="168"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inability or failure to manage market risks could harm our business, financial condition or results of operations.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0220"/>
          </w:cols>
          <w:pgMar w:left="320" w:top="407" w:right="135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BUSINESS</w:t>
      </w:r>
    </w:p>
    <w:p>
      <w:pPr>
        <w:spacing w:after="0" w:line="177"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Overview</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mission is to enable effortless credit based on true risk.</w:t>
      </w:r>
    </w:p>
    <w:p>
      <w:pPr>
        <w:spacing w:after="0" w:line="17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are a leading, cloud-based AI lending platform. AI lending enables a superior loan product with improved economics that can be shared between consumers and lenders. Our platform aggregates consumer demand for high-quality loans and connects it to our network of Upstart AI-enabled bank partners. Consumers on our platform benefit from higher approval rates, lower interest rates, and a highly automated, efficient, all-digital experience. Our bank partners benefit from access to new customers, lower fraud and loss rates, and increased automation throughout the lending process. Since inception, our bank partners have originated over 620,000 personal loans that have generated more than 9 million repayment events. In the nine months ended September 30, 2020, approximately 70% of Upstart-powered loans were entirely automated.</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Credit is a cornerstone of the U.S. economy, and access to affordable credit is central to unlocking upward mobility and opportunity. The FICO score was invented in 1989 and remains the standard for determining who is approved for credit and at what interest rate.</w:t>
      </w:r>
      <w:r>
        <w:rPr>
          <w:rFonts w:ascii="Arial" w:cs="Arial" w:eastAsia="Arial" w:hAnsi="Arial"/>
          <w:sz w:val="12"/>
          <w:szCs w:val="12"/>
          <w:color w:val="auto"/>
        </w:rPr>
        <w:t>64</w:t>
      </w:r>
      <w:r>
        <w:rPr>
          <w:rFonts w:ascii="Arial" w:cs="Arial" w:eastAsia="Arial" w:hAnsi="Arial"/>
          <w:sz w:val="15"/>
          <w:szCs w:val="15"/>
          <w:color w:val="auto"/>
        </w:rPr>
        <w:t xml:space="preserve"> While FICO is rarely the only input in a lending decision, most banks use simple rules-based systems that consider only a limited number of variables. Unfortunately, because legacy credit systems fail to properly identify and quantify risk, millions of creditworthy individuals are left out of the system, and millions more pay too much to borrow money.</w:t>
      </w:r>
      <w:r>
        <w:rPr>
          <w:rFonts w:ascii="Arial" w:cs="Arial" w:eastAsia="Arial" w:hAnsi="Arial"/>
          <w:sz w:val="12"/>
          <w:szCs w:val="12"/>
          <w:color w:val="auto"/>
        </w:rPr>
        <w:t>65</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first generation of online lenders focused on bringing credit online. Analogous to earlier internet pioneers, these companies made shopping for and accessing credit simpler and easier for consumers and businesses. It was no longer necessary to stand in line at a bank branch, to sit across the desk from a loan officer and to wait weeks or months for a decision. These lenders enabled the emergence of personal loan products that were previously unprofitable for banks to offer. While they brought the credit process online, they inherited the decision frameworks that banks had used for decades and did not address the more rewarding and challenging opportunity of reinventing the credit decision.</w:t>
      </w:r>
    </w:p>
    <w:p>
      <w:pPr>
        <w:spacing w:after="0" w:line="172"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We leverage the power of AI to more accurately quantify the true risk of a loan. Our AI models have been continuously upgraded, trained and refined for more than eight years. We have discrete AI models that target fee optimization, income fraud, acquisition targeting, loan stacking, prepayment prediction, identity fraud and time-delimited default prediction. Our models incorporate more than 1,600 variables and benefit from a rapidly growing training dataset that currently contains more than 9 million repayment events. The network effects generated by our constantly improving AI models provide a significant competitive advantage—more training data leads to higher approval rates and lower interest rates at the same loss rate.</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We have been able to demonstrate through several studies that AI lending works. First, in 2019 the CFPB reported that a study by Upstart of its data using a methodology specified by the CFPB showed that our AI model approves 27% more borrowers than a high-quality traditional model, with a 16% lower average APR for approved loans.</w:t>
      </w:r>
      <w:r>
        <w:rPr>
          <w:rFonts w:ascii="Arial" w:cs="Arial" w:eastAsia="Arial" w:hAnsi="Arial"/>
          <w:sz w:val="12"/>
          <w:szCs w:val="12"/>
          <w:color w:val="auto"/>
        </w:rPr>
        <w:t>66</w:t>
      </w:r>
      <w:r>
        <w:rPr>
          <w:rFonts w:ascii="Arial" w:cs="Arial" w:eastAsia="Arial" w:hAnsi="Arial"/>
          <w:sz w:val="15"/>
          <w:szCs w:val="15"/>
          <w:color w:val="auto"/>
        </w:rPr>
        <w:t xml:space="preserve"> Second, when compared to credit models from several large banks, our AI models approve approximately 2.7 times as many borrowers at the same loss rate.</w:t>
      </w:r>
      <w:r>
        <w:rPr>
          <w:rFonts w:ascii="Arial" w:cs="Arial" w:eastAsia="Arial" w:hAnsi="Arial"/>
          <w:sz w:val="12"/>
          <w:szCs w:val="12"/>
          <w:color w:val="auto"/>
        </w:rPr>
        <w:t>67</w:t>
      </w:r>
      <w:r>
        <w:rPr>
          <w:rFonts w:ascii="Arial" w:cs="Arial" w:eastAsia="Arial" w:hAnsi="Arial"/>
          <w:sz w:val="15"/>
          <w:szCs w:val="15"/>
          <w:color w:val="auto"/>
        </w:rPr>
        <w:t xml:space="preserve"> Third, for pools of securitized loans, our realized loss rates were only approximately 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8" w:lineRule="exact"/>
        <w:rPr>
          <w:sz w:val="20"/>
          <w:szCs w:val="20"/>
          <w:color w:val="auto"/>
        </w:rPr>
      </w:pPr>
    </w:p>
    <w:p>
      <w:pPr>
        <w:ind w:left="1480" w:hanging="453"/>
        <w:spacing w:after="0"/>
        <w:tabs>
          <w:tab w:leader="none" w:pos="148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Kaufman; see the section titled “Industry, Market and Other Data.”</w:t>
      </w:r>
    </w:p>
    <w:p>
      <w:pPr>
        <w:ind w:left="1480" w:hanging="453"/>
        <w:spacing w:after="0" w:line="188" w:lineRule="auto"/>
        <w:tabs>
          <w:tab w:leader="none" w:pos="1480" w:val="left"/>
        </w:tabs>
        <w:numPr>
          <w:ilvl w:val="0"/>
          <w:numId w:val="73"/>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ind w:left="1480" w:hanging="453"/>
        <w:spacing w:after="0" w:line="188" w:lineRule="auto"/>
        <w:tabs>
          <w:tab w:leader="none" w:pos="1480" w:val="left"/>
        </w:tabs>
        <w:numPr>
          <w:ilvl w:val="0"/>
          <w:numId w:val="73"/>
        </w:numPr>
        <w:rPr>
          <w:rFonts w:ascii="Arial" w:cs="Arial" w:eastAsia="Arial" w:hAnsi="Arial"/>
          <w:sz w:val="15"/>
          <w:szCs w:val="15"/>
          <w:color w:val="auto"/>
          <w:vertAlign w:val="superscript"/>
        </w:rPr>
      </w:pPr>
      <w:r>
        <w:rPr>
          <w:rFonts w:ascii="Arial" w:cs="Arial" w:eastAsia="Arial" w:hAnsi="Arial"/>
          <w:sz w:val="10"/>
          <w:szCs w:val="10"/>
          <w:color w:val="auto"/>
        </w:rPr>
        <w:t>Ficklin and Watkins; see the section titled “Industry, Market and Other Data.”</w:t>
      </w:r>
    </w:p>
    <w:p>
      <w:pPr>
        <w:ind w:left="1480" w:right="120" w:hanging="453"/>
        <w:spacing w:after="0" w:line="196" w:lineRule="auto"/>
        <w:tabs>
          <w:tab w:leader="none" w:pos="148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Such result represents the average rate of improvement exhibited by Upstart’s platform against each of the three respective bank models.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0220"/>
          </w:cols>
          <w:pgMar w:left="320" w:top="407" w:right="1359" w:bottom="1440" w:gutter="0" w:footer="0" w:header="0"/>
        </w:sectPr>
      </w:pPr>
    </w:p>
    <w:bookmarkStart w:id="147" w:name="page148"/>
    <w:bookmarkEnd w:id="1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those predicted by Kroll, a prominent credit rating agency; over that same time period, realized losses for the same pool of loans were on average only 5% different than our internal forecasts.</w:t>
      </w:r>
      <w:r>
        <w:rPr>
          <w:rFonts w:ascii="Arial" w:cs="Arial" w:eastAsia="Arial" w:hAnsi="Arial"/>
          <w:sz w:val="12"/>
          <w:szCs w:val="12"/>
          <w:color w:val="auto"/>
        </w:rPr>
        <w:t>68</w:t>
      </w:r>
      <w:r>
        <w:rPr>
          <w:rFonts w:ascii="Arial" w:cs="Arial" w:eastAsia="Arial" w:hAnsi="Arial"/>
          <w:sz w:val="15"/>
          <w:szCs w:val="15"/>
          <w:color w:val="auto"/>
        </w:rPr>
        <w:t xml:space="preserve"> And finally, we regularly monitor the accuracy of our AI models in comparison with simple credit score-based models and have observed higher model accuracy across a variety of statistical measures relating to each model’s predictive accuracy.</w:t>
      </w:r>
      <w:r>
        <w:rPr>
          <w:rFonts w:ascii="Arial" w:cs="Arial" w:eastAsia="Arial" w:hAnsi="Arial"/>
          <w:sz w:val="12"/>
          <w:szCs w:val="12"/>
          <w:color w:val="auto"/>
        </w:rPr>
        <w:t>69</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AI models are provided to bank partners within a consumer-facing cloud application that streamlines the end-to-end process of originating and servicing a loan. We have built a configurable, multi-tenant cloud application designed to integrate seamlessly into a bank’s existing technology systems. Our highly configurable platform allows each bank to define its own credit policy and determine the significant parameters of its lending program. Our AI models use and analyze data from all of our bank partners. As a result, these models are trained by every Upstart-powered loan, and each bank partner benefits from participating in a shared AI lending platform.</w:t>
      </w:r>
    </w:p>
    <w:p>
      <w:pPr>
        <w:spacing w:after="0" w:line="170"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Consumers can discover Upstart-powered loans in one of two ways: either via Upstart.com or through a white-labeled product on our bank partners’ own websites.</w:t>
      </w:r>
    </w:p>
    <w:p>
      <w:pPr>
        <w:spacing w:after="0" w:line="166"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Loans issued through our platform can be retained by our originating bank partners, distributed to our broad base of approximately 100 institutional investors and buyers that invest in Upstart-powered loans or funded by Upstart’s balance sheet. In the third quarter of 2020, 22% of the loans funded through our platform were retained by the originating bank and 76% of loans were purchased by institutional investors through our loan funding programs. Our institutional investors and buyers that participate in our loan funding programs, which include Goldman Sachs, PIMCO and funds managed by Morgan Stanley Investment Management, invest in Upstart-powered loans through whole loan purchases, purchases of pass-through certificates and investments in asset-backed securitizations. We enter into nonexclusive agreements with our whole loan purchasers and each of the grantor trust entities in our asset-backed securitizations, or ABS, under which our ABS investors benefit from our loan servicing capabilities.</w:t>
      </w:r>
      <w:r>
        <w:rPr>
          <w:rFonts w:ascii="Arial" w:cs="Arial" w:eastAsia="Arial" w:hAnsi="Arial"/>
          <w:sz w:val="12"/>
          <w:szCs w:val="12"/>
          <w:color w:val="auto"/>
        </w:rPr>
        <w:t>70</w:t>
      </w:r>
      <w:r>
        <w:rPr>
          <w:rFonts w:ascii="Arial" w:cs="Arial" w:eastAsia="Arial" w:hAnsi="Arial"/>
          <w:sz w:val="15"/>
          <w:szCs w:val="15"/>
          <w:color w:val="auto"/>
        </w:rPr>
        <w:t xml:space="preserve"> The remaining 2% of loans funded through our platform in the third quarter of 2020 were funded through our balance sheet.</w:t>
      </w:r>
    </w:p>
    <w:p>
      <w:pPr>
        <w:spacing w:after="0" w:line="17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Our revenue is primarily comprised of fees paid by banks. We charge banks referral fees for each loan referred through Upstart.com and originated by a bank partner, platform fees for each loan originated (regardless of its source) and loan servicing fees as consumers repay their loans. Our agreements with our bank partners are nonexclusive, generally have 12-month terms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40" w:hanging="453"/>
        <w:spacing w:after="0" w:line="211" w:lineRule="auto"/>
        <w:tabs>
          <w:tab w:leader="none" w:pos="148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compared the actual realized loss rates of Upstart loans securitized in five securitization transactions between June 2017 and September 2019 and the loss rate predictions for those loans obtained from KBRA Surveillance Reports published by Kroll Bond Rating Agency in December 2019. As compared to Kroll’s loss predictions, actual realized losses were approximately 31% to 71% lower, with an average deviation across all five securitization transactions of -48%. As compared to our internal forecasts, actual realized losses ranged from approximately 35% higher (for the earliest securitization transaction) to approximately 17% lower (for the most recent securitization transaction), with an average absolute deviation across all of five securitization transactions of approximately 13%.</w:t>
      </w:r>
    </w:p>
    <w:p>
      <w:pPr>
        <w:spacing w:after="0" w:line="2" w:lineRule="exact"/>
        <w:rPr>
          <w:rFonts w:ascii="Arial" w:cs="Arial" w:eastAsia="Arial" w:hAnsi="Arial"/>
          <w:sz w:val="20"/>
          <w:szCs w:val="20"/>
          <w:color w:val="auto"/>
          <w:vertAlign w:val="superscript"/>
        </w:rPr>
      </w:pPr>
    </w:p>
    <w:p>
      <w:pPr>
        <w:ind w:left="1480" w:hanging="453"/>
        <w:spacing w:after="0" w:line="214" w:lineRule="auto"/>
        <w:tabs>
          <w:tab w:leader="none" w:pos="148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Upstart compares on a monthly basis its AI models to (i) a FICO-only model and (ii) a “FICO+” model, which considers loan amount, debt-to-income ratio, monthly income, number of inquiries and number of trade accounts in addition to FICO score, which we believe is representative of the model many of our sophisticated competitors would use. To conduct a comparison of the Upstart AI models to the models described in (i) and (ii), we run applicant information through the Upstart AI models, the FICO-only model, and FICO+ model, comparing performance by analyzing five commonly-used statistical metrics, each of which measures the deviation between predicted losses and actual losses for each model. These metrics include: the root mean square error of net present value of losses, normalized logistic loss, ratio of the gini coefficients of predicted to observed rankings, the area under the receiver operating characteristics curve, and the Kolmogorov-Smirnov statistic.</w:t>
      </w:r>
    </w:p>
    <w:p>
      <w:pPr>
        <w:spacing w:after="0" w:line="3" w:lineRule="exact"/>
        <w:rPr>
          <w:rFonts w:ascii="Arial" w:cs="Arial" w:eastAsia="Arial" w:hAnsi="Arial"/>
          <w:sz w:val="20"/>
          <w:szCs w:val="20"/>
          <w:color w:val="auto"/>
          <w:vertAlign w:val="superscript"/>
        </w:rPr>
      </w:pPr>
    </w:p>
    <w:p>
      <w:pPr>
        <w:ind w:left="1480" w:right="80" w:hanging="453"/>
        <w:spacing w:after="0" w:line="205" w:lineRule="auto"/>
        <w:tabs>
          <w:tab w:leader="none" w:pos="1480" w:val="left"/>
        </w:tabs>
        <w:numPr>
          <w:ilvl w:val="0"/>
          <w:numId w:val="74"/>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“Management’s Discussion and Analysis of Financial Condition and Results of Operations—Liquidity and Capital Resources—Term loans and revolving loan facilities” and Note 7 to our consolidated financial statements for more information about our loan funding programs, including the role of our warehouse credit facilities and special purpose entities. See “Note 3. Securitizations and Variable Interest Entities” to our consolidated financial statements for additional information regarding transactions with our VIEs.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0220"/>
          </w:cols>
          <w:pgMar w:left="320" w:top="407" w:right="1359" w:bottom="1440" w:gutter="0" w:footer="0" w:header="0"/>
        </w:sectPr>
      </w:pPr>
    </w:p>
    <w:bookmarkStart w:id="148" w:name="page149"/>
    <w:bookmarkEnd w:id="1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automatically renew, subject to certain early termination provisions and minimum fee amounts, and do not include any minimum origination obligation or origination limits. As a usage-based platform, we target positive unit economics on each transaction, resulting in a cash efficient business model that features both high growth rates and profitability. As of September 30, 2020, we had 10 bank partners. In the nine months ended September 30, 2020, Cross River Bank originated 72% of the loans facilitated on our platform and fees received from Cross River Bank accounted for 65% of our total revenue.</w:t>
      </w:r>
      <w:r>
        <w:rPr>
          <w:rFonts w:ascii="Arial" w:cs="Arial" w:eastAsia="Arial" w:hAnsi="Arial"/>
          <w:sz w:val="12"/>
          <w:szCs w:val="12"/>
          <w:color w:val="auto"/>
        </w:rPr>
        <w:t>71</w:t>
      </w:r>
      <w:r>
        <w:rPr>
          <w:rFonts w:ascii="Arial" w:cs="Arial" w:eastAsia="Arial" w:hAnsi="Arial"/>
          <w:sz w:val="15"/>
          <w:szCs w:val="15"/>
          <w:color w:val="auto"/>
        </w:rPr>
        <w:t xml:space="preserve"> Our current agreement with Cross River Bank began on January 1, 2019 and has an initial four year term, with a renewal term for an additional two years following the initial four year term.</w:t>
      </w:r>
    </w:p>
    <w:p>
      <w:pPr>
        <w:spacing w:after="0" w:line="172"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have achieved rapid growth while improving our margin profile in recent years. The number of loans facilitated on our platform increased by 88% from 114,125 in 2018 to 215,122 in 2019, and 30% from 136,468 in the nine months ended September 30, 2019 to 176,983 over the same period in 2020. Our revenue for the nine months ended September 30, 2019 and 2020 was $101.6 million and $146.7 million, respectively, representing an increase of 44%. For the nine months ended September 30, 2019 and 2020, our net income (loss) was $(6.5) million and $5.0 million, respectively.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Industry Overview</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Affordable Credit is Critical to Unlocking Upward Mobility and Opportunity</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With $3.6 trillion of consumer credit originated between April 2019 and March 2020,</w:t>
      </w:r>
      <w:r>
        <w:rPr>
          <w:rFonts w:ascii="Arial" w:cs="Arial" w:eastAsia="Arial" w:hAnsi="Arial"/>
          <w:sz w:val="12"/>
          <w:szCs w:val="12"/>
          <w:color w:val="auto"/>
        </w:rPr>
        <w:t>72</w:t>
      </w:r>
      <w:r>
        <w:rPr>
          <w:rFonts w:ascii="Arial" w:cs="Arial" w:eastAsia="Arial" w:hAnsi="Arial"/>
          <w:sz w:val="15"/>
          <w:szCs w:val="15"/>
          <w:color w:val="auto"/>
        </w:rPr>
        <w:t xml:space="preserve"> credit is a cornerstone of the U.S. economy. Access to affordable credit is central to unlocking upward mobility and opportunity. Reducing the price of borrowing for consumers has the potential to dramatically improve the quality of life for millions of people. Studies have demonstrated a strong statistical link among access to affordable credit, personal well-being and income growth.</w:t>
      </w:r>
      <w:r>
        <w:rPr>
          <w:rFonts w:ascii="Arial" w:cs="Arial" w:eastAsia="Arial" w:hAnsi="Arial"/>
          <w:sz w:val="12"/>
          <w:szCs w:val="12"/>
          <w:color w:val="auto"/>
        </w:rPr>
        <w:t>73</w:t>
      </w:r>
      <w:r>
        <w:rPr>
          <w:rFonts w:ascii="Arial" w:cs="Arial" w:eastAsia="Arial" w:hAnsi="Arial"/>
          <w:sz w:val="15"/>
          <w:szCs w:val="15"/>
          <w:color w:val="auto"/>
        </w:rPr>
        <w:t xml:space="preserve"> The average American has approximately $29,800 in personal debt.</w:t>
      </w:r>
      <w:r>
        <w:rPr>
          <w:rFonts w:ascii="Arial" w:cs="Arial" w:eastAsia="Arial" w:hAnsi="Arial"/>
          <w:sz w:val="12"/>
          <w:szCs w:val="12"/>
          <w:color w:val="auto"/>
        </w:rPr>
        <w:t>74</w:t>
      </w:r>
      <w:r>
        <w:rPr>
          <w:rFonts w:ascii="Arial" w:cs="Arial" w:eastAsia="Arial" w:hAnsi="Arial"/>
          <w:sz w:val="15"/>
          <w:szCs w:val="15"/>
          <w:color w:val="auto"/>
        </w:rPr>
        <w:t xml:space="preserve"> While access to affordable credit has allowed Americans to purchase and improve their homes, buy cars, pay for college tuition and cover emergency expenses, high interest rates can negatively impact a consumer’s financial health. The U.S. Federal Reserve reports that on average, 10% of household disposable personal income is spent on debt repayment.</w:t>
      </w:r>
      <w:r>
        <w:rPr>
          <w:rFonts w:ascii="Arial" w:cs="Arial" w:eastAsia="Arial" w:hAnsi="Arial"/>
          <w:sz w:val="12"/>
          <w:szCs w:val="12"/>
          <w:color w:val="auto"/>
        </w:rPr>
        <w:t>75</w:t>
      </w:r>
      <w:r>
        <w:rPr>
          <w:rFonts w:ascii="Arial" w:cs="Arial" w:eastAsia="Arial" w:hAnsi="Arial"/>
          <w:sz w:val="15"/>
          <w:szCs w:val="15"/>
          <w:color w:val="auto"/>
        </w:rPr>
        <w:t xml:space="preserve"> In addition, 16% of Americans spend 50% to 100% of their monthly income repaying debt.</w:t>
      </w:r>
      <w:r>
        <w:rPr>
          <w:rFonts w:ascii="Arial" w:cs="Arial" w:eastAsia="Arial" w:hAnsi="Arial"/>
          <w:sz w:val="12"/>
          <w:szCs w:val="12"/>
          <w:color w:val="auto"/>
        </w:rPr>
        <w:t>76</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Affordable Credit Is Inaccessible for Millions because Existing Systems Fail to Accurately Quantify Risk</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FICO score was invented in 1989 and has not fundamentally changed since that time.</w:t>
      </w:r>
      <w:r>
        <w:rPr>
          <w:rFonts w:ascii="Arial" w:cs="Arial" w:eastAsia="Arial" w:hAnsi="Arial"/>
          <w:sz w:val="12"/>
          <w:szCs w:val="12"/>
          <w:color w:val="auto"/>
        </w:rPr>
        <w:t>77</w:t>
      </w:r>
      <w:r>
        <w:rPr>
          <w:rFonts w:ascii="Arial" w:cs="Arial" w:eastAsia="Arial" w:hAnsi="Arial"/>
          <w:sz w:val="15"/>
          <w:szCs w:val="15"/>
          <w:color w:val="auto"/>
        </w:rPr>
        <w:t xml:space="preserve"> The FICO score is used by over 90% of lenders to determine who is approved for credit and at what interest rate.</w:t>
      </w:r>
      <w:r>
        <w:rPr>
          <w:rFonts w:ascii="Arial" w:cs="Arial" w:eastAsia="Arial" w:hAnsi="Arial"/>
          <w:sz w:val="12"/>
          <w:szCs w:val="12"/>
          <w:color w:val="auto"/>
        </w:rPr>
        <w:t>78</w:t>
      </w:r>
      <w:r>
        <w:rPr>
          <w:rFonts w:ascii="Arial" w:cs="Arial" w:eastAsia="Arial" w:hAnsi="Arial"/>
          <w:sz w:val="15"/>
          <w:szCs w:val="15"/>
          <w:color w:val="auto"/>
        </w:rPr>
        <w:t xml:space="preserve"> While FICO is rarely used in isolation, many credit models are simple rules-based systems. A leading expert found that bank credit models commonly incorporate eight to 15 variables, with the more sophisticated models using as many as 30.</w:t>
      </w:r>
      <w:r>
        <w:rPr>
          <w:rFonts w:ascii="Arial" w:cs="Arial" w:eastAsia="Arial" w:hAnsi="Arial"/>
          <w:sz w:val="12"/>
          <w:szCs w:val="12"/>
          <w:color w:val="auto"/>
        </w:rPr>
        <w:t>79</w:t>
      </w:r>
      <w:r>
        <w:rPr>
          <w:rFonts w:ascii="Arial" w:cs="Arial" w:eastAsia="Arial" w:hAnsi="Arial"/>
          <w:sz w:val="15"/>
          <w:szCs w:val="15"/>
          <w:color w:val="auto"/>
        </w:rPr>
        <w:t xml:space="preserve"> Unsurprisingly, the world is more complicated than can be represented by these models, so they are limited in their ability to reliably estimate the probability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40" w:lineRule="exact"/>
        <w:rPr>
          <w:sz w:val="20"/>
          <w:szCs w:val="20"/>
          <w:color w:val="auto"/>
        </w:rPr>
      </w:pPr>
    </w:p>
    <w:p>
      <w:pPr>
        <w:ind w:left="1480" w:hanging="453"/>
        <w:spacing w:after="0"/>
        <w:tabs>
          <w:tab w:leader="none" w:pos="148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See the section titled “—Bank Partnerships” for more information about our arrangements with CRB and other bank partners.</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Wysen;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Federal Reserve Household Debt;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Northwestern Mutual;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5"/>
          <w:szCs w:val="15"/>
          <w:color w:val="auto"/>
          <w:vertAlign w:val="superscript"/>
        </w:rPr>
      </w:pPr>
      <w:r>
        <w:rPr>
          <w:rFonts w:ascii="Arial" w:cs="Arial" w:eastAsia="Arial" w:hAnsi="Arial"/>
          <w:sz w:val="10"/>
          <w:szCs w:val="10"/>
          <w:color w:val="auto"/>
        </w:rPr>
        <w:t>Kaufman; see the section titled “Industry, Market and Other Data.”</w:t>
      </w:r>
    </w:p>
    <w:p>
      <w:pPr>
        <w:ind w:left="1480" w:hanging="453"/>
        <w:spacing w:after="0" w:line="188" w:lineRule="auto"/>
        <w:tabs>
          <w:tab w:leader="none" w:pos="1480" w:val="left"/>
        </w:tabs>
        <w:numPr>
          <w:ilvl w:val="0"/>
          <w:numId w:val="75"/>
        </w:numPr>
        <w:rPr>
          <w:rFonts w:ascii="Arial" w:cs="Arial" w:eastAsia="Arial" w:hAnsi="Arial"/>
          <w:sz w:val="16"/>
          <w:szCs w:val="16"/>
          <w:color w:val="auto"/>
          <w:vertAlign w:val="superscript"/>
        </w:rPr>
      </w:pPr>
      <w:r>
        <w:rPr>
          <w:rFonts w:ascii="Arial" w:cs="Arial" w:eastAsia="Arial" w:hAnsi="Arial"/>
          <w:sz w:val="10"/>
          <w:szCs w:val="10"/>
          <w:color w:val="auto"/>
        </w:rPr>
        <w:t>Siddiqi;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0220"/>
          </w:cols>
          <w:pgMar w:left="320" w:top="407" w:right="1359" w:bottom="1440" w:gutter="0" w:footer="0" w:header="0"/>
        </w:sectPr>
      </w:pPr>
    </w:p>
    <w:bookmarkStart w:id="149" w:name="page150"/>
    <w:bookmarkEnd w:id="1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Many borrowers suffer from the effects of inaccurate credit models. Many are approved for a loan that they ultimately will be unable to repay, negatively impacting both the consumer and the lender. Many others may be declined for a loan that they could have successfully repaid if given the opportunity—again doing harm to both consumer and lender. According to an Upstart retrospective study completed in December 2019, four out of five Americans who have taken out a loan have never defaulted, yet less than half of Americans have access to prime credit.</w:t>
      </w:r>
      <w:r>
        <w:rPr>
          <w:rFonts w:ascii="Arial" w:cs="Arial" w:eastAsia="Arial" w:hAnsi="Arial"/>
          <w:sz w:val="12"/>
          <w:szCs w:val="12"/>
          <w:color w:val="auto"/>
        </w:rPr>
        <w:t>80</w:t>
      </w:r>
      <w:r>
        <w:rPr>
          <w:rFonts w:ascii="Arial" w:cs="Arial" w:eastAsia="Arial" w:hAnsi="Arial"/>
          <w:sz w:val="15"/>
          <w:szCs w:val="15"/>
          <w:color w:val="auto"/>
        </w:rPr>
        <w:t xml:space="preserve"> Even consumers with high credit scores tend to pay too much for loans because the rates they pay effectively subsidize the losses from borrowers who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124460</wp:posOffset>
            </wp:positionV>
            <wp:extent cx="2597150" cy="13735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97150" cy="137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Banks Will Continue to be at the Forefront of Consumer Lending</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Banks have been at the forefront of consumer lending in the U.S. for more than a century. They benefit from long-term structural advantages, including a low cost of funding, a unique regulatory framework, and high levels of consumer trust. Through large and reliable deposit bases, banks are able to maintain a very low cost of funds—approximately 1% on average.</w:t>
      </w:r>
      <w:r>
        <w:rPr>
          <w:rFonts w:ascii="Arial" w:cs="Arial" w:eastAsia="Arial" w:hAnsi="Arial"/>
          <w:sz w:val="12"/>
          <w:szCs w:val="12"/>
          <w:color w:val="auto"/>
        </w:rPr>
        <w:t>81</w:t>
      </w:r>
      <w:r>
        <w:rPr>
          <w:rFonts w:ascii="Arial" w:cs="Arial" w:eastAsia="Arial" w:hAnsi="Arial"/>
          <w:sz w:val="15"/>
          <w:szCs w:val="15"/>
          <w:color w:val="auto"/>
        </w:rPr>
        <w:t xml:space="preserve"> These cost savings are passed through to borrowers in the form of lower interest rates, a significant competitive advantage over non-depository lending institutions. Banks also benefit from a regulatory framework that allows them to create nation-wide lending programs that are largely uniform. Given these advantages, we believe that a partnership-based bank enablement approach will be more successful than a disruption strategy.</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Banks Must Undergo a Digital Transformation to Remain Competitive</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largest four U.S. banks spend an estimated $38 billion on technology and innovation annually.</w:t>
      </w:r>
      <w:r>
        <w:rPr>
          <w:rFonts w:ascii="Arial" w:cs="Arial" w:eastAsia="Arial" w:hAnsi="Arial"/>
          <w:sz w:val="12"/>
          <w:szCs w:val="12"/>
          <w:color w:val="auto"/>
        </w:rPr>
        <w:t>82</w:t>
      </w:r>
      <w:r>
        <w:rPr>
          <w:rFonts w:ascii="Arial" w:cs="Arial" w:eastAsia="Arial" w:hAnsi="Arial"/>
          <w:sz w:val="15"/>
          <w:szCs w:val="15"/>
          <w:color w:val="auto"/>
        </w:rPr>
        <w:t xml:space="preserve"> These four banks may attempt to build AI lending models over time, once general market acceptance has been achieved. However, outside the largest four banks, there are approximately 5,200 FDIC insured institutions</w:t>
      </w:r>
      <w:r>
        <w:rPr>
          <w:rFonts w:ascii="Arial" w:cs="Arial" w:eastAsia="Arial" w:hAnsi="Arial"/>
          <w:sz w:val="12"/>
          <w:szCs w:val="12"/>
          <w:color w:val="auto"/>
        </w:rPr>
        <w:t>83</w:t>
      </w:r>
      <w:r>
        <w:rPr>
          <w:rFonts w:ascii="Arial" w:cs="Arial" w:eastAsia="Arial" w:hAnsi="Arial"/>
          <w:sz w:val="15"/>
          <w:szCs w:val="15"/>
          <w:color w:val="auto"/>
        </w:rPr>
        <w:t xml:space="preserve"> that are at risk of falling behind. Despite holding over $8 trillion in deposits,</w:t>
      </w:r>
      <w:r>
        <w:rPr>
          <w:rFonts w:ascii="Arial" w:cs="Arial" w:eastAsia="Arial" w:hAnsi="Arial"/>
          <w:sz w:val="12"/>
          <w:szCs w:val="12"/>
          <w:color w:val="auto"/>
        </w:rPr>
        <w:t>84</w:t>
      </w:r>
      <w:r>
        <w:rPr>
          <w:rFonts w:ascii="Arial" w:cs="Arial" w:eastAsia="Arial" w:hAnsi="Arial"/>
          <w:sz w:val="15"/>
          <w:szCs w:val="15"/>
          <w:color w:val="auto"/>
        </w:rPr>
        <w:t xml:space="preserve"> we believe these banks, particularly small to medium-sized banks, have outdated technology and lack the technical resources of larger banks to fund the digitization process.</w:t>
      </w:r>
    </w:p>
    <w:p>
      <w:pPr>
        <w:spacing w:after="0" w:line="170" w:lineRule="exact"/>
        <w:rPr>
          <w:sz w:val="20"/>
          <w:szCs w:val="20"/>
          <w:color w:val="auto"/>
        </w:rPr>
      </w:pPr>
    </w:p>
    <w:p>
      <w:pPr>
        <w:ind w:left="1020" w:right="320" w:firstLine="460"/>
        <w:spacing w:after="0" w:line="248" w:lineRule="auto"/>
        <w:rPr>
          <w:sz w:val="20"/>
          <w:szCs w:val="20"/>
          <w:color w:val="auto"/>
        </w:rPr>
      </w:pPr>
      <w:r>
        <w:rPr>
          <w:rFonts w:ascii="Arial" w:cs="Arial" w:eastAsia="Arial" w:hAnsi="Arial"/>
          <w:sz w:val="15"/>
          <w:szCs w:val="15"/>
          <w:color w:val="auto"/>
        </w:rPr>
        <w:t>At the same time, consumers are increasingly seeking digital, personalized and automated experiences.</w:t>
      </w:r>
      <w:r>
        <w:rPr>
          <w:rFonts w:ascii="Arial" w:cs="Arial" w:eastAsia="Arial" w:hAnsi="Arial"/>
          <w:sz w:val="12"/>
          <w:szCs w:val="12"/>
          <w:color w:val="auto"/>
        </w:rPr>
        <w:t>85</w:t>
      </w:r>
      <w:r>
        <w:rPr>
          <w:rFonts w:ascii="Arial" w:cs="Arial" w:eastAsia="Arial" w:hAnsi="Arial"/>
          <w:sz w:val="15"/>
          <w:szCs w:val="15"/>
          <w:color w:val="auto"/>
        </w:rPr>
        <w:t xml:space="preserve"> A 2017 Bain survey found that approximately 50% of the U.S. population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61595</wp:posOffset>
            </wp:positionV>
            <wp:extent cx="64389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1" w:lineRule="exact"/>
        <w:rPr>
          <w:sz w:val="20"/>
          <w:szCs w:val="20"/>
          <w:color w:val="auto"/>
        </w:rPr>
      </w:pPr>
    </w:p>
    <w:p>
      <w:pPr>
        <w:ind w:left="1480" w:hanging="453"/>
        <w:spacing w:after="0"/>
        <w:tabs>
          <w:tab w:leader="none" w:pos="1480" w:val="left"/>
        </w:tabs>
        <w:numPr>
          <w:ilvl w:val="0"/>
          <w:numId w:val="76"/>
        </w:numPr>
        <w:rPr>
          <w:rFonts w:ascii="Arial" w:cs="Arial" w:eastAsia="Arial" w:hAnsi="Arial"/>
          <w:sz w:val="20"/>
          <w:szCs w:val="20"/>
          <w:color w:val="auto"/>
          <w:vertAlign w:val="superscript"/>
        </w:rPr>
      </w:pPr>
      <w:r>
        <w:rPr>
          <w:rFonts w:ascii="Arial" w:cs="Arial" w:eastAsia="Arial" w:hAnsi="Arial"/>
          <w:sz w:val="12"/>
          <w:szCs w:val="12"/>
          <w:color w:val="auto"/>
        </w:rPr>
        <w:t>The study defined access to prime credit as individuals with credit reports with VantageScores of 720 or above.</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Federal Home Loan Bank of San Francisco;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Garcia;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5"/>
          <w:szCs w:val="15"/>
          <w:color w:val="auto"/>
          <w:vertAlign w:val="superscript"/>
        </w:rPr>
      </w:pPr>
      <w:r>
        <w:rPr>
          <w:rFonts w:ascii="Arial" w:cs="Arial" w:eastAsia="Arial" w:hAnsi="Arial"/>
          <w:sz w:val="10"/>
          <w:szCs w:val="10"/>
          <w:color w:val="auto"/>
        </w:rPr>
        <w:t>FDIC; see the section titled “Industry, Market and Other Data.”</w:t>
      </w:r>
    </w:p>
    <w:p>
      <w:pPr>
        <w:ind w:left="1480" w:right="160" w:hanging="453"/>
        <w:spacing w:after="0" w:line="182" w:lineRule="auto"/>
        <w:tabs>
          <w:tab w:leader="none" w:pos="1480" w:val="left"/>
        </w:tabs>
        <w:numPr>
          <w:ilvl w:val="0"/>
          <w:numId w:val="76"/>
        </w:numPr>
        <w:rPr>
          <w:rFonts w:ascii="Arial" w:cs="Arial" w:eastAsia="Arial" w:hAnsi="Arial"/>
          <w:sz w:val="19"/>
          <w:szCs w:val="19"/>
          <w:color w:val="auto"/>
          <w:vertAlign w:val="superscript"/>
        </w:rPr>
      </w:pPr>
      <w:r>
        <w:rPr>
          <w:rFonts w:ascii="Arial" w:cs="Arial" w:eastAsia="Arial" w:hAnsi="Arial"/>
          <w:sz w:val="12"/>
          <w:szCs w:val="12"/>
          <w:color w:val="auto"/>
        </w:rPr>
        <w:t>The dollar amount of deposits held by banks, other than the four largest banks, was aggregated by Upstart using data provided by the FDIC; see the section titled “Industry, Market and Other Data.”</w:t>
      </w:r>
    </w:p>
    <w:p>
      <w:pPr>
        <w:ind w:left="1480" w:hanging="453"/>
        <w:spacing w:after="0" w:line="188" w:lineRule="auto"/>
        <w:tabs>
          <w:tab w:leader="none" w:pos="1480" w:val="left"/>
        </w:tabs>
        <w:numPr>
          <w:ilvl w:val="0"/>
          <w:numId w:val="76"/>
        </w:numPr>
        <w:rPr>
          <w:rFonts w:ascii="Arial" w:cs="Arial" w:eastAsia="Arial" w:hAnsi="Arial"/>
          <w:sz w:val="16"/>
          <w:szCs w:val="16"/>
          <w:color w:val="auto"/>
          <w:vertAlign w:val="superscript"/>
        </w:rPr>
      </w:pPr>
      <w:r>
        <w:rPr>
          <w:rFonts w:ascii="Arial" w:cs="Arial" w:eastAsia="Arial" w:hAnsi="Arial"/>
          <w:sz w:val="10"/>
          <w:szCs w:val="10"/>
          <w:color w:val="auto"/>
        </w:rPr>
        <w:t>Bain, PwC and RedPoint Global;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0200"/>
          </w:cols>
          <w:pgMar w:left="320" w:top="407" w:right="1379" w:bottom="1440" w:gutter="0" w:footer="0" w:header="0"/>
        </w:sectPr>
      </w:pPr>
    </w:p>
    <w:bookmarkStart w:id="150" w:name="page151"/>
    <w:bookmarkEnd w:id="1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1020" w:right="420"/>
        <w:spacing w:after="0" w:line="248" w:lineRule="auto"/>
        <w:rPr>
          <w:sz w:val="20"/>
          <w:szCs w:val="20"/>
          <w:color w:val="auto"/>
        </w:rPr>
      </w:pPr>
      <w:r>
        <w:rPr>
          <w:rFonts w:ascii="Arial" w:cs="Arial" w:eastAsia="Arial" w:hAnsi="Arial"/>
          <w:sz w:val="15"/>
          <w:szCs w:val="15"/>
          <w:color w:val="auto"/>
        </w:rPr>
        <w:t>comfortable buying financial products from technology companies.</w:t>
      </w:r>
      <w:r>
        <w:rPr>
          <w:rFonts w:ascii="Arial" w:cs="Arial" w:eastAsia="Arial" w:hAnsi="Arial"/>
          <w:sz w:val="12"/>
          <w:szCs w:val="12"/>
          <w:color w:val="auto"/>
        </w:rPr>
        <w:t>86</w:t>
      </w:r>
      <w:r>
        <w:rPr>
          <w:rFonts w:ascii="Arial" w:cs="Arial" w:eastAsia="Arial" w:hAnsi="Arial"/>
          <w:sz w:val="15"/>
          <w:szCs w:val="15"/>
          <w:color w:val="auto"/>
        </w:rPr>
        <w:t xml:space="preserve"> We believe that as consumers, both young and old, move their financial lives online, small and medium-sized banks will be increasingly ill-equipped to serve them.</w:t>
      </w:r>
    </w:p>
    <w:p>
      <w:pPr>
        <w:spacing w:after="0" w:line="164"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We believe that these trends have been accelerated by the COVID-19 pandemic, as the lack of access to physical bank branches has increased the banking industry’s focus on digital capabilities. The performance of our platform through this crisis has also given existing and prospective bank partners an important new data point to underpin their growing confidence in our solution.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Increasing Recognition from Regulators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Many regulators including the FDIC, the OCC, the Federal Reserve and the CFPB increasingly recognize the opportunity to modernize techniques used in lending.</w:t>
      </w:r>
      <w:r>
        <w:rPr>
          <w:rFonts w:ascii="Arial" w:cs="Arial" w:eastAsia="Arial" w:hAnsi="Arial"/>
          <w:sz w:val="12"/>
          <w:szCs w:val="12"/>
          <w:color w:val="auto"/>
        </w:rPr>
        <w:t>87</w:t>
      </w:r>
      <w:r>
        <w:rPr>
          <w:rFonts w:ascii="Arial" w:cs="Arial" w:eastAsia="Arial" w:hAnsi="Arial"/>
          <w:sz w:val="15"/>
          <w:szCs w:val="15"/>
          <w:color w:val="auto"/>
        </w:rPr>
        <w:t xml:space="preserve"> In December 2019, these agencies issued an inter-agency report in support of the use of alternative data in lending decisions.</w:t>
      </w:r>
      <w:r>
        <w:rPr>
          <w:rFonts w:ascii="Arial" w:cs="Arial" w:eastAsia="Arial" w:hAnsi="Arial"/>
          <w:sz w:val="12"/>
          <w:szCs w:val="12"/>
          <w:color w:val="auto"/>
        </w:rPr>
        <w:t>88</w:t>
      </w:r>
      <w:r>
        <w:rPr>
          <w:rFonts w:ascii="Arial" w:cs="Arial" w:eastAsia="Arial" w:hAnsi="Arial"/>
          <w:sz w:val="15"/>
          <w:szCs w:val="15"/>
          <w:color w:val="auto"/>
        </w:rPr>
        <w:t xml:space="preserve"> Additionally, in November 2019, the CFPB director noted that despite external uncertainty regarding how AI will fit into regulatory frameworks, the CFPB is focused on ensuring a path to regulatory clarity because it recognizes the value AI lending products can offer consumers.</w:t>
      </w:r>
      <w:r>
        <w:rPr>
          <w:rFonts w:ascii="Arial" w:cs="Arial" w:eastAsia="Arial" w:hAnsi="Arial"/>
          <w:sz w:val="12"/>
          <w:szCs w:val="12"/>
          <w:color w:val="auto"/>
        </w:rPr>
        <w:t>89</w:t>
      </w:r>
      <w:r>
        <w:rPr>
          <w:rFonts w:ascii="Arial" w:cs="Arial" w:eastAsia="Arial" w:hAnsi="Arial"/>
          <w:sz w:val="15"/>
          <w:szCs w:val="15"/>
          <w:color w:val="auto"/>
        </w:rPr>
        <w:t xml:space="preserve"> In fact, in 2017, in response to a request by Upstart, the CFPB issued Upstart the first no-action letter, which provides that the CFPB has no present intention to recommend enforcement action with regard to the application of the Equal Credit Opportunity Act against Upstart for its use of alternative variables and AI and machine learning in credit decision-making.</w:t>
      </w:r>
      <w:r>
        <w:rPr>
          <w:rFonts w:ascii="Arial" w:cs="Arial" w:eastAsia="Arial" w:hAnsi="Arial"/>
          <w:sz w:val="12"/>
          <w:szCs w:val="12"/>
          <w:color w:val="auto"/>
        </w:rPr>
        <w:t>90</w:t>
      </w:r>
      <w:r>
        <w:rPr>
          <w:rFonts w:ascii="Arial" w:cs="Arial" w:eastAsia="Arial" w:hAnsi="Arial"/>
          <w:sz w:val="15"/>
          <w:szCs w:val="15"/>
          <w:color w:val="auto"/>
        </w:rPr>
        <w:t xml:space="preserve"> This no-action letter expired on December 1, 2020. On November 30, 2020, the CFPB issued a new no-action letter to Upstart under the CFPB’s revised 2018 policy on no-action letters. This new no-action letter, which will expire on November 30, 2023, covers the use of our AI model to underwrite and price unsecured closed-end loans, and is conditional on our implementation of a Model Risk Assessment Plan that was developed with the CFPB.</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The AI Opportunity</w:t>
      </w:r>
    </w:p>
    <w:p>
      <w:pPr>
        <w:spacing w:after="0" w:line="193" w:lineRule="exact"/>
        <w:rPr>
          <w:sz w:val="20"/>
          <w:szCs w:val="20"/>
          <w:color w:val="auto"/>
        </w:rPr>
      </w:pPr>
    </w:p>
    <w:p>
      <w:pPr>
        <w:ind w:left="1020" w:right="100" w:firstLine="460"/>
        <w:spacing w:after="0" w:line="241" w:lineRule="auto"/>
        <w:rPr>
          <w:sz w:val="20"/>
          <w:szCs w:val="20"/>
          <w:color w:val="auto"/>
        </w:rPr>
      </w:pPr>
      <w:r>
        <w:rPr>
          <w:rFonts w:ascii="Arial" w:cs="Arial" w:eastAsia="Arial" w:hAnsi="Arial"/>
          <w:sz w:val="15"/>
          <w:szCs w:val="15"/>
          <w:color w:val="auto"/>
        </w:rPr>
        <w:t>AI has the potential to add $13 trillion to the current global economic output by 2030, a 16% increase over today’s output.</w:t>
      </w:r>
      <w:r>
        <w:rPr>
          <w:rFonts w:ascii="Arial" w:cs="Arial" w:eastAsia="Arial" w:hAnsi="Arial"/>
          <w:sz w:val="12"/>
          <w:szCs w:val="12"/>
          <w:color w:val="auto"/>
        </w:rPr>
        <w:t>91</w:t>
      </w:r>
      <w:r>
        <w:rPr>
          <w:rFonts w:ascii="Arial" w:cs="Arial" w:eastAsia="Arial" w:hAnsi="Arial"/>
          <w:sz w:val="15"/>
          <w:szCs w:val="15"/>
          <w:color w:val="auto"/>
        </w:rPr>
        <w:t xml:space="preserve"> According to the McKinsey Global Institute, AI will be slowly adopted in its early stages, followed by steep acceleration as the technology matures and companies learn how to best deploy it.</w:t>
      </w:r>
      <w:r>
        <w:rPr>
          <w:rFonts w:ascii="Arial" w:cs="Arial" w:eastAsia="Arial" w:hAnsi="Arial"/>
          <w:sz w:val="12"/>
          <w:szCs w:val="12"/>
          <w:color w:val="auto"/>
        </w:rPr>
        <w:t>92</w:t>
      </w:r>
      <w:r>
        <w:rPr>
          <w:rFonts w:ascii="Arial" w:cs="Arial" w:eastAsia="Arial" w:hAnsi="Arial"/>
          <w:sz w:val="15"/>
          <w:szCs w:val="15"/>
          <w:color w:val="auto"/>
        </w:rPr>
        <w:t xml:space="preserve"> We believe the lending industry will follow this path.</w:t>
      </w:r>
    </w:p>
    <w:p>
      <w:pPr>
        <w:spacing w:after="0" w:line="170"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Lending is a compelling application for AI. First, it involves sophisticated decisioning for events that occur millions of times each day. Second, there is an almost unlimited supply of data that has the potential to be predictive and improve the accuracy of credit decisions. Third, given the costs and risks associated with lending, the economic wins from AI are dramatic for both banks and consumers. This means that the significant investment required to overcome the technical and regulatory hurdles is well worth the effort.</w:t>
      </w:r>
    </w:p>
    <w:p>
      <w:pPr>
        <w:spacing w:after="0" w:line="172"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With our eight-year head start, our AI lending platform is well-positioned to power a significant portion of the U.S. credit market. To date, we have focused on the unsecured personal loan market, one of the fastest-growing segment of consumer credit.</w:t>
      </w:r>
      <w:r>
        <w:rPr>
          <w:rFonts w:ascii="Arial" w:cs="Arial" w:eastAsia="Arial" w:hAnsi="Arial"/>
          <w:sz w:val="12"/>
          <w:szCs w:val="12"/>
          <w:color w:val="auto"/>
        </w:rPr>
        <w:t>93</w:t>
      </w:r>
      <w:r>
        <w:rPr>
          <w:rFonts w:ascii="Arial" w:cs="Arial" w:eastAsia="Arial" w:hAnsi="Arial"/>
          <w:sz w:val="15"/>
          <w:szCs w:val="15"/>
          <w:color w:val="auto"/>
        </w:rPr>
        <w:t xml:space="preserve"> From April 2019 to March 2020, there were $118 billion</w:t>
      </w:r>
      <w:r>
        <w:rPr>
          <w:rFonts w:ascii="Arial" w:cs="Arial" w:eastAsia="Arial" w:hAnsi="Arial"/>
          <w:sz w:val="12"/>
          <w:szCs w:val="12"/>
          <w:color w:val="auto"/>
        </w:rPr>
        <w:t>94</w:t>
      </w:r>
      <w:r>
        <w:rPr>
          <w:rFonts w:ascii="Arial" w:cs="Arial" w:eastAsia="Arial" w:hAnsi="Arial"/>
          <w:sz w:val="15"/>
          <w:szCs w:val="15"/>
          <w:color w:val="auto"/>
        </w:rPr>
        <w:t xml:space="preserve"> in U.S. unsecured personal loan originations, representing 8% growth over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77"/>
        </w:numPr>
        <w:rPr>
          <w:rFonts w:ascii="Arial" w:cs="Arial" w:eastAsia="Arial" w:hAnsi="Arial"/>
          <w:sz w:val="20"/>
          <w:szCs w:val="20"/>
          <w:color w:val="auto"/>
          <w:vertAlign w:val="superscript"/>
        </w:rPr>
      </w:pPr>
      <w:r>
        <w:rPr>
          <w:rFonts w:ascii="Arial" w:cs="Arial" w:eastAsia="Arial" w:hAnsi="Arial"/>
          <w:sz w:val="12"/>
          <w:szCs w:val="12"/>
          <w:color w:val="auto"/>
        </w:rPr>
        <w:t>Bain;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FDIC Interagency Statement;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FDIC Interagency Statement;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Kraninger;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McKinsey;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5"/>
          <w:szCs w:val="15"/>
          <w:color w:val="auto"/>
          <w:vertAlign w:val="superscript"/>
        </w:rPr>
      </w:pPr>
      <w:r>
        <w:rPr>
          <w:rFonts w:ascii="Arial" w:cs="Arial" w:eastAsia="Arial" w:hAnsi="Arial"/>
          <w:sz w:val="10"/>
          <w:szCs w:val="10"/>
          <w:color w:val="auto"/>
        </w:rPr>
        <w:t>Beiseitov; see the section titled “Industry, Market and Other Data.”</w:t>
      </w:r>
    </w:p>
    <w:p>
      <w:pPr>
        <w:ind w:left="1480" w:hanging="453"/>
        <w:spacing w:after="0" w:line="188" w:lineRule="auto"/>
        <w:tabs>
          <w:tab w:leader="none" w:pos="1480" w:val="left"/>
        </w:tabs>
        <w:numPr>
          <w:ilvl w:val="0"/>
          <w:numId w:val="77"/>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0180"/>
          </w:cols>
          <w:pgMar w:left="320" w:top="407" w:right="1399" w:bottom="1440" w:gutter="0" w:footer="0" w:header="0"/>
        </w:sectPr>
      </w:pPr>
    </w:p>
    <w:bookmarkStart w:id="151" w:name="page152"/>
    <w:bookmarkEnd w:id="1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7" w:lineRule="exact"/>
        <w:rPr>
          <w:sz w:val="20"/>
          <w:szCs w:val="20"/>
          <w:color w:val="auto"/>
        </w:rPr>
      </w:pPr>
    </w:p>
    <w:p>
      <w:pPr>
        <w:ind w:left="1020" w:right="60"/>
        <w:spacing w:after="0" w:line="237" w:lineRule="auto"/>
        <w:rPr>
          <w:sz w:val="20"/>
          <w:szCs w:val="20"/>
          <w:color w:val="auto"/>
        </w:rPr>
      </w:pPr>
      <w:r>
        <w:rPr>
          <w:rFonts w:ascii="Arial" w:cs="Arial" w:eastAsia="Arial" w:hAnsi="Arial"/>
          <w:sz w:val="15"/>
          <w:szCs w:val="15"/>
          <w:color w:val="auto"/>
        </w:rPr>
        <w:t>In the same period, we facilitated the origination of $3.5 billion in unsecured personal loans, or less than 5% of the total market.</w:t>
      </w:r>
      <w:r>
        <w:rPr>
          <w:rFonts w:ascii="Arial" w:cs="Arial" w:eastAsia="Arial" w:hAnsi="Arial"/>
          <w:sz w:val="12"/>
          <w:szCs w:val="12"/>
          <w:color w:val="auto"/>
        </w:rPr>
        <w:t>95</w:t>
      </w:r>
      <w:r>
        <w:rPr>
          <w:rFonts w:ascii="Arial" w:cs="Arial" w:eastAsia="Arial" w:hAnsi="Arial"/>
          <w:sz w:val="15"/>
          <w:szCs w:val="15"/>
          <w:color w:val="auto"/>
        </w:rPr>
        <w:t xml:space="preserve"> We not only have a large opportunity to capture market share in unsecured personal loans, but by applying our AI models and technology to adjacent opportunities, we believe we are well-positioned to address the U.S. auto loan, credit card and mortgage markets. From April 2019 to March 2020, there were $625 billion in U.S. auto loan originations, $363 billion in U.S. credit card originations and $2.5 trillion in U.S. mortgage originations.</w:t>
      </w:r>
      <w:r>
        <w:rPr>
          <w:rFonts w:ascii="Arial" w:cs="Arial" w:eastAsia="Arial" w:hAnsi="Arial"/>
          <w:sz w:val="12"/>
          <w:szCs w:val="12"/>
          <w:color w:val="auto"/>
        </w:rPr>
        <w:t>96</w:t>
      </w:r>
      <w:r>
        <w:rPr>
          <w:rFonts w:ascii="Arial" w:cs="Arial" w:eastAsia="Arial" w:hAnsi="Arial"/>
          <w:sz w:val="15"/>
          <w:szCs w:val="15"/>
          <w:color w:val="auto"/>
        </w:rPr>
        <w:t xml:space="preserve"> In June 2020, we began offering auto loans on our platform, and in September 2020, the first auto loan was originated through the Upstart platform. Over time, we believe we are also capable of capturing market share in student loans, point-of-sales loans and HELOCs.</w:t>
      </w:r>
    </w:p>
    <w:p>
      <w:pPr>
        <w:spacing w:after="0" w:line="245"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Our AI Lending Platform</w:t>
      </w:r>
    </w:p>
    <w:p>
      <w:pPr>
        <w:spacing w:after="0" w:line="195"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Our AI models are central to our value proposition and unique position in the industry. Our models incorporate more than 1,600 variables, which are analogous to the columns in a spreadsheet. They have been trained by more than 9 million repayment events, analogous to rows of data in a spreadsheet. Interpreting these almost 15 billion cells of data are increasingly sophisticated machine learning algorithms that enable a more predictive model.</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These elements of our model are co-dependent; the use of hundreds or thousands of variables is impractical without sophisticated machine learning algorithms to tease out the interactions between them. And sophisticated machine learning depends on large volumes of training data. Over time, we have been able to deploy and blend more sophisticated modeling techniques, leading to a more accurate system. This co-dependency presents a challenge to others who may aim to short-circuit the development of a competitive model. While incumbent lenders may have vast quantities of historical repayment data, their training data lacks the hundreds of columns, or variables, that power our model. For more details regarding the variables, training data, and algorithms in our models, please see “Business— Evolution of Upstart’s AI Model.”</w:t>
      </w:r>
    </w:p>
    <w:p>
      <w:pPr>
        <w:spacing w:after="0" w:line="17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Despite their sophistication, our AI models are delivered to banks in the form of a simple cloud application that shields borrowers from the underlying complexity. Additionally, our platform allows banks to tailor lending applications based on their policies and business needs. Our bank partners can configure many aspects of their lending programs, including factors such as loan duration, loan amount, minimum credit score, maximum debt-to-income ratio and return target by risk grade. Within the construct of each bank’s self-defined lending program, our platform enables the origination of conforming and compliant loans at a low per-loan cost.</w:t>
      </w:r>
    </w:p>
    <w:p>
      <w:pPr>
        <w:spacing w:after="0" w:line="170"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Our platform benefits from powerful flywheel effects that drive continuous improvements as our business scales. Our platform benefits first from increasingly sophisticated models, variable expansion and rapid growth of training data. Upgrades to our platform allow us to offer higher approval rates and lower interest rates to consumers, which increases the number of borrowers on our platform. Upgrades to our platform also lead to better borrower selection, which lowers losses and lowers interest rates to borrowers. The flywheel effect created by self-reinforcing AI increases the economic opportunity that can be shared by borrowers and lenders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8" w:lineRule="exact"/>
        <w:rPr>
          <w:sz w:val="20"/>
          <w:szCs w:val="20"/>
          <w:color w:val="auto"/>
        </w:rPr>
      </w:pPr>
    </w:p>
    <w:p>
      <w:pPr>
        <w:ind w:left="1480" w:hanging="453"/>
        <w:spacing w:after="0"/>
        <w:tabs>
          <w:tab w:leader="none" w:pos="1480" w:val="left"/>
        </w:tabs>
        <w:numPr>
          <w:ilvl w:val="0"/>
          <w:numId w:val="78"/>
        </w:numPr>
        <w:rPr>
          <w:rFonts w:ascii="Arial" w:cs="Arial" w:eastAsia="Arial" w:hAnsi="Arial"/>
          <w:sz w:val="20"/>
          <w:szCs w:val="20"/>
          <w:color w:val="auto"/>
          <w:vertAlign w:val="superscript"/>
        </w:rPr>
      </w:pPr>
      <w:r>
        <w:rPr>
          <w:rFonts w:ascii="Arial" w:cs="Arial" w:eastAsia="Arial" w:hAnsi="Arial"/>
          <w:sz w:val="12"/>
          <w:szCs w:val="12"/>
          <w:color w:val="auto"/>
        </w:rPr>
        <w:t>Based on loan origination dollar amounts published by TransUnion; see the section titled “Industry, Market and Other Data.”</w:t>
      </w:r>
    </w:p>
    <w:p>
      <w:pPr>
        <w:ind w:left="1480" w:hanging="453"/>
        <w:spacing w:after="0" w:line="188" w:lineRule="auto"/>
        <w:tabs>
          <w:tab w:leader="none" w:pos="1480" w:val="left"/>
        </w:tabs>
        <w:numPr>
          <w:ilvl w:val="0"/>
          <w:numId w:val="78"/>
        </w:numPr>
        <w:rPr>
          <w:rFonts w:ascii="Arial" w:cs="Arial" w:eastAsia="Arial" w:hAnsi="Arial"/>
          <w:sz w:val="16"/>
          <w:szCs w:val="16"/>
          <w:color w:val="auto"/>
          <w:vertAlign w:val="superscript"/>
        </w:rPr>
      </w:pPr>
      <w:r>
        <w:rPr>
          <w:rFonts w:ascii="Arial" w:cs="Arial" w:eastAsia="Arial" w:hAnsi="Arial"/>
          <w:sz w:val="10"/>
          <w:szCs w:val="10"/>
          <w:color w:val="auto"/>
        </w:rPr>
        <w:t>Based on loan origination dollar amounts published by TransUnion;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0200"/>
          </w:cols>
          <w:pgMar w:left="320" w:top="407" w:right="1379" w:bottom="1440" w:gutter="0" w:footer="0" w:header="0"/>
        </w:sectPr>
      </w:pPr>
    </w:p>
    <w:bookmarkStart w:id="152" w:name="page153"/>
    <w:bookmarkEnd w:id="1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Upstart’s AI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2025650</wp:posOffset>
            </wp:positionH>
            <wp:positionV relativeFrom="paragraph">
              <wp:posOffset>74295</wp:posOffset>
            </wp:positionV>
            <wp:extent cx="3098165" cy="1409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098165" cy="140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Our Ecosystem</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platform connects consumers, banks and institutional investors through a shared AI lending platform. Because AI is a new and disruptive technology, and banking is a traditionally conservative industry, we have brought our technology to market in a way that allows us to grow rapidly and improve on our AI models, while allowing banks to take a prudent and responsible approach to assessing and adopting our platform.</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On the consumer side, we aggregate demand on Upstart.com, where consumers are presented with bank-branded offers from our bank partners. In this way, we benefit banks who have adopted our AI lending technology. Bank partners can also offer Upstart-powered loans through a white-labeled interface on their own website or mobile application. Consumers on our platform are generally offered unsecured personal loans ranging from $1,000 to $50,000 in size, at APRs typically ranging from approximately 6.5% to 35.99%, with terms typically ranging from three to five years, with a monthly repayment schedule and no prepayment penalty.</w:t>
      </w:r>
    </w:p>
    <w:p>
      <w:pPr>
        <w:spacing w:after="0" w:line="170"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On the funding side, our bank partners can retain loans that align with their business and risk objectives, while the remainder can be sold to our network of institutional investors, which have far broader and more diverse capacity to absorb and distribute risk. This flexible approach allows banks to adopt AI lending at their own pace, while we continue to grow and improve our platform.</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0160"/>
          </w:cols>
          <w:pgMar w:left="320" w:top="407" w:right="1419" w:bottom="1440" w:gutter="0" w:footer="0" w:header="0"/>
        </w:sectPr>
      </w:pPr>
    </w:p>
    <w:bookmarkStart w:id="153" w:name="page154"/>
    <w:bookmarkEnd w:id="1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Upstart’s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74295</wp:posOffset>
            </wp:positionV>
            <wp:extent cx="4371975" cy="2053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71975" cy="2053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Value Proposition to Consumers</w:t>
      </w:r>
    </w:p>
    <w:p>
      <w:pPr>
        <w:spacing w:after="0" w:line="100" w:lineRule="exact"/>
        <w:rPr>
          <w:sz w:val="20"/>
          <w:szCs w:val="20"/>
          <w:color w:val="auto"/>
        </w:rPr>
      </w:pPr>
    </w:p>
    <w:p>
      <w:pPr>
        <w:ind w:left="1660" w:right="60" w:hanging="183"/>
        <w:spacing w:after="0" w:line="246"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Higher approval rates and lower interest rates</w:t>
      </w:r>
      <w:r>
        <w:rPr>
          <w:rFonts w:ascii="Arial" w:cs="Arial" w:eastAsia="Arial" w:hAnsi="Arial"/>
          <w:sz w:val="15"/>
          <w:szCs w:val="15"/>
          <w:color w:val="auto"/>
        </w:rPr>
        <w:t>—The CFPB reported that a study by Upstart of its data using a methodology</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by the CFPB, showed that our AI model approves 27% more borrowers than high-quality traditional lending models with a 16% lower average APR for approved loans.</w:t>
      </w:r>
      <w:r>
        <w:rPr>
          <w:rFonts w:ascii="Arial" w:cs="Arial" w:eastAsia="Arial" w:hAnsi="Arial"/>
          <w:sz w:val="12"/>
          <w:szCs w:val="12"/>
          <w:color w:val="auto"/>
        </w:rPr>
        <w:t>97</w:t>
      </w:r>
      <w:r>
        <w:rPr>
          <w:rFonts w:ascii="Arial" w:cs="Arial" w:eastAsia="Arial" w:hAnsi="Arial"/>
          <w:sz w:val="15"/>
          <w:szCs w:val="15"/>
          <w:color w:val="auto"/>
        </w:rPr>
        <w:t xml:space="preserve"> Our analyses suggest that our loan offers have improved significantly over time relative to those of competitors.</w:t>
      </w:r>
      <w:r>
        <w:rPr>
          <w:rFonts w:ascii="Arial" w:cs="Arial" w:eastAsia="Arial" w:hAnsi="Arial"/>
          <w:sz w:val="12"/>
          <w:szCs w:val="12"/>
          <w:color w:val="auto"/>
        </w:rPr>
        <w:t>98</w:t>
      </w:r>
    </w:p>
    <w:p>
      <w:pPr>
        <w:spacing w:after="0" w:line="70" w:lineRule="exact"/>
        <w:rPr>
          <w:rFonts w:ascii="Arial" w:cs="Arial" w:eastAsia="Arial" w:hAnsi="Arial"/>
          <w:sz w:val="15"/>
          <w:szCs w:val="15"/>
          <w:color w:val="auto"/>
        </w:rPr>
      </w:pPr>
    </w:p>
    <w:p>
      <w:pPr>
        <w:ind w:left="1660" w:right="20" w:hanging="183"/>
        <w:spacing w:after="0" w:line="241"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i w:val="1"/>
          <w:iCs w:val="1"/>
          <w:color w:val="auto"/>
        </w:rPr>
        <w:t>Superior digital experience</w:t>
      </w:r>
      <w:r>
        <w:rPr>
          <w:rFonts w:ascii="Arial" w:cs="Arial" w:eastAsia="Arial" w:hAnsi="Arial"/>
          <w:sz w:val="15"/>
          <w:szCs w:val="15"/>
          <w:color w:val="auto"/>
        </w:rPr>
        <w:t>—Whether consumers apply for a loan through Upstart.com or directly through a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website, the application experience is streamlined into a single application process and the loan offers provided are firm. In the third quarter of 2020, approximately 70% of Upstart-powered loans were instantly approved with no document upload or phone call required, an increase from 0% in late 2016. Such automation improvements were due in large part to improvements to our AI models and the application of such models to different aspects of the loan process, including data verification and fraud detection.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Value Proposition to Bank Partners</w:t>
      </w:r>
    </w:p>
    <w:p>
      <w:pPr>
        <w:spacing w:after="0" w:line="100" w:lineRule="exact"/>
        <w:rPr>
          <w:sz w:val="20"/>
          <w:szCs w:val="20"/>
          <w:color w:val="auto"/>
        </w:rPr>
      </w:pPr>
    </w:p>
    <w:p>
      <w:pPr>
        <w:ind w:left="1660" w:hanging="183"/>
        <w:spacing w:after="0" w:line="251"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Competitive digital lending experience</w:t>
      </w:r>
      <w:r>
        <w:rPr>
          <w:rFonts w:ascii="Arial" w:cs="Arial" w:eastAsia="Arial" w:hAnsi="Arial"/>
          <w:sz w:val="15"/>
          <w:szCs w:val="15"/>
          <w:color w:val="auto"/>
        </w:rPr>
        <w:t>—We provide regional banks and credit unions with a cost effective way to compete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technology budgets of their much larger competitors. The NPS for our bank partners’ lending programs are approximately 79, well above published benchmarks for the largest banks.</w:t>
      </w:r>
      <w:r>
        <w:rPr>
          <w:rFonts w:ascii="Arial" w:cs="Arial" w:eastAsia="Arial" w:hAnsi="Arial"/>
          <w:sz w:val="12"/>
          <w:szCs w:val="12"/>
          <w:color w:val="auto"/>
        </w:rPr>
        <w:t>99</w:t>
      </w:r>
    </w:p>
    <w:p>
      <w:pPr>
        <w:spacing w:after="0" w:line="67" w:lineRule="exact"/>
        <w:rPr>
          <w:rFonts w:ascii="Arial" w:cs="Arial" w:eastAsia="Arial" w:hAnsi="Arial"/>
          <w:sz w:val="15"/>
          <w:szCs w:val="15"/>
          <w:color w:val="auto"/>
        </w:rPr>
      </w:pPr>
    </w:p>
    <w:p>
      <w:pPr>
        <w:ind w:left="1660" w:right="200" w:hanging="183"/>
        <w:spacing w:after="0" w:line="251"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Expanded customer base</w:t>
      </w:r>
      <w:r>
        <w:rPr>
          <w:rFonts w:ascii="Arial" w:cs="Arial" w:eastAsia="Arial" w:hAnsi="Arial"/>
          <w:sz w:val="15"/>
          <w:szCs w:val="15"/>
          <w:color w:val="auto"/>
        </w:rPr>
        <w:t>—We refer customers that apply for loans through Upstart.com to our bank partners, helping them</w:t>
      </w:r>
      <w:r>
        <w:rPr>
          <w:rFonts w:ascii="Arial" w:cs="Arial" w:eastAsia="Arial" w:hAnsi="Arial"/>
          <w:sz w:val="15"/>
          <w:szCs w:val="15"/>
          <w:i w:val="1"/>
          <w:iCs w:val="1"/>
          <w:color w:val="auto"/>
        </w:rPr>
        <w:t xml:space="preserve"> </w:t>
      </w:r>
      <w:r>
        <w:rPr>
          <w:rFonts w:ascii="Arial" w:cs="Arial" w:eastAsia="Arial" w:hAnsi="Arial"/>
          <w:sz w:val="15"/>
          <w:szCs w:val="15"/>
          <w:color w:val="auto"/>
        </w:rPr>
        <w:t>grow both loan volumes and number of customers. The most common age of Upstart-referred borrowers in the third quarter of 2020 was 28 years old, a compelling demographic that is often challenging for banks to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60325</wp:posOffset>
            </wp:positionV>
            <wp:extent cx="64389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0" w:lineRule="exact"/>
        <w:rPr>
          <w:sz w:val="20"/>
          <w:szCs w:val="20"/>
          <w:color w:val="auto"/>
        </w:rPr>
      </w:pPr>
    </w:p>
    <w:p>
      <w:pPr>
        <w:ind w:left="1480" w:hanging="453"/>
        <w:spacing w:after="0"/>
        <w:tabs>
          <w:tab w:leader="none" w:pos="148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480" w:hanging="453"/>
        <w:spacing w:after="0" w:line="182" w:lineRule="auto"/>
        <w:tabs>
          <w:tab w:leader="none" w:pos="1480" w:val="left"/>
        </w:tabs>
        <w:numPr>
          <w:ilvl w:val="0"/>
          <w:numId w:val="81"/>
        </w:numPr>
        <w:rPr>
          <w:rFonts w:ascii="Arial" w:cs="Arial" w:eastAsia="Arial" w:hAnsi="Arial"/>
          <w:sz w:val="19"/>
          <w:szCs w:val="19"/>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ind w:left="1480" w:hanging="453"/>
        <w:spacing w:after="0" w:line="210" w:lineRule="auto"/>
        <w:tabs>
          <w:tab w:leader="none" w:pos="1480" w:val="left"/>
        </w:tabs>
        <w:numPr>
          <w:ilvl w:val="0"/>
          <w:numId w:val="81"/>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The disclosed figure represents the weighted average of the Net Promoter Scores of each of our bank partners in the third quarter of 2020. While the Net Promoter Score methodology used by Upstart’s third-party service was designed to be consistent with the methodology used in the referenced benchmark study, any differences in the timing or method in which the surveys were administered could negatively impact the comparability of such Net Promoter Scores. For further information, see the section titled “Industry, Market and Other Data.”</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0220"/>
          </w:cols>
          <w:pgMar w:left="320" w:top="407" w:right="135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right="100" w:hanging="183"/>
        <w:spacing w:after="0" w:line="267"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Lower loss rates</w:t>
      </w:r>
      <w:r>
        <w:rPr>
          <w:rFonts w:ascii="Arial" w:cs="Arial" w:eastAsia="Arial" w:hAnsi="Arial"/>
          <w:sz w:val="15"/>
          <w:szCs w:val="15"/>
          <w:color w:val="auto"/>
        </w:rPr>
        <w:t>—An internal study comparing our model to that of several large U.S. banks found that our model could enable</w:t>
      </w:r>
      <w:r>
        <w:rPr>
          <w:rFonts w:ascii="Arial" w:cs="Arial" w:eastAsia="Arial" w:hAnsi="Arial"/>
          <w:sz w:val="15"/>
          <w:szCs w:val="15"/>
          <w:i w:val="1"/>
          <w:iCs w:val="1"/>
          <w:color w:val="auto"/>
        </w:rPr>
        <w:t xml:space="preserve"> </w:t>
      </w:r>
      <w:r>
        <w:rPr>
          <w:rFonts w:ascii="Arial" w:cs="Arial" w:eastAsia="Arial" w:hAnsi="Arial"/>
          <w:sz w:val="15"/>
          <w:szCs w:val="15"/>
          <w:color w:val="auto"/>
        </w:rPr>
        <w:t>these banks to lower loss rates by almost 75% while keeping approval rates constant.</w:t>
      </w:r>
      <w:r>
        <w:rPr>
          <w:rFonts w:ascii="Arial" w:cs="Arial" w:eastAsia="Arial" w:hAnsi="Arial"/>
          <w:sz w:val="12"/>
          <w:szCs w:val="12"/>
          <w:color w:val="auto"/>
        </w:rPr>
        <w:t>100</w:t>
      </w:r>
    </w:p>
    <w:p>
      <w:pPr>
        <w:spacing w:after="0" w:line="55" w:lineRule="exact"/>
        <w:rPr>
          <w:rFonts w:ascii="Arial" w:cs="Arial" w:eastAsia="Arial" w:hAnsi="Arial"/>
          <w:sz w:val="15"/>
          <w:szCs w:val="15"/>
          <w:color w:val="auto"/>
        </w:rPr>
      </w:pPr>
    </w:p>
    <w:p>
      <w:pPr>
        <w:ind w:left="1660" w:right="100" w:hanging="183"/>
        <w:spacing w:after="0" w:line="267"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New product offering</w:t>
      </w:r>
      <w:r>
        <w:rPr>
          <w:rFonts w:ascii="Arial" w:cs="Arial" w:eastAsia="Arial" w:hAnsi="Arial"/>
          <w:sz w:val="15"/>
          <w:szCs w:val="15"/>
          <w:color w:val="auto"/>
        </w:rPr>
        <w:t>—Personal loans are one of the fastest-growing segment of credit in the U.S.</w:t>
      </w:r>
      <w:r>
        <w:rPr>
          <w:rFonts w:ascii="Arial" w:cs="Arial" w:eastAsia="Arial" w:hAnsi="Arial"/>
          <w:sz w:val="12"/>
          <w:szCs w:val="12"/>
          <w:color w:val="auto"/>
        </w:rPr>
        <w:t>101</w:t>
      </w:r>
      <w:r>
        <w:rPr>
          <w:rFonts w:ascii="Arial" w:cs="Arial" w:eastAsia="Arial" w:hAnsi="Arial"/>
          <w:sz w:val="15"/>
          <w:szCs w:val="15"/>
          <w:i w:val="1"/>
          <w:iCs w:val="1"/>
          <w:color w:val="auto"/>
        </w:rPr>
        <w:t xml:space="preserve"> </w:t>
      </w:r>
      <w:r>
        <w:rPr>
          <w:rFonts w:ascii="Arial" w:cs="Arial" w:eastAsia="Arial" w:hAnsi="Arial"/>
          <w:sz w:val="15"/>
          <w:szCs w:val="15"/>
          <w:color w:val="auto"/>
        </w:rPr>
        <w:t>Our platform helps banks</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a product their customers want, rather than letting customers seek loans from competitors.</w:t>
      </w:r>
    </w:p>
    <w:p>
      <w:pPr>
        <w:spacing w:after="0" w:line="55" w:lineRule="exact"/>
        <w:rPr>
          <w:rFonts w:ascii="Arial" w:cs="Arial" w:eastAsia="Arial" w:hAnsi="Arial"/>
          <w:sz w:val="15"/>
          <w:szCs w:val="15"/>
          <w:color w:val="auto"/>
        </w:rPr>
      </w:pPr>
    </w:p>
    <w:p>
      <w:pPr>
        <w:jc w:val="both"/>
        <w:ind w:left="1660" w:right="80" w:hanging="183"/>
        <w:spacing w:after="0" w:line="251"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i w:val="1"/>
          <w:iCs w:val="1"/>
          <w:color w:val="auto"/>
        </w:rPr>
        <w:t>Institutional investor acceptance</w:t>
      </w:r>
      <w:r>
        <w:rPr>
          <w:rFonts w:ascii="Arial" w:cs="Arial" w:eastAsia="Arial" w:hAnsi="Arial"/>
          <w:sz w:val="15"/>
          <w:szCs w:val="15"/>
          <w:color w:val="auto"/>
        </w:rPr>
        <w:t>—Analyses by credit rating agencies, loan and bond buying institutions, and credit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help banks gain confidence that Upstart-powered loans are subject to significant and constant scrutiny from experts, the results of which are often publicly available.</w:t>
      </w:r>
    </w:p>
    <w:p>
      <w:pPr>
        <w:spacing w:after="0" w:line="234"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Our Competitive Strengths</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Constantly Improving AI Models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been building and refining our AI models for more than eight years, and they have led directly to our growth and profitability. Our models currently incorporate more than 1,600 variables and are trained by more than 9 million repayment events. Beyond the advantages accrued by our constantly growing volume of training data, our data science team continues to update our modeling techniques regularly. Model and technology improvements have increased our conversion rate from the initial rate inquiry to funded loan by a factor of ten since inception. We have a pipeline of potential model improvements that we expect will further increase our conversion rates in the future.</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Flexible Two-Sided Ecosystem</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We benefit from aggregating consumer demand on Upstart.com, referring consumers directly to our network of AI-enabled bank partners. Our consumer presence allows us to increase awareness of and interest in Upstart-powered loans, directly contributing to our own growth, as well as the growth and success of our bank partners’ lending programs.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With an expanding list of bank partners, we can solve the borrowing needs of an increasingly diverse array of consumers. As more banks leverage the Upstart platform, consumers benefit from better offers of credit, while experiencing a consistently high-quality experience.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Capital Efficient Fee-Based Business</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the third quarter of 2020, we generated 96% of revenue from fees from banks and loan servicing. We have also achieved a high degree of automation, with approximately 70% of Upstart-powered loans approved instantly and fully automated in the third quarter of 2020, driving operating leverage and improving unit economics.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Regulatory Compliance</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have worked with regulators since our inception to ensure we operate in compliance with applicable laws and regulations. AI lending expands access to affordable credit by constantly finding new ways to identify qualified borrowers, yet AI models must avoid unlawful disparate impact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80" w:hanging="453"/>
        <w:spacing w:after="0" w:line="201" w:lineRule="auto"/>
        <w:tabs>
          <w:tab w:leader="none" w:pos="1480" w:val="left"/>
        </w:tabs>
        <w:numPr>
          <w:ilvl w:val="0"/>
          <w:numId w:val="83"/>
        </w:numPr>
        <w:rPr>
          <w:rFonts w:ascii="Arial" w:cs="Arial" w:eastAsia="Arial" w:hAnsi="Arial"/>
          <w:sz w:val="20"/>
          <w:szCs w:val="20"/>
          <w:color w:val="auto"/>
          <w:vertAlign w:val="superscript"/>
        </w:rPr>
      </w:pPr>
      <w:r>
        <w:rPr>
          <w:rFonts w:ascii="Arial" w:cs="Arial" w:eastAsia="Arial" w:hAnsi="Arial"/>
          <w:sz w:val="12"/>
          <w:szCs w:val="12"/>
          <w:color w:val="auto"/>
        </w:rPr>
        <w:t>In an internal study, Upstart replicated three bank models using their respective underwriting policies and evaluated their hypothetical loss rates and approval rates using Upstart’s applicant base in late 2017. To compare the hypothetical loss rates between Upstart’s model and each of the replicated bank models, Upstart held approval rates constant at the rate called for by each bank’s respective underwriting policy. Such result represents the average rate of improvement exhibited by Upstart’s platform against each of the three respective bank models.</w:t>
      </w:r>
    </w:p>
    <w:p>
      <w:pPr>
        <w:spacing w:after="0" w:line="1" w:lineRule="exact"/>
        <w:rPr>
          <w:rFonts w:ascii="Arial" w:cs="Arial" w:eastAsia="Arial" w:hAnsi="Arial"/>
          <w:sz w:val="20"/>
          <w:szCs w:val="20"/>
          <w:color w:val="auto"/>
          <w:vertAlign w:val="superscript"/>
        </w:rPr>
      </w:pPr>
    </w:p>
    <w:p>
      <w:pPr>
        <w:ind w:left="1480" w:hanging="453"/>
        <w:spacing w:after="0" w:line="188" w:lineRule="auto"/>
        <w:tabs>
          <w:tab w:leader="none" w:pos="1480" w:val="left"/>
        </w:tabs>
        <w:numPr>
          <w:ilvl w:val="0"/>
          <w:numId w:val="83"/>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0180"/>
          </w:cols>
          <w:pgMar w:left="320" w:top="407" w:right="1399" w:bottom="1440" w:gutter="0" w:footer="0" w:header="0"/>
        </w:sectPr>
      </w:pPr>
    </w:p>
    <w:bookmarkStart w:id="155" w:name="page156"/>
    <w:bookmarkEnd w:id="1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00"/>
        <w:spacing w:after="0"/>
        <w:rPr>
          <w:sz w:val="20"/>
          <w:szCs w:val="20"/>
          <w:color w:val="auto"/>
        </w:rPr>
      </w:pPr>
      <w:r>
        <w:rPr>
          <w:rFonts w:ascii="Arial" w:cs="Arial" w:eastAsia="Arial" w:hAnsi="Arial"/>
          <w:sz w:val="15"/>
          <w:szCs w:val="15"/>
          <w:color w:val="auto"/>
        </w:rPr>
        <w:t>statistical bias that would be harmful to protected groups. We have demonstrated to the CFPB that our platform does not introduce unlawful bias to the credit decision and we have developed sophisticated reporting procedures to ensure future versions of the model remain fair.</w:t>
      </w:r>
      <w:r>
        <w:rPr>
          <w:rFonts w:ascii="Arial" w:cs="Arial" w:eastAsia="Arial" w:hAnsi="Arial"/>
          <w:sz w:val="12"/>
          <w:szCs w:val="12"/>
          <w:color w:val="auto"/>
        </w:rPr>
        <w:t>102</w:t>
      </w:r>
    </w:p>
    <w:p>
      <w:pPr>
        <w:spacing w:after="0" w:line="164" w:lineRule="exact"/>
        <w:rPr>
          <w:sz w:val="20"/>
          <w:szCs w:val="20"/>
          <w:color w:val="auto"/>
        </w:rPr>
      </w:pPr>
    </w:p>
    <w:p>
      <w:pPr>
        <w:jc w:val="center"/>
        <w:ind w:right="-939"/>
        <w:spacing w:after="0"/>
        <w:rPr>
          <w:sz w:val="20"/>
          <w:szCs w:val="20"/>
          <w:color w:val="auto"/>
        </w:rPr>
      </w:pPr>
      <w:r>
        <w:rPr>
          <w:rFonts w:ascii="Arial" w:cs="Arial" w:eastAsia="Arial" w:hAnsi="Arial"/>
          <w:sz w:val="15"/>
          <w:szCs w:val="15"/>
          <w:color w:val="auto"/>
        </w:rPr>
        <w:t>In September 2017, we received the CFPB’s first no-action letter.</w:t>
      </w:r>
      <w:r>
        <w:rPr>
          <w:rFonts w:ascii="Arial" w:cs="Arial" w:eastAsia="Arial" w:hAnsi="Arial"/>
          <w:sz w:val="12"/>
          <w:szCs w:val="12"/>
          <w:color w:val="auto"/>
        </w:rPr>
        <w:t>103</w:t>
      </w:r>
      <w:r>
        <w:rPr>
          <w:rFonts w:ascii="Arial" w:cs="Arial" w:eastAsia="Arial" w:hAnsi="Arial"/>
          <w:sz w:val="15"/>
          <w:szCs w:val="15"/>
          <w:color w:val="auto"/>
        </w:rPr>
        <w:t xml:space="preserve"> The CFPB issues no-action letters to reduce potential</w:t>
      </w:r>
    </w:p>
    <w:p>
      <w:pPr>
        <w:jc w:val="both"/>
        <w:ind w:left="1020" w:right="80"/>
        <w:spacing w:after="0" w:line="241" w:lineRule="auto"/>
        <w:rPr>
          <w:sz w:val="20"/>
          <w:szCs w:val="20"/>
          <w:color w:val="auto"/>
        </w:rPr>
      </w:pPr>
      <w:r>
        <w:rPr>
          <w:rFonts w:ascii="Arial" w:cs="Arial" w:eastAsia="Arial" w:hAnsi="Arial"/>
          <w:sz w:val="15"/>
          <w:szCs w:val="15"/>
          <w:color w:val="auto"/>
        </w:rPr>
        <w:t>regulatory uncertainty for innovative products that may offer significant consumer benefit.</w:t>
      </w:r>
      <w:r>
        <w:rPr>
          <w:rFonts w:ascii="Arial" w:cs="Arial" w:eastAsia="Arial" w:hAnsi="Arial"/>
          <w:sz w:val="12"/>
          <w:szCs w:val="12"/>
          <w:color w:val="auto"/>
        </w:rPr>
        <w:t>104</w:t>
      </w:r>
      <w:r>
        <w:rPr>
          <w:rFonts w:ascii="Arial" w:cs="Arial" w:eastAsia="Arial" w:hAnsi="Arial"/>
          <w:sz w:val="15"/>
          <w:szCs w:val="15"/>
          <w:color w:val="auto"/>
        </w:rPr>
        <w:t xml:space="preserve"> On November 30, 2020, at the expiration of our first no-action letter, we received a new no -action letter from the CFPB, which expires on November 30, 2023. At this time, we do not know of any other lending platforms that have received similar no-action letters for fair lending from the CFPB.</w:t>
      </w:r>
    </w:p>
    <w:p>
      <w:pPr>
        <w:spacing w:after="0" w:line="242"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Our Growth Strategy</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 Improvements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Our growth has historically been driven by AI model improvements and technology upgrades, and we expect this trend to continue for the foreseeable future. Model upgrades typically result in higher approval rates, better loan offers, higher degrees of automation and other improvements that increase our total number of funded loans. As our model accuracy increases, we are able to re-target and approve consumers who previously visited our site but were not eligible for a loan. A more efficient funnel also has the effect of enabling new marketing and acquisition channels that may not have been economical in the past, providing a second-order growth driver.</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More Efficient Funding</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Growth is also driven by a reduced cost of funding for Upstart-powered loans. This can happen because more banks adopt our platform, or existing partners increase their budget for Upstart-powered loans. Cost of funding can also be reduced as bank partners gain more confidence in our models and lower some of the constraints, they choose to place on their lending program. The cost of funding through institutional investors can also improve regularly, as credit rating agencies and loan and residual buyers gain confidence in the credit performance of Upstart-powered loans.</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Our internal data suggests that each 100 basis point reduction in interest rate offered to the consumer increases conversion by 15%.</w:t>
      </w:r>
      <w:r>
        <w:rPr>
          <w:rFonts w:ascii="Arial" w:cs="Arial" w:eastAsia="Arial" w:hAnsi="Arial"/>
          <w:sz w:val="12"/>
          <w:szCs w:val="12"/>
          <w:color w:val="auto"/>
        </w:rPr>
        <w:t>105</w:t>
      </w:r>
      <w:r>
        <w:rPr>
          <w:rFonts w:ascii="Arial" w:cs="Arial" w:eastAsia="Arial" w:hAnsi="Arial"/>
          <w:sz w:val="15"/>
          <w:szCs w:val="15"/>
          <w:color w:val="auto"/>
        </w:rPr>
        <w:t xml:space="preserve"> Therefore, reduced cost of funding can be a direct driver of growth.</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Distribution</w:t>
      </w:r>
    </w:p>
    <w:p>
      <w:pPr>
        <w:spacing w:after="0" w:line="105" w:lineRule="exact"/>
        <w:rPr>
          <w:sz w:val="20"/>
          <w:szCs w:val="20"/>
          <w:color w:val="auto"/>
        </w:rPr>
      </w:pPr>
    </w:p>
    <w:p>
      <w:pPr>
        <w:jc w:val="both"/>
        <w:ind w:left="1020" w:firstLine="460"/>
        <w:spacing w:after="0" w:line="238" w:lineRule="auto"/>
        <w:rPr>
          <w:sz w:val="20"/>
          <w:szCs w:val="20"/>
          <w:color w:val="auto"/>
        </w:rPr>
      </w:pPr>
      <w:r>
        <w:rPr>
          <w:rFonts w:ascii="Arial" w:cs="Arial" w:eastAsia="Arial" w:hAnsi="Arial"/>
          <w:sz w:val="15"/>
          <w:szCs w:val="15"/>
          <w:color w:val="auto"/>
        </w:rPr>
        <w:t>Today, the vast majority of borrowers are referred to our bank partners via Upstart.com. But these banks are also beginning to offer Upstart-powered loans through their own websites, supported by their own marketing programs. We expect the bank-driven distribution of Upstart-powered loans to grow over time, as more bank partners roll out white-labeled versions of Upstart to serve their new and existing customers directly.</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New Products</w:t>
      </w:r>
    </w:p>
    <w:p>
      <w:pPr>
        <w:spacing w:after="0" w:line="103" w:lineRule="exact"/>
        <w:rPr>
          <w:sz w:val="20"/>
          <w:szCs w:val="20"/>
          <w:color w:val="auto"/>
        </w:rPr>
      </w:pPr>
    </w:p>
    <w:p>
      <w:pPr>
        <w:jc w:val="both"/>
        <w:ind w:left="1020" w:right="60" w:firstLine="460"/>
        <w:spacing w:after="0" w:line="241" w:lineRule="auto"/>
        <w:rPr>
          <w:sz w:val="20"/>
          <w:szCs w:val="20"/>
          <w:color w:val="auto"/>
        </w:rPr>
      </w:pPr>
      <w:r>
        <w:rPr>
          <w:rFonts w:ascii="Arial" w:cs="Arial" w:eastAsia="Arial" w:hAnsi="Arial"/>
          <w:sz w:val="15"/>
          <w:szCs w:val="15"/>
          <w:color w:val="auto"/>
        </w:rPr>
        <w:t>Personal loans are one of the fastest-growing segment of consumer credit in the U.S., but they are far from the largest.</w:t>
      </w:r>
      <w:r>
        <w:rPr>
          <w:rFonts w:ascii="Arial" w:cs="Arial" w:eastAsia="Arial" w:hAnsi="Arial"/>
          <w:sz w:val="12"/>
          <w:szCs w:val="12"/>
          <w:color w:val="auto"/>
        </w:rPr>
        <w:t>106</w:t>
      </w:r>
      <w:r>
        <w:rPr>
          <w:rFonts w:ascii="Arial" w:cs="Arial" w:eastAsia="Arial" w:hAnsi="Arial"/>
          <w:sz w:val="15"/>
          <w:szCs w:val="15"/>
          <w:color w:val="auto"/>
        </w:rPr>
        <w:t xml:space="preserve"> As we apply our AI models and technology to other credit verticals, we will be able to serve the needs of more consumers and to play a broader technology enablement role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7" w:lineRule="exact"/>
        <w:rPr>
          <w:sz w:val="20"/>
          <w:szCs w:val="20"/>
          <w:color w:val="auto"/>
        </w:rPr>
      </w:pPr>
    </w:p>
    <w:p>
      <w:pPr>
        <w:ind w:left="1480" w:hanging="453"/>
        <w:spacing w:after="0"/>
        <w:tabs>
          <w:tab w:leader="none" w:pos="1480" w:val="left"/>
        </w:tabs>
        <w:numPr>
          <w:ilvl w:val="0"/>
          <w:numId w:val="84"/>
        </w:numPr>
        <w:rPr>
          <w:rFonts w:ascii="Arial" w:cs="Arial" w:eastAsia="Arial" w:hAnsi="Arial"/>
          <w:sz w:val="20"/>
          <w:szCs w:val="20"/>
          <w:color w:val="auto"/>
          <w:vertAlign w:val="superscript"/>
        </w:rPr>
      </w:pPr>
      <w:r>
        <w:rPr>
          <w:rFonts w:ascii="Arial" w:cs="Arial" w:eastAsia="Arial" w:hAnsi="Arial"/>
          <w:sz w:val="12"/>
          <w:szCs w:val="12"/>
          <w:color w:val="auto"/>
        </w:rPr>
        <w:t>Ficklin and Watkins; see the section titled “Industry, Market and Other Data.”</w:t>
      </w:r>
    </w:p>
    <w:p>
      <w:pPr>
        <w:ind w:left="1480" w:hanging="453"/>
        <w:spacing w:after="0" w:line="188" w:lineRule="auto"/>
        <w:tabs>
          <w:tab w:leader="none" w:pos="1480" w:val="left"/>
        </w:tabs>
        <w:numPr>
          <w:ilvl w:val="0"/>
          <w:numId w:val="84"/>
        </w:numPr>
        <w:rPr>
          <w:rFonts w:ascii="Arial" w:cs="Arial" w:eastAsia="Arial" w:hAnsi="Arial"/>
          <w:sz w:val="15"/>
          <w:szCs w:val="15"/>
          <w:color w:val="auto"/>
          <w:vertAlign w:val="superscript"/>
        </w:rPr>
      </w:pPr>
      <w:r>
        <w:rPr>
          <w:rFonts w:ascii="Arial" w:cs="Arial" w:eastAsia="Arial" w:hAnsi="Arial"/>
          <w:sz w:val="10"/>
          <w:szCs w:val="10"/>
          <w:color w:val="auto"/>
        </w:rPr>
        <w:t>CFPB No-Action Letter; see the section titled “Industry, Market and Other Data.”</w:t>
      </w:r>
    </w:p>
    <w:p>
      <w:pPr>
        <w:ind w:left="1480" w:hanging="453"/>
        <w:spacing w:after="0" w:line="188" w:lineRule="auto"/>
        <w:tabs>
          <w:tab w:leader="none" w:pos="1480" w:val="left"/>
        </w:tabs>
        <w:numPr>
          <w:ilvl w:val="0"/>
          <w:numId w:val="84"/>
        </w:numPr>
        <w:rPr>
          <w:rFonts w:ascii="Arial" w:cs="Arial" w:eastAsia="Arial" w:hAnsi="Arial"/>
          <w:sz w:val="15"/>
          <w:szCs w:val="15"/>
          <w:color w:val="auto"/>
          <w:vertAlign w:val="superscript"/>
        </w:rPr>
      </w:pPr>
      <w:r>
        <w:rPr>
          <w:rFonts w:ascii="Arial" w:cs="Arial" w:eastAsia="Arial" w:hAnsi="Arial"/>
          <w:sz w:val="10"/>
          <w:szCs w:val="10"/>
          <w:color w:val="auto"/>
        </w:rPr>
        <w:t>Consumer Financial Protection Bureau, Policy on No-Action Letters, September 2019.</w:t>
      </w:r>
    </w:p>
    <w:p>
      <w:pPr>
        <w:jc w:val="both"/>
        <w:ind w:left="1480" w:right="80" w:hanging="453"/>
        <w:spacing w:after="0" w:line="192" w:lineRule="auto"/>
        <w:tabs>
          <w:tab w:leader="none" w:pos="1480" w:val="left"/>
        </w:tabs>
        <w:numPr>
          <w:ilvl w:val="0"/>
          <w:numId w:val="84"/>
        </w:numPr>
        <w:rPr>
          <w:rFonts w:ascii="Arial" w:cs="Arial" w:eastAsia="Arial" w:hAnsi="Arial"/>
          <w:sz w:val="20"/>
          <w:szCs w:val="20"/>
          <w:color w:val="auto"/>
          <w:vertAlign w:val="superscript"/>
        </w:rPr>
      </w:pPr>
      <w:r>
        <w:rPr>
          <w:rFonts w:ascii="Arial" w:cs="Arial" w:eastAsia="Arial" w:hAnsi="Arial"/>
          <w:sz w:val="12"/>
          <w:szCs w:val="12"/>
          <w:color w:val="auto"/>
        </w:rPr>
        <w:t>In a series of internal studies conducted in April 2016, September 2016 and January 2018, Upstart compared changes in conversion rates between test groups of Upstart loan applicants when loan offer APRs were increased or decreased for certain groups. The average change in conversion rates across the three studies is presented.</w:t>
      </w:r>
    </w:p>
    <w:p>
      <w:pPr>
        <w:ind w:left="1480" w:hanging="453"/>
        <w:spacing w:after="0" w:line="188" w:lineRule="auto"/>
        <w:tabs>
          <w:tab w:leader="none" w:pos="1480" w:val="left"/>
        </w:tabs>
        <w:numPr>
          <w:ilvl w:val="0"/>
          <w:numId w:val="84"/>
        </w:numPr>
        <w:rPr>
          <w:rFonts w:ascii="Arial" w:cs="Arial" w:eastAsia="Arial" w:hAnsi="Arial"/>
          <w:sz w:val="16"/>
          <w:szCs w:val="16"/>
          <w:color w:val="auto"/>
          <w:vertAlign w:val="superscript"/>
        </w:rPr>
      </w:pPr>
      <w:r>
        <w:rPr>
          <w:rFonts w:ascii="Arial" w:cs="Arial" w:eastAsia="Arial" w:hAnsi="Arial"/>
          <w:sz w:val="10"/>
          <w:szCs w:val="10"/>
          <w:color w:val="auto"/>
        </w:rPr>
        <w:t>Beiseitov; see the section titled “Industry, Market and Other Data.”</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0160"/>
          </w:cols>
          <w:pgMar w:left="320" w:top="407" w:right="1419" w:bottom="1440" w:gutter="0" w:footer="0" w:header="0"/>
        </w:sectPr>
      </w:pPr>
    </w:p>
    <w:bookmarkStart w:id="156" w:name="page157"/>
    <w:bookmarkEnd w:id="1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40"/>
        <w:spacing w:after="0"/>
        <w:rPr>
          <w:sz w:val="20"/>
          <w:szCs w:val="20"/>
          <w:color w:val="auto"/>
        </w:rPr>
      </w:pPr>
      <w:r>
        <w:rPr>
          <w:rFonts w:ascii="Arial" w:cs="Arial" w:eastAsia="Arial" w:hAnsi="Arial"/>
          <w:sz w:val="15"/>
          <w:szCs w:val="15"/>
          <w:color w:val="auto"/>
        </w:rPr>
        <w:t>our bank partners. There is significant opportunity to expand from personal loans to auto loans, credit cards, mortgages, student loans, point-of-sale loans and HELOCs. In June 2020, we began offering auto loans on our platform and in September 2020, the first auto loan was originated through the Upstart platform.</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Platform</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AI lending platform enables banks to provide consumers access to credit. The first credit product offered through our platform was an unsecured personal loan.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Consumers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built a mobile-responsive web application at Upstart.com, where consumers can quickly and easily inquire about a rate, evaluate and choose a loan offer, provide necessary information for verification and review required disclosures before final acceptance of the loan. A virtually identical experience is also offered as a white-labeled product on bank partners’ websites. In the nine months ended September 30, 2020, over half of consumers that received an Upstart-powered loan applied for such loan on their mobile phone. Further detail on our consumer experience is outlined below.</w:t>
      </w:r>
    </w:p>
    <w:p>
      <w:pPr>
        <w:spacing w:after="0" w:line="75" w:lineRule="exact"/>
        <w:rPr>
          <w:sz w:val="20"/>
          <w:szCs w:val="20"/>
          <w:color w:val="auto"/>
        </w:rPr>
      </w:pPr>
    </w:p>
    <w:p>
      <w:pPr>
        <w:ind w:left="1660" w:hanging="183"/>
        <w:spacing w:after="0" w:line="251"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Rate inquiry</w:t>
      </w:r>
      <w:r>
        <w:rPr>
          <w:rFonts w:ascii="Arial" w:cs="Arial" w:eastAsia="Arial" w:hAnsi="Arial"/>
          <w:sz w:val="15"/>
          <w:szCs w:val="15"/>
          <w:color w:val="auto"/>
        </w:rPr>
        <w:t>—To begin the process, consumers answer a series of questions in an online questionnaire. Questions cover basic</w:t>
      </w:r>
      <w:r>
        <w:rPr>
          <w:rFonts w:ascii="Arial" w:cs="Arial" w:eastAsia="Arial" w:hAnsi="Arial"/>
          <w:sz w:val="15"/>
          <w:szCs w:val="15"/>
          <w:i w:val="1"/>
          <w:iCs w:val="1"/>
          <w:color w:val="auto"/>
        </w:rPr>
        <w:t xml:space="preserve"> </w:t>
      </w:r>
      <w:r>
        <w:rPr>
          <w:rFonts w:ascii="Arial" w:cs="Arial" w:eastAsia="Arial" w:hAnsi="Arial"/>
          <w:sz w:val="15"/>
          <w:szCs w:val="15"/>
          <w:color w:val="auto"/>
        </w:rPr>
        <w:t>personal information, educational background and employment history. The majority of consumers complete the questionnaire in less than five minutes.</w:t>
      </w:r>
    </w:p>
    <w:p>
      <w:pPr>
        <w:spacing w:after="0" w:line="67" w:lineRule="exact"/>
        <w:rPr>
          <w:rFonts w:ascii="Arial" w:cs="Arial" w:eastAsia="Arial" w:hAnsi="Arial"/>
          <w:sz w:val="15"/>
          <w:szCs w:val="15"/>
          <w:color w:val="auto"/>
        </w:rPr>
      </w:pPr>
    </w:p>
    <w:p>
      <w:pPr>
        <w:ind w:left="1660" w:hanging="183"/>
        <w:spacing w:after="0" w:line="246"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Offer presentation</w:t>
      </w:r>
      <w:r>
        <w:rPr>
          <w:rFonts w:ascii="Arial" w:cs="Arial" w:eastAsia="Arial" w:hAnsi="Arial"/>
          <w:sz w:val="15"/>
          <w:szCs w:val="15"/>
          <w:color w:val="auto"/>
        </w:rPr>
        <w:t>—If a consumer is approved, a loan offer will be presented from one of our bank partners on Upstart.com.</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Consumers are typically able to review potential rates and fees for loans of different amounts and terms. If the rate inquiry was on a bank partner’s website, consumers will only see loan offers from that specific bank partner. The loan offer presented will not change in later phases of the application as long as the information provided by the applicant is verified as accurate.</w:t>
      </w:r>
    </w:p>
    <w:p>
      <w:pPr>
        <w:spacing w:after="0" w:line="70" w:lineRule="exact"/>
        <w:rPr>
          <w:rFonts w:ascii="Arial" w:cs="Arial" w:eastAsia="Arial" w:hAnsi="Arial"/>
          <w:sz w:val="15"/>
          <w:szCs w:val="15"/>
          <w:color w:val="auto"/>
        </w:rPr>
      </w:pPr>
    </w:p>
    <w:p>
      <w:pPr>
        <w:ind w:left="1660" w:hanging="183"/>
        <w:spacing w:after="0" w:line="243"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Verification</w:t>
      </w:r>
      <w:r>
        <w:rPr>
          <w:rFonts w:ascii="Arial" w:cs="Arial" w:eastAsia="Arial" w:hAnsi="Arial"/>
          <w:sz w:val="15"/>
          <w:szCs w:val="15"/>
          <w:color w:val="auto"/>
        </w:rPr>
        <w:t>—If a consumer chooses to move forward with a loan offer, we proceed to verify the information provided by the</w:t>
      </w:r>
      <w:r>
        <w:rPr>
          <w:rFonts w:ascii="Arial" w:cs="Arial" w:eastAsia="Arial" w:hAnsi="Arial"/>
          <w:sz w:val="15"/>
          <w:szCs w:val="15"/>
          <w:i w:val="1"/>
          <w:iCs w:val="1"/>
          <w:color w:val="auto"/>
        </w:rPr>
        <w:t xml:space="preserve"> </w:t>
      </w:r>
      <w:r>
        <w:rPr>
          <w:rFonts w:ascii="Arial" w:cs="Arial" w:eastAsia="Arial" w:hAnsi="Arial"/>
          <w:sz w:val="15"/>
          <w:szCs w:val="15"/>
          <w:color w:val="auto"/>
        </w:rPr>
        <w:t>consumer, including their identity, employment or income, education, and bank account information. For the majority of Upstart-powered loans, this process happens automatically and immediately, with no documentation upload or phone call required of the consumer. For applications flagged as involving higher fraud risk, there is a more extensive technology-enabled verification process.</w:t>
      </w:r>
    </w:p>
    <w:p>
      <w:pPr>
        <w:spacing w:after="0" w:line="73" w:lineRule="exact"/>
        <w:rPr>
          <w:rFonts w:ascii="Arial" w:cs="Arial" w:eastAsia="Arial" w:hAnsi="Arial"/>
          <w:sz w:val="15"/>
          <w:szCs w:val="15"/>
          <w:color w:val="auto"/>
        </w:rPr>
      </w:pPr>
    </w:p>
    <w:p>
      <w:pPr>
        <w:ind w:left="1660" w:right="580" w:hanging="183"/>
        <w:spacing w:after="0" w:line="267"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Loan funding</w:t>
      </w:r>
      <w:r>
        <w:rPr>
          <w:rFonts w:ascii="Arial" w:cs="Arial" w:eastAsia="Arial" w:hAnsi="Arial"/>
          <w:sz w:val="15"/>
          <w:szCs w:val="15"/>
          <w:color w:val="auto"/>
        </w:rPr>
        <w:t>—For a consumer who successfully completes the verification process and agrees to their loan terms, loan</w:t>
      </w:r>
      <w:r>
        <w:rPr>
          <w:rFonts w:ascii="Arial" w:cs="Arial" w:eastAsia="Arial" w:hAnsi="Arial"/>
          <w:sz w:val="15"/>
          <w:szCs w:val="15"/>
          <w:i w:val="1"/>
          <w:iCs w:val="1"/>
          <w:color w:val="auto"/>
        </w:rPr>
        <w:t xml:space="preserve"> </w:t>
      </w:r>
      <w:r>
        <w:rPr>
          <w:rFonts w:ascii="Arial" w:cs="Arial" w:eastAsia="Arial" w:hAnsi="Arial"/>
          <w:sz w:val="15"/>
          <w:szCs w:val="15"/>
          <w:color w:val="auto"/>
        </w:rPr>
        <w:t>proceeds will typically be deposited in the consumer’s bank account by our bank partner the next business day.</w:t>
      </w:r>
    </w:p>
    <w:p>
      <w:pPr>
        <w:spacing w:after="0" w:line="55" w:lineRule="exact"/>
        <w:rPr>
          <w:rFonts w:ascii="Arial" w:cs="Arial" w:eastAsia="Arial" w:hAnsi="Arial"/>
          <w:sz w:val="15"/>
          <w:szCs w:val="15"/>
          <w:color w:val="auto"/>
        </w:rPr>
      </w:pPr>
    </w:p>
    <w:p>
      <w:pPr>
        <w:ind w:left="1660" w:right="20" w:hanging="183"/>
        <w:spacing w:after="0" w:line="246"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i w:val="1"/>
          <w:iCs w:val="1"/>
          <w:color w:val="auto"/>
        </w:rPr>
        <w:t>Repayment</w:t>
      </w:r>
      <w:r>
        <w:rPr>
          <w:rFonts w:ascii="Arial" w:cs="Arial" w:eastAsia="Arial" w:hAnsi="Arial"/>
          <w:sz w:val="15"/>
          <w:szCs w:val="15"/>
          <w:color w:val="auto"/>
        </w:rPr>
        <w:t>—A consumer who accepts a loan is directed toward a servicing portal through which the consumer can manage</w:t>
      </w:r>
      <w:r>
        <w:rPr>
          <w:rFonts w:ascii="Arial" w:cs="Arial" w:eastAsia="Arial" w:hAnsi="Arial"/>
          <w:sz w:val="15"/>
          <w:szCs w:val="15"/>
          <w:i w:val="1"/>
          <w:iCs w:val="1"/>
          <w:color w:val="auto"/>
        </w:rPr>
        <w:t xml:space="preserve"> </w:t>
      </w:r>
      <w:r>
        <w:rPr>
          <w:rFonts w:ascii="Arial" w:cs="Arial" w:eastAsia="Arial" w:hAnsi="Arial"/>
          <w:sz w:val="15"/>
          <w:szCs w:val="15"/>
          <w:color w:val="auto"/>
        </w:rPr>
        <w:t>their repayments. Monthly payment dates automatically default to a day when the consumer is most likely to have sufficient cash in their account, but consumers are able to adjust this date as necessary. Consumers can also make one-time pre-payments or make other adjustments as necessary, all from the Upstart-powered web application.</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0180"/>
          </w:cols>
          <w:pgMar w:left="320" w:top="407" w:right="1399" w:bottom="1440" w:gutter="0" w:footer="0" w:header="0"/>
        </w:sectPr>
      </w:pPr>
    </w:p>
    <w:bookmarkStart w:id="157" w:name="page158"/>
    <w:bookmarkEnd w:id="1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2290445</wp:posOffset>
            </wp:positionH>
            <wp:positionV relativeFrom="paragraph">
              <wp:posOffset>171450</wp:posOffset>
            </wp:positionV>
            <wp:extent cx="2568575" cy="22967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68575" cy="2296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Bank Partners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Our platform is designed to help our bank partners originate loans according to their unique requirements. In order to do this, we provide a wide variety of options for banks to define and control their lending program.</w:t>
      </w:r>
    </w:p>
    <w:p>
      <w:pPr>
        <w:spacing w:after="0" w:line="71" w:lineRule="exact"/>
        <w:rPr>
          <w:sz w:val="20"/>
          <w:szCs w:val="20"/>
          <w:color w:val="auto"/>
        </w:rPr>
      </w:pPr>
    </w:p>
    <w:p>
      <w:pPr>
        <w:ind w:left="1660" w:hanging="183"/>
        <w:spacing w:after="0"/>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Upstart.com referrals</w:t>
      </w:r>
      <w:r>
        <w:rPr>
          <w:rFonts w:ascii="Arial" w:cs="Arial" w:eastAsia="Arial" w:hAnsi="Arial"/>
          <w:sz w:val="15"/>
          <w:szCs w:val="15"/>
          <w:color w:val="auto"/>
        </w:rPr>
        <w:t>—Once we aggregate consumer demand on our website, we pass those customers to our bank partners.</w:t>
      </w:r>
    </w:p>
    <w:p>
      <w:pPr>
        <w:spacing w:after="0" w:line="97" w:lineRule="exact"/>
        <w:rPr>
          <w:rFonts w:ascii="Arial" w:cs="Arial" w:eastAsia="Arial" w:hAnsi="Arial"/>
          <w:sz w:val="15"/>
          <w:szCs w:val="15"/>
          <w:color w:val="auto"/>
        </w:rPr>
      </w:pPr>
    </w:p>
    <w:p>
      <w:pPr>
        <w:ind w:left="1660" w:right="340" w:hanging="183"/>
        <w:spacing w:after="0" w:line="267"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White-labeled product</w:t>
      </w:r>
      <w:r>
        <w:rPr>
          <w:rFonts w:ascii="Arial" w:cs="Arial" w:eastAsia="Arial" w:hAnsi="Arial"/>
          <w:sz w:val="15"/>
          <w:szCs w:val="15"/>
          <w:color w:val="auto"/>
        </w:rPr>
        <w:t>—Bank partners can serve customers with a white-labeled Upstart application on their own website or</w:t>
      </w:r>
      <w:r>
        <w:rPr>
          <w:rFonts w:ascii="Arial" w:cs="Arial" w:eastAsia="Arial" w:hAnsi="Arial"/>
          <w:sz w:val="15"/>
          <w:szCs w:val="15"/>
          <w:i w:val="1"/>
          <w:iCs w:val="1"/>
          <w:color w:val="auto"/>
        </w:rPr>
        <w:t xml:space="preserve"> </w:t>
      </w:r>
      <w:r>
        <w:rPr>
          <w:rFonts w:ascii="Arial" w:cs="Arial" w:eastAsia="Arial" w:hAnsi="Arial"/>
          <w:sz w:val="15"/>
          <w:szCs w:val="15"/>
          <w:color w:val="auto"/>
        </w:rPr>
        <w:t>mobile application.</w:t>
      </w:r>
    </w:p>
    <w:p>
      <w:pPr>
        <w:spacing w:after="0" w:line="55" w:lineRule="exact"/>
        <w:rPr>
          <w:rFonts w:ascii="Arial" w:cs="Arial" w:eastAsia="Arial" w:hAnsi="Arial"/>
          <w:sz w:val="15"/>
          <w:szCs w:val="15"/>
          <w:color w:val="auto"/>
        </w:rPr>
      </w:pPr>
    </w:p>
    <w:p>
      <w:pPr>
        <w:ind w:left="1660" w:right="320" w:hanging="183"/>
        <w:spacing w:after="0" w:line="243"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Configurations</w:t>
      </w:r>
      <w:r>
        <w:rPr>
          <w:rFonts w:ascii="Arial" w:cs="Arial" w:eastAsia="Arial" w:hAnsi="Arial"/>
          <w:sz w:val="15"/>
          <w:szCs w:val="15"/>
          <w:color w:val="auto"/>
        </w:rPr>
        <w:t>—Because banks have complete authority and control over their lending programs, our bank partners</w:t>
      </w:r>
      <w:r>
        <w:rPr>
          <w:rFonts w:ascii="Arial" w:cs="Arial" w:eastAsia="Arial" w:hAnsi="Arial"/>
          <w:sz w:val="15"/>
          <w:szCs w:val="15"/>
          <w:i w:val="1"/>
          <w:iCs w:val="1"/>
          <w:color w:val="auto"/>
        </w:rPr>
        <w:t xml:space="preserve"> </w:t>
      </w:r>
      <w:r>
        <w:rPr>
          <w:rFonts w:ascii="Arial" w:cs="Arial" w:eastAsia="Arial" w:hAnsi="Arial"/>
          <w:sz w:val="15"/>
          <w:szCs w:val="15"/>
          <w:color w:val="auto"/>
        </w:rPr>
        <w:t>pre-determine many aspects of their loan offering, including interest rate and loan size ranges, maximum target loss rate, minimum credit score, maximum debt-to-income ratio, target returns for various risk profiles, fee structures and disclosures. Banks accepting referrals from Upstart.com sets maximum volume targets for each month, expressed in the form of monthly dollar originations. These attributes can be adjusted by bank partners as necessary.</w:t>
      </w:r>
    </w:p>
    <w:p>
      <w:pPr>
        <w:spacing w:after="0" w:line="73" w:lineRule="exact"/>
        <w:rPr>
          <w:rFonts w:ascii="Arial" w:cs="Arial" w:eastAsia="Arial" w:hAnsi="Arial"/>
          <w:sz w:val="15"/>
          <w:szCs w:val="15"/>
          <w:color w:val="auto"/>
        </w:rPr>
      </w:pPr>
    </w:p>
    <w:p>
      <w:pPr>
        <w:ind w:left="1660" w:right="120" w:hanging="183"/>
        <w:spacing w:after="0" w:line="251"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i w:val="1"/>
          <w:iCs w:val="1"/>
          <w:color w:val="auto"/>
        </w:rPr>
        <w:t>Servicing</w:t>
      </w:r>
      <w:r>
        <w:rPr>
          <w:rFonts w:ascii="Arial" w:cs="Arial" w:eastAsia="Arial" w:hAnsi="Arial"/>
          <w:sz w:val="15"/>
          <w:szCs w:val="15"/>
          <w:color w:val="auto"/>
        </w:rPr>
        <w:t>—While most bank partners choose to have us service their loans (through a white-labeled servicing portal), each has</w:t>
      </w:r>
      <w:r>
        <w:rPr>
          <w:rFonts w:ascii="Arial" w:cs="Arial" w:eastAsia="Arial" w:hAnsi="Arial"/>
          <w:sz w:val="15"/>
          <w:szCs w:val="15"/>
          <w:i w:val="1"/>
          <w:iCs w:val="1"/>
          <w:color w:val="auto"/>
        </w:rPr>
        <w:t xml:space="preserve"> </w:t>
      </w:r>
      <w:r>
        <w:rPr>
          <w:rFonts w:ascii="Arial" w:cs="Arial" w:eastAsia="Arial" w:hAnsi="Arial"/>
          <w:sz w:val="15"/>
          <w:szCs w:val="15"/>
          <w:color w:val="auto"/>
        </w:rPr>
        <w:t>the option of directly servicing loans itself. Our servicing platform manages all communication with borrowers, credit reporting agencies, and when necessary, collections agencies.</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Evolution of Upstart’s AI Model</w:t>
      </w:r>
    </w:p>
    <w:p>
      <w:pPr>
        <w:spacing w:after="0" w:line="19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AI models underpinning the Upstart platform are central to its efficacy and the high-quality experience we provide to borrowers. Our models have evolved rapidly since our founding, as illustrated below.</w:t>
      </w: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191770</wp:posOffset>
            </wp:positionV>
            <wp:extent cx="64389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46" w:lineRule="exact"/>
        <w:rPr>
          <w:sz w:val="20"/>
          <w:szCs w:val="20"/>
          <w:color w:val="auto"/>
        </w:rPr>
      </w:pPr>
    </w:p>
    <w:p>
      <w:pPr>
        <w:ind w:left="1480" w:hanging="453"/>
        <w:spacing w:after="0"/>
        <w:tabs>
          <w:tab w:leader="none" w:pos="1480" w:val="left"/>
        </w:tabs>
        <w:numPr>
          <w:ilvl w:val="0"/>
          <w:numId w:val="87"/>
        </w:numPr>
        <w:rPr>
          <w:rFonts w:ascii="Arial" w:cs="Arial" w:eastAsia="Arial" w:hAnsi="Arial"/>
          <w:sz w:val="20"/>
          <w:szCs w:val="20"/>
          <w:color w:val="auto"/>
          <w:vertAlign w:val="superscript"/>
        </w:rPr>
      </w:pPr>
      <w:r>
        <w:rPr>
          <w:rFonts w:ascii="Arial" w:cs="Arial" w:eastAsia="Arial" w:hAnsi="Arial"/>
          <w:sz w:val="12"/>
          <w:szCs w:val="12"/>
          <w:color w:val="auto"/>
        </w:rPr>
        <w:t>Dates for variables and training data correspond to: March 24, 2014, May 28, 2015, September 6, 2016, January 1, 2018 and December 31, 2019, respectively.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148</w:t>
      </w:r>
    </w:p>
    <w:p>
      <w:pPr>
        <w:sectPr>
          <w:pgSz w:w="11900" w:h="16838" w:orient="portrait"/>
          <w:cols w:equalWidth="0" w:num="1">
            <w:col w:w="10200"/>
          </w:cols>
          <w:pgMar w:left="320" w:top="407" w:right="1379" w:bottom="1440" w:gutter="0" w:footer="0" w:header="0"/>
        </w:sectPr>
      </w:pPr>
    </w:p>
    <w:bookmarkStart w:id="158" w:name="page159"/>
    <w:bookmarkEnd w:id="1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1396365</wp:posOffset>
            </wp:positionH>
            <wp:positionV relativeFrom="paragraph">
              <wp:posOffset>171450</wp:posOffset>
            </wp:positionV>
            <wp:extent cx="4357370" cy="18103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57370" cy="181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key aspects of our AI models include:</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Variables</w:t>
      </w:r>
    </w:p>
    <w:p>
      <w:pPr>
        <w:spacing w:after="0" w:line="10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Variables in our AI models have increased from 23 in 2014 to more than 1,600 as of September 30, 2020. These include factors related to credit experience, employment, educational history, bank account transactions, cost of living and loan application interactions.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Training Data</w:t>
      </w:r>
    </w:p>
    <w:p>
      <w:pPr>
        <w:spacing w:after="0" w:line="10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As of September 30, 2020, our models have been trained by more than 9 million repayment events such as a successful repayment or a delinquency. Upstart’s models learn from repayment data even while loan principal remains outstanding, allowing the models to improve in real time.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Modeling Techniques</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Growth in training data has enabled the development of increasingly sophisticated modeling techniques. For example, while earlier versions of our AI models were centered on logistic regression, our more recent models incorporate stochastic gradient boosting. We expect that our data science investments and continued growth of training data will unlock even more powerful techniques over time.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Model Applications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While our first model focused on predicting the likelihood of loan default, we have since applied models throughout the process of credit origination. These models quantify and reduce risk in various ways, while also increasing automation and funnel conversion.</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currently active AI models within the Upstart platform—shared by and available to all Upstart’s bank partners—include:</w:t>
      </w:r>
    </w:p>
    <w:p>
      <w:pPr>
        <w:spacing w:after="0" w:line="82" w:lineRule="exact"/>
        <w:rPr>
          <w:sz w:val="20"/>
          <w:szCs w:val="20"/>
          <w:color w:val="auto"/>
        </w:rPr>
      </w:pPr>
    </w:p>
    <w:p>
      <w:pPr>
        <w:ind w:left="1660" w:hanging="183"/>
        <w:spacing w:after="0"/>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Fee optimization</w:t>
      </w:r>
      <w:r>
        <w:rPr>
          <w:rFonts w:ascii="Arial" w:cs="Arial" w:eastAsia="Arial" w:hAnsi="Arial"/>
          <w:sz w:val="15"/>
          <w:szCs w:val="15"/>
          <w:color w:val="auto"/>
        </w:rPr>
        <w:t>—optimizes assignment of origination fees;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Income fraud</w:t>
      </w:r>
      <w:r>
        <w:rPr>
          <w:rFonts w:ascii="Arial" w:cs="Arial" w:eastAsia="Arial" w:hAnsi="Arial"/>
          <w:sz w:val="15"/>
          <w:szCs w:val="15"/>
          <w:color w:val="auto"/>
        </w:rPr>
        <w:t>—quantifies potential misrepresentation of borrower income;</w:t>
      </w:r>
    </w:p>
    <w:p>
      <w:pPr>
        <w:spacing w:after="0" w:line="97" w:lineRule="exact"/>
        <w:rPr>
          <w:rFonts w:ascii="Arial" w:cs="Arial" w:eastAsia="Arial" w:hAnsi="Arial"/>
          <w:sz w:val="15"/>
          <w:szCs w:val="15"/>
          <w:color w:val="auto"/>
        </w:rPr>
      </w:pPr>
    </w:p>
    <w:p>
      <w:pPr>
        <w:ind w:left="5500" w:right="2660" w:hanging="4023"/>
        <w:spacing w:after="0" w:line="440" w:lineRule="auto"/>
        <w:tabs>
          <w:tab w:leader="none" w:pos="1659" w:val="left"/>
        </w:tabs>
        <w:numPr>
          <w:ilvl w:val="0"/>
          <w:numId w:val="88"/>
        </w:numPr>
        <w:rPr>
          <w:rFonts w:ascii="Arial" w:cs="Arial" w:eastAsia="Arial" w:hAnsi="Arial"/>
          <w:sz w:val="15"/>
          <w:szCs w:val="15"/>
          <w:color w:val="auto"/>
        </w:rPr>
      </w:pPr>
      <w:r>
        <w:rPr>
          <w:rFonts w:ascii="Arial" w:cs="Arial" w:eastAsia="Arial" w:hAnsi="Arial"/>
          <w:sz w:val="15"/>
          <w:szCs w:val="15"/>
          <w:i w:val="1"/>
          <w:iCs w:val="1"/>
          <w:color w:val="auto"/>
        </w:rPr>
        <w:t>Acquisition targeting</w:t>
      </w:r>
      <w:r>
        <w:rPr>
          <w:rFonts w:ascii="Arial" w:cs="Arial" w:eastAsia="Arial" w:hAnsi="Arial"/>
          <w:sz w:val="15"/>
          <w:szCs w:val="15"/>
          <w:color w:val="auto"/>
        </w:rPr>
        <w:t>—identifies consumers likely to qualify for and have need for a loan;</w:t>
      </w:r>
      <w:r>
        <w:rPr>
          <w:rFonts w:ascii="Arial" w:cs="Arial" w:eastAsia="Arial" w:hAnsi="Arial"/>
          <w:sz w:val="15"/>
          <w:szCs w:val="15"/>
          <w:i w:val="1"/>
          <w:iCs w:val="1"/>
          <w:color w:val="auto"/>
        </w:rPr>
        <w:t xml:space="preserve"> </w:t>
      </w:r>
      <w:r>
        <w:rPr>
          <w:rFonts w:ascii="Arial" w:cs="Arial" w:eastAsia="Arial" w:hAnsi="Arial"/>
          <w:sz w:val="15"/>
          <w:szCs w:val="15"/>
          <w:color w:val="auto"/>
        </w:rPr>
        <w:t>149</w:t>
      </w:r>
    </w:p>
    <w:p>
      <w:pPr>
        <w:sectPr>
          <w:pgSz w:w="11900" w:h="16838" w:orient="portrait"/>
          <w:cols w:equalWidth="0" w:num="1">
            <w:col w:w="10160"/>
          </w:cols>
          <w:pgMar w:left="320" w:top="407" w:right="1419" w:bottom="1440" w:gutter="0" w:footer="0" w:header="0"/>
        </w:sectPr>
      </w:pPr>
    </w:p>
    <w:bookmarkStart w:id="159" w:name="page160"/>
    <w:bookmarkEnd w:id="1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3" w:lineRule="exact"/>
        <w:rPr>
          <w:sz w:val="20"/>
          <w:szCs w:val="20"/>
          <w:color w:val="auto"/>
        </w:rPr>
      </w:pPr>
    </w:p>
    <w:p>
      <w:pPr>
        <w:ind w:left="1660" w:hanging="183"/>
        <w:spacing w:after="0"/>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Loan stacking</w:t>
      </w:r>
      <w:r>
        <w:rPr>
          <w:rFonts w:ascii="Arial" w:cs="Arial" w:eastAsia="Arial" w:hAnsi="Arial"/>
          <w:sz w:val="15"/>
          <w:szCs w:val="15"/>
          <w:color w:val="auto"/>
        </w:rPr>
        <w:t>—identifies consumers likely to take out multiple loans in a short period of time;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Prepayment prediction</w:t>
      </w:r>
      <w:r>
        <w:rPr>
          <w:rFonts w:ascii="Arial" w:cs="Arial" w:eastAsia="Arial" w:hAnsi="Arial"/>
          <w:sz w:val="15"/>
          <w:szCs w:val="15"/>
          <w:color w:val="auto"/>
        </w:rPr>
        <w:t>—quantifies the likelihood that a consumer will make payments on a loan earlier than originally scheduled;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Identity fraud</w:t>
      </w:r>
      <w:r>
        <w:rPr>
          <w:rFonts w:ascii="Arial" w:cs="Arial" w:eastAsia="Arial" w:hAnsi="Arial"/>
          <w:sz w:val="15"/>
          <w:szCs w:val="15"/>
          <w:color w:val="auto"/>
        </w:rPr>
        <w:t>—quantifies the risk that an applicant is misrepresenting their identity;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Time-delimited default prediction</w:t>
      </w:r>
      <w:r>
        <w:rPr>
          <w:rFonts w:ascii="Arial" w:cs="Arial" w:eastAsia="Arial" w:hAnsi="Arial"/>
          <w:sz w:val="15"/>
          <w:szCs w:val="15"/>
          <w:color w:val="auto"/>
        </w:rPr>
        <w:t>—quantifies the likelihood of default for each period of the loan term.</w:t>
      </w:r>
    </w:p>
    <w:p>
      <w:pPr>
        <w:spacing w:after="0" w:line="26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Our Technology Infrastructure</w:t>
      </w:r>
    </w:p>
    <w:p>
      <w:pPr>
        <w:spacing w:after="0" w:line="19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Our cloud-based software platform incorporates modern technologies and software development approaches to allow for rapid development of new features.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Cloud-Native Technologies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run our technology platform as containerized services on the AWS cloud. Our architecture is designed for high availability and horizontal scalability. Our primary development platforms are Ruby on Rails and Python, but our Kubernetes-based compute environment gives us the flexibility to run heterogeneous workloads with minimal operational overhead. We deploy new software regularly without platform downtime, allowing borrowers and banks to immediately benefit from the latest updates to our platform.</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Data Integrity and Security</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information security program governs how we safeguard the confidentiality, integrity, and availability of our consumer data. Our environment is continuously monitored with a suite of tools designed to detect security events in both internal and user-facing systems. We engage with third parties to audit our security program and to perform regular penetration tests of our Web application and cloud environment.</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Configurable Multi-Tenant Architecture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multi-tenant architecture enables multiple lending partners to use the same version of our application while securely segmenting their data. Though all tenants are using the same version of our platform, our software is designed to be highly configurable to meet the needs of our diverse bank partners, allowing customizations to everything from the applicant user interface to the core rules governing credit decisioning.</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Machine Learning Platform</w:t>
      </w:r>
    </w:p>
    <w:p>
      <w:pPr>
        <w:spacing w:after="0" w:line="105" w:lineRule="exact"/>
        <w:rPr>
          <w:sz w:val="20"/>
          <w:szCs w:val="20"/>
          <w:color w:val="auto"/>
        </w:rPr>
      </w:pPr>
    </w:p>
    <w:p>
      <w:pPr>
        <w:ind w:left="1020" w:right="420" w:firstLine="460"/>
        <w:spacing w:after="0" w:line="238" w:lineRule="auto"/>
        <w:rPr>
          <w:sz w:val="20"/>
          <w:szCs w:val="20"/>
          <w:color w:val="auto"/>
        </w:rPr>
      </w:pPr>
      <w:r>
        <w:rPr>
          <w:rFonts w:ascii="Arial" w:cs="Arial" w:eastAsia="Arial" w:hAnsi="Arial"/>
          <w:sz w:val="15"/>
          <w:szCs w:val="15"/>
          <w:color w:val="auto"/>
        </w:rPr>
        <w:t>In order to support innovation in our underwriting, fraud detection and acquisition models, we have developed proprietary technologies to enable data scientists to develop, train, test and deploy new model updates with minimal engineering support. Our backend systems are designed to flexibly integrate with multiple third-party data sources to feed these models and support real-time decisioning.</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Responsive Web Design</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Our user interface is responsive to ensure applicants and borrowers have a smooth experience regardless of whether they are accessing our website from a desktop, mobile device or tablet.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0200"/>
          </w:cols>
          <w:pgMar w:left="320" w:top="407" w:right="1379" w:bottom="1440" w:gutter="0" w:footer="0" w:header="0"/>
        </w:sectPr>
      </w:pPr>
    </w:p>
    <w:bookmarkStart w:id="160" w:name="page161"/>
    <w:bookmarkEnd w:id="1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Robust Reporting and Integration Capabilities</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Our reporting APIs provide investors and bank partners the ability to access data through a programmatic interface. Our integration capabilities with bank partners include an ability to pre-fill applicant information via API and provide loan details in real-time to facilitate a seamless process from application to origination.</w:t>
      </w:r>
    </w:p>
    <w:p>
      <w:pPr>
        <w:spacing w:after="0" w:line="242"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Consumer Marketing</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growth and marketing approach is driven by the strength of our product and the interest rates we offer. While many lenders see consumer choice as a detractor from sales volume, we benefit when consumers compare our offers to other lenders’ offers. Over time, our ability to offer lower rates than our competitors has improved significantly.</w:t>
      </w:r>
      <w:r>
        <w:rPr>
          <w:rFonts w:ascii="Arial" w:cs="Arial" w:eastAsia="Arial" w:hAnsi="Arial"/>
          <w:sz w:val="12"/>
          <w:szCs w:val="12"/>
          <w:color w:val="auto"/>
        </w:rPr>
        <w:t>108</w:t>
      </w:r>
      <w:r>
        <w:rPr>
          <w:rFonts w:ascii="Arial" w:cs="Arial" w:eastAsia="Arial" w:hAnsi="Arial"/>
          <w:sz w:val="15"/>
          <w:szCs w:val="15"/>
          <w:color w:val="auto"/>
        </w:rPr>
        <w:t xml:space="preserve"> Because our model changes in real time, we are able to extend new offer loans to applicants who were previously not eligible or were previously quoted a higher rate.</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Our growth and marketing initiatives are primarily focused on bringing potential borrowers to Upstart.com, where they can learn if they qualify for a loan from one of our bank partners and on what terms in only a few minutes. Our consumer acquisition channels combine a mix of online and offline, as well as paid and unpaid, channels. While we constantly experiment to expand and optimize our acquisition strategies, our largest channels include:</w:t>
      </w:r>
    </w:p>
    <w:p>
      <w:pPr>
        <w:spacing w:after="0" w:line="77" w:lineRule="exact"/>
        <w:rPr>
          <w:sz w:val="20"/>
          <w:szCs w:val="20"/>
          <w:color w:val="auto"/>
        </w:rPr>
      </w:pPr>
    </w:p>
    <w:p>
      <w:pPr>
        <w:ind w:left="1660" w:right="60" w:hanging="183"/>
        <w:spacing w:after="0" w:line="251"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Marketing affiliates</w:t>
      </w:r>
      <w:r>
        <w:rPr>
          <w:rFonts w:ascii="Arial" w:cs="Arial" w:eastAsia="Arial" w:hAnsi="Arial"/>
          <w:sz w:val="15"/>
          <w:szCs w:val="15"/>
          <w:color w:val="auto"/>
        </w:rPr>
        <w:t>—A variety of online media partners, such as loan aggregators, send us traffic on a cost per origination basis.</w:t>
      </w:r>
      <w:r>
        <w:rPr>
          <w:rFonts w:ascii="Arial" w:cs="Arial" w:eastAsia="Arial" w:hAnsi="Arial"/>
          <w:sz w:val="15"/>
          <w:szCs w:val="15"/>
          <w:i w:val="1"/>
          <w:iCs w:val="1"/>
          <w:color w:val="auto"/>
        </w:rPr>
        <w:t xml:space="preserve"> </w:t>
      </w:r>
      <w:r>
        <w:rPr>
          <w:rFonts w:ascii="Arial" w:cs="Arial" w:eastAsia="Arial" w:hAnsi="Arial"/>
          <w:sz w:val="15"/>
          <w:szCs w:val="15"/>
          <w:color w:val="auto"/>
        </w:rPr>
        <w:t>Many loan aggregators also incorporate credit data to provide online prescreened offers, which leads to highly targeted and interested referrals. We currently have relationships with approximately 30 online media partners.</w:t>
      </w:r>
    </w:p>
    <w:p>
      <w:pPr>
        <w:spacing w:after="0" w:line="67" w:lineRule="exact"/>
        <w:rPr>
          <w:rFonts w:ascii="Arial" w:cs="Arial" w:eastAsia="Arial" w:hAnsi="Arial"/>
          <w:sz w:val="15"/>
          <w:szCs w:val="15"/>
          <w:color w:val="auto"/>
        </w:rPr>
      </w:pPr>
    </w:p>
    <w:p>
      <w:pPr>
        <w:ind w:left="1660" w:right="160" w:hanging="183"/>
        <w:spacing w:after="0" w:line="251"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Direct mail</w:t>
      </w:r>
      <w:r>
        <w:rPr>
          <w:rFonts w:ascii="Arial" w:cs="Arial" w:eastAsia="Arial" w:hAnsi="Arial"/>
          <w:sz w:val="15"/>
          <w:szCs w:val="15"/>
          <w:color w:val="auto"/>
        </w:rPr>
        <w:t>—We apply our strengths in data science to target individuals who both qualify for and may have a need for an</w:t>
      </w:r>
      <w:r>
        <w:rPr>
          <w:rFonts w:ascii="Arial" w:cs="Arial" w:eastAsia="Arial" w:hAnsi="Arial"/>
          <w:sz w:val="15"/>
          <w:szCs w:val="15"/>
          <w:i w:val="1"/>
          <w:iCs w:val="1"/>
          <w:color w:val="auto"/>
        </w:rPr>
        <w:t xml:space="preserve"> </w:t>
      </w:r>
      <w:r>
        <w:rPr>
          <w:rFonts w:ascii="Arial" w:cs="Arial" w:eastAsia="Arial" w:hAnsi="Arial"/>
          <w:sz w:val="15"/>
          <w:szCs w:val="15"/>
          <w:color w:val="auto"/>
        </w:rPr>
        <w:t>Upstart-powered loan. The ability to analyze an individual’s credit data to target and mail prescreened offers of credit gives this channel a meaningful data advantage over other channels.</w:t>
      </w:r>
    </w:p>
    <w:p>
      <w:pPr>
        <w:spacing w:after="0" w:line="67" w:lineRule="exact"/>
        <w:rPr>
          <w:rFonts w:ascii="Arial" w:cs="Arial" w:eastAsia="Arial" w:hAnsi="Arial"/>
          <w:sz w:val="15"/>
          <w:szCs w:val="15"/>
          <w:color w:val="auto"/>
        </w:rPr>
      </w:pPr>
    </w:p>
    <w:p>
      <w:pPr>
        <w:ind w:left="1660" w:right="380" w:hanging="183"/>
        <w:spacing w:after="0" w:line="267"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Organic traffic</w:t>
      </w:r>
      <w:r>
        <w:rPr>
          <w:rFonts w:ascii="Arial" w:cs="Arial" w:eastAsia="Arial" w:hAnsi="Arial"/>
          <w:sz w:val="15"/>
          <w:szCs w:val="15"/>
          <w:color w:val="auto"/>
        </w:rPr>
        <w:t>—As our brand recognition and reputation grow, an increasing number of potential borrowers come directly to</w:t>
      </w:r>
      <w:r>
        <w:rPr>
          <w:rFonts w:ascii="Arial" w:cs="Arial" w:eastAsia="Arial" w:hAnsi="Arial"/>
          <w:sz w:val="15"/>
          <w:szCs w:val="15"/>
          <w:i w:val="1"/>
          <w:iCs w:val="1"/>
          <w:color w:val="auto"/>
        </w:rPr>
        <w:t xml:space="preserve"> </w:t>
      </w:r>
      <w:r>
        <w:rPr>
          <w:rFonts w:ascii="Arial" w:cs="Arial" w:eastAsia="Arial" w:hAnsi="Arial"/>
          <w:sz w:val="15"/>
          <w:szCs w:val="15"/>
          <w:color w:val="auto"/>
        </w:rPr>
        <w:t>Upstart.com simply by word of mouth.</w:t>
      </w:r>
    </w:p>
    <w:p>
      <w:pPr>
        <w:spacing w:after="0" w:line="55" w:lineRule="exact"/>
        <w:rPr>
          <w:rFonts w:ascii="Arial" w:cs="Arial" w:eastAsia="Arial" w:hAnsi="Arial"/>
          <w:sz w:val="15"/>
          <w:szCs w:val="15"/>
          <w:color w:val="auto"/>
        </w:rPr>
      </w:pPr>
    </w:p>
    <w:p>
      <w:pPr>
        <w:ind w:left="1660" w:right="40" w:hanging="183"/>
        <w:spacing w:after="0" w:line="267"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Email marketing</w:t>
      </w:r>
      <w:r>
        <w:rPr>
          <w:rFonts w:ascii="Arial" w:cs="Arial" w:eastAsia="Arial" w:hAnsi="Arial"/>
          <w:sz w:val="15"/>
          <w:szCs w:val="15"/>
          <w:color w:val="auto"/>
        </w:rPr>
        <w:t>—We have an automated email program that sends customized messages and reminders to potential borrowers</w:t>
      </w:r>
      <w:r>
        <w:rPr>
          <w:rFonts w:ascii="Arial" w:cs="Arial" w:eastAsia="Arial" w:hAnsi="Arial"/>
          <w:sz w:val="15"/>
          <w:szCs w:val="15"/>
          <w:i w:val="1"/>
          <w:iCs w:val="1"/>
          <w:color w:val="auto"/>
        </w:rPr>
        <w:t xml:space="preserve"> </w:t>
      </w:r>
      <w:r>
        <w:rPr>
          <w:rFonts w:ascii="Arial" w:cs="Arial" w:eastAsia="Arial" w:hAnsi="Arial"/>
          <w:sz w:val="15"/>
          <w:szCs w:val="15"/>
          <w:color w:val="auto"/>
        </w:rPr>
        <w:t>once they have created accounts to encourage them to complete their loan application.</w:t>
      </w:r>
    </w:p>
    <w:p>
      <w:pPr>
        <w:spacing w:after="0" w:line="55" w:lineRule="exact"/>
        <w:rPr>
          <w:rFonts w:ascii="Arial" w:cs="Arial" w:eastAsia="Arial" w:hAnsi="Arial"/>
          <w:sz w:val="15"/>
          <w:szCs w:val="15"/>
          <w:color w:val="auto"/>
        </w:rPr>
      </w:pPr>
    </w:p>
    <w:p>
      <w:pPr>
        <w:ind w:left="1660" w:right="760" w:hanging="183"/>
        <w:spacing w:after="0" w:line="267"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Online advertising</w:t>
      </w:r>
      <w:r>
        <w:rPr>
          <w:rFonts w:ascii="Arial" w:cs="Arial" w:eastAsia="Arial" w:hAnsi="Arial"/>
          <w:sz w:val="15"/>
          <w:szCs w:val="15"/>
          <w:color w:val="auto"/>
        </w:rPr>
        <w:t>—Search engines and social channels enable targeted outreach to potential borrowers with specific</w:t>
      </w:r>
      <w:r>
        <w:rPr>
          <w:rFonts w:ascii="Arial" w:cs="Arial" w:eastAsia="Arial" w:hAnsi="Arial"/>
          <w:sz w:val="15"/>
          <w:szCs w:val="15"/>
          <w:i w:val="1"/>
          <w:iCs w:val="1"/>
          <w:color w:val="auto"/>
        </w:rPr>
        <w:t xml:space="preserve"> </w:t>
      </w:r>
      <w:r>
        <w:rPr>
          <w:rFonts w:ascii="Arial" w:cs="Arial" w:eastAsia="Arial" w:hAnsi="Arial"/>
          <w:sz w:val="15"/>
          <w:szCs w:val="15"/>
          <w:color w:val="auto"/>
        </w:rPr>
        <w:t>messages.</w:t>
      </w:r>
    </w:p>
    <w:p>
      <w:pPr>
        <w:spacing w:after="0" w:line="55" w:lineRule="exact"/>
        <w:rPr>
          <w:rFonts w:ascii="Arial" w:cs="Arial" w:eastAsia="Arial" w:hAnsi="Arial"/>
          <w:sz w:val="15"/>
          <w:szCs w:val="15"/>
          <w:color w:val="auto"/>
        </w:rPr>
      </w:pPr>
    </w:p>
    <w:p>
      <w:pPr>
        <w:ind w:left="1660" w:right="300" w:hanging="183"/>
        <w:spacing w:after="0" w:line="251" w:lineRule="auto"/>
        <w:tabs>
          <w:tab w:leader="none" w:pos="1660" w:val="left"/>
        </w:tabs>
        <w:numPr>
          <w:ilvl w:val="0"/>
          <w:numId w:val="90"/>
        </w:numPr>
        <w:rPr>
          <w:rFonts w:ascii="Arial" w:cs="Arial" w:eastAsia="Arial" w:hAnsi="Arial"/>
          <w:sz w:val="15"/>
          <w:szCs w:val="15"/>
          <w:color w:val="auto"/>
        </w:rPr>
      </w:pPr>
      <w:r>
        <w:rPr>
          <w:rFonts w:ascii="Arial" w:cs="Arial" w:eastAsia="Arial" w:hAnsi="Arial"/>
          <w:sz w:val="15"/>
          <w:szCs w:val="15"/>
          <w:i w:val="1"/>
          <w:iCs w:val="1"/>
          <w:color w:val="auto"/>
        </w:rPr>
        <w:t>Podcast advertising</w:t>
      </w:r>
      <w:r>
        <w:rPr>
          <w:rFonts w:ascii="Arial" w:cs="Arial" w:eastAsia="Arial" w:hAnsi="Arial"/>
          <w:sz w:val="15"/>
          <w:szCs w:val="15"/>
          <w:color w:val="auto"/>
        </w:rPr>
        <w:t>—We purchase 30 or 60-second advertising placements on podcasts with a listener base that we believe</w:t>
      </w:r>
      <w:r>
        <w:rPr>
          <w:rFonts w:ascii="Arial" w:cs="Arial" w:eastAsia="Arial" w:hAnsi="Arial"/>
          <w:sz w:val="15"/>
          <w:szCs w:val="15"/>
          <w:i w:val="1"/>
          <w:iCs w:val="1"/>
          <w:color w:val="auto"/>
        </w:rPr>
        <w:t xml:space="preserve"> </w:t>
      </w:r>
      <w:r>
        <w:rPr>
          <w:rFonts w:ascii="Arial" w:cs="Arial" w:eastAsia="Arial" w:hAnsi="Arial"/>
          <w:sz w:val="15"/>
          <w:szCs w:val="15"/>
          <w:color w:val="auto"/>
        </w:rPr>
        <w:t>overlaps with Upstart’s target consumer base. These advertisements are designed by the Upstart team but are delivered to listeners by the podcast hosts.</w:t>
      </w:r>
    </w:p>
    <w:p>
      <w:pPr>
        <w:spacing w:after="0" w:line="16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Credit Karma. The percentage of loan originations that were derived from traffic from Credit Karma was 28%, 38%, 38% and 52% in 2017, 2018, 2019 and the nine months ended September 30, 2020, respectively, and the percentage of loan originations that were derived from direct mail was 36%, 28%, 23% and 12%, in 2017, 2018, 2019 and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66675</wp:posOffset>
            </wp:positionV>
            <wp:extent cx="64389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line="182" w:lineRule="auto"/>
        <w:tabs>
          <w:tab w:leader="none" w:pos="1480" w:val="left"/>
        </w:tabs>
        <w:numPr>
          <w:ilvl w:val="0"/>
          <w:numId w:val="91"/>
        </w:numPr>
        <w:rPr>
          <w:rFonts w:ascii="Arial" w:cs="Arial" w:eastAsia="Arial" w:hAnsi="Arial"/>
          <w:sz w:val="20"/>
          <w:szCs w:val="20"/>
          <w:color w:val="auto"/>
          <w:vertAlign w:val="superscript"/>
        </w:rPr>
      </w:pPr>
      <w:r>
        <w:rPr>
          <w:rFonts w:ascii="Arial" w:cs="Arial" w:eastAsia="Arial" w:hAnsi="Arial"/>
          <w:sz w:val="12"/>
          <w:szCs w:val="12"/>
          <w:color w:val="auto"/>
        </w:rPr>
        <w:t>Since 2017, Upstart has used a third-party service to perform quarterly comparative studies of the interest rates offered for Upstart-powered loans versus the interest rates offered by six other companies offering personal loans online.</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0220"/>
          </w:cols>
          <w:pgMar w:left="320" w:top="407" w:right="1359" w:bottom="1440" w:gutter="0" w:footer="0" w:header="0"/>
        </w:sectPr>
      </w:pPr>
    </w:p>
    <w:bookmarkStart w:id="161" w:name="page162"/>
    <w:bookmarkEnd w:id="1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ended September 30, 2020, respectively. No other marketing channel contributed significantly compared to Credit Karma and direct mail. We have entered into a promotion agreement with Credit Karma that governs the terms and conditions between us and Credit Karma with respect to advertising the loans offered on our platform. Either party may terminate our arrangement immediately upon a material breach of any provision of the agreement or at any time, with or without cause, by providing no less than 30 days’ notice. Our agreement does not require Credit Karma to display offers from lenders on Upstart.com or prohibit them from working with our competitors or from offering competing services. In this regard, Credit Karma recently began directing more customer traffic to a program that hosts and aggregates the credit models of other loan providers directly on its platform for the purpose of giving credit offers. To date, Upstart has opted not to participate in this program. In November 2020, we experienced a reduction in the number of loan applicants directed to the Upstart platform by Credit Karma and a corresponding decrease in the number of loans originated on our platform, and we may experience additional reductions in traffic from Credit Karma in the future.</w:t>
      </w:r>
    </w:p>
    <w:p>
      <w:pPr>
        <w:spacing w:after="0" w:line="246" w:lineRule="exact"/>
        <w:rPr>
          <w:sz w:val="20"/>
          <w:szCs w:val="20"/>
          <w:color w:val="auto"/>
        </w:rPr>
      </w:pPr>
    </w:p>
    <w:p>
      <w:pPr>
        <w:ind w:left="4960"/>
        <w:spacing w:after="0"/>
        <w:rPr>
          <w:sz w:val="20"/>
          <w:szCs w:val="20"/>
          <w:color w:val="auto"/>
        </w:rPr>
      </w:pPr>
      <w:r>
        <w:rPr>
          <w:rFonts w:ascii="Arial" w:cs="Arial" w:eastAsia="Arial" w:hAnsi="Arial"/>
          <w:sz w:val="15"/>
          <w:szCs w:val="15"/>
          <w:b w:val="1"/>
          <w:bCs w:val="1"/>
          <w:color w:val="auto"/>
        </w:rPr>
        <w:t>Bank Partnerships</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Outside of the four largest U.S. banks, there are approximately 5,200 FDIC insured institutions holding over $8 trillion in</w:t>
      </w:r>
    </w:p>
    <w:p>
      <w:pPr>
        <w:ind w:left="1020"/>
        <w:spacing w:after="0" w:line="235" w:lineRule="auto"/>
        <w:rPr>
          <w:sz w:val="20"/>
          <w:szCs w:val="20"/>
          <w:color w:val="auto"/>
        </w:rPr>
      </w:pPr>
      <w:r>
        <w:rPr>
          <w:rFonts w:ascii="Arial" w:cs="Arial" w:eastAsia="Arial" w:hAnsi="Arial"/>
          <w:sz w:val="15"/>
          <w:szCs w:val="15"/>
          <w:color w:val="auto"/>
        </w:rPr>
        <w:t>deposits.</w:t>
      </w:r>
      <w:r>
        <w:rPr>
          <w:rFonts w:ascii="Arial" w:cs="Arial" w:eastAsia="Arial" w:hAnsi="Arial"/>
          <w:sz w:val="12"/>
          <w:szCs w:val="12"/>
          <w:color w:val="auto"/>
        </w:rPr>
        <w:t>109</w:t>
      </w:r>
      <w:r>
        <w:rPr>
          <w:rFonts w:ascii="Arial" w:cs="Arial" w:eastAsia="Arial" w:hAnsi="Arial"/>
          <w:sz w:val="15"/>
          <w:szCs w:val="15"/>
          <w:color w:val="auto"/>
        </w:rPr>
        <w:t xml:space="preserve"> We predominantly target small to medium-sized banks with an appetite to invest in improved underwriting, digital originations</w:t>
      </w:r>
    </w:p>
    <w:p>
      <w:pPr>
        <w:ind w:left="1020"/>
        <w:spacing w:after="0" w:line="235" w:lineRule="auto"/>
        <w:rPr>
          <w:sz w:val="20"/>
          <w:szCs w:val="20"/>
          <w:color w:val="auto"/>
        </w:rPr>
      </w:pPr>
      <w:r>
        <w:rPr>
          <w:rFonts w:ascii="Arial" w:cs="Arial" w:eastAsia="Arial" w:hAnsi="Arial"/>
          <w:sz w:val="15"/>
          <w:szCs w:val="15"/>
          <w:color w:val="auto"/>
        </w:rPr>
        <w:t>and unsecured lending. As of September 30, 2020, we had 10 bank partners, including Cross River Bank, Customers Bank, FinWise</w:t>
      </w:r>
    </w:p>
    <w:p>
      <w:pPr>
        <w:ind w:left="1020"/>
        <w:spacing w:after="0" w:line="235" w:lineRule="auto"/>
        <w:rPr>
          <w:sz w:val="20"/>
          <w:szCs w:val="20"/>
          <w:color w:val="auto"/>
        </w:rPr>
      </w:pPr>
      <w:r>
        <w:rPr>
          <w:rFonts w:ascii="Arial" w:cs="Arial" w:eastAsia="Arial" w:hAnsi="Arial"/>
          <w:sz w:val="15"/>
          <w:szCs w:val="15"/>
          <w:color w:val="auto"/>
        </w:rPr>
        <w:t>Bank, First Federal Bank of Kansas City, First National Bank of Omaha, KEMBA Financial Credit Union, TCF Bank, Apple Bank for</w:t>
      </w:r>
    </w:p>
    <w:p>
      <w:pPr>
        <w:ind w:left="1020"/>
        <w:spacing w:after="0"/>
        <w:rPr>
          <w:sz w:val="20"/>
          <w:szCs w:val="20"/>
          <w:color w:val="auto"/>
        </w:rPr>
      </w:pPr>
      <w:r>
        <w:rPr>
          <w:rFonts w:ascii="Arial" w:cs="Arial" w:eastAsia="Arial" w:hAnsi="Arial"/>
          <w:sz w:val="15"/>
          <w:szCs w:val="15"/>
          <w:color w:val="auto"/>
        </w:rPr>
        <w:t>Savings and Ridgewood Savings Bank.</w:t>
      </w:r>
    </w:p>
    <w:p>
      <w:pPr>
        <w:spacing w:after="0" w:line="177"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For the years ended December 31, 2017, 2018 and 2019, fees received from Cross River Bank, or CRB, accounted for 83%, 81% and 80% of our total revenue, respectively. For the nine months ended September 30, 2019 and 2020, fees received from CRB accounted for 81% and 65% of our total revenue, respectively. We have entered into a loan program agreement that governs the terms and conditions between us and CRB with respect to loans facilitated through our platform and issued by CRB. The most recent loan program agreement with CRB began on January 1, 2019 and has a term of four years with an automatic renewal provision for an additional two years following the initial four year term. Either party may choose not to renew by providing the other party 120 days’ notice prior to the end of the initial term or any renewal term. In addition, during the term of our arrangement, CRB may reduce the volume of Upstart-powered loans that it chooses to fund and retain on its balance sheet or not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judgement by a governmental entity, a material adverse effect, or a change of control whereby such party involved in such change of control provides 90 days’ notice to the other and pays a termination fee of $450,000.</w:t>
      </w:r>
    </w:p>
    <w:p>
      <w:pPr>
        <w:spacing w:after="0" w:line="17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We have also entered into separate agreements with each of our other bank partners. Our agreements with our bank partners are non-exclusive, generally have 12-month terms that automatically renew, subject to certain early termination provisions and minimum fee amounts, and do not include any minimum origination obligations or origination limits. Our typical sales and onboarding process can be long and typically takes between six to 15 months. For three to six months, our sales team will work with a prospective bank partner to develop the business case for launching an Upstart-powered loan program and securing a line of business commitment. After this process is complete, the bank will typically spend three to six months conducting diligence, which includes sign-off from internal and external stakeholders, including regulators. Lastly, the bank will work with our solutions architecture and engineering team to integrate with our systems, which typically takes one to 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160" w:hanging="453"/>
        <w:spacing w:after="0" w:line="182" w:lineRule="auto"/>
        <w:tabs>
          <w:tab w:leader="none" w:pos="1480" w:val="left"/>
        </w:tabs>
        <w:numPr>
          <w:ilvl w:val="0"/>
          <w:numId w:val="92"/>
        </w:numPr>
        <w:rPr>
          <w:rFonts w:ascii="Arial" w:cs="Arial" w:eastAsia="Arial" w:hAnsi="Arial"/>
          <w:sz w:val="20"/>
          <w:szCs w:val="20"/>
          <w:color w:val="auto"/>
          <w:vertAlign w:val="superscript"/>
        </w:rPr>
      </w:pPr>
      <w:r>
        <w:rPr>
          <w:rFonts w:ascii="Arial" w:cs="Arial" w:eastAsia="Arial" w:hAnsi="Arial"/>
          <w:sz w:val="12"/>
          <w:szCs w:val="12"/>
          <w:color w:val="auto"/>
        </w:rPr>
        <w:t>The dollar amount of deposits held by banks, other than the largest four banks, was aggregated by Upstart using data provided by the FDIC; see the section titled “Industry, Market and Other Data.”</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0200"/>
          </w:cols>
          <w:pgMar w:left="320" w:top="407" w:right="137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After launch, our account managers and customer success team provide ongoing support to the bank. This includes operational communications, quality assurance, assistance with regulatory requests and quarterly business reviews. Our focus on providing exceptional ongoing support has resulted in minimal bank partner attrition to date. Instead, our partners have expanded credit limits and increased originations. Additionally, many of our bank partners have expressed interest in new Upstart products.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platform includes a cloud-based web application for all user interactions, including rate inquiry, loan offer presentation, adverse action notification, bank account verification and connectivity, borrower identity and credential verification, disclosure presentation and loan servicing. The software includes a variety of embedded AI models supporting and automating fraud prevention, credit decisioning and borrower verification. Bank partners also have access to an administrative interface for reporting and program management. We also perform regulatory fairness tests on bank partners’ behalf.</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Institutional Investors</w:t>
      </w:r>
    </w:p>
    <w:p>
      <w:pPr>
        <w:spacing w:after="0" w:line="195" w:lineRule="exact"/>
        <w:rPr>
          <w:sz w:val="20"/>
          <w:szCs w:val="20"/>
          <w:color w:val="auto"/>
        </w:rPr>
      </w:pPr>
    </w:p>
    <w:p>
      <w:pPr>
        <w:ind w:left="1020" w:right="340" w:firstLine="460"/>
        <w:spacing w:after="0"/>
        <w:rPr>
          <w:sz w:val="20"/>
          <w:szCs w:val="20"/>
          <w:color w:val="auto"/>
        </w:rPr>
      </w:pPr>
      <w:r>
        <w:rPr>
          <w:rFonts w:ascii="Arial" w:cs="Arial" w:eastAsia="Arial" w:hAnsi="Arial"/>
          <w:sz w:val="15"/>
          <w:szCs w:val="15"/>
          <w:color w:val="auto"/>
        </w:rPr>
        <w:t>Our platform allows bank partners to originate and retain loans that meet their business objectives. Because banks vary with respect to program objectives, risk tolerance and funding capacity, each bank’s program parameters can vary significantly. In the third quarter of 2020, approximately 22% of Upstart-powered loans originated by bank partners were retained by those bank partners.</w:t>
      </w:r>
    </w:p>
    <w:p>
      <w:pPr>
        <w:spacing w:after="0" w:line="170" w:lineRule="exact"/>
        <w:rPr>
          <w:sz w:val="20"/>
          <w:szCs w:val="20"/>
          <w:color w:val="auto"/>
        </w:rPr>
      </w:pPr>
    </w:p>
    <w:p>
      <w:pPr>
        <w:ind w:left="1020" w:right="240" w:firstLine="460"/>
        <w:spacing w:after="0" w:line="238" w:lineRule="auto"/>
        <w:rPr>
          <w:sz w:val="20"/>
          <w:szCs w:val="20"/>
          <w:color w:val="auto"/>
        </w:rPr>
      </w:pPr>
      <w:r>
        <w:rPr>
          <w:rFonts w:ascii="Arial" w:cs="Arial" w:eastAsia="Arial" w:hAnsi="Arial"/>
          <w:sz w:val="15"/>
          <w:szCs w:val="15"/>
          <w:color w:val="auto"/>
        </w:rPr>
        <w:t>Upstart-powered loans originated by bank partners can be sold to institutional investors through a variety of funding structures developed and supported by Upstart. As of September 30, 2020, loans from our bank partners were purchased or funded by our broad base of approximately 100 institutional investors and buyers. By leveraging our institutional investors’ broad and diverse capacity to absorb and distribute credit risk, we can develop our business and our AI models faster than if we relied only on the funding capacity of our bank partners. Accordingly, our growth is not limited by bank funding capacity or risk tolerance.</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began working with six institutional investors in 2015 and have relationships with approximately 100 institutional investors today, which include Goldman Sachs, PIMCO and funds managed by Morgan Stanley Investment Management. The institutional investors that participate in our loan funding programs include banks, insurance companies, ‘40 Act funds, hedge funds, private equity funds and other sources of institutional capital. These relationships have allowed us to expand our model beyond the risk profile of a typical bank. The combination of bank and institutional investor funding provides our platform with competitive and diverse capital, without Upstart having to retain risk in its capital markets programs.</w:t>
      </w:r>
    </w:p>
    <w:p>
      <w:pPr>
        <w:spacing w:after="0" w:line="172"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Our network of institutional investors includes purchasers of whole loans originated via Upstart’s platform, as well as capital markets investors that buy securities, such as pass-through certificates.</w:t>
      </w:r>
    </w:p>
    <w:p>
      <w:pPr>
        <w:spacing w:after="0" w:line="166" w:lineRule="exact"/>
        <w:rPr>
          <w:sz w:val="20"/>
          <w:szCs w:val="20"/>
          <w:color w:val="auto"/>
        </w:rPr>
      </w:pPr>
    </w:p>
    <w:p>
      <w:pPr>
        <w:jc w:val="both"/>
        <w:ind w:left="1020" w:right="120" w:firstLine="460"/>
        <w:spacing w:after="0" w:line="235" w:lineRule="auto"/>
        <w:rPr>
          <w:sz w:val="20"/>
          <w:szCs w:val="20"/>
          <w:color w:val="auto"/>
        </w:rPr>
      </w:pPr>
      <w:r>
        <w:rPr>
          <w:rFonts w:ascii="Arial" w:cs="Arial" w:eastAsia="Arial" w:hAnsi="Arial"/>
          <w:sz w:val="15"/>
          <w:szCs w:val="15"/>
          <w:color w:val="auto"/>
        </w:rPr>
        <w:t>In the case of whole loan purchasers, we typically enter into loan purchase agreements and loan servicing agreements with such purchasers. The loan purchase agreements provide for the purchaser to place requests (ordinarily on a monthly basis) to purchase pools of whole loans originated via Upstart’s platform by certain bank partners, which Upstart may attempt to fulfill on an uncommitted basis.</w:t>
      </w:r>
    </w:p>
    <w:p>
      <w:pPr>
        <w:ind w:left="1020" w:right="80"/>
        <w:spacing w:after="0" w:line="245" w:lineRule="auto"/>
        <w:rPr>
          <w:sz w:val="20"/>
          <w:szCs w:val="20"/>
          <w:color w:val="auto"/>
        </w:rPr>
      </w:pPr>
      <w:r>
        <w:rPr>
          <w:rFonts w:ascii="Arial" w:cs="Arial" w:eastAsia="Arial" w:hAnsi="Arial"/>
          <w:sz w:val="15"/>
          <w:szCs w:val="15"/>
          <w:color w:val="auto"/>
        </w:rPr>
        <w:t>Both the loan purchase and loan servicing agreements are typically terminable (i) for convenience after a notice period, (ii) following the passage of a term or (iii) after certain events of default. Loan purchasers may also cease to place requests to purchase loans at any time.</w:t>
      </w:r>
    </w:p>
    <w:p>
      <w:pPr>
        <w:spacing w:after="0" w:line="166"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Investors may also purchase interests in loans originated via Upstart’s platform in the form of pass-through certificates rather than whole loans. We have pass-through certificate programs sponsored by certain financial institutions under which investors can purchase securities collateralized by Upstart-powered loans from an issuer trust. Under each program, an affiliate of the sponsor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0220"/>
          </w:cols>
          <w:pgMar w:left="320" w:top="407" w:right="135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rPr>
          <w:sz w:val="20"/>
          <w:szCs w:val="20"/>
          <w:color w:val="auto"/>
        </w:rPr>
      </w:pPr>
      <w:r>
        <w:rPr>
          <w:rFonts w:ascii="Arial" w:cs="Arial" w:eastAsia="Arial" w:hAnsi="Arial"/>
          <w:sz w:val="15"/>
          <w:szCs w:val="15"/>
          <w:color w:val="auto"/>
        </w:rPr>
        <w:t>(depositor) purchases loans from Upstart on an ongoing basis. Periodically, each of the master trusts form a new series trust that acquires loans originated in the prior month from the depositor and issues certificates, evidencing beneficial ownership in the series trust, to purchasers of such pass-through certificates. These institutional investors then receive a monthly distribution from the series trust.</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From Upstart’s perspective, there is little difference between whole loan sales and sales of pass-through certificates. Both programs are offered to provide flexibility to investors in our loan funding programs. Institutional investors may prefer pass-through certificates, which are more liquid, while other institutional investors may prefer whole loan purchases, which are generally more cost effective. The below table provides a breakdown of Upstart-powered loans purchased through whole loan sales and pass-through certificates.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5880" w:type="dxa"/>
            <w:vAlign w:val="bottom"/>
          </w:tcPr>
          <w:p>
            <w:pPr>
              <w:spacing w:after="0"/>
              <w:rPr>
                <w:sz w:val="12"/>
                <w:szCs w:val="12"/>
                <w:color w:val="auto"/>
              </w:rPr>
            </w:pPr>
          </w:p>
        </w:tc>
        <w:tc>
          <w:tcPr>
            <w:tcW w:w="2000" w:type="dxa"/>
            <w:vAlign w:val="bottom"/>
            <w:gridSpan w:val="6"/>
          </w:tcPr>
          <w:p>
            <w:pPr>
              <w:jc w:val="center"/>
              <w:ind w:right="120"/>
              <w:spacing w:after="0"/>
              <w:rPr>
                <w:sz w:val="20"/>
                <w:szCs w:val="20"/>
                <w:color w:val="auto"/>
              </w:rPr>
            </w:pPr>
            <w:r>
              <w:rPr>
                <w:rFonts w:ascii="Arial" w:cs="Arial" w:eastAsia="Arial" w:hAnsi="Arial"/>
                <w:sz w:val="12"/>
                <w:szCs w:val="12"/>
                <w:b w:val="1"/>
                <w:bCs w:val="1"/>
                <w:color w:val="auto"/>
              </w:rPr>
              <w:t>Year Ended December 31,</w:t>
            </w:r>
          </w:p>
        </w:tc>
        <w:tc>
          <w:tcPr>
            <w:tcW w:w="1320" w:type="dxa"/>
            <w:vAlign w:val="bottom"/>
            <w:gridSpan w:val="4"/>
          </w:tcPr>
          <w:p>
            <w:pPr>
              <w:jc w:val="center"/>
              <w:ind w:right="6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88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6"/>
              <w:spacing w:after="0" w:line="126"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top w:val="single" w:sz="8" w:color="auto"/>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bottom w:val="single" w:sz="8" w:color="CCEEFF"/>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37"/>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5"/>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Borders>
              <w:bottom w:val="single" w:sz="8" w:color="CCEEFF"/>
            </w:tcBorders>
          </w:tcPr>
          <w:p>
            <w:pPr>
              <w:spacing w:after="0"/>
              <w:rPr>
                <w:sz w:val="10"/>
                <w:szCs w:val="10"/>
                <w:color w:val="auto"/>
              </w:rPr>
            </w:pPr>
          </w:p>
        </w:tc>
      </w:tr>
      <w:tr>
        <w:trPr>
          <w:trHeight w:val="149"/>
        </w:trPr>
        <w:tc>
          <w:tcPr>
            <w:tcW w:w="58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Pass-Through Certificates</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center"/>
              <w:ind w:left="15"/>
              <w:spacing w:after="0" w:line="149" w:lineRule="exact"/>
              <w:rPr>
                <w:sz w:val="20"/>
                <w:szCs w:val="20"/>
                <w:color w:val="auto"/>
              </w:rPr>
            </w:pPr>
            <w:r>
              <w:rPr>
                <w:rFonts w:ascii="Arial" w:cs="Arial" w:eastAsia="Arial" w:hAnsi="Arial"/>
                <w:sz w:val="14"/>
                <w:szCs w:val="14"/>
                <w:color w:val="auto"/>
                <w:w w:val="97"/>
              </w:rPr>
              <w:t>19,702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41,623</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22,793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30,266</w:t>
            </w:r>
          </w:p>
        </w:tc>
        <w:tc>
          <w:tcPr>
            <w:tcW w:w="60" w:type="dxa"/>
            <w:vAlign w:val="bottom"/>
            <w:shd w:val="clear" w:color="auto" w:fill="CCEEFF"/>
          </w:tcPr>
          <w:p>
            <w:pPr>
              <w:spacing w:after="0"/>
              <w:rPr>
                <w:sz w:val="12"/>
                <w:szCs w:val="12"/>
                <w:color w:val="auto"/>
              </w:rPr>
            </w:pPr>
          </w:p>
        </w:tc>
      </w:tr>
      <w:tr>
        <w:trPr>
          <w:trHeight w:val="164"/>
        </w:trPr>
        <w:tc>
          <w:tcPr>
            <w:tcW w:w="5880" w:type="dxa"/>
            <w:vAlign w:val="bottom"/>
          </w:tcPr>
          <w:p>
            <w:pPr>
              <w:spacing w:after="0"/>
              <w:rPr>
                <w:sz w:val="20"/>
                <w:szCs w:val="20"/>
                <w:color w:val="auto"/>
              </w:rPr>
            </w:pPr>
            <w:r>
              <w:rPr>
                <w:rFonts w:ascii="Arial" w:cs="Arial" w:eastAsia="Arial" w:hAnsi="Arial"/>
                <w:sz w:val="14"/>
                <w:szCs w:val="14"/>
                <w:color w:val="auto"/>
              </w:rPr>
              <w:t>Whole Loan Sales</w:t>
            </w:r>
          </w:p>
        </w:tc>
        <w:tc>
          <w:tcPr>
            <w:tcW w:w="500" w:type="dxa"/>
            <w:vAlign w:val="bottom"/>
          </w:tcPr>
          <w:p>
            <w:pPr>
              <w:jc w:val="right"/>
              <w:spacing w:after="0"/>
              <w:rPr>
                <w:sz w:val="20"/>
                <w:szCs w:val="20"/>
                <w:color w:val="auto"/>
              </w:rPr>
            </w:pPr>
            <w:r>
              <w:rPr>
                <w:rFonts w:ascii="Arial" w:cs="Arial" w:eastAsia="Arial" w:hAnsi="Arial"/>
                <w:sz w:val="14"/>
                <w:szCs w:val="14"/>
                <w:color w:val="auto"/>
              </w:rPr>
              <w:t>53,190</w:t>
            </w:r>
          </w:p>
        </w:tc>
        <w:tc>
          <w:tcPr>
            <w:tcW w:w="140" w:type="dxa"/>
            <w:vAlign w:val="bottom"/>
          </w:tcPr>
          <w:p>
            <w:pPr>
              <w:spacing w:after="0"/>
              <w:rPr>
                <w:sz w:val="14"/>
                <w:szCs w:val="14"/>
                <w:color w:val="auto"/>
              </w:rPr>
            </w:pPr>
          </w:p>
        </w:tc>
        <w:tc>
          <w:tcPr>
            <w:tcW w:w="500" w:type="dxa"/>
            <w:vAlign w:val="bottom"/>
          </w:tcPr>
          <w:p>
            <w:pPr>
              <w:jc w:val="center"/>
              <w:ind w:left="15"/>
              <w:spacing w:after="0"/>
              <w:rPr>
                <w:sz w:val="20"/>
                <w:szCs w:val="20"/>
                <w:color w:val="auto"/>
              </w:rPr>
            </w:pPr>
            <w:r>
              <w:rPr>
                <w:rFonts w:ascii="Arial" w:cs="Arial" w:eastAsia="Arial" w:hAnsi="Arial"/>
                <w:sz w:val="14"/>
                <w:szCs w:val="14"/>
                <w:color w:val="auto"/>
                <w:w w:val="97"/>
              </w:rPr>
              <w:t>76,720</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132,597</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86,912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123,205</w:t>
            </w:r>
          </w:p>
        </w:tc>
        <w:tc>
          <w:tcPr>
            <w:tcW w:w="60" w:type="dxa"/>
            <w:vAlign w:val="bottom"/>
          </w:tcPr>
          <w:p>
            <w:pPr>
              <w:spacing w:after="0"/>
              <w:rPr>
                <w:sz w:val="14"/>
                <w:szCs w:val="14"/>
                <w:color w:val="auto"/>
              </w:rPr>
            </w:pPr>
          </w:p>
        </w:tc>
      </w:tr>
    </w:tbl>
    <w:p>
      <w:pPr>
        <w:spacing w:after="0" w:line="173"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The whole loans or pass-through certificates purchased after origination may later be included in our asset-backed securitization transactions whereby interests in these Upstart-powered loans are sold to other institutional investors. The number of whole loans and pass-through certificates sold that were later included in an asset-backed securitization transaction were 15,971, 27,189 and 85,032 in 2017, 2018 and 2019, respectively. The number of whole loans and pass-through certificates sold that were later included in an asset-backed securitization transaction were 50,389 and 42,954 in the nine months ended September 30, 2019 and 2020, respectively.</w:t>
      </w:r>
    </w:p>
    <w:p>
      <w:pPr>
        <w:spacing w:after="0" w:line="170" w:lineRule="exact"/>
        <w:rPr>
          <w:sz w:val="20"/>
          <w:szCs w:val="20"/>
          <w:color w:val="auto"/>
        </w:rPr>
      </w:pPr>
    </w:p>
    <w:p>
      <w:pPr>
        <w:ind w:left="1020" w:right="200" w:firstLine="460"/>
        <w:spacing w:after="0" w:line="237" w:lineRule="auto"/>
        <w:rPr>
          <w:sz w:val="20"/>
          <w:szCs w:val="20"/>
          <w:color w:val="auto"/>
        </w:rPr>
      </w:pPr>
      <w:r>
        <w:rPr>
          <w:rFonts w:ascii="Arial" w:cs="Arial" w:eastAsia="Arial" w:hAnsi="Arial"/>
          <w:sz w:val="15"/>
          <w:szCs w:val="15"/>
          <w:color w:val="auto"/>
        </w:rPr>
        <w:t>For our asset-backed securitization transactions, we collaborate with investment banks to structure investments under which we and/or certain of the purchasers of whole loans or pass-through certificates described in the preceding paragraphs sell pools of whole loans to a bankruptcy-remote securitization special purpose entity. The special purpose entities, through one or more intermediate transfers and entities, create and sell tranched asset-backed notes and subordinated certificates, in each case, backed by the collective pools of Upstart-powered loans sold into the investment structure. We are typically retained by participating institutional investors to service the loans, and act in such servicing capacity for the life of the investment transaction.</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Operations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have developed sophisticated tools that our internal operations team uses to support the origination and servicing of credit. While verification is primarily and increasingly handled by our software and AI models, we also offer Upstart-designed tools to guide credit analysts and fraud specialists in cases where our software is not yet able to sufficiently verify borrower information. By providing a prescriptive and unique path for each applicant, our system helps our operations team provide a streamlined experience for as many borrowers as possible.</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Our operations teams, including credit analysts, fraud specialists, customer support and payments specialists, work to deliver a seamless user experience to consumers on behalf of our bank partners.</w:t>
      </w:r>
    </w:p>
    <w:p>
      <w:pPr>
        <w:spacing w:after="0" w:line="166"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Customer operations is divided functionally by teams that focus on pre-origination experience (verification and customer support) and post-origination experience (loan servicing). Team members are distributed between our headquarters in San Mateo, California and our second headquarters in Columbus, Ohio.</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0220"/>
          </w:cols>
          <w:pgMar w:left="320" w:top="407" w:right="135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Verification and Customer Support Operations</w:t>
      </w:r>
    </w:p>
    <w:p>
      <w:pPr>
        <w:spacing w:after="0" w:line="105"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This team focuses on the minority of borrowers whose applications are not entirely automated (currently approximately 31% of Upstart-powered loans) or any applicant who has questions or issues throughout the application process. While approximately 31% of Upstart-powered loans involve human intervention, the vast majority of these loans are not fraudulent. Thus, our team focuses on expediting applicants through the process to the extent possible, while identifying and rejecting fraudulent applications. Our operations team works closely with our engineering and data science teams to further increase our levels of automation.</w:t>
      </w:r>
    </w:p>
    <w:p>
      <w:pPr>
        <w:spacing w:after="0" w:line="170"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Most prospective borrowers and applicants interact with Upstart via our online platform and help center, but we also make agent-based support readily available to all borrowers. For phone support, we partner with an external call center vendor and have a team of dedicated Upstart agents with specialized training.</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Operations</w:t>
      </w:r>
    </w:p>
    <w:p>
      <w:pPr>
        <w:spacing w:after="0" w:line="105" w:lineRule="exact"/>
        <w:rPr>
          <w:sz w:val="20"/>
          <w:szCs w:val="20"/>
          <w:color w:val="auto"/>
        </w:rPr>
      </w:pPr>
    </w:p>
    <w:p>
      <w:pPr>
        <w:jc w:val="both"/>
        <w:ind w:left="1020" w:firstLine="460"/>
        <w:spacing w:after="0"/>
        <w:rPr>
          <w:sz w:val="20"/>
          <w:szCs w:val="20"/>
          <w:color w:val="auto"/>
        </w:rPr>
      </w:pPr>
      <w:r>
        <w:rPr>
          <w:rFonts w:ascii="Arial" w:cs="Arial" w:eastAsia="Arial" w:hAnsi="Arial"/>
          <w:sz w:val="15"/>
          <w:szCs w:val="15"/>
          <w:color w:val="auto"/>
        </w:rPr>
        <w:t>Upstart-powered loans are serviced via our homegrown platform. For borrowers who miss payments, we focus on early intervention and attempt to reach them via emails, calls, texts and skip-trace to help bring their account current or offer hardship options. Borrowers on our platform are supported via a combination of internal payments specialists and a third-party service provider.</w:t>
      </w:r>
    </w:p>
    <w:p>
      <w:pPr>
        <w:spacing w:after="0" w:line="170"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We do not conduct collections activities in house. Accounts that are more than 30 days past due are referred to third-party collection agencies for collections. Debt collection calls and collection performance are reviewed regularly by our vendor management and quality assurance teams. Our operations and compliance teams each also perform onsite audits annually.</w:t>
      </w:r>
    </w:p>
    <w:p>
      <w:pPr>
        <w:spacing w:after="0" w:line="170"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average NPS for our bank partners’ lending programs reached 79 in the third quarter of 2020, we believe due to our continued focus on streamlining borrower interactions through automation.</w:t>
      </w:r>
      <w:r>
        <w:rPr>
          <w:rFonts w:ascii="Arial" w:cs="Arial" w:eastAsia="Arial" w:hAnsi="Arial"/>
          <w:sz w:val="12"/>
          <w:szCs w:val="12"/>
          <w:color w:val="auto"/>
        </w:rPr>
        <w:t>110</w:t>
      </w:r>
    </w:p>
    <w:p>
      <w:pPr>
        <w:spacing w:after="0" w:line="238"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Competition</w:t>
      </w:r>
    </w:p>
    <w:p>
      <w:pPr>
        <w:spacing w:after="0" w:line="195" w:lineRule="exact"/>
        <w:rPr>
          <w:sz w:val="20"/>
          <w:szCs w:val="20"/>
          <w:color w:val="auto"/>
        </w:rPr>
      </w:pPr>
    </w:p>
    <w:p>
      <w:pPr>
        <w:ind w:left="1020" w:right="340" w:firstLine="460"/>
        <w:spacing w:after="0" w:line="238" w:lineRule="auto"/>
        <w:rPr>
          <w:sz w:val="20"/>
          <w:szCs w:val="20"/>
          <w:color w:val="auto"/>
        </w:rPr>
      </w:pPr>
      <w:r>
        <w:rPr>
          <w:rFonts w:ascii="Arial" w:cs="Arial" w:eastAsia="Arial" w:hAnsi="Arial"/>
          <w:sz w:val="15"/>
          <w:szCs w:val="15"/>
          <w:color w:val="auto"/>
        </w:rPr>
        <w:t>Consumer lending is a vast and competitive market, and we compete in varying degrees with all other sources of unsecured consumer credit, including banks, non-bank lenders (including retail-based lenders) and other financial technology lending platforms. Because personal loans often serve as a replacement for credit cards, we also compete with the convenience and ubiquity that credit cards represent.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On the bank partnership side, we compete with a variety of technology companies that aim to help banks with the digital transformation of their business, particularly with respect to all-digital lending. This includes new products from legacy bank technology providers as well as newer companies focused entirely on lending software infrastructure for banks. We may also face competition from banks or companies that have not previously competed in the consumer lending market, including companies with large and experienced data science teams and access to vast amounts of consumer-related information that could be used in the development of their own credit risk models.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believe we compete favorably based on the following competitive factors:</w:t>
      </w:r>
    </w:p>
    <w:p>
      <w:pPr>
        <w:spacing w:after="0" w:line="98" w:lineRule="exact"/>
        <w:rPr>
          <w:sz w:val="20"/>
          <w:szCs w:val="20"/>
          <w:color w:val="auto"/>
        </w:rPr>
      </w:pPr>
    </w:p>
    <w:p>
      <w:pPr>
        <w:ind w:left="1660" w:hanging="183"/>
        <w:spacing w:after="0"/>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Constantly improving AI models;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Compelling loan offers to consumers that improve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69850</wp:posOffset>
            </wp:positionV>
            <wp:extent cx="64389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right="360" w:hanging="453"/>
        <w:spacing w:after="0" w:line="182" w:lineRule="auto"/>
        <w:tabs>
          <w:tab w:leader="none" w:pos="1480" w:val="left"/>
        </w:tabs>
        <w:numPr>
          <w:ilvl w:val="0"/>
          <w:numId w:val="94"/>
        </w:numPr>
        <w:rPr>
          <w:rFonts w:ascii="Arial" w:cs="Arial" w:eastAsia="Arial" w:hAnsi="Arial"/>
          <w:sz w:val="20"/>
          <w:szCs w:val="20"/>
          <w:color w:val="auto"/>
          <w:vertAlign w:val="superscript"/>
        </w:rPr>
      </w:pPr>
      <w:r>
        <w:rPr>
          <w:rFonts w:ascii="Arial" w:cs="Arial" w:eastAsia="Arial" w:hAnsi="Arial"/>
          <w:sz w:val="12"/>
          <w:szCs w:val="12"/>
          <w:color w:val="auto"/>
        </w:rPr>
        <w:t>Upstart used a third-party service to administer surveys to loan applicants immediately following an applicant’s acceptance of a loan on Upstart’s platform. For further information, see the section titled “Industry, Market and Other Data.”</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0200"/>
          </w:cols>
          <w:pgMar w:left="320" w:top="407" w:right="1379" w:bottom="1440" w:gutter="0" w:footer="0" w:header="0"/>
        </w:sectPr>
      </w:pPr>
    </w:p>
    <w:bookmarkStart w:id="165" w:name="page166"/>
    <w:bookmarkEnd w:id="1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66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Automated and user-friendly loan application process;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Consistent and predictable loan performance;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Cloud-native, multi-tenant architecture;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Combination of technology and customer acquisition for bank partners;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Robust and diverse loan funding program;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Brand recognition and trust.</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Government Regulation</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We and the loans made through our platform by our bank partners are subject to extensive and complex rules and regulations and examination by various federal, state and local government authorities. Failure to comply with any of the applicable rules and regulations may result in, among other things, revocation of required licenses or registration, loss of approved status, effective voiding or rescission of the loan contracts, class action lawsuits, administrative enforcement actions and civil and criminal liability. While compliance with such requirements is at times complicated by our novel business model, we believe we are, at a minimum, in substantial compliance with these rules and regulations.</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We are currently, and expect in the future, to be regulated by the CFPB. In addition to the CFPB, other state and federal agencies have the ability to regulate aspects of our business. For example, the Dodd-Frank Act, as well as many state statutes, provide a mechanism for state attorneys general to investigate us. In addition, as a result of our relationships with bank partners, we are subject to oversight by federal banking agencies, including the FDIC and the Federal Trade Commission has jurisdiction to investigate aspects of our business, including with respect to marketing practices. Further, we are subject to inspections, examinations, supervision and regulation by applicable agencies in each state in which we are licensed. Regulatory oversight of our business may change over time. By way of example, California’s governor has enacted legislation to create a “mini-CFPB” agency, which seeks to emulate the CFPB with respect to its enforcement and supervisory capabilities as well as require additional state registration for certain covered persons. We expect that regulatory examinations by both federal and state agencies will continue, and there can be no assurance that the results of such examinations will not have a material adverse effect on us.</w:t>
      </w:r>
    </w:p>
    <w:p>
      <w:pPr>
        <w:spacing w:after="0" w:line="174" w:lineRule="exact"/>
        <w:rPr>
          <w:sz w:val="20"/>
          <w:szCs w:val="20"/>
          <w:color w:val="auto"/>
        </w:rPr>
      </w:pPr>
    </w:p>
    <w:p>
      <w:pPr>
        <w:jc w:val="both"/>
        <w:ind w:left="1020" w:right="240" w:firstLine="460"/>
        <w:spacing w:after="0"/>
        <w:rPr>
          <w:sz w:val="20"/>
          <w:szCs w:val="20"/>
          <w:color w:val="auto"/>
        </w:rPr>
      </w:pPr>
      <w:r>
        <w:rPr>
          <w:rFonts w:ascii="Arial" w:cs="Arial" w:eastAsia="Arial" w:hAnsi="Arial"/>
          <w:sz w:val="15"/>
          <w:szCs w:val="15"/>
          <w:color w:val="auto"/>
        </w:rPr>
        <w:t>Below, we summarize several of the material federal lending, servicing and related laws applicable to our business. Many states have laws and regulations that are similar to the federal consumer protection laws referred to below, but the degree and nature of such laws and regulations vary from state to state.</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Federal Lending and Related Laws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Truth in Lending Act</w:t>
      </w:r>
    </w:p>
    <w:p>
      <w:pPr>
        <w:spacing w:after="0" w:line="10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Truth in Lending Act, or TILA, and Regulation Z, which implements it, require creditors to provide consumers with uniform, understandable information concerning certain terms and conditions of their loan and credit transactions, and to comply with certain lending practice requirements and restrictions. These rules apply to loans facilitated through our platform, and we assist with compliance as part of the services we provide to our bank partners. For closed-end credit transactions, required disclosures include, among others, providing the annual percentage rate, the finance charge, the amount financed, the number of payments, the amount of the monthly payment, the presence and amount of certain fees, and the presence of certain contractual terms. TILA also regulates the advertising of credit and gives borrowers, among other things, certain rights regarding updated</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200"/>
          </w:cols>
          <w:pgMar w:left="320" w:top="407" w:right="1379"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disclosures and the treatment of credit balances. We, on behalf of the applicable bank partner, provide applicants with a TILA disclosure when applicants complete their loan applications on our platform. If the applicant’s request is not fully funded and the applicant chooses to accept a lesser amount offered, we provide an updated TILA disclosure on behalf of the applicable bank partner. We also seek to comply with TILA’s disclosure requirements related to credit advertising and, to the extent that we hold or service loans, TILA’s requirements related to treatment of credit balances for closed-end loans. We also can facilitate the origination of a limited number of credit card accounts through our platform. In connection with such accounts, TILA requires the provision of certain solicitation and account-opening disclosures. TILA also imposes requirements on the terms of credit card accounts, and the process of originating and servicing such accounts. Though our platform may facilitate the origination of credit card accounts by a bank partner, we do not originate or service such accounts at this time.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Equal Credit Opportunity Act</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The Equal Credit Opportunity Act, or ECOA, prohibits creditors from discriminating against credit applicants on the basis of race, color, sex, age (provided that the applicant has the capacity to enter into a binding contract), religion, national origin, marital status, the fact that all or part of the applicant’s income derives from any public assistance program, or the fact that the applicant has in good faith exercised any right under the federal Consumer Credit Protection Act or certain state laws. Regulation B, which implements ECOA, restricts creditors from requesting certain types of information from loan applicants or engaging in certain loan-related practices, and from using advertising or making statements that would discourage on a prohibited basis a reasonable person from making or pursuing an application. These requirements apply to bank partners for loans facilitated through our platform as well as to us as a service provider that assists in the process. We abide by policies and procedures implemented by our bank partners to comply with ECOA’s provisions prohibiting discouragement and discrimination. ECOA also requires creditors to provide applicants with timely notices of adverse action taken on credit applications, including disclosing to applicants who have been declined their rights and the reason for their having been declined. On behalf of our bank partners, we provide prospective borrowers who apply for a loan through our platform but are denied credit with an adverse action notice in compliance with applicable requirements.</w:t>
      </w:r>
    </w:p>
    <w:p>
      <w:pPr>
        <w:spacing w:after="0" w:line="173"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On February 5, 2020, a consumer advocacy group released a report alleging that lenders may charge higher rates to certain borrowers who attend community colleges or historically Black or Hispanic colleges or universities. To support this conclusion, the consumer advocacy group selectively compared the results from only a small number of consumer interest rate inquiries made to, among others, lenders using Upstart’s platform. In addition, on February 13, 2020, we received an inquiry from five members of the U.S. Senate seeking information regarding our compliance with ECOA, and in July 2020, three of these Senators recommended to the CFPB as part of their inquiry findings, that the CFPB further review Upstart’s use of educational variables in its model and requested that the CFPB stop issuing no-action letters related to ECOA. Upstart strongly disputes the underlying conclusions of the consumer advocacy group’s report as it pertained to Upstart’s practices, given that Upstart’s model considers over 1,600 variables, all of which contribute to the quoted rate. Notwithstanding that we believe our model and our bank partners’ lending facilitated by our model comply with ECOA, reports from consumer advocacy groups and associated legislative and/or regulatory inquiries could create negative publicity and increase the risk of private litigation or government enforcement. On December 1, 2020, in connection with these inquiries, we entered into an agreement with the LDF and the SBPC, in which we agreed to, among other things, participate in fair lending reviews of our AI model. See the section titled “Risk Factors—Risks Related to Our Business and Industry” for more information.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00"/>
          </w:cols>
          <w:pgMar w:left="320" w:top="407" w:right="1379" w:bottom="1440" w:gutter="0" w:footer="0" w:header="0"/>
        </w:sectPr>
      </w:pPr>
    </w:p>
    <w:bookmarkStart w:id="167" w:name="page168"/>
    <w:bookmarkEnd w:id="1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Credit Reporting Act</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federal Fair Credit Reporting Act, or FCRA, as amended by the Fair and Accurate Credit Transactions Act, and administered by the CFPB, promotes the accuracy, fairness, and privacy of information in the files of consumer reporting agencies. FCRA requires a permissible purpose to obtain a consumer credit report and requires that persons who report loan payment information to credit bureaus do so accurately and to resolve disputes regarding reported information timely. FCRA also imposes disclosure requirements on creditors who take adverse action on credit applications based on information contained in a credit report.</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Under FCRA, certain information must be provided to applicants whose credit applications are not approved on the basis of a report obtained from a consumer reporting agency, promptly update any credit information reported to a credit reporting agency about a customer and have a process by which customers may inquire about credit information furnished by us to a consumer reporting agency. We and our bank partners have a permissible purpose for obtaining credit reports on potential borrowers, and we also obtain explicit consent from borrowers to obtain such reports. As part of our loan servicing activities, we accurately report loan payment and delinquency information to appropriate consumer reporting agencies. We provide an adverse action notice to a rejected applicants on behalf of each bank partner on our platform at the time the applicant is rejected that includes all the required disclosures. We also have processes in place to ensure that consumers are given “opt-out” opportunities, as required by the FCRA, regarding the sharing of their personal information. We have also implemented an identity theft prevention program, as required by FCRA and its implementing regulations.</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Debt Collection Practices Act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federal Fair Debt Collection Practices Act, or FDCPA,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third-party debt collectors, debt collection laws of certain states impose similar requirements more broadly on creditors who collect their own debts. In addition, the CFPB prohibits unfair, deceptive or abusive acts or practices, or UDAAPs in debt collection, including first-party debt collection. In addition, on October 30, 2020, the CFPB issued a final rule implementing the requirements of the FDCPA, which will likely take effect in late 2021. The CFPB also anticipates issuing a second final rule on debt collection focused on consumer disclosures in December 2020, which would also likely take effect approximately one year after publication. We use our internal collection team and professional third-party debt collection agents to collect delinquent accounts. Any third-party debt collection agents we use are required to comply with the FDCPA and all other applicable laws in collecting delinquent accounts of borrowers. While our internal servicing team is not subject to the formal requirements of the FDCPA in most cases, we have established policies intended to substantially comply with the collection practice requirements under the FDCPA as a means of complying with more general UDAAP standards.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Privacy and Data Security Laws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federal Gramm-Leach-Bliley Act, or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customer information. We collect and use a wide variety of information to help ensure the integrity of our services and to provide features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20"/>
          </w:cols>
          <w:pgMar w:left="320" w:top="407" w:right="1359" w:bottom="1440" w:gutter="0" w:footer="0" w:header="0"/>
        </w:sectPr>
      </w:pPr>
    </w:p>
    <w:bookmarkStart w:id="168" w:name="page169"/>
    <w:bookmarkEnd w:id="1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00"/>
        <w:spacing w:after="0" w:line="235" w:lineRule="auto"/>
        <w:rPr>
          <w:sz w:val="20"/>
          <w:szCs w:val="20"/>
          <w:color w:val="auto"/>
        </w:rPr>
      </w:pPr>
      <w:r>
        <w:rPr>
          <w:rFonts w:ascii="Arial" w:cs="Arial" w:eastAsia="Arial" w:hAnsi="Arial"/>
          <w:sz w:val="15"/>
          <w:szCs w:val="15"/>
          <w:color w:val="auto"/>
        </w:rPr>
        <w:t>and functionality to our customers. This aspect of our business, including the collection, use, and protection of the information we acquire from our own services as well as from third-party sources, is subject to laws and regulations in the United States. Accordingly, we publish our privacy policies and terms of service, which describe our practices concerning the use, transmission, and disclosure of information.</w:t>
      </w:r>
    </w:p>
    <w:p>
      <w:pPr>
        <w:ind w:left="1020" w:right="40"/>
        <w:spacing w:after="0" w:line="238" w:lineRule="auto"/>
        <w:rPr>
          <w:sz w:val="20"/>
          <w:szCs w:val="20"/>
          <w:color w:val="auto"/>
        </w:rPr>
      </w:pPr>
      <w:r>
        <w:rPr>
          <w:rFonts w:ascii="Arial" w:cs="Arial" w:eastAsia="Arial" w:hAnsi="Arial"/>
          <w:sz w:val="15"/>
          <w:szCs w:val="15"/>
          <w:color w:val="auto"/>
        </w:rPr>
        <w:t>We have a detailed privacy policy, which complies with GLBA and is accessible from every page of our website. We maintain consumers’ personal information securely, and we do not sell, rent or share such information with third parties for marketing purposes unless previously agreed to by the consumer. In addition, we take measures to safeguard the personal information of borrowers and investors and protect against unauthorized access to this information. As our business continues to expand, and as state and federal laws and regulations continue to be passed and their interpretations continue to evolve, additional laws and regulations may become relevant to us.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Dodd-Frank Wall Street Reform and Consumer Protection Act</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July 2010, the Dodd-Frank Act was signed into law. The Dodd-Frank Act is extensive and significant legislation that includes consumer protection provisions. Among other things, the Dodd-Frank Act created the CFPB, which commenced operations in July 2011 and has significant authority to implement and enforce federal consumer financial laws, such as the TILA and ECOA. The CFPB is authorized to prevent “unfair, deceptive or abusive acts or practices” through its regulatory, supervisory and enforcement authority. The CFPB also engages in consumer financial education, requests data and promotes the availability of financial services to underserved customers and communities. The CFPB has regulatory and enforcement powers over most providers of consumer financial products and services, including us. It also has supervisory and examination powers over certain providers of consumer financial products and services, including large banks, payday lenders, “larger participants” in certain financial services markets defined by CFPB regulation, and non-bank entities determined to present a risk to consumers after notice and an opportunity to respond.</w:t>
      </w:r>
    </w:p>
    <w:p>
      <w:pPr>
        <w:spacing w:after="0" w:line="17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CFPB has imposed, and will continue to impose, restrictions on lending practices, including with respect to the terms of certain loans. We and our bank partners are subject to the CFPB’s enforcement authority and, although the number of public enforcement actions has decreased under the new CFPB leadership, it has not fully ceased, and could increase under different leadership. The CFPB may request reports concerning our organization, business conduct, markets and activities. In addition, the CFPB may, in connection with its supervisory authority, also conduct on-site examinations of our and our bank partners’ businesses on a periodic basis, subject to whether the applicable bank partner satisfies the assets threshold for CFPB supervision. If the CFPB were to conclude that our loan origination assistance or servicing activities, or any loans originated by our bank partners on our platform, violate applicable laws or regulations, we could be subject to a formal or informal inquiry, investigation and/or enforcement action. Formal enforcement actions are generally made public, which carries reputational risk. In addition, the market price of our common stock could decline as a result of the initiation of a CFPB investigation of Upstart or even the perception that such an investigation could occur, even in the absence of any finding by the CFPB that we have violated any state or federal law. We are not currently subject to any enforcement actions by the CFPB.</w:t>
      </w:r>
    </w:p>
    <w:p>
      <w:pPr>
        <w:spacing w:after="0" w:line="174"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For more information regarding the CFPB and the CFPB rules to which we are subject or may become subject, see “Risk Factors” included elsewhere in this prospectus.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Federal Trade Commission Act</w:t>
      </w:r>
    </w:p>
    <w:p>
      <w:pPr>
        <w:spacing w:after="0" w:line="105"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Under Section 5 of the Federal Trade Commission Act, we and our bank partners are prohibited from engaging in unfair and deceptive acts and practices. For nonbank financial institutions, the FTC is the primary regulator enforcing this prohibition, and in recent years the FTC has been focused on practices of financial technology companies. Based on publicly available actions, the FTC’s primary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00"/>
          </w:cols>
          <w:pgMar w:left="320" w:top="407" w:right="1379" w:bottom="1440" w:gutter="0" w:footer="0" w:header="0"/>
        </w:sectPr>
      </w:pPr>
    </w:p>
    <w:bookmarkStart w:id="169" w:name="page170"/>
    <w:bookmarkEnd w:id="1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The FTC also is currently engaged in litigation with LendingClub regarding, among other things, the adequacy of its disclosures of an origination fee associated with the product. Based upon recent statements by FTC officials, we believe this scrutiny will continue in the near future.</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Electronic Fund Transfer Act and NACHA Rules</w:t>
      </w:r>
    </w:p>
    <w:p>
      <w:pPr>
        <w:spacing w:after="0" w:line="105" w:lineRule="exact"/>
        <w:rPr>
          <w:sz w:val="20"/>
          <w:szCs w:val="20"/>
          <w:color w:val="auto"/>
        </w:rPr>
      </w:pPr>
    </w:p>
    <w:p>
      <w:pPr>
        <w:ind w:left="1020" w:right="120" w:firstLine="460"/>
        <w:spacing w:after="0" w:line="236" w:lineRule="auto"/>
        <w:rPr>
          <w:sz w:val="20"/>
          <w:szCs w:val="20"/>
          <w:color w:val="auto"/>
        </w:rPr>
      </w:pPr>
      <w:r>
        <w:rPr>
          <w:rFonts w:ascii="Arial" w:cs="Arial" w:eastAsia="Arial" w:hAnsi="Arial"/>
          <w:sz w:val="15"/>
          <w:szCs w:val="15"/>
          <w:color w:val="auto"/>
        </w:rPr>
        <w:t>The federal Electronic Fund Transfer Act, or EFTA, provides guidelines and restrictions on the electronic transfer of funds from consumers’ bank accounts. Under EFTA, and Regulation E that implements it, we must obtain consumer consents prior to receiving electronic transfer of funds from consumers’ bank accounts, and our bank partners may not condition an extension of credit on the borrower’s agreement to repay the loan through preauthorized (recurring) electronic fund transfers. In addition to compliance with federal laws, transfers performed by ACH electronic transfers are subject to detailed timing and notification rules and guidelines administered by the National Automated Clearinghouse Association, or NACHA. While NACHA guidelines are not laws, failure to comply with them may nevertheless result in commercial harm to our business. All transfers of funds related to our operations conform to the EFTA, its regulations and NACHA guidelines. As part of our servicing activities, we obtain necessary electronic authorization from borrowers and investors for such transfers in compliance with such rules. The loans offered on our platform by our bank partners must also comply with the requirement that a loan cannot be conditioned on the borrower’s agreement to repay the loan through recurring electronic fund transfers.</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Electronic Signatures in Global and National Commerce Act</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federal Electronic Signatures in Global and National Commerce Act, or ESIGN, and similar state laws, particularly the Uniform Electronic Transactions Act, or UETA, authorize the creation of legally binding and enforceable agreements utilizing electronic records and signatures. ESIGN and UETA require businesses that want to use electronic records or signatures in consumer transactions and provide disclosures to consumers (otherwise required to be “in writing” in electronic form), to obtain the consumer’s consent to receive information electronically. When a consumer registers on our platform, we obtain his or her consent to transact business electronically, receive electronic disclosures and maintain electronic records in compliance with ESIGN and UETA requirements, and we maintain electronic signatures and records in a manner intended to support enforceability of relevant consumer agreements and consents.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Federal Marketing Regulations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Telephone Consumer Protection Act, or TCPA, generally prohibits robocalls, including those calls made using an auto-dialer or prerecorded or artificial voice calls made to a wireless telephone without the prior express consent of the called party (or prior express written consent, if messages constitute telemarketing). In addition, the FTC Telemarketing Sales Rule implements the FTC’s Do-Not-Call Registry and imposes numerous other requirements and limitations in connection with telemarketing. Upstart’s policies address the requirements of the TCPA as well as FTC Telemarketing Sales Rule and other laws limiting telephone outreach. Furthermore, Upstart does not engage in certain activities covered by the TCPA, such as using an automated dialer.</w:t>
      </w:r>
    </w:p>
    <w:p>
      <w:pPr>
        <w:spacing w:after="0" w:line="172"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The Federal Controlling the Assault of Non-Solicited Pornography and Marketing, or CAN-SPAM, Act makes it unlawful to send certain electronic mail messages that contain false or deceptive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220"/>
          </w:cols>
          <w:pgMar w:left="320" w:top="407" w:right="1359" w:bottom="1440" w:gutter="0" w:footer="0" w:header="0"/>
        </w:sectPr>
      </w:pPr>
    </w:p>
    <w:bookmarkStart w:id="170" w:name="page171"/>
    <w:bookmarkEnd w:id="1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20"/>
        <w:spacing w:after="0"/>
        <w:rPr>
          <w:sz w:val="20"/>
          <w:szCs w:val="20"/>
          <w:color w:val="auto"/>
        </w:rPr>
      </w:pPr>
      <w:r>
        <w:rPr>
          <w:rFonts w:ascii="Arial" w:cs="Arial" w:eastAsia="Arial" w:hAnsi="Arial"/>
          <w:sz w:val="15"/>
          <w:szCs w:val="15"/>
          <w:color w:val="auto"/>
        </w:rPr>
        <w:t>information and provide other protections for email users. CAN-SPAM also requires the need to provide a functioning mechanism that allows the recipient to opt-out of receiving future commercial e-mail messages from the sender of such messages. Upstart’s email communications with all consumers are formulated to comply with the CAN-SPAM Act.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Servicemembers Civil Relief Act</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Under the Servicemembers Civil Relief Act, or SCRA, there are limits on interest rates chargeable to military personnel and civil judicial proceedings against them, and there are limitations on our ability to collect on a loan to servicemembers on active duty originated prior to the servicemember entering active duty status and, in certain cases, for a period of time thereafter. The SCRA allows military members to suspend or postpone certain civil obligations so that the military member can devote his or her full attention to military duties. The SCRA requires us to adjust the interest rate charged on loans to borrowers who qualify for and request relief. If a borrower with an outstanding loan qualifies for SCRA protection the interest rate on their loan (including certain fees) will be reduced to 6% for the duration of the borrower’s active duty. During this period, any interest holder in the loan will not receive the difference between 6% and the loan’s original interest rate. As part of the services we provide, we require the borrower to send us a written request and a copy of the borrower’s mobilization orders to obtain an interest rate reduction on a loan due to military service. Other protections offered to servicemembers under the SCRA, including protections related to the collection of loans, do not require the servicemember to take any particular action, such as submitting military orders, to claim benefits.</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Military Lending Act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Under the Military Lending Act, certain members of the armed forces serving on active duty and their dependents must be identified and be provided with certain protections when becoming obligated on a consumer credit transaction. These protections include: a limit on the Military Annual Percentage Rate (an all-in cost-of-credit measure which is the same as the APR for loans facilitated on our platform) of 36%, certain required disclosures before origination, a prohibition on charging prepayment penalties and a prohibition on arbitration agreements and certain other loan agreement terms. As part of the services we provide, we ensure compliance with the requirements of the Military Lending Act.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Bank Secrecy Act, USA PATRIOT Act, and U.S. Sanctions Laws</w:t>
      </w:r>
    </w:p>
    <w:p>
      <w:pPr>
        <w:spacing w:after="0" w:line="105"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Under the Bank Secrecy Act, the Uniting and Strengthening America by Providing Appropriate Tools Required to Intercept and Obstruct Terrorism Act, or USA PATRIOT ACT, and certain U.S. sanctions laws, our bank partners are required to maintain anti-money laundering, customer due diligence and record-keeping policies and procedures, which we perform on behalf of our bank partners, and to avoid doing business with certain sanctioned persons or entities or certain types of sanctioned activity in certain countries. We have implemented an AML program designed to prevent our platform from being used to facilitate money laundering, terrorist financing, and other illicit activity. Our AML program is designed to prevent our platform from being used to facilitate business in countries, or with persons or entities, included on designated lists promulgated by the U.S. Department of the Treasury’s Office of Foreign Assets Controls and equivalent foreign authorities. Our AML compliance program includes policies, procedures, reporting protocols, and internal controls, including the designation of an AML compliance officer, and is designed to address these legal and regulatory requirements and to assist in managing risk associated with money laundering and terrorist financing. With respect to new borrowers, we apply the customer identification and verification program rules and screen names against the list of specially designated nationals maintained by the U.S. Department of the Treasury and OFAC pursuant to the USA PATRIOT Act amendments to the Bank Secrecy Act and its implementing regulation.</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200"/>
          </w:cols>
          <w:pgMar w:left="320" w:top="407" w:right="1379" w:bottom="1440" w:gutter="0" w:footer="0" w:header="0"/>
        </w:sectPr>
      </w:pPr>
    </w:p>
    <w:bookmarkStart w:id="171" w:name="page172"/>
    <w:bookmarkEnd w:id="1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Bankruptcy Code</w:t>
      </w:r>
    </w:p>
    <w:p>
      <w:pPr>
        <w:spacing w:after="0" w:line="105" w:lineRule="exact"/>
        <w:rPr>
          <w:sz w:val="20"/>
          <w:szCs w:val="20"/>
          <w:color w:val="auto"/>
        </w:rPr>
      </w:pPr>
    </w:p>
    <w:p>
      <w:pPr>
        <w:jc w:val="both"/>
        <w:ind w:left="1020" w:right="200" w:firstLine="460"/>
        <w:spacing w:after="0"/>
        <w:rPr>
          <w:sz w:val="20"/>
          <w:szCs w:val="20"/>
          <w:color w:val="auto"/>
        </w:rPr>
      </w:pPr>
      <w:r>
        <w:rPr>
          <w:rFonts w:ascii="Arial" w:cs="Arial" w:eastAsia="Arial" w:hAnsi="Arial"/>
          <w:sz w:val="15"/>
          <w:szCs w:val="15"/>
          <w:color w:val="auto"/>
        </w:rPr>
        <w:t>Under the Bankruptcy Code, we are regulated and in certain circumstances prohibited by the automatic stay, reorganization plan and discharge provisions, among others, in seeking enforcement of debts against parties who have filed for bankruptcy protection. Our policies are designed to support compliance with the Bankruptcy Code as we service and collect loans.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State Lending Regulations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Usury Limitations</w:t>
      </w:r>
    </w:p>
    <w:p>
      <w:pPr>
        <w:spacing w:after="0" w:line="10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 xml:space="preserve">With respect to bank partners that are subject to Section 521 of the Depository Institution Deregulation and Monetary Control Act of 1980, or DIDMCA, (for FDIC-insured, state banks originating loans on our platform, which represent the vast majority of loans originated) or Section 85 of the National Bank Act, or NBA, (for national banks originating loans on our platform), federal case law interpreting such provisions (including interpretations of the NBA under </w:t>
      </w:r>
      <w:r>
        <w:rPr>
          <w:rFonts w:ascii="Arial" w:cs="Arial" w:eastAsia="Arial" w:hAnsi="Arial"/>
          <w:sz w:val="15"/>
          <w:szCs w:val="15"/>
          <w:i w:val="1"/>
          <w:iCs w:val="1"/>
          <w:color w:val="auto"/>
        </w:rPr>
        <w:t>Tiffany v. National Bank of Missouri</w:t>
      </w:r>
      <w:r>
        <w:rPr>
          <w:rFonts w:ascii="Arial" w:cs="Arial" w:eastAsia="Arial" w:hAnsi="Arial"/>
          <w:sz w:val="15"/>
          <w:szCs w:val="15"/>
          <w:color w:val="auto"/>
        </w:rPr>
        <w:t xml:space="preserve"> and </w:t>
      </w:r>
      <w:r>
        <w:rPr>
          <w:rFonts w:ascii="Arial" w:cs="Arial" w:eastAsia="Arial" w:hAnsi="Arial"/>
          <w:sz w:val="15"/>
          <w:szCs w:val="15"/>
          <w:i w:val="1"/>
          <w:iCs w:val="1"/>
          <w:color w:val="auto"/>
        </w:rPr>
        <w:t>Marquette National Bank of Minneapolis v.</w:t>
      </w:r>
      <w:r>
        <w:rPr>
          <w:rFonts w:ascii="Arial" w:cs="Arial" w:eastAsia="Arial" w:hAnsi="Arial"/>
          <w:sz w:val="15"/>
          <w:szCs w:val="15"/>
          <w:color w:val="auto"/>
        </w:rPr>
        <w:t xml:space="preserve"> </w:t>
      </w:r>
      <w:r>
        <w:rPr>
          <w:rFonts w:ascii="Arial" w:cs="Arial" w:eastAsia="Arial" w:hAnsi="Arial"/>
          <w:sz w:val="15"/>
          <w:szCs w:val="15"/>
          <w:i w:val="1"/>
          <w:iCs w:val="1"/>
          <w:color w:val="auto"/>
        </w:rPr>
        <w:t>First Omaha Service Corporation</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color w:val="auto"/>
        </w:rPr>
        <w:t>and relevant regulatory guidance (including FDIC advisory opinion 92-47) permit certain depository</w:t>
      </w:r>
      <w:r>
        <w:rPr>
          <w:rFonts w:ascii="Arial" w:cs="Arial" w:eastAsia="Arial" w:hAnsi="Arial"/>
          <w:sz w:val="15"/>
          <w:szCs w:val="15"/>
          <w:i w:val="1"/>
          <w:iCs w:val="1"/>
          <w:color w:val="auto"/>
        </w:rPr>
        <w:t xml:space="preserve"> </w:t>
      </w:r>
      <w:r>
        <w:rPr>
          <w:rFonts w:ascii="Arial" w:cs="Arial" w:eastAsia="Arial" w:hAnsi="Arial"/>
          <w:sz w:val="15"/>
          <w:szCs w:val="15"/>
          <w:color w:val="auto"/>
        </w:rPr>
        <w:t>institutions to “export” requirements regarding interest rates and certain fees considered to be “interest” under federal law from the state or U.S. territory where the bank is located for all loans originated from such state, regardless of the usury limitations imposed by the state law of the borrower’s residence or other states with which the loan may have a geographic nexus, unless the state has chosen to opt out of the exportation regime. We believe, however, if a state or U.S. territory in which we operate opted out of rate exportation, judicial interpretations support the view that such opt outs would apply only to loans “made” in those states. We believe that the “opt-out” of any state would not affect the ability of our platform to benefit from the exportation of rates. If a loan made through our platform by a bank partner were deemed to be subject to the usury laws of a state or U.S. territory that had opted-out of the exportation regime, if the loan were not originated in a manner that permitted exportation of interest rate requirements from the state we and our bank partners believed applied at the time of origination, if the loan bore interest or certain fees in excess of the amounts permitted by the state in which the loan was “made” for exportation purposes (or was otherwise in violation of such state’s relevant usury and fee laws) or if the interest exportation authority were determined not to apply to a loan under any particular circumstances, we, our bank partners, or subsequent holders of such loans could become subject to fines, penalties and possible forfeiture of amounts charged to borrowers, and we could decide not to permit bank partners to originate loans in that jurisdiction through our platform or our bank partners or loan investors could choose not to continue doing business with us in such jurisdiction or more broadly, which could adversely impact our growth.</w:t>
      </w:r>
    </w:p>
    <w:p>
      <w:pPr>
        <w:spacing w:after="0" w:line="183"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There have also been recent judicial decisions that could affect the collectability of loans sold by our bank partners after origination and the exposure of loan purchasers to potential fines or other penalties for usury violations. See the section titled “Risk Factors</w:t>
      </w:r>
      <w:r>
        <w:rPr>
          <w:rFonts w:ascii="Arial" w:cs="Arial" w:eastAsia="Arial" w:hAnsi="Arial"/>
          <w:sz w:val="15"/>
          <w:szCs w:val="15"/>
          <w:i w:val="1"/>
          <w:iCs w:val="1"/>
          <w:color w:val="auto"/>
        </w:rPr>
        <w:t>”</w:t>
      </w:r>
      <w:r>
        <w:rPr>
          <w:rFonts w:ascii="Arial" w:cs="Arial" w:eastAsia="Arial" w:hAnsi="Arial"/>
          <w:sz w:val="15"/>
          <w:szCs w:val="15"/>
          <w:color w:val="auto"/>
        </w:rPr>
        <w:t xml:space="preserve"> for more information about recent case law developments</w:t>
      </w:r>
      <w:r>
        <w:rPr>
          <w:rFonts w:ascii="Arial" w:cs="Arial" w:eastAsia="Arial" w:hAnsi="Arial"/>
          <w:sz w:val="15"/>
          <w:szCs w:val="15"/>
          <w:i w:val="1"/>
          <w:iCs w:val="1"/>
          <w:color w:val="auto"/>
        </w:rPr>
        <w: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Disclosure and Lending Practice Requirements</w:t>
      </w:r>
    </w:p>
    <w:p>
      <w:pPr>
        <w:spacing w:after="0" w:line="10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The loans originated on our platform by our bank partners may be subject to state laws and regulations that impose requirements related to loan disclosures and terms, credit discrimination, credit reporting, debt collection, and unfair or deceptive business practices. Our ongoing compliance program seeks to comply with these requirements.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State Licensing/Registration</w:t>
      </w:r>
    </w:p>
    <w:p>
      <w:pPr>
        <w:spacing w:after="0" w:line="105" w:lineRule="exact"/>
        <w:rPr>
          <w:sz w:val="20"/>
          <w:szCs w:val="20"/>
          <w:color w:val="auto"/>
        </w:rPr>
      </w:pPr>
    </w:p>
    <w:p>
      <w:pPr>
        <w:ind w:left="1020" w:right="500" w:firstLine="460"/>
        <w:spacing w:after="0" w:line="245" w:lineRule="auto"/>
        <w:rPr>
          <w:sz w:val="20"/>
          <w:szCs w:val="20"/>
          <w:color w:val="auto"/>
        </w:rPr>
      </w:pPr>
      <w:r>
        <w:rPr>
          <w:rFonts w:ascii="Arial" w:cs="Arial" w:eastAsia="Arial" w:hAnsi="Arial"/>
          <w:sz w:val="15"/>
          <w:szCs w:val="15"/>
          <w:color w:val="auto"/>
        </w:rPr>
        <w:t>We hold licenses, registrations, and similar filings so that we can conduct business, including providing referral services and origination assistance to lenders on our platform and servicing and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200"/>
          </w:cols>
          <w:pgMar w:left="320" w:top="407" w:right="1379" w:bottom="1440" w:gutter="0" w:footer="0" w:header="0"/>
        </w:sectPr>
      </w:pPr>
    </w:p>
    <w:bookmarkStart w:id="172" w:name="page173"/>
    <w:bookmarkEnd w:id="1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collecting loans, in all states and the District of Columbia where our activities require such licensure, registration or filing. With respect to our securitization trusts, we have a national bank that serves as our owner trustee and is itself exempt from licensure. Although we are not aware of a state taking the position that the trust itself needs licensure, it is possible that a state or states could take such position in the future. Licenses granted by the regulatory agencies in various states are subject to periodic renewal and may be revoked or suspended for failure to comply with applicable state and federal laws and regulations. In addition, as the product offerings of Upstart or our bank partners change, as states enact new licensing requirements or amend existing licensing laws or regulations, or as states regulators or courts adjust their interpretations of licensing statutes and regulations, we may be required to obtain additional licenses. To that end, we have a small number of applications submitted and pending to obtain additional licenses, particularly with respect to obtaining additional authorization to engage in student loan servicing and collection activities. We are also typically required to complete an annual report (or its equivalent) to each state’s regulator. The statutes also typically subject us to the supervisory and examination authority of state regulators.</w:t>
      </w:r>
    </w:p>
    <w:p>
      <w:pPr>
        <w:spacing w:after="0" w:line="17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State licensing statutes impose a variety of requirements and restrictions, including:</w:t>
      </w:r>
    </w:p>
    <w:p>
      <w:pPr>
        <w:spacing w:after="0" w:line="98" w:lineRule="exact"/>
        <w:rPr>
          <w:sz w:val="20"/>
          <w:szCs w:val="20"/>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record-keeping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collection and servicing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requirements governing electronic payments, transactions, signatures and disclosures;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examination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surety bond and minimum net worth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financial reporting requirements;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notification requirements for changes in principal officers, stock ownership or corporate control;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restrictions on advertising and other loan solicitation activity, as well as restrictions on loan referral or similar practices.</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Federal Securities Regulations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Securities Act</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We have relied upon the availability of Rule 506 of Regulation D to exempt our prior offerings of equity securities from registration under the Securities Act. Upstart and certain of our subsidiaries have also relied on Section 4(a)(2) of the Securities Act for placement of asset-backed securities, or ABS directly to investors or to investment bank initial purchasers, which have relied on Rule 144A and Regulation S exemptions from registration to place such ABS to qualified institutional buyers and non-U.S. investors, respectively.</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Investment Company Act</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220"/>
          </w:cols>
          <w:pgMar w:left="320" w:top="407" w:right="1359" w:bottom="1440" w:gutter="0" w:footer="0" w:header="0"/>
        </w:sectPr>
      </w:pPr>
    </w:p>
    <w:bookmarkStart w:id="173" w:name="page174"/>
    <w:bookmarkEnd w:id="1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spacing w:after="0" w:line="238" w:lineRule="auto"/>
        <w:rPr>
          <w:sz w:val="20"/>
          <w:szCs w:val="20"/>
          <w:color w:val="auto"/>
        </w:rPr>
      </w:pPr>
      <w:r>
        <w:rPr>
          <w:rFonts w:ascii="Arial" w:cs="Arial" w:eastAsia="Arial" w:hAnsi="Arial"/>
          <w:sz w:val="15"/>
          <w:szCs w:val="15"/>
          <w:color w:val="auto"/>
        </w:rPr>
        <w:t>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If the exemptive order ceases to apply to our business, we could be deemed an investment company.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Investment Advisers Act</w:t>
      </w:r>
    </w:p>
    <w:p>
      <w:pPr>
        <w:spacing w:after="0" w:line="10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The Investment Advisers Act of 1940, as amended, or IAA, contains substantive legal requirements that regulate the manner in which “investment advisers” are permitted to conduct their business activities. We believe that our business consists of providing a platform for consumer lending for which investment adviser registration and regulation does not apply under applicable federal or state law, and do not believe that we or any of our subsidiaries are required to register as an investment adviser with either the SEC or any of the various states.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Broker-Dealer Regulations under the Exchange Act</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Upstart being characterized as a broker-dealer, based on guidance published by the SEC and its staff.</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ABS Risk Retention Rules</w:t>
      </w:r>
    </w:p>
    <w:p>
      <w:pPr>
        <w:spacing w:after="0" w:line="10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Regulation RR was jointly issued by a group of federal agencies under section 15G of the Exchange Act, as well as under the Federal Reserve Act, section 8 of the Federal Deposit Insurance Act, the Bank Holding Company Act of 1956, the Home Owners’ Loan Act of 1933; section 165 of the Dodd-Frank Wall Street Reform and Consumer Protection Act; and the International Banking Act of 1978. Its purpose is to require securitizers to retain an economic interest in a portion of the credit risk of assets that the securitizer transfers or sells to an issuing entity and that collateralize asset-backed securities that are sold to a third party. We believe we have structured our organization such that we are in compliance with Regulation RR and will continue to conduct our business in a manner that allows us to remain in compliance with this regulation.</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Compliance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review our policies and procedures to ensure compliance with applicable regulatory laws and regulations applicable to us and our bank partners. We have built our systems and processes with controls in place in order to permit our policies and procedures to be followed on a consistent basis. For example, to ensure proper controls are in place to maintain compliance with the consumer protection related laws and regulations, we have developed a compliance management system consistent with the regulatory expectations published by governmental agencies. While no compliance program can assure that there will not be violations, or alleged violations, of applicable laws, we believe that our compliance management system is reasonably designed and managed to minimize compliance-related risks.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200"/>
          </w:cols>
          <w:pgMar w:left="320" w:top="407" w:right="1379" w:bottom="1440" w:gutter="0" w:footer="0" w:header="0"/>
        </w:sectPr>
      </w:pPr>
    </w:p>
    <w:bookmarkStart w:id="174" w:name="page175"/>
    <w:bookmarkEnd w:id="1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Intellectual Property</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protect our intellectual property through a combination of trademarks, domain names, copyrights and trade secrets, as well as through contractual provisions, our information security infrastructure and restrictions on access to or use of our proprietary technology. As of September 30, 2020, we had 2 patent applications in the United States related to our proprietary risk model. We may file additional patent applications or pursue additional patent protection in the future to the extent we believe it will be beneficial.</w:t>
      </w:r>
    </w:p>
    <w:p>
      <w:pPr>
        <w:spacing w:after="0" w:line="172"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We have trademark rights in our name, our logo and other brand indicia, and have trademark registrations for select marks in the United States. We will pursue additional trademark registrations to the extent we believe it will be beneficial. We also have registered domain names for websites that we use in our business. We may be subject to third party claims from time to time with respect to our intellectual property.</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Additionally, we rely upon unpatented trade secrets and confidential know-how and continuing technological innovation to develop and maintain our competitive position. We also enter into confidentiality and intellectual property rights agreements with our employees, consultants, contractors and business partners. Under such agreements, our employees, consultants and contractors are subject to invention assignment provisions designed to protect our proprietary information and ensure our ownership in intellectual property developed pursuant to such agreements.</w:t>
      </w:r>
    </w:p>
    <w:p>
      <w:pPr>
        <w:spacing w:after="0" w:line="170"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For additional information about our intellectual property and associated risks, see the section titled “Risk Factors—Risks Related to Our Business and Industry.”</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Employees and Human Capital</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have built something very special at Upstart in terms of our company culture. Building a great place to work for the best talent was a priority for us from day one. It is not an accident that we have received best place to work awards in both our San Mateo and Columbus locations. Our employee engagement results are seven points higher than our technology peers and have even increased over the past year during the COVID-19 pandemic.</w:t>
      </w:r>
      <w:r>
        <w:rPr>
          <w:rFonts w:ascii="Arial" w:cs="Arial" w:eastAsia="Arial" w:hAnsi="Arial"/>
          <w:sz w:val="12"/>
          <w:szCs w:val="12"/>
          <w:color w:val="auto"/>
        </w:rPr>
        <w:t>111</w:t>
      </w:r>
    </w:p>
    <w:p>
      <w:pPr>
        <w:spacing w:after="0" w:line="172" w:lineRule="exact"/>
        <w:rPr>
          <w:sz w:val="20"/>
          <w:szCs w:val="20"/>
          <w:color w:val="auto"/>
        </w:rPr>
      </w:pPr>
    </w:p>
    <w:p>
      <w:pPr>
        <w:ind w:left="1020" w:right="360" w:firstLine="460"/>
        <w:spacing w:after="0"/>
        <w:rPr>
          <w:sz w:val="20"/>
          <w:szCs w:val="20"/>
          <w:color w:val="auto"/>
        </w:rPr>
      </w:pPr>
      <w:r>
        <w:rPr>
          <w:rFonts w:ascii="Arial" w:cs="Arial" w:eastAsia="Arial" w:hAnsi="Arial"/>
          <w:sz w:val="15"/>
          <w:szCs w:val="15"/>
          <w:color w:val="auto"/>
        </w:rPr>
        <w:t>We have brought together a remarkable diversity of thinkers. The members of our management team come from diverse backgrounds with varying ethnicities, education backgrounds, genders and ages. As the focal point of our human capital strategy, we attract and recruit diverse, exceptionally talented, highly educated, experienced and motivated employees.</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We have an extremely rigorous recruiting and employee candidate screening process. For example, since August 2015, we considered, on average, close to 1,000 data science candidates for every hire we made in our machine learning team. Our machine learning team, responsible for the development and constant improvement of our AI models, is unlike any other in consumer lending. The majority of the members of our machine learning team have doctorate degrees in statistics, mathematics, computer science, economics or physics and many have extensive past experience in quantitative finance.</w:t>
      </w:r>
    </w:p>
    <w:p>
      <w:pPr>
        <w:spacing w:after="0" w:line="170"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Beyond delivering on business results, our employees are engaged in a culture of collaboration and community—they have founded more than 20 clubs and special interest groups, created seven employee resource groups and hosted countless lunch and learns on topics ranging from startup financing to salsa classes taught by our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65405</wp:posOffset>
            </wp:positionV>
            <wp:extent cx="64389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2" w:lineRule="exact"/>
        <w:rPr>
          <w:sz w:val="20"/>
          <w:szCs w:val="20"/>
          <w:color w:val="auto"/>
        </w:rPr>
      </w:pPr>
    </w:p>
    <w:p>
      <w:pPr>
        <w:ind w:left="1480" w:right="80" w:hanging="453"/>
        <w:spacing w:after="0" w:line="182" w:lineRule="auto"/>
        <w:tabs>
          <w:tab w:leader="none" w:pos="1480" w:val="left"/>
        </w:tabs>
        <w:numPr>
          <w:ilvl w:val="0"/>
          <w:numId w:val="97"/>
        </w:numPr>
        <w:rPr>
          <w:rFonts w:ascii="Arial" w:cs="Arial" w:eastAsia="Arial" w:hAnsi="Arial"/>
          <w:sz w:val="20"/>
          <w:szCs w:val="20"/>
          <w:color w:val="auto"/>
          <w:vertAlign w:val="superscript"/>
        </w:rPr>
      </w:pPr>
      <w:r>
        <w:rPr>
          <w:rFonts w:ascii="Arial" w:cs="Arial" w:eastAsia="Arial" w:hAnsi="Arial"/>
          <w:sz w:val="12"/>
          <w:szCs w:val="12"/>
          <w:color w:val="auto"/>
        </w:rPr>
        <w:t>Based on internal survey results obtained using a third-party service as compared to an industry benchmark for technology companies of a similar size provided by such third-party.</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200"/>
          </w:cols>
          <w:pgMar w:left="320" w:top="407" w:right="1379" w:bottom="1440" w:gutter="0" w:footer="0" w:header="0"/>
        </w:sectPr>
      </w:pPr>
    </w:p>
    <w:bookmarkStart w:id="175" w:name="page176"/>
    <w:bookmarkEnd w:id="1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As of September 30, 2020, we had 429 full-time employees. We also engage temporary employees, contractors and consultants as needed to support our operations. None of our employees are represented by a labor union or subject to a collective bargaining agreement. We have not experienced any work stoppages, and we consider our relations with our employees to be good.</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Facilities</w:t>
      </w:r>
    </w:p>
    <w:p>
      <w:pPr>
        <w:spacing w:after="0" w:line="19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corporate headquarters are located in San Mateo, California and Columbus, Ohio and consist of approximately 48,000 square feet and 13,000 square feet of space, respectively, under leases that expire in March 2024 and December 2026, respectively. We also lease and license facilities in New York, New York. We believe that our facilities are adequate for our current needs and that, if necessary, additional facilities will be available to accommodate the expansion of our business.</w:t>
      </w:r>
    </w:p>
    <w:p>
      <w:pPr>
        <w:spacing w:after="0" w:line="24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Legal Proceedings</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From time to time, we and certain of our subsidiaries may be subject to legal proceedings and claims that arise in the ordinary course of business, as well as governmental and other regulatory investigations and proceedings. In addition, third parties may from time to time assert claims against us in the form of letters and other communications. We are not currently subject to any legal proceedings that, if determined adversely to us, would, in our opinion, have a material adverse effect on our business, results of operations or financial condition. Future litigation may be necessary to defend ourselves or our partners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200"/>
          </w:cols>
          <w:pgMar w:left="320" w:top="407" w:right="1379" w:bottom="1440" w:gutter="0" w:footer="0" w:header="0"/>
        </w:sectPr>
      </w:pPr>
    </w:p>
    <w:bookmarkStart w:id="176" w:name="page177"/>
    <w:bookmarkEnd w:id="1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tbl>
      <w:tblPr>
        <w:tblLayout w:type="fixed"/>
        <w:tblInd w:w="1020" w:type="dxa"/>
        <w:tblCellMar>
          <w:top w:w="0" w:type="dxa"/>
          <w:left w:w="0" w:type="dxa"/>
          <w:bottom w:w="0" w:type="dxa"/>
          <w:right w:w="0" w:type="dxa"/>
        </w:tblCellMar>
      </w:tblPr>
      <w:tr>
        <w:trPr>
          <w:trHeight w:val="198"/>
        </w:trPr>
        <w:tc>
          <w:tcPr>
            <w:tcW w:w="2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80" w:type="dxa"/>
            <w:vAlign w:val="bottom"/>
          </w:tcPr>
          <w:p>
            <w:pPr>
              <w:jc w:val="center"/>
              <w:ind w:right="3225"/>
              <w:spacing w:after="0"/>
              <w:rPr>
                <w:sz w:val="20"/>
                <w:szCs w:val="20"/>
                <w:color w:val="auto"/>
              </w:rPr>
            </w:pPr>
            <w:r>
              <w:rPr>
                <w:rFonts w:ascii="Arial" w:cs="Arial" w:eastAsia="Arial" w:hAnsi="Arial"/>
                <w:sz w:val="15"/>
                <w:szCs w:val="15"/>
                <w:b w:val="1"/>
                <w:bCs w:val="1"/>
                <w:color w:val="auto"/>
              </w:rPr>
              <w:t>MANAGEMENT</w:t>
            </w:r>
          </w:p>
        </w:tc>
      </w:tr>
      <w:tr>
        <w:trPr>
          <w:trHeight w:val="439"/>
        </w:trPr>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80" w:type="dxa"/>
            <w:vAlign w:val="bottom"/>
          </w:tcPr>
          <w:p>
            <w:pPr>
              <w:jc w:val="center"/>
              <w:ind w:right="3245"/>
              <w:spacing w:after="0"/>
              <w:rPr>
                <w:sz w:val="20"/>
                <w:szCs w:val="20"/>
                <w:color w:val="auto"/>
              </w:rPr>
            </w:pPr>
            <w:r>
              <w:rPr>
                <w:rFonts w:ascii="Arial" w:cs="Arial" w:eastAsia="Arial" w:hAnsi="Arial"/>
                <w:sz w:val="15"/>
                <w:szCs w:val="15"/>
                <w:b w:val="1"/>
                <w:bCs w:val="1"/>
                <w:color w:val="auto"/>
              </w:rPr>
              <w:t>Executive Officers and Directors</w:t>
            </w:r>
          </w:p>
        </w:tc>
      </w:tr>
      <w:tr>
        <w:trPr>
          <w:trHeight w:val="349"/>
        </w:trPr>
        <w:tc>
          <w:tcPr>
            <w:tcW w:w="9200" w:type="dxa"/>
            <w:vAlign w:val="bottom"/>
            <w:gridSpan w:val="6"/>
          </w:tcPr>
          <w:p>
            <w:pPr>
              <w:ind w:left="460"/>
              <w:spacing w:after="0"/>
              <w:rPr>
                <w:sz w:val="20"/>
                <w:szCs w:val="20"/>
                <w:color w:val="auto"/>
              </w:rPr>
            </w:pPr>
            <w:r>
              <w:rPr>
                <w:rFonts w:ascii="Arial" w:cs="Arial" w:eastAsia="Arial" w:hAnsi="Arial"/>
                <w:sz w:val="15"/>
                <w:szCs w:val="15"/>
                <w:color w:val="auto"/>
              </w:rPr>
              <w:t>The following table provides information regarding our executive officers and directors as of September 30, 2020:</w:t>
            </w:r>
          </w:p>
        </w:tc>
      </w:tr>
      <w:tr>
        <w:trPr>
          <w:trHeight w:val="339"/>
        </w:trPr>
        <w:tc>
          <w:tcPr>
            <w:tcW w:w="266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480" w:type="dxa"/>
            <w:vAlign w:val="bottom"/>
            <w:gridSpan w:val="2"/>
          </w:tcPr>
          <w:p>
            <w:pPr>
              <w:ind w:left="40"/>
              <w:spacing w:after="0"/>
              <w:rPr>
                <w:sz w:val="20"/>
                <w:szCs w:val="20"/>
                <w:color w:val="auto"/>
              </w:rPr>
            </w:pPr>
            <w:r>
              <w:rPr>
                <w:rFonts w:ascii="Arial" w:cs="Arial" w:eastAsia="Arial" w:hAnsi="Arial"/>
                <w:sz w:val="12"/>
                <w:szCs w:val="12"/>
                <w:b w:val="1"/>
                <w:bCs w:val="1"/>
                <w:color w:val="auto"/>
              </w:rPr>
              <w:t>Age</w:t>
            </w:r>
          </w:p>
        </w:tc>
        <w:tc>
          <w:tcPr>
            <w:tcW w:w="6060" w:type="dxa"/>
            <w:vAlign w:val="bottom"/>
            <w:gridSpan w:val="2"/>
          </w:tcPr>
          <w:p>
            <w:pPr>
              <w:ind w:left="180"/>
              <w:spacing w:after="0"/>
              <w:rPr>
                <w:sz w:val="20"/>
                <w:szCs w:val="20"/>
                <w:color w:val="auto"/>
              </w:rPr>
            </w:pPr>
            <w:r>
              <w:rPr>
                <w:rFonts w:ascii="Arial" w:cs="Arial" w:eastAsia="Arial" w:hAnsi="Arial"/>
                <w:sz w:val="12"/>
                <w:szCs w:val="12"/>
                <w:b w:val="1"/>
                <w:bCs w:val="1"/>
                <w:color w:val="auto"/>
              </w:rPr>
              <w:t>Position(s)</w:t>
            </w:r>
          </w:p>
        </w:tc>
      </w:tr>
      <w:tr>
        <w:trPr>
          <w:trHeight w:val="160"/>
        </w:trPr>
        <w:tc>
          <w:tcPr>
            <w:tcW w:w="2480" w:type="dxa"/>
            <w:vAlign w:val="bottom"/>
            <w:tcBorders>
              <w:top w:val="single" w:sz="8" w:color="auto"/>
            </w:tcBorders>
            <w:shd w:val="clear" w:color="auto" w:fill="CCEEFF"/>
          </w:tcPr>
          <w:p>
            <w:pPr>
              <w:spacing w:after="0" w:line="161" w:lineRule="exact"/>
              <w:rPr>
                <w:sz w:val="20"/>
                <w:szCs w:val="20"/>
                <w:color w:val="auto"/>
              </w:rPr>
            </w:pPr>
            <w:r>
              <w:rPr>
                <w:rFonts w:ascii="Arial" w:cs="Arial" w:eastAsia="Arial" w:hAnsi="Arial"/>
                <w:sz w:val="15"/>
                <w:szCs w:val="15"/>
                <w:i w:val="1"/>
                <w:iCs w:val="1"/>
                <w:color w:val="auto"/>
              </w:rPr>
              <w:t>Executive Officers:</w:t>
            </w:r>
          </w:p>
        </w:tc>
        <w:tc>
          <w:tcPr>
            <w:tcW w:w="1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5880" w:type="dxa"/>
            <w:vAlign w:val="bottom"/>
            <w:tcBorders>
              <w:top w:val="single" w:sz="8" w:color="auto"/>
            </w:tcBorders>
            <w:shd w:val="clear" w:color="auto" w:fill="CCEEFF"/>
          </w:tcPr>
          <w:p>
            <w:pPr>
              <w:spacing w:after="0"/>
              <w:rPr>
                <w:sz w:val="13"/>
                <w:szCs w:val="13"/>
                <w:color w:val="auto"/>
              </w:rPr>
            </w:pP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Dave Girouard</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54</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Co-Founder, Chief Executive Officer, Chairperson of the Board</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Sanjay Datta</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46</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Chief Financial Officer</w:t>
            </w: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Anna M. Counselman</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39</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Co-Founder, SVP, People and Operations</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Paul Gu</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29</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Co-Founder, SVP, Product and Data Science, Director</w:t>
            </w:r>
          </w:p>
        </w:tc>
      </w:tr>
      <w:tr>
        <w:trPr>
          <w:trHeight w:val="180"/>
        </w:trPr>
        <w:tc>
          <w:tcPr>
            <w:tcW w:w="2660" w:type="dxa"/>
            <w:vAlign w:val="bottom"/>
            <w:gridSpan w:val="2"/>
          </w:tcPr>
          <w:p>
            <w:pPr>
              <w:spacing w:after="0"/>
              <w:rPr>
                <w:sz w:val="20"/>
                <w:szCs w:val="20"/>
                <w:color w:val="auto"/>
              </w:rPr>
            </w:pPr>
            <w:r>
              <w:rPr>
                <w:rFonts w:ascii="Arial" w:cs="Arial" w:eastAsia="Arial" w:hAnsi="Arial"/>
                <w:sz w:val="15"/>
                <w:szCs w:val="15"/>
                <w:color w:val="auto"/>
              </w:rPr>
              <w:t>Alison Nicoll</w:t>
            </w:r>
          </w:p>
        </w:tc>
        <w:tc>
          <w:tcPr>
            <w:tcW w:w="480" w:type="dxa"/>
            <w:vAlign w:val="bottom"/>
            <w:gridSpan w:val="2"/>
          </w:tcPr>
          <w:p>
            <w:pPr>
              <w:jc w:val="right"/>
              <w:ind w:right="180"/>
              <w:spacing w:after="0"/>
              <w:rPr>
                <w:sz w:val="20"/>
                <w:szCs w:val="20"/>
                <w:color w:val="auto"/>
              </w:rPr>
            </w:pPr>
            <w:r>
              <w:rPr>
                <w:rFonts w:ascii="Arial" w:cs="Arial" w:eastAsia="Arial" w:hAnsi="Arial"/>
                <w:sz w:val="15"/>
                <w:szCs w:val="15"/>
                <w:color w:val="auto"/>
              </w:rPr>
              <w:t>48</w:t>
            </w:r>
          </w:p>
        </w:tc>
        <w:tc>
          <w:tcPr>
            <w:tcW w:w="6060" w:type="dxa"/>
            <w:vAlign w:val="bottom"/>
            <w:gridSpan w:val="2"/>
          </w:tcPr>
          <w:p>
            <w:pPr>
              <w:ind w:left="180"/>
              <w:spacing w:after="0"/>
              <w:rPr>
                <w:sz w:val="20"/>
                <w:szCs w:val="20"/>
                <w:color w:val="auto"/>
              </w:rPr>
            </w:pPr>
            <w:r>
              <w:rPr>
                <w:rFonts w:ascii="Arial" w:cs="Arial" w:eastAsia="Arial" w:hAnsi="Arial"/>
                <w:sz w:val="15"/>
                <w:szCs w:val="15"/>
                <w:color w:val="auto"/>
              </w:rPr>
              <w:t>General Counsel</w:t>
            </w:r>
          </w:p>
        </w:tc>
      </w:tr>
      <w:tr>
        <w:trPr>
          <w:trHeight w:val="169"/>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80" w:type="dxa"/>
            <w:vAlign w:val="bottom"/>
          </w:tcPr>
          <w:p>
            <w:pPr>
              <w:spacing w:after="0"/>
              <w:rPr>
                <w:sz w:val="14"/>
                <w:szCs w:val="14"/>
                <w:color w:val="auto"/>
              </w:rPr>
            </w:pP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i w:val="1"/>
                <w:iCs w:val="1"/>
                <w:color w:val="auto"/>
              </w:rPr>
              <w:t>Non-Employee Directors:</w:t>
            </w: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80" w:type="dxa"/>
            <w:vAlign w:val="bottom"/>
            <w:shd w:val="clear" w:color="auto" w:fill="CCEEFF"/>
          </w:tcPr>
          <w:p>
            <w:pPr>
              <w:spacing w:after="0"/>
              <w:rPr>
                <w:sz w:val="14"/>
                <w:szCs w:val="14"/>
                <w:color w:val="auto"/>
              </w:rPr>
            </w:pP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Mary Hentges</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61</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Oskar Mielczarek de la Miel</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47</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Ciaran O’Kelly</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52</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Robert Schwartz</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58</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tcPr>
          <w:p>
            <w:pPr>
              <w:spacing w:after="0" w:line="169" w:lineRule="exact"/>
              <w:rPr>
                <w:sz w:val="20"/>
                <w:szCs w:val="20"/>
                <w:color w:val="auto"/>
              </w:rPr>
            </w:pPr>
            <w:r>
              <w:rPr>
                <w:rFonts w:ascii="Arial" w:cs="Arial" w:eastAsia="Arial" w:hAnsi="Arial"/>
                <w:sz w:val="15"/>
                <w:szCs w:val="15"/>
                <w:color w:val="auto"/>
              </w:rPr>
              <w:t>Sukhinder Singh Cassidy</w:t>
            </w:r>
          </w:p>
        </w:tc>
        <w:tc>
          <w:tcPr>
            <w:tcW w:w="4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50</w:t>
            </w:r>
          </w:p>
        </w:tc>
        <w:tc>
          <w:tcPr>
            <w:tcW w:w="6060" w:type="dxa"/>
            <w:vAlign w:val="bottom"/>
            <w:gridSpan w:val="2"/>
          </w:tcPr>
          <w:p>
            <w:pPr>
              <w:ind w:left="180"/>
              <w:spacing w:after="0" w:line="169" w:lineRule="exact"/>
              <w:rPr>
                <w:sz w:val="20"/>
                <w:szCs w:val="20"/>
                <w:color w:val="auto"/>
              </w:rPr>
            </w:pPr>
            <w:r>
              <w:rPr>
                <w:rFonts w:ascii="Arial" w:cs="Arial" w:eastAsia="Arial" w:hAnsi="Arial"/>
                <w:sz w:val="15"/>
                <w:szCs w:val="15"/>
                <w:color w:val="auto"/>
              </w:rPr>
              <w:t>Director</w:t>
            </w:r>
          </w:p>
        </w:tc>
      </w:tr>
      <w:tr>
        <w:trPr>
          <w:trHeight w:val="169"/>
        </w:trPr>
        <w:tc>
          <w:tcPr>
            <w:tcW w:w="2660" w:type="dxa"/>
            <w:vAlign w:val="bottom"/>
            <w:gridSpan w:val="2"/>
            <w:shd w:val="clear" w:color="auto" w:fill="CCEEFF"/>
          </w:tcPr>
          <w:p>
            <w:pPr>
              <w:spacing w:after="0" w:line="169" w:lineRule="exact"/>
              <w:rPr>
                <w:sz w:val="20"/>
                <w:szCs w:val="20"/>
                <w:color w:val="auto"/>
              </w:rPr>
            </w:pPr>
            <w:r>
              <w:rPr>
                <w:rFonts w:ascii="Arial" w:cs="Arial" w:eastAsia="Arial" w:hAnsi="Arial"/>
                <w:sz w:val="15"/>
                <w:szCs w:val="15"/>
                <w:color w:val="auto"/>
              </w:rPr>
              <w:t>Hilliard C. Terry III</w:t>
            </w:r>
          </w:p>
        </w:tc>
        <w:tc>
          <w:tcPr>
            <w:tcW w:w="48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5"/>
                <w:szCs w:val="15"/>
                <w:color w:val="auto"/>
              </w:rPr>
              <w:t>50</w:t>
            </w:r>
          </w:p>
        </w:tc>
        <w:tc>
          <w:tcPr>
            <w:tcW w:w="60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5"/>
                <w:szCs w:val="15"/>
                <w:color w:val="auto"/>
              </w:rPr>
              <w:t>Director</w:t>
            </w:r>
          </w:p>
        </w:tc>
      </w:tr>
    </w:tbl>
    <w:p>
      <w:pPr>
        <w:spacing w:after="0" w:line="25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87"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b w:val="1"/>
          <w:bCs w:val="1"/>
          <w:i w:val="1"/>
          <w:iCs w:val="1"/>
          <w:color w:val="auto"/>
        </w:rPr>
        <w:t xml:space="preserve">Dave Girouard. </w:t>
      </w:r>
      <w:r>
        <w:rPr>
          <w:rFonts w:ascii="Arial" w:cs="Arial" w:eastAsia="Arial" w:hAnsi="Arial"/>
          <w:sz w:val="15"/>
          <w:szCs w:val="15"/>
          <w:color w:val="auto"/>
        </w:rPr>
        <w:t>Mr. Girouard is one of our co-founders and has served as our Chief Executive Officer and a member of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board of directors since our incorporation. From February 2004 to April 2012, Mr. Girouard served in various roles at Google, a technology company, most recently as President of Google Enterprise, where he helped build Google’s cloud applications business worldwide, including product development, sales, marketing, and customer support. He started his career in Silicon Valley as a Product Manager at Apple, a technology company, and previously served as an associate in the consulting firm Booz Allen’s Information Technology practice. Mr. Girouard’s career began in software development with the Boston office of Accenture, a consulting firm. He graduated from Dartmouth College with a B.A. in Engineering Sciences and a B.E. in Computer Engineering. Mr. Girouard also holds an M.B.A. from the University of Michigan with High Distinction.</w:t>
      </w:r>
    </w:p>
    <w:p>
      <w:pPr>
        <w:spacing w:after="0" w:line="171"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Mr. Girouard was selected to serve on our board of directors because of the perspective and experience he brings as our Chief Executive Officer and as one of our co-founders, as well as his extensive experience with technology companies.</w:t>
      </w:r>
    </w:p>
    <w:p>
      <w:pPr>
        <w:spacing w:after="0" w:line="148" w:lineRule="exact"/>
        <w:rPr>
          <w:sz w:val="20"/>
          <w:szCs w:val="20"/>
          <w:color w:val="auto"/>
        </w:rPr>
      </w:pPr>
    </w:p>
    <w:p>
      <w:pPr>
        <w:ind w:left="1020" w:right="40" w:firstLine="460"/>
        <w:spacing w:after="0" w:line="242" w:lineRule="auto"/>
        <w:rPr>
          <w:sz w:val="20"/>
          <w:szCs w:val="20"/>
          <w:color w:val="auto"/>
        </w:rPr>
      </w:pPr>
      <w:r>
        <w:rPr>
          <w:rFonts w:ascii="Arial" w:cs="Arial" w:eastAsia="Arial" w:hAnsi="Arial"/>
          <w:sz w:val="15"/>
          <w:szCs w:val="15"/>
          <w:b w:val="1"/>
          <w:bCs w:val="1"/>
          <w:i w:val="1"/>
          <w:iCs w:val="1"/>
          <w:color w:val="auto"/>
        </w:rPr>
        <w:t xml:space="preserve">Sanjay Datta. </w:t>
      </w:r>
      <w:r>
        <w:rPr>
          <w:rFonts w:ascii="Arial" w:cs="Arial" w:eastAsia="Arial" w:hAnsi="Arial"/>
          <w:sz w:val="15"/>
          <w:szCs w:val="15"/>
          <w:color w:val="auto"/>
        </w:rPr>
        <w:t>Mr. Datta has served as our Chief Financial Officer since December 2016. From June 2005 to December 2016, 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served in various roles at Google, including as Vice President of Finance for Global Advertising, Finance Director of Corporate Revenue and Product Profitability, and in various international finance leadership positions based in Asia and Europe. Prior to Google, Mr. Datta worked at Artisan Capital, a private investment group, from November 2002 to May 2005, sourcing and reviewing prospective private equity investments, and worked at Deloitte Consulting, a consulting firm, from June 1996 to July 2000. Mr. Datta has a joint honors degree in Economics and Finance from McGill University in Montreal and an M.B.A. from Stanford University.</w:t>
      </w:r>
    </w:p>
    <w:p>
      <w:pPr>
        <w:spacing w:after="0" w:line="151" w:lineRule="exact"/>
        <w:rPr>
          <w:sz w:val="20"/>
          <w:szCs w:val="20"/>
          <w:color w:val="auto"/>
        </w:rPr>
      </w:pPr>
    </w:p>
    <w:p>
      <w:pPr>
        <w:ind w:left="1020" w:right="80" w:firstLine="460"/>
        <w:spacing w:after="0" w:line="252" w:lineRule="auto"/>
        <w:rPr>
          <w:sz w:val="20"/>
          <w:szCs w:val="20"/>
          <w:color w:val="auto"/>
        </w:rPr>
      </w:pPr>
      <w:r>
        <w:rPr>
          <w:rFonts w:ascii="Arial" w:cs="Arial" w:eastAsia="Arial" w:hAnsi="Arial"/>
          <w:sz w:val="15"/>
          <w:szCs w:val="15"/>
          <w:b w:val="1"/>
          <w:bCs w:val="1"/>
          <w:i w:val="1"/>
          <w:iCs w:val="1"/>
          <w:color w:val="auto"/>
        </w:rPr>
        <w:t xml:space="preserve">Anna M. Counselman. </w:t>
      </w:r>
      <w:r>
        <w:rPr>
          <w:rFonts w:ascii="Arial" w:cs="Arial" w:eastAsia="Arial" w:hAnsi="Arial"/>
          <w:sz w:val="15"/>
          <w:szCs w:val="15"/>
          <w:color w:val="auto"/>
        </w:rPr>
        <w:t>Ms. Counselman is one of our co-founders and has served in various roles since May 2012, including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most recently as Senior Vice President, People and Operations. From February 2007 to May 2012, she served in various roles at Google, including most recently as Head of Premium Services &amp; Customer Programs. Ms. Counselman began her career in industrial operations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220"/>
          </w:cols>
          <w:pgMar w:left="320" w:top="407" w:right="1359" w:bottom="1440" w:gutter="0" w:footer="0" w:header="0"/>
        </w:sectPr>
      </w:pPr>
    </w:p>
    <w:bookmarkStart w:id="177" w:name="page178"/>
    <w:bookmarkEnd w:id="1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60"/>
        <w:spacing w:after="0" w:line="245" w:lineRule="auto"/>
        <w:rPr>
          <w:sz w:val="20"/>
          <w:szCs w:val="20"/>
          <w:color w:val="auto"/>
        </w:rPr>
      </w:pPr>
      <w:r>
        <w:rPr>
          <w:rFonts w:ascii="Arial" w:cs="Arial" w:eastAsia="Arial" w:hAnsi="Arial"/>
          <w:sz w:val="15"/>
          <w:szCs w:val="15"/>
          <w:color w:val="auto"/>
        </w:rPr>
        <w:t>at a management development program at McMaster-Carr, a supplier of hardware, tools, raw materials, and maintenance equipment industrial materials. Ms. Counselman graduated Summa Cum Laude from Boston University with a B.A. in Finance and Entrepreneurship.</w:t>
      </w:r>
    </w:p>
    <w:p>
      <w:pPr>
        <w:spacing w:after="0" w:line="148"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Paul Gu. </w:t>
      </w:r>
      <w:r>
        <w:rPr>
          <w:rFonts w:ascii="Arial" w:cs="Arial" w:eastAsia="Arial" w:hAnsi="Arial"/>
          <w:sz w:val="15"/>
          <w:szCs w:val="15"/>
          <w:color w:val="auto"/>
        </w:rPr>
        <w:t>Mr. Gu is one of our co-founders and has served in various roles since April 2012, including most recently as our Senior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Vice President, Product and Data Science. He has also served as a member of our board of directors since April 2015. Mr. Gu has a background in quantitative finance, built his first algorithmic trading strategies on the Interactive Brokers API at the age of 20 and previously worked in risk analysis at the D.E. Shaw Group, a hedge fund, in 2011. During college, Mr. Gu led underwriting for two non-profit microlenders in the United States. Mr. Gu studied economics and computer science at Yale University and then joined the Thiel Fellowship.</w:t>
      </w:r>
    </w:p>
    <w:p>
      <w:pPr>
        <w:spacing w:after="0" w:line="169"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Mr. Gu was selected to serve on our board of directors because of the perspective and experience he brings as our Senior Vice President, Product and Data Science and as one of our co-founders, as well as his expertise in data science.</w:t>
      </w:r>
    </w:p>
    <w:p>
      <w:pPr>
        <w:spacing w:after="0" w:line="148" w:lineRule="exact"/>
        <w:rPr>
          <w:sz w:val="20"/>
          <w:szCs w:val="20"/>
          <w:color w:val="auto"/>
        </w:rPr>
      </w:pPr>
    </w:p>
    <w:p>
      <w:pPr>
        <w:ind w:left="1020" w:right="20" w:firstLine="460"/>
        <w:spacing w:after="0" w:line="242" w:lineRule="auto"/>
        <w:rPr>
          <w:sz w:val="20"/>
          <w:szCs w:val="20"/>
          <w:color w:val="auto"/>
        </w:rPr>
      </w:pPr>
      <w:r>
        <w:rPr>
          <w:rFonts w:ascii="Arial" w:cs="Arial" w:eastAsia="Arial" w:hAnsi="Arial"/>
          <w:sz w:val="15"/>
          <w:szCs w:val="15"/>
          <w:b w:val="1"/>
          <w:bCs w:val="1"/>
          <w:i w:val="1"/>
          <w:iCs w:val="1"/>
          <w:color w:val="auto"/>
        </w:rPr>
        <w:t xml:space="preserve">Alison Nicoll. </w:t>
      </w:r>
      <w:r>
        <w:rPr>
          <w:rFonts w:ascii="Arial" w:cs="Arial" w:eastAsia="Arial" w:hAnsi="Arial"/>
          <w:sz w:val="15"/>
          <w:szCs w:val="15"/>
          <w:color w:val="auto"/>
        </w:rPr>
        <w:t>Ms. Nicoll has served as our General Counsel since May 2012. From July 2006 to May 2012, Ms. Nicoll worked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legal team at PayPal, Inc., a financial services technology company, where she ultimately served as Associate General Counsel and managed the North America legal team responsible for supporting multiple business units on issues ranging from corporate strategy, general commercial matters, regulatory developments and compliance, consumer protection, online and mobile payments and merchant payment acceptance. From 2003 to 2006, she also served as the General Counsel of TSYS Prepaid, a prepaid payments processing company. Ms. Nicoll holds a law degree from the University of Glasgow in Scotland and a Masters of Law from Columbia Law School.</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87" w:lineRule="exact"/>
        <w:rPr>
          <w:sz w:val="20"/>
          <w:szCs w:val="20"/>
          <w:color w:val="auto"/>
        </w:rPr>
      </w:pPr>
    </w:p>
    <w:p>
      <w:pPr>
        <w:ind w:left="1020" w:firstLine="460"/>
        <w:spacing w:after="0" w:line="244" w:lineRule="auto"/>
        <w:rPr>
          <w:sz w:val="20"/>
          <w:szCs w:val="20"/>
          <w:color w:val="auto"/>
        </w:rPr>
      </w:pPr>
      <w:r>
        <w:rPr>
          <w:rFonts w:ascii="Arial" w:cs="Arial" w:eastAsia="Arial" w:hAnsi="Arial"/>
          <w:sz w:val="15"/>
          <w:szCs w:val="15"/>
          <w:b w:val="1"/>
          <w:bCs w:val="1"/>
          <w:i w:val="1"/>
          <w:iCs w:val="1"/>
          <w:color w:val="auto"/>
        </w:rPr>
        <w:t xml:space="preserve">Mary Hentges. </w:t>
      </w:r>
      <w:r>
        <w:rPr>
          <w:rFonts w:ascii="Arial" w:cs="Arial" w:eastAsia="Arial" w:hAnsi="Arial"/>
          <w:sz w:val="15"/>
          <w:szCs w:val="15"/>
          <w:color w:val="auto"/>
        </w:rPr>
        <w:t>Ms. Hentges has served as a member of our board of directors since December 2019. Ms. Hentges currently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serves as the Interim Chief Financial Officer for ShotSpotter, a precision-policing solutions company. Ms. Hentges previously served as the Chief Financial Officer of Yapstone, Inc., a financial services company, from 2012 to 2014, the Chief Financial Officer of CBS Interactive, a media company, from 2010 to 2012, and the Chief Financial Officer of PayPal, Inc. from 2003 to 2010. She is also a Certified Public Accountant (inactive). Ms. Hentges holds a B.S. in Accounting from Arizona State University.</w:t>
      </w:r>
    </w:p>
    <w:p>
      <w:pPr>
        <w:spacing w:after="0" w:line="167"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Ms. Hentges was selected to serve on our board of directors because of her financial expertise and extensive experience as an executive in the technology industry.</w:t>
      </w:r>
    </w:p>
    <w:p>
      <w:pPr>
        <w:spacing w:after="0" w:line="148" w:lineRule="exact"/>
        <w:rPr>
          <w:sz w:val="20"/>
          <w:szCs w:val="20"/>
          <w:color w:val="auto"/>
        </w:rPr>
      </w:pPr>
    </w:p>
    <w:p>
      <w:pPr>
        <w:ind w:left="1020" w:right="60" w:firstLine="460"/>
        <w:spacing w:after="0" w:line="241" w:lineRule="auto"/>
        <w:rPr>
          <w:sz w:val="20"/>
          <w:szCs w:val="20"/>
          <w:color w:val="auto"/>
        </w:rPr>
      </w:pPr>
      <w:r>
        <w:rPr>
          <w:rFonts w:ascii="Arial" w:cs="Arial" w:eastAsia="Arial" w:hAnsi="Arial"/>
          <w:sz w:val="15"/>
          <w:szCs w:val="15"/>
          <w:b w:val="1"/>
          <w:bCs w:val="1"/>
          <w:i w:val="1"/>
          <w:iCs w:val="1"/>
          <w:color w:val="auto"/>
        </w:rPr>
        <w:t xml:space="preserve">Oskar Mielczarek de la Miel. </w:t>
      </w:r>
      <w:r>
        <w:rPr>
          <w:rFonts w:ascii="Arial" w:cs="Arial" w:eastAsia="Arial" w:hAnsi="Arial"/>
          <w:sz w:val="15"/>
          <w:szCs w:val="15"/>
          <w:color w:val="auto"/>
        </w:rPr>
        <w:t>Mr. Mielczarek de la Miel has served as a member of our board of directors since November 2016.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Mr. Mielczarek de la Miel is an executive officer of Rakuten, Inc. a technology company, and is Managing Partner at Rakuten Capital, the corporate venture capital arm of Rakuten, Inc., where he manages fintech, mobility, digital media and other investments. He also serves on the board of directors for Rakuten Europe S.a.r.l., IXL PremFina, Ltd, Cyndx Holdco, Inc., Glovapp23, S.L., FeverLabs, Inc. and Contenidos y Marcas, S.L. Prior to joining Rakuten, Mr. Mielczarek de la Miel served in various roles in the financial industry, including in investment banking at J.P. Morgan and Merrill Lynch, financial services firms. Mr. Mielczarek de la Miel holds a B.A. from ICADE in Spain and an M.B.A. from Harvard Business School.</w:t>
      </w:r>
    </w:p>
    <w:p>
      <w:pPr>
        <w:spacing w:after="0" w:line="169"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Mr. Mielczarek de la Miel was selected to serve on our board of directors because of his experience in the venture capital industry and his international market knowledge and experience serving as a director of various private companies.</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0220"/>
          </w:cols>
          <w:pgMar w:left="320" w:top="407" w:right="1359" w:bottom="1440" w:gutter="0" w:footer="0" w:header="0"/>
        </w:sectPr>
      </w:pPr>
    </w:p>
    <w:bookmarkStart w:id="178" w:name="page179"/>
    <w:bookmarkEnd w:id="1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b w:val="1"/>
          <w:bCs w:val="1"/>
          <w:i w:val="1"/>
          <w:iCs w:val="1"/>
          <w:color w:val="auto"/>
        </w:rPr>
        <w:t xml:space="preserve">Ciaran O’Kelly. </w:t>
      </w:r>
      <w:r>
        <w:rPr>
          <w:rFonts w:ascii="Arial" w:cs="Arial" w:eastAsia="Arial" w:hAnsi="Arial"/>
          <w:sz w:val="15"/>
          <w:szCs w:val="15"/>
          <w:color w:val="auto"/>
        </w:rPr>
        <w:t>Ciaran O’Kelly has served as a member of our board of directors since April 2018. Mr. O’Kelly has been a full-time employee of Square, Inc. since August 2020. From 2009 to 2013, Mr. O’Kelly served in various roles at Nomura Securities, a financial services firm, most recently as Senior Managing Director and Head of Equities, Americas. Prior to 2009, Mr. O’Kelly served in various roles at two financial services firms, Bank of America, including Head of Global Equities and Head of Equity Capital Markets, and Salomon Smith Barney, including Head of Equity Trading. He previously served on the board of Square Financial Services, Inc., a technology company, Bank of America Securities and Nomura Securities International. Mr. O’Kelly holds a B.B.S. in Business Studies from Dublin City University.</w:t>
      </w:r>
    </w:p>
    <w:p>
      <w:pPr>
        <w:spacing w:after="0" w:line="169"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Mr. O’Kelly was selected to serve on our board of directors because of the perspective and extensive experience he brings from his background in financial services.</w:t>
      </w:r>
    </w:p>
    <w:p>
      <w:pPr>
        <w:spacing w:after="0" w:line="145" w:lineRule="exact"/>
        <w:rPr>
          <w:sz w:val="20"/>
          <w:szCs w:val="20"/>
          <w:color w:val="auto"/>
        </w:rPr>
      </w:pPr>
    </w:p>
    <w:p>
      <w:pPr>
        <w:jc w:val="center"/>
        <w:ind w:right="-719"/>
        <w:spacing w:after="0"/>
        <w:tabs>
          <w:tab w:leader="none" w:pos="140" w:val="left"/>
        </w:tabs>
        <w:rPr>
          <w:sz w:val="20"/>
          <w:szCs w:val="20"/>
          <w:color w:val="auto"/>
        </w:rPr>
      </w:pPr>
      <w:r>
        <w:rPr>
          <w:rFonts w:ascii="Arial" w:cs="Arial" w:eastAsia="Arial" w:hAnsi="Arial"/>
          <w:sz w:val="15"/>
          <w:szCs w:val="15"/>
          <w:b w:val="1"/>
          <w:bCs w:val="1"/>
          <w:i w:val="1"/>
          <w:iCs w:val="1"/>
          <w:color w:val="auto"/>
        </w:rPr>
        <w:t>Robert Schwartz.</w:t>
      </w:r>
      <w:r>
        <w:rPr>
          <w:sz w:val="20"/>
          <w:szCs w:val="20"/>
          <w:color w:val="auto"/>
        </w:rPr>
        <w:tab/>
      </w:r>
      <w:r>
        <w:rPr>
          <w:rFonts w:ascii="Arial" w:cs="Arial" w:eastAsia="Arial" w:hAnsi="Arial"/>
          <w:sz w:val="15"/>
          <w:szCs w:val="15"/>
          <w:color w:val="auto"/>
        </w:rPr>
        <w:t>Mr. Schwartz has served as a member of our board of directors since June 2015. Since June 2000,</w:t>
      </w:r>
    </w:p>
    <w:p>
      <w:pPr>
        <w:spacing w:after="0" w:line="15" w:lineRule="exact"/>
        <w:rPr>
          <w:sz w:val="20"/>
          <w:szCs w:val="20"/>
          <w:color w:val="auto"/>
        </w:rPr>
      </w:pPr>
    </w:p>
    <w:p>
      <w:pPr>
        <w:ind w:left="1020" w:right="200"/>
        <w:spacing w:after="0" w:line="238" w:lineRule="auto"/>
        <w:rPr>
          <w:sz w:val="20"/>
          <w:szCs w:val="20"/>
          <w:color w:val="auto"/>
        </w:rPr>
      </w:pPr>
      <w:r>
        <w:rPr>
          <w:rFonts w:ascii="Arial" w:cs="Arial" w:eastAsia="Arial" w:hAnsi="Arial"/>
          <w:sz w:val="15"/>
          <w:szCs w:val="15"/>
          <w:color w:val="auto"/>
        </w:rPr>
        <w:t>Mr. Schwartz has been Managing Partner of Third Point Ventures, the Menlo Park, California based venture capital arm of Third Point LLC, which is a registered investment adviser based in New York and the investment manager of the Third Point Funds. He previously served on the board of Apigee and the board of Enphase Energy until 2016. Previously, for 23 years, Mr. Schwartz was the President of RF Associates North, a privately held communications semiconductor manufacturer’s representative firm. Mr. Schwartz holds a multi-discipline engineering degree from the University of California, Berkeley.</w:t>
      </w:r>
    </w:p>
    <w:p>
      <w:pPr>
        <w:spacing w:after="0" w:line="170"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Mr. Schwartz was selected to serve on our board of directors because of his experience in the venture capital industry and his market knowledge and experience serving as a director of various private and public companies.</w:t>
      </w:r>
    </w:p>
    <w:p>
      <w:pPr>
        <w:spacing w:after="0" w:line="148"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b w:val="1"/>
          <w:bCs w:val="1"/>
          <w:i w:val="1"/>
          <w:iCs w:val="1"/>
          <w:color w:val="auto"/>
        </w:rPr>
        <w:t xml:space="preserve">Sukhinder Singh Cassidy. </w:t>
      </w:r>
      <w:r>
        <w:rPr>
          <w:rFonts w:ascii="Arial" w:cs="Arial" w:eastAsia="Arial" w:hAnsi="Arial"/>
          <w:sz w:val="15"/>
          <w:szCs w:val="15"/>
          <w:color w:val="auto"/>
        </w:rPr>
        <w:t>Ms. Singh Cassidy has served as a member of our board of directors since February 2020.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2015, Ms. Singh Cassidy has served as the founder and chairman of theBoardlist, and most recently served as the President of StubHub Inc., a technology company, from May 2018 to May 2020. From 2011 to September 2017, Ms. Singh Cassidy served in various roles at Joyus, Inc., an internet video shopping network, most recently as Founder and Chairman. From 2003 to 2009, she served in various senior executive roles at Google, Inc., a technology company, most recently as President of Asia Pacific and Latin America Operations. She is currently a director of Urban Outfitters, Inc. Ms. Singh Cassidy previously served on the board of Tripadvisor, Inc. and the board of Ericsson until 2018. Ms. Singh Cassidy holds a B.A. in Business Administration from the Ivey Business School at Western University.</w:t>
      </w:r>
    </w:p>
    <w:p>
      <w:pPr>
        <w:spacing w:after="0" w:line="171"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Ms. Singh Cassidy was selected to serve on our board of directors because of her extensive experience as an executive in the technology industry and her experience serving as a director of a publicly traded company.</w:t>
      </w:r>
    </w:p>
    <w:p>
      <w:pPr>
        <w:spacing w:after="0" w:line="148" w:lineRule="exact"/>
        <w:rPr>
          <w:sz w:val="20"/>
          <w:szCs w:val="20"/>
          <w:color w:val="auto"/>
        </w:rPr>
      </w:pPr>
    </w:p>
    <w:p>
      <w:pPr>
        <w:ind w:left="1020" w:right="20" w:firstLine="460"/>
        <w:spacing w:after="0" w:line="239" w:lineRule="auto"/>
        <w:rPr>
          <w:sz w:val="20"/>
          <w:szCs w:val="20"/>
          <w:color w:val="auto"/>
        </w:rPr>
      </w:pPr>
      <w:r>
        <w:rPr>
          <w:rFonts w:ascii="Arial" w:cs="Arial" w:eastAsia="Arial" w:hAnsi="Arial"/>
          <w:sz w:val="15"/>
          <w:szCs w:val="15"/>
          <w:b w:val="1"/>
          <w:bCs w:val="1"/>
          <w:i w:val="1"/>
          <w:iCs w:val="1"/>
          <w:color w:val="auto"/>
        </w:rPr>
        <w:t xml:space="preserve">Hilliard C. Terry, III. </w:t>
      </w:r>
      <w:r>
        <w:rPr>
          <w:rFonts w:ascii="Arial" w:cs="Arial" w:eastAsia="Arial" w:hAnsi="Arial"/>
          <w:sz w:val="15"/>
          <w:szCs w:val="15"/>
          <w:color w:val="auto"/>
        </w:rPr>
        <w:t>Mr. Terry has served as a member of our board of directors since February 2019. Currently, Mr. Terry is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advisor and interim CEO to a private equity-backed portfolio company. From January 2012 to October 2018, he served as Executive Vice President and Chief Financial Officer of Textainer Group Holdings Limited, an intermodal marine container management and leasing company. Before joining Textainer, Mr. Terry was Vice President and Treasurer of Agilent Technologies, Inc., which he joined in 1999, prior to the company’s initial public offering and spinoff from Hewlett-Packard Company. He previously held positions in investor relations and/or investment banking with Kenetech Corporation, an alternative energy company, VeriFone, Inc., a payments company, and Goldman Sachs &amp; Co., a financial services firm. He is currently a director of Umpqua Holdings Corporation, a bank holding company, where he chairs the Audit and Compliance Committee and serves on the Finance and Capital, Nominating &amp; Governance and Strategy Committees. Mr. Terry holds a B.A. in Economics from the University of California, Berkeley and an M.B.A. from Golden Gate University.</w:t>
      </w:r>
    </w:p>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0220"/>
          </w:cols>
          <w:pgMar w:left="320" w:top="407" w:right="1359" w:bottom="1440" w:gutter="0" w:footer="0" w:header="0"/>
        </w:sectPr>
      </w:pPr>
    </w:p>
    <w:bookmarkStart w:id="179" w:name="page180"/>
    <w:bookmarkEnd w:id="1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Mr. Terry was selected to serve on our board of directors because of his financial expertise and experience in the banking industry.</w:t>
      </w:r>
    </w:p>
    <w:p>
      <w:pPr>
        <w:spacing w:after="0" w:line="249"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Family Relationships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249"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Code of Ethics</w:t>
      </w:r>
    </w:p>
    <w:p>
      <w:pPr>
        <w:spacing w:after="0" w:line="19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Our board of directors has adopted a code of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Board of Directors</w:t>
      </w:r>
    </w:p>
    <w:p>
      <w:pPr>
        <w:spacing w:after="0" w:line="19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Our business and affairs are managed under the direction of our board of directors. Our board of directors currently consists of eight directors. Pursuant to our current certificate of incorporation and amended and restated voting agreement, our current directors were elected as follows:</w:t>
      </w:r>
    </w:p>
    <w:p>
      <w:pPr>
        <w:spacing w:after="0" w:line="91" w:lineRule="exact"/>
        <w:rPr>
          <w:sz w:val="20"/>
          <w:szCs w:val="20"/>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Messrs. Girouard, Gu and O’Kelly and Ms. Hentges were elected as the designees nominated by holders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Mr. Terry was elected as the designee nominated by holders of our preferred stock and common stock;</w:t>
      </w:r>
    </w:p>
    <w:p>
      <w:pPr>
        <w:spacing w:after="0" w:line="97" w:lineRule="exact"/>
        <w:rPr>
          <w:rFonts w:ascii="Arial" w:cs="Arial" w:eastAsia="Arial" w:hAnsi="Arial"/>
          <w:sz w:val="15"/>
          <w:szCs w:val="15"/>
          <w:color w:val="auto"/>
        </w:rPr>
      </w:pPr>
    </w:p>
    <w:p>
      <w:pPr>
        <w:ind w:left="1660" w:right="24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Ms. Singh Cassidy was elected as the designee nominated by holders of our Series Seed preferred stock, Series A preferred stock and Series B preferred stock;</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Mr. Schwartz was elected as the designee nominated by holders of our Series C preferred stock;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Mr. Mielczarek de la Miel was elected as the designee nominated by holders of our Series C-1 preferred stock; and</w:t>
      </w:r>
    </w:p>
    <w:p>
      <w:pPr>
        <w:spacing w:after="0" w:line="97" w:lineRule="exact"/>
        <w:rPr>
          <w:rFonts w:ascii="Arial" w:cs="Arial" w:eastAsia="Arial" w:hAnsi="Arial"/>
          <w:sz w:val="15"/>
          <w:szCs w:val="15"/>
          <w:color w:val="auto"/>
        </w:rPr>
      </w:pPr>
    </w:p>
    <w:p>
      <w:pPr>
        <w:ind w:left="1660" w:right="500" w:hanging="183"/>
        <w:spacing w:after="0" w:line="245" w:lineRule="auto"/>
        <w:tabs>
          <w:tab w:leader="none" w:pos="166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holders of our Series D preferred stock have the right to elect a member of our board of directors, but such position is currently vacant.</w:t>
      </w:r>
    </w:p>
    <w:p>
      <w:pPr>
        <w:spacing w:after="0" w:line="166"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amended and restated voting agreement will terminate and the provisions of our current certificate of incorporation by which our directors were elected will be amended and restated in connection with this offering. After this offering, the number of directors will be fixed by our board of directors, subject to the terms of our amended and restated certificate of incorporation and amended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Classified Board of Directors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We intend to adopt an amended and restated certificate of incorporation that will become effective immediately prior to the completion of this offering. Our amended and restated certificate of incorporation will provide that, immediately after the completion of this offering, our board of directors will be divided into three classes with staggered three-year terms. Only one class of directors will be elected at each annual meeting of stockholders, with the other classes continuing for the remainder of</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0180"/>
          </w:cols>
          <w:pgMar w:left="320" w:top="407" w:right="1399" w:bottom="1440" w:gutter="0" w:footer="0" w:header="0"/>
        </w:sectPr>
      </w:pPr>
    </w:p>
    <w:bookmarkStart w:id="180" w:name="page181"/>
    <w:bookmarkEnd w:id="1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their respective three-year terms. Our current directors will be divided among the three classes as follows:</w:t>
      </w:r>
    </w:p>
    <w:p>
      <w:pPr>
        <w:spacing w:after="0" w:line="98" w:lineRule="exact"/>
        <w:rPr>
          <w:sz w:val="20"/>
          <w:szCs w:val="20"/>
          <w:color w:val="auto"/>
        </w:rPr>
      </w:pPr>
    </w:p>
    <w:p>
      <w:pPr>
        <w:ind w:left="1660" w:right="6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Class I directors will be Dave Girouard, Oskar Mielczarek de la Miel and Hilliard C. Terry III, and their terms will expire at the annual meeting of stockholders to be held in 2021;</w:t>
      </w:r>
    </w:p>
    <w:p>
      <w:pPr>
        <w:spacing w:after="0" w:line="8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Class II directors will be Paul Gu, Sukhinder Singh Cassidy and Robert Schwartz, and their terms will expire at the annual meeting of stockholders to be held in 2022; and</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color w:val="auto"/>
        </w:rPr>
        <w:t>the Class III directors will be Ciaran O’Kelly and Mary Hentges, and their terms will expire at the annual meeting of stockholders to be held in 2023.</w:t>
      </w:r>
    </w:p>
    <w:p>
      <w:pPr>
        <w:spacing w:after="0" w:line="166" w:lineRule="exact"/>
        <w:rPr>
          <w:sz w:val="20"/>
          <w:szCs w:val="20"/>
          <w:color w:val="auto"/>
        </w:rPr>
      </w:pPr>
    </w:p>
    <w:p>
      <w:pPr>
        <w:jc w:val="both"/>
        <w:ind w:left="1020" w:right="20" w:firstLine="460"/>
        <w:spacing w:after="0"/>
        <w:rPr>
          <w:sz w:val="20"/>
          <w:szCs w:val="20"/>
          <w:color w:val="auto"/>
        </w:rPr>
      </w:pPr>
      <w:r>
        <w:rPr>
          <w:rFonts w:ascii="Arial" w:cs="Arial" w:eastAsia="Arial" w:hAnsi="Arial"/>
          <w:sz w:val="15"/>
          <w:szCs w:val="15"/>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our directors.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This classification of our board of directors may have the effect of delaying or preventing changes in control of our company.</w:t>
      </w:r>
    </w:p>
    <w:p>
      <w:pPr>
        <w:spacing w:after="0" w:line="249"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Director Independence</w:t>
      </w:r>
    </w:p>
    <w:p>
      <w:pPr>
        <w:spacing w:after="0" w:line="19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Our board of directors has undertaken a review of the independence of each director. Based on information provided by each director concerning his or her background, employment, and affiliations, our board of directors has determined that Mary Hentges, Oskar Mielczarek de la Miel, Ciaran O’Kelly, Robert Schwartz, Sukhinder Singh Cassidy and Hilliard C. Terry III do not have a relationship that would interfere with the exercise of independent judgment in carrying out the responsibilities of a director and that each of these directors is “independent” as that term is defined under the listing standards of the Nasdaq Global Select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4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Lead Independent Director</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board of directors intends to adopt corporate governance guidelines that will provide that one of our independent directors should serve as our Lead Independent Director at any time when our Chief Executive Officer serves as the Chairperson of our board of directors or if the Chairperson is not otherwise independent. Because Mr. Girouard is our Chairperson and is not an “independent” director as defined in the listing standards of the Nasdaq Global Select Market, our board of directors has appointed Sukhinder Singh Cassidy to serve as our Lead Independent Director. As Lead Independent Director, Ms. Singh Cassidy will preside over periodic meetings of our independent directors, serve as a liaison between our Chairperson and our independent directors, and perform such additional duties as our board of directors may otherwise determine and delegate.</w:t>
      </w:r>
    </w:p>
    <w:p>
      <w:pPr>
        <w:spacing w:after="0" w:line="243"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95"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0180"/>
          </w:cols>
          <w:pgMar w:left="320" w:top="407" w:right="1399" w:bottom="1440" w:gutter="0" w:footer="0" w:header="0"/>
        </w:sectPr>
      </w:pPr>
    </w:p>
    <w:bookmarkStart w:id="181" w:name="page182"/>
    <w:bookmarkEnd w:id="1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Audit Committee</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audit committee consists of Hilliard C. Terry III, Mary Hentges, and Ciaran O’Kelly with Mr. Terry serving as Chairperson, each of whom meets the requirements for independence under the listing standards of the Nasdaq Global Select Market and SEC rules and regulations. Each member of our audit committee also meets the financial literacy and sophistication requirements of the listing standards of the Nasdaq Global Select Market. In addition, our board of directors has determined that Ms. Hentges and Mr. Terry are both audit committee financial experts within the meaning of Item 407(d) of Regulation S-K under the Securities Act. Following the completion of this offering, our audit committee will, among other things:</w:t>
      </w:r>
    </w:p>
    <w:p>
      <w:pPr>
        <w:spacing w:after="0" w:line="94" w:lineRule="exact"/>
        <w:rPr>
          <w:sz w:val="20"/>
          <w:szCs w:val="20"/>
          <w:color w:val="auto"/>
        </w:rPr>
      </w:pPr>
    </w:p>
    <w:p>
      <w:pPr>
        <w:ind w:left="1660" w:hanging="183"/>
        <w:spacing w:after="0"/>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select a qualified firm to serve as the independent registered public accounting firm to audit our financial statements;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help to ensure the independence and performance of the independent registered public accounting firm;</w:t>
      </w:r>
    </w:p>
    <w:p>
      <w:pPr>
        <w:spacing w:after="0" w:line="97" w:lineRule="exact"/>
        <w:rPr>
          <w:rFonts w:ascii="Arial" w:cs="Arial" w:eastAsia="Arial" w:hAnsi="Arial"/>
          <w:sz w:val="15"/>
          <w:szCs w:val="15"/>
          <w:color w:val="auto"/>
        </w:rPr>
      </w:pPr>
    </w:p>
    <w:p>
      <w:pPr>
        <w:ind w:left="1660" w:right="80" w:hanging="183"/>
        <w:spacing w:after="0" w:line="245"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discuss the scope and results of the audit with the independent registered public accounting firm, and review, with management and the independent registered public accounting firm, our interim and year-end results of operation;</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develop procedures for employees to submit concerns anonymously about questionable accounting or audit matters;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 our policies on risk assessment and risk management;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 related party transactions; and</w:t>
      </w:r>
    </w:p>
    <w:p>
      <w:pPr>
        <w:spacing w:after="0" w:line="97" w:lineRule="exact"/>
        <w:rPr>
          <w:rFonts w:ascii="Arial" w:cs="Arial" w:eastAsia="Arial" w:hAnsi="Arial"/>
          <w:sz w:val="15"/>
          <w:szCs w:val="15"/>
          <w:color w:val="auto"/>
        </w:rPr>
      </w:pPr>
    </w:p>
    <w:p>
      <w:pPr>
        <w:ind w:left="1660" w:right="140" w:hanging="183"/>
        <w:spacing w:after="0" w:line="245" w:lineRule="auto"/>
        <w:tabs>
          <w:tab w:leader="none" w:pos="166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approve or, as required, pre-approve, all audit and all permissible non-audit services, other than de minimis non-audit services, to be performed by the independent registered public accounting firm.</w:t>
      </w:r>
    </w:p>
    <w:p>
      <w:pPr>
        <w:spacing w:after="0" w:line="166"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Our audit committee will operate under a written charter, to be effective prior to the completion of this offering, that satisfies the applicable rules and regulations of the SEC and the listing standards of the Nasdaq Global Select Market.</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Our compensation committee consists of Sukhinder Singh Cassidy, and Robert Schwartz, with Ms. Singh Cassidy serving as Chairperson, each of whom meets the requirements for independence under the listing standards of the Nasdaq Global Select Market and SEC rules and regulations. Each member of our compensation committee is also a non-employee director, as defined pursuant to Rule 16b-3 promulgated under the Exchange Act, or Rule 16b-3. Following the completion of this offering, our compensation committee will, among other things:</w:t>
      </w:r>
    </w:p>
    <w:p>
      <w:pPr>
        <w:spacing w:after="0" w:line="91" w:lineRule="exact"/>
        <w:rPr>
          <w:sz w:val="20"/>
          <w:szCs w:val="20"/>
          <w:color w:val="auto"/>
        </w:rPr>
      </w:pPr>
    </w:p>
    <w:p>
      <w:pPr>
        <w:ind w:left="1660" w:right="580" w:hanging="183"/>
        <w:spacing w:after="0" w:line="245"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 approve, and determine, or make recommendations to our board of directors regarding, the compensation of our executive officers;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administer our equity compensation plans;</w:t>
      </w:r>
    </w:p>
    <w:p>
      <w:pPr>
        <w:spacing w:after="0" w:line="97" w:lineRule="exact"/>
        <w:rPr>
          <w:rFonts w:ascii="Arial" w:cs="Arial" w:eastAsia="Arial" w:hAnsi="Arial"/>
          <w:sz w:val="15"/>
          <w:szCs w:val="15"/>
          <w:color w:val="auto"/>
        </w:rPr>
      </w:pPr>
    </w:p>
    <w:p>
      <w:pPr>
        <w:ind w:left="1660" w:right="640" w:hanging="183"/>
        <w:spacing w:after="0" w:line="245"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 and approve and make recommendations to our board of directors regarding incentive compensation and equity compensation plans; and</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establish and periodically review policies and programs relating to compensation and benefits of our employees and executives.</w:t>
      </w:r>
    </w:p>
    <w:p>
      <w:pPr>
        <w:spacing w:after="0" w:line="177"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Our compensation committee will operate under a written charter, to be effective prior to the completion of this offering, that satisfies the applicable rules and regulations of the SEC and the listing standards of the Nasdaq Global Select Market.</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0200"/>
          </w:cols>
          <w:pgMar w:left="320" w:top="407" w:right="1379" w:bottom="1440" w:gutter="0" w:footer="0" w:header="0"/>
        </w:sectPr>
      </w:pPr>
    </w:p>
    <w:bookmarkStart w:id="182" w:name="page183"/>
    <w:bookmarkEnd w:id="1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Our nominating and corporate governance committee consists of Ciaran O’Kelly, Oskar Mielczarek de la Miel and Robert Schwartz, with Mr. O’Kelly serving as Chairperson, each of whom meets the requirements for independence under the listing standards of the Nasdaq Global Select Market and SEC rules and regulations. Following the completion of this offering, our nominating and corporate governance committee will, among other things:</w:t>
      </w:r>
    </w:p>
    <w:p>
      <w:pPr>
        <w:spacing w:after="0" w:line="93" w:lineRule="exact"/>
        <w:rPr>
          <w:sz w:val="20"/>
          <w:szCs w:val="20"/>
          <w:color w:val="auto"/>
        </w:rPr>
      </w:pPr>
    </w:p>
    <w:p>
      <w:pPr>
        <w:ind w:left="1660" w:right="140" w:hanging="183"/>
        <w:spacing w:after="0" w:line="245"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identify, evaluate, and select, or make recommendations to our board of directors regarding, nominees for election to our board of directors and its committees;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evaluate the performance of our board of directors and of individual directors;</w:t>
      </w:r>
    </w:p>
    <w:p>
      <w:pPr>
        <w:spacing w:after="0" w:line="97" w:lineRule="exact"/>
        <w:rPr>
          <w:rFonts w:ascii="Arial" w:cs="Arial" w:eastAsia="Arial" w:hAnsi="Arial"/>
          <w:sz w:val="15"/>
          <w:szCs w:val="15"/>
          <w:color w:val="auto"/>
        </w:rPr>
      </w:pPr>
    </w:p>
    <w:p>
      <w:pPr>
        <w:ind w:left="1660" w:right="540" w:hanging="183"/>
        <w:spacing w:after="0" w:line="245"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consider and make recommendations to our board of directors regarding the composition of our board of directors and its committees;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review developments in corporate governance practices;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evaluate the adequacy of our corporate governance practices and reporting;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develop and make recommendations to our board of directors regarding corporate governance guidelines and matters.</w:t>
      </w:r>
    </w:p>
    <w:p>
      <w:pPr>
        <w:spacing w:after="0" w:line="17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nominating and corporate governance committee will operate under a written charter, to be effective prior to the completion of this offering, that satisfies the applicable listing standards of the Nasdaq Global Select Market.</w:t>
      </w:r>
    </w:p>
    <w:p>
      <w:pPr>
        <w:spacing w:after="0" w:line="238" w:lineRule="exact"/>
        <w:rPr>
          <w:sz w:val="20"/>
          <w:szCs w:val="20"/>
          <w:color w:val="auto"/>
        </w:rPr>
      </w:pPr>
    </w:p>
    <w:p>
      <w:pPr>
        <w:ind w:left="3420"/>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None of the members of our compensation committee is or has been an executive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on our compensation committee.</w:t>
      </w:r>
    </w:p>
    <w:p>
      <w:pPr>
        <w:spacing w:after="0" w:line="24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Non-Employee Director Compensation</w:t>
      </w:r>
    </w:p>
    <w:p>
      <w:pPr>
        <w:spacing w:after="0" w:line="19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table set forth below provides information regarding the compensation of our non-executive officer directors for service as directors during the year ended December 31, 2019. In 2019, we did not pay any compensation to any person who served as a non-employee member of our Board of Directors. Our employee directors, Messrs. Girouard and Gu, did not receive any compensation for their services as directors and therefore are not included in the table below. The compensation received by Messrs. Girouard and Gu as employees is set forth in the section titled “Executive Compensation—Summary Compensation Table.”</w:t>
      </w:r>
    </w:p>
    <w:p>
      <w:pPr>
        <w:spacing w:after="0" w:line="176"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Option</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7360" w:type="dxa"/>
            <w:vAlign w:val="bottom"/>
            <w:vMerge w:val="restart"/>
          </w:tcPr>
          <w:p>
            <w:pPr>
              <w:spacing w:after="0"/>
              <w:rPr>
                <w:sz w:val="12"/>
                <w:szCs w:val="12"/>
                <w:color w:val="auto"/>
              </w:rPr>
            </w:pPr>
          </w:p>
        </w:tc>
        <w:tc>
          <w:tcPr>
            <w:tcW w:w="920" w:type="dxa"/>
            <w:vAlign w:val="bottom"/>
            <w:gridSpan w:val="2"/>
          </w:tcPr>
          <w:p>
            <w:pPr>
              <w:jc w:val="right"/>
              <w:ind w:right="240"/>
              <w:spacing w:after="0" w:line="139"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(1)(2)</w:t>
            </w:r>
          </w:p>
        </w:tc>
        <w:tc>
          <w:tcPr>
            <w:tcW w:w="5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54"/>
        </w:trPr>
        <w:tc>
          <w:tcPr>
            <w:tcW w:w="340" w:type="dxa"/>
            <w:vAlign w:val="bottom"/>
            <w:tcBorders>
              <w:bottom w:val="single" w:sz="8" w:color="auto"/>
            </w:tcBorders>
            <w:vMerge w:val="continue"/>
          </w:tcPr>
          <w:p>
            <w:pPr>
              <w:spacing w:after="0"/>
              <w:rPr>
                <w:sz w:val="13"/>
                <w:szCs w:val="13"/>
                <w:color w:val="auto"/>
              </w:rPr>
            </w:pPr>
          </w:p>
        </w:tc>
        <w:tc>
          <w:tcPr>
            <w:tcW w:w="7360" w:type="dxa"/>
            <w:vAlign w:val="bottom"/>
            <w:vMerge w:val="continue"/>
          </w:tcPr>
          <w:p>
            <w:pPr>
              <w:spacing w:after="0"/>
              <w:rPr>
                <w:sz w:val="13"/>
                <w:szCs w:val="13"/>
                <w:color w:val="auto"/>
              </w:rPr>
            </w:pPr>
          </w:p>
        </w:tc>
        <w:tc>
          <w:tcPr>
            <w:tcW w:w="680" w:type="dxa"/>
            <w:vAlign w:val="bottom"/>
          </w:tcPr>
          <w:p>
            <w:pPr>
              <w:ind w:left="280"/>
              <w:spacing w:after="0" w:line="134"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3"/>
                <w:szCs w:val="13"/>
                <w:color w:val="auto"/>
              </w:rPr>
            </w:pPr>
          </w:p>
        </w:tc>
        <w:tc>
          <w:tcPr>
            <w:tcW w:w="540" w:type="dxa"/>
            <w:vAlign w:val="bottom"/>
          </w:tcPr>
          <w:p>
            <w:pPr>
              <w:jc w:val="right"/>
              <w:ind w:right="134"/>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7700" w:type="dxa"/>
            <w:vAlign w:val="bottom"/>
            <w:tcBorders>
              <w:top w:val="single" w:sz="8" w:color="CCEEFF"/>
            </w:tcBorders>
            <w:gridSpan w:val="2"/>
            <w:shd w:val="clear" w:color="auto" w:fill="CCEEFF"/>
          </w:tcPr>
          <w:p>
            <w:pPr>
              <w:spacing w:after="0" w:line="140" w:lineRule="exact"/>
              <w:rPr>
                <w:sz w:val="20"/>
                <w:szCs w:val="20"/>
                <w:color w:val="auto"/>
              </w:rPr>
            </w:pPr>
            <w:r>
              <w:rPr>
                <w:rFonts w:ascii="Arial" w:cs="Arial" w:eastAsia="Arial" w:hAnsi="Arial"/>
                <w:sz w:val="11"/>
                <w:szCs w:val="11"/>
                <w:color w:val="auto"/>
              </w:rPr>
              <w:t>Mary Hentges</w:t>
            </w:r>
            <w:r>
              <w:rPr>
                <w:rFonts w:ascii="Arial" w:cs="Arial" w:eastAsia="Arial" w:hAnsi="Arial"/>
                <w:sz w:val="16"/>
                <w:szCs w:val="16"/>
                <w:color w:val="auto"/>
                <w:vertAlign w:val="superscript"/>
              </w:rPr>
              <w:t>(3)</w:t>
            </w:r>
          </w:p>
        </w:tc>
        <w:tc>
          <w:tcPr>
            <w:tcW w:w="6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771,091</w:t>
            </w:r>
          </w:p>
        </w:tc>
        <w:tc>
          <w:tcPr>
            <w:tcW w:w="2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4"/>
                <w:szCs w:val="14"/>
                <w:color w:val="auto"/>
                <w:w w:val="98"/>
              </w:rPr>
              <w:t>771,091</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700" w:type="dxa"/>
            <w:vAlign w:val="bottom"/>
            <w:gridSpan w:val="2"/>
          </w:tcPr>
          <w:p>
            <w:pPr>
              <w:spacing w:after="0" w:line="158" w:lineRule="exact"/>
              <w:rPr>
                <w:sz w:val="20"/>
                <w:szCs w:val="20"/>
                <w:color w:val="auto"/>
              </w:rPr>
            </w:pPr>
            <w:r>
              <w:rPr>
                <w:rFonts w:ascii="Arial" w:cs="Arial" w:eastAsia="Arial" w:hAnsi="Arial"/>
                <w:sz w:val="14"/>
                <w:szCs w:val="14"/>
                <w:color w:val="auto"/>
              </w:rPr>
              <w:t>Oskar Mielczarek de la Miel</w:t>
            </w:r>
          </w:p>
        </w:tc>
        <w:tc>
          <w:tcPr>
            <w:tcW w:w="92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Ciaran O’Kelly</w:t>
            </w:r>
          </w:p>
        </w:tc>
        <w:tc>
          <w:tcPr>
            <w:tcW w:w="92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tcPr>
          <w:p>
            <w:pPr>
              <w:spacing w:after="0" w:line="157" w:lineRule="exact"/>
              <w:rPr>
                <w:sz w:val="20"/>
                <w:szCs w:val="20"/>
                <w:color w:val="auto"/>
              </w:rPr>
            </w:pPr>
            <w:r>
              <w:rPr>
                <w:rFonts w:ascii="Arial" w:cs="Arial" w:eastAsia="Arial" w:hAnsi="Arial"/>
                <w:sz w:val="12"/>
                <w:szCs w:val="12"/>
                <w:color w:val="auto"/>
              </w:rPr>
              <w:t>Andrew Palmer</w:t>
            </w:r>
            <w:r>
              <w:rPr>
                <w:rFonts w:ascii="Arial" w:cs="Arial" w:eastAsia="Arial" w:hAnsi="Arial"/>
                <w:sz w:val="18"/>
                <w:szCs w:val="18"/>
                <w:color w:val="auto"/>
                <w:vertAlign w:val="superscript"/>
              </w:rPr>
              <w:t>(4)</w:t>
            </w:r>
          </w:p>
        </w:tc>
        <w:tc>
          <w:tcPr>
            <w:tcW w:w="92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Andrew Quigg</w:t>
            </w:r>
            <w:r>
              <w:rPr>
                <w:rFonts w:ascii="Arial" w:cs="Arial" w:eastAsia="Arial" w:hAnsi="Arial"/>
                <w:sz w:val="18"/>
                <w:szCs w:val="18"/>
                <w:color w:val="auto"/>
                <w:vertAlign w:val="superscript"/>
              </w:rPr>
              <w:t>(5)</w:t>
            </w:r>
          </w:p>
        </w:tc>
        <w:tc>
          <w:tcPr>
            <w:tcW w:w="92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tcPr>
          <w:p>
            <w:pPr>
              <w:spacing w:after="0" w:line="158" w:lineRule="exact"/>
              <w:rPr>
                <w:sz w:val="20"/>
                <w:szCs w:val="20"/>
                <w:color w:val="auto"/>
              </w:rPr>
            </w:pPr>
            <w:r>
              <w:rPr>
                <w:rFonts w:ascii="Arial" w:cs="Arial" w:eastAsia="Arial" w:hAnsi="Arial"/>
                <w:sz w:val="14"/>
                <w:szCs w:val="14"/>
                <w:color w:val="auto"/>
              </w:rPr>
              <w:t>Robert Schwartz</w:t>
            </w:r>
          </w:p>
        </w:tc>
        <w:tc>
          <w:tcPr>
            <w:tcW w:w="920" w:type="dxa"/>
            <w:vAlign w:val="bottom"/>
            <w:gridSpan w:val="2"/>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58"/>
        </w:trPr>
        <w:tc>
          <w:tcPr>
            <w:tcW w:w="7700" w:type="dxa"/>
            <w:vAlign w:val="bottom"/>
            <w:gridSpan w:val="2"/>
            <w:shd w:val="clear" w:color="auto" w:fill="CCEEFF"/>
          </w:tcPr>
          <w:p>
            <w:pPr>
              <w:spacing w:after="0" w:line="157" w:lineRule="exact"/>
              <w:rPr>
                <w:sz w:val="20"/>
                <w:szCs w:val="20"/>
                <w:color w:val="auto"/>
              </w:rPr>
            </w:pPr>
            <w:r>
              <w:rPr>
                <w:rFonts w:ascii="Arial" w:cs="Arial" w:eastAsia="Arial" w:hAnsi="Arial"/>
                <w:sz w:val="12"/>
                <w:szCs w:val="12"/>
                <w:color w:val="auto"/>
              </w:rPr>
              <w:t>Sukhinder Singh Cassidy</w:t>
            </w:r>
            <w:r>
              <w:rPr>
                <w:rFonts w:ascii="Arial" w:cs="Arial" w:eastAsia="Arial" w:hAnsi="Arial"/>
                <w:sz w:val="18"/>
                <w:szCs w:val="18"/>
                <w:color w:val="auto"/>
                <w:vertAlign w:val="superscript"/>
              </w:rPr>
              <w:t>(6)</w:t>
            </w:r>
          </w:p>
        </w:tc>
        <w:tc>
          <w:tcPr>
            <w:tcW w:w="920" w:type="dxa"/>
            <w:vAlign w:val="bottom"/>
            <w:gridSpan w:val="2"/>
            <w:shd w:val="clear" w:color="auto" w:fill="CCEEFF"/>
          </w:tcPr>
          <w:p>
            <w:pPr>
              <w:ind w:left="300"/>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center"/>
              <w:spacing w:after="0" w:line="158"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81"/>
        </w:trPr>
        <w:tc>
          <w:tcPr>
            <w:tcW w:w="7700" w:type="dxa"/>
            <w:vAlign w:val="bottom"/>
            <w:gridSpan w:val="2"/>
          </w:tcPr>
          <w:p>
            <w:pPr>
              <w:spacing w:after="0"/>
              <w:rPr>
                <w:sz w:val="20"/>
                <w:szCs w:val="20"/>
                <w:color w:val="auto"/>
              </w:rPr>
            </w:pPr>
            <w:r>
              <w:rPr>
                <w:rFonts w:ascii="Arial" w:cs="Arial" w:eastAsia="Arial" w:hAnsi="Arial"/>
                <w:sz w:val="14"/>
                <w:szCs w:val="14"/>
                <w:color w:val="auto"/>
              </w:rPr>
              <w:t>Hilliard C. Terry, III</w:t>
            </w:r>
            <w:r>
              <w:rPr>
                <w:rFonts w:ascii="Arial" w:cs="Arial" w:eastAsia="Arial" w:hAnsi="Arial"/>
                <w:sz w:val="22"/>
                <w:szCs w:val="22"/>
                <w:color w:val="auto"/>
                <w:vertAlign w:val="superscript"/>
              </w:rPr>
              <w:t>(7)</w:t>
            </w:r>
          </w:p>
        </w:tc>
        <w:tc>
          <w:tcPr>
            <w:tcW w:w="680" w:type="dxa"/>
            <w:vAlign w:val="bottom"/>
          </w:tcPr>
          <w:p>
            <w:pPr>
              <w:jc w:val="right"/>
              <w:spacing w:after="0"/>
              <w:rPr>
                <w:sz w:val="20"/>
                <w:szCs w:val="20"/>
                <w:color w:val="auto"/>
              </w:rPr>
            </w:pPr>
            <w:r>
              <w:rPr>
                <w:rFonts w:ascii="Arial" w:cs="Arial" w:eastAsia="Arial" w:hAnsi="Arial"/>
                <w:sz w:val="14"/>
                <w:szCs w:val="14"/>
                <w:color w:val="auto"/>
              </w:rPr>
              <w:t>328,871</w:t>
            </w:r>
          </w:p>
        </w:tc>
        <w:tc>
          <w:tcPr>
            <w:tcW w:w="2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8"/>
              </w:rPr>
              <w:t>328,871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00"/>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0220"/>
          </w:cols>
          <w:pgMar w:left="320" w:top="407" w:right="1359" w:bottom="1440" w:gutter="0" w:footer="0" w:header="0"/>
        </w:sectPr>
      </w:pPr>
    </w:p>
    <w:bookmarkStart w:id="183" w:name="page184"/>
    <w:bookmarkEnd w:id="1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242570</wp:posOffset>
            </wp:positionV>
            <wp:extent cx="64389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1480" w:right="180" w:hanging="453"/>
        <w:spacing w:after="0" w:line="235" w:lineRule="auto"/>
        <w:tabs>
          <w:tab w:leader="none" w:pos="14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amount reported represents the aggregate grant-date fair value of the stock options awarded to the director in 2019, calculated in accordance with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11 to our Consolidated Financial Statements. These amounts do not reflect the actual economic value that may be realized by the non-employee director.</w:t>
      </w:r>
    </w:p>
    <w:p>
      <w:pPr>
        <w:ind w:left="1480" w:hanging="453"/>
        <w:spacing w:after="0"/>
        <w:tabs>
          <w:tab w:leader="none" w:pos="1480" w:val="left"/>
        </w:tabs>
        <w:numPr>
          <w:ilvl w:val="0"/>
          <w:numId w:val="103"/>
        </w:numPr>
        <w:rPr>
          <w:rFonts w:ascii="Arial" w:cs="Arial" w:eastAsia="Arial" w:hAnsi="Arial"/>
          <w:sz w:val="12"/>
          <w:szCs w:val="12"/>
          <w:color w:val="auto"/>
        </w:rPr>
      </w:pPr>
      <w:r>
        <w:rPr>
          <w:rFonts w:ascii="Arial" w:cs="Arial" w:eastAsia="Arial" w:hAnsi="Arial"/>
          <w:sz w:val="12"/>
          <w:szCs w:val="12"/>
          <w:color w:val="auto"/>
        </w:rPr>
        <w:t>The following table lists all outstanding equity awards held by non-executive officer directors as of December 31, 2019:</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2"/>
          </w:tcPr>
          <w:p>
            <w:pPr>
              <w:jc w:val="center"/>
              <w:ind w:right="289"/>
              <w:spacing w:after="0"/>
              <w:rPr>
                <w:sz w:val="20"/>
                <w:szCs w:val="20"/>
                <w:color w:val="auto"/>
              </w:rPr>
            </w:pPr>
            <w:r>
              <w:rPr>
                <w:rFonts w:ascii="Arial" w:cs="Arial" w:eastAsia="Arial" w:hAnsi="Arial"/>
                <w:sz w:val="12"/>
                <w:szCs w:val="12"/>
                <w:b w:val="1"/>
                <w:bCs w:val="1"/>
                <w:color w:val="auto"/>
                <w:w w:val="98"/>
              </w:rPr>
              <w:t>Number of Shares</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3440" w:type="dxa"/>
            <w:vAlign w:val="bottom"/>
            <w:vMerge w:val="restart"/>
          </w:tcPr>
          <w:p>
            <w:pPr>
              <w:spacing w:after="0"/>
              <w:rPr>
                <w:sz w:val="11"/>
                <w:szCs w:val="11"/>
                <w:color w:val="auto"/>
              </w:rPr>
            </w:pPr>
          </w:p>
        </w:tc>
        <w:tc>
          <w:tcPr>
            <w:tcW w:w="1440" w:type="dxa"/>
            <w:vAlign w:val="bottom"/>
            <w:gridSpan w:val="2"/>
          </w:tcPr>
          <w:p>
            <w:pPr>
              <w:jc w:val="center"/>
              <w:ind w:right="440"/>
              <w:spacing w:after="0" w:line="131" w:lineRule="exact"/>
              <w:rPr>
                <w:sz w:val="20"/>
                <w:szCs w:val="20"/>
                <w:color w:val="auto"/>
              </w:rPr>
            </w:pPr>
            <w:r>
              <w:rPr>
                <w:rFonts w:ascii="Arial" w:cs="Arial" w:eastAsia="Arial" w:hAnsi="Arial"/>
                <w:sz w:val="12"/>
                <w:szCs w:val="12"/>
                <w:b w:val="1"/>
                <w:bCs w:val="1"/>
                <w:color w:val="auto"/>
                <w:w w:val="99"/>
              </w:rPr>
              <w:t>Grant</w:t>
            </w:r>
          </w:p>
        </w:tc>
        <w:tc>
          <w:tcPr>
            <w:tcW w:w="1360" w:type="dxa"/>
            <w:vAlign w:val="bottom"/>
            <w:gridSpan w:val="2"/>
          </w:tcPr>
          <w:p>
            <w:pPr>
              <w:jc w:val="center"/>
              <w:ind w:right="289"/>
              <w:spacing w:after="0" w:line="131"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13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Option Exercise</w:t>
            </w:r>
          </w:p>
        </w:tc>
        <w:tc>
          <w:tcPr>
            <w:tcW w:w="10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9"/>
              </w:rPr>
              <w:t>Option Expiration</w:t>
            </w:r>
          </w:p>
        </w:tc>
        <w:tc>
          <w:tcPr>
            <w:tcW w:w="0" w:type="dxa"/>
            <w:vAlign w:val="bottom"/>
          </w:tcPr>
          <w:p>
            <w:pPr>
              <w:spacing w:after="0"/>
              <w:rPr>
                <w:sz w:val="1"/>
                <w:szCs w:val="1"/>
                <w:color w:val="auto"/>
              </w:rPr>
            </w:pPr>
          </w:p>
        </w:tc>
      </w:tr>
      <w:tr>
        <w:trPr>
          <w:trHeight w:val="143"/>
        </w:trPr>
        <w:tc>
          <w:tcPr>
            <w:tcW w:w="340" w:type="dxa"/>
            <w:vAlign w:val="bottom"/>
            <w:tcBorders>
              <w:bottom w:val="single" w:sz="8" w:color="auto"/>
            </w:tcBorders>
            <w:vMerge w:val="continue"/>
          </w:tcPr>
          <w:p>
            <w:pPr>
              <w:spacing w:after="0"/>
              <w:rPr>
                <w:sz w:val="12"/>
                <w:szCs w:val="12"/>
                <w:color w:val="auto"/>
              </w:rPr>
            </w:pPr>
          </w:p>
        </w:tc>
        <w:tc>
          <w:tcPr>
            <w:tcW w:w="3440" w:type="dxa"/>
            <w:vAlign w:val="bottom"/>
            <w:vMerge w:val="continue"/>
          </w:tcPr>
          <w:p>
            <w:pPr>
              <w:spacing w:after="0"/>
              <w:rPr>
                <w:sz w:val="12"/>
                <w:szCs w:val="12"/>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9"/>
              </w:rPr>
              <w:t>Date</w:t>
            </w:r>
          </w:p>
        </w:tc>
        <w:tc>
          <w:tcPr>
            <w:tcW w:w="1360" w:type="dxa"/>
            <w:vAlign w:val="bottom"/>
            <w:gridSpan w:val="2"/>
          </w:tcPr>
          <w:p>
            <w:pPr>
              <w:jc w:val="center"/>
              <w:ind w:right="289"/>
              <w:spacing w:after="0" w:line="138" w:lineRule="exact"/>
              <w:rPr>
                <w:sz w:val="20"/>
                <w:szCs w:val="20"/>
                <w:color w:val="auto"/>
              </w:rPr>
            </w:pPr>
            <w:r>
              <w:rPr>
                <w:rFonts w:ascii="Arial" w:cs="Arial" w:eastAsia="Arial" w:hAnsi="Arial"/>
                <w:sz w:val="10"/>
                <w:szCs w:val="10"/>
                <w:b w:val="1"/>
                <w:bCs w:val="1"/>
                <w:color w:val="auto"/>
              </w:rPr>
              <w:t>Option Awards</w:t>
            </w:r>
            <w:r>
              <w:rPr>
                <w:rFonts w:ascii="Arial" w:cs="Arial" w:eastAsia="Arial" w:hAnsi="Arial"/>
                <w:sz w:val="16"/>
                <w:szCs w:val="16"/>
                <w:b w:val="1"/>
                <w:bCs w:val="1"/>
                <w:color w:val="auto"/>
                <w:vertAlign w:val="superscript"/>
              </w:rPr>
              <w:t>(a)</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Mary Hentges</w:t>
            </w: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(b)</w:t>
            </w: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3780" w:type="dxa"/>
            <w:vAlign w:val="bottom"/>
            <w:gridSpan w:val="2"/>
            <w:vMerge w:val="continue"/>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December 6, 2019</w:t>
            </w:r>
          </w:p>
        </w:tc>
        <w:tc>
          <w:tcPr>
            <w:tcW w:w="420" w:type="dxa"/>
            <w:vAlign w:val="bottom"/>
            <w:shd w:val="clear" w:color="auto" w:fill="CCEEFF"/>
          </w:tcPr>
          <w:p>
            <w:pPr>
              <w:spacing w:after="0"/>
              <w:rPr>
                <w:sz w:val="10"/>
                <w:szCs w:val="10"/>
                <w:color w:val="auto"/>
              </w:rPr>
            </w:pPr>
          </w:p>
        </w:tc>
        <w:tc>
          <w:tcPr>
            <w:tcW w:w="1020" w:type="dxa"/>
            <w:vAlign w:val="bottom"/>
            <w:shd w:val="clear" w:color="auto" w:fill="CCEEFF"/>
          </w:tcPr>
          <w:p>
            <w:pPr>
              <w:ind w:left="600"/>
              <w:spacing w:after="0" w:line="118" w:lineRule="exact"/>
              <w:rPr>
                <w:sz w:val="20"/>
                <w:szCs w:val="20"/>
                <w:color w:val="auto"/>
              </w:rPr>
            </w:pPr>
            <w:r>
              <w:rPr>
                <w:rFonts w:ascii="Arial" w:cs="Arial" w:eastAsia="Arial" w:hAnsi="Arial"/>
                <w:sz w:val="12"/>
                <w:szCs w:val="12"/>
                <w:color w:val="auto"/>
                <w:w w:val="92"/>
              </w:rPr>
              <w:t>128,295</w:t>
            </w:r>
          </w:p>
        </w:tc>
        <w:tc>
          <w:tcPr>
            <w:tcW w:w="340" w:type="dxa"/>
            <w:vAlign w:val="bottom"/>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ind w:left="500"/>
              <w:spacing w:after="0" w:line="118" w:lineRule="exact"/>
              <w:rPr>
                <w:sz w:val="20"/>
                <w:szCs w:val="20"/>
                <w:color w:val="auto"/>
              </w:rPr>
            </w:pPr>
            <w:r>
              <w:rPr>
                <w:rFonts w:ascii="Arial" w:cs="Arial" w:eastAsia="Arial" w:hAnsi="Arial"/>
                <w:sz w:val="12"/>
                <w:szCs w:val="12"/>
                <w:color w:val="auto"/>
              </w:rPr>
              <w:t>3.89</w:t>
            </w:r>
          </w:p>
        </w:tc>
        <w:tc>
          <w:tcPr>
            <w:tcW w:w="1060" w:type="dxa"/>
            <w:vAlign w:val="bottom"/>
            <w:tcBorders>
              <w:right w:val="single" w:sz="8" w:color="CCEEFF"/>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December 6, 2029</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Oskar Mielczarek de la Miel</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Ciaran O’Kelly</w:t>
            </w:r>
          </w:p>
        </w:tc>
        <w:tc>
          <w:tcPr>
            <w:tcW w:w="1440" w:type="dxa"/>
            <w:vAlign w:val="bottom"/>
            <w:gridSpan w:val="2"/>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March 31, 2018</w:t>
            </w:r>
          </w:p>
        </w:tc>
        <w:tc>
          <w:tcPr>
            <w:tcW w:w="1360" w:type="dxa"/>
            <w:vAlign w:val="bottom"/>
            <w:gridSpan w:val="2"/>
            <w:shd w:val="clear" w:color="auto" w:fill="CCEEFF"/>
          </w:tcPr>
          <w:p>
            <w:pPr>
              <w:ind w:left="600"/>
              <w:spacing w:after="0" w:line="136" w:lineRule="exact"/>
              <w:rPr>
                <w:sz w:val="20"/>
                <w:szCs w:val="20"/>
                <w:color w:val="auto"/>
              </w:rPr>
            </w:pPr>
            <w:r>
              <w:rPr>
                <w:rFonts w:ascii="Arial" w:cs="Arial" w:eastAsia="Arial" w:hAnsi="Arial"/>
                <w:sz w:val="10"/>
                <w:szCs w:val="10"/>
                <w:color w:val="auto"/>
              </w:rPr>
              <w:t>128,295</w:t>
            </w:r>
            <w:r>
              <w:rPr>
                <w:rFonts w:ascii="Arial" w:cs="Arial" w:eastAsia="Arial" w:hAnsi="Arial"/>
                <w:sz w:val="15"/>
                <w:szCs w:val="15"/>
                <w:color w:val="auto"/>
                <w:vertAlign w:val="superscript"/>
              </w:rPr>
              <w:t>(c)</w:t>
            </w:r>
          </w:p>
        </w:tc>
        <w:tc>
          <w:tcPr>
            <w:tcW w:w="420" w:type="dxa"/>
            <w:vAlign w:val="bottom"/>
            <w:gridSpan w:val="2"/>
            <w:shd w:val="clear" w:color="auto" w:fill="CCEEFF"/>
          </w:tcPr>
          <w:p>
            <w:pPr>
              <w:ind w:left="22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ind w:left="500"/>
              <w:spacing w:after="0" w:line="136" w:lineRule="exact"/>
              <w:rPr>
                <w:sz w:val="20"/>
                <w:szCs w:val="20"/>
                <w:color w:val="auto"/>
              </w:rPr>
            </w:pPr>
            <w:r>
              <w:rPr>
                <w:rFonts w:ascii="Arial" w:cs="Arial" w:eastAsia="Arial" w:hAnsi="Arial"/>
                <w:sz w:val="12"/>
                <w:szCs w:val="12"/>
                <w:color w:val="auto"/>
              </w:rPr>
              <w:t>2.15</w:t>
            </w:r>
          </w:p>
        </w:tc>
        <w:tc>
          <w:tcPr>
            <w:tcW w:w="10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2"/>
                <w:szCs w:val="12"/>
                <w:color w:val="auto"/>
              </w:rPr>
              <w:t>March 31, 2028</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Andrew Palmer</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Andrew Quigg</w:t>
            </w:r>
          </w:p>
        </w:tc>
        <w:tc>
          <w:tcPr>
            <w:tcW w:w="1440" w:type="dxa"/>
            <w:vAlign w:val="bottom"/>
            <w:gridSpan w:val="2"/>
            <w:shd w:val="clear" w:color="auto" w:fill="CCEEFF"/>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CCEEFF"/>
            </w:tcBorders>
            <w:shd w:val="clear" w:color="auto" w:fill="CCEEFF"/>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tcPr>
          <w:p>
            <w:pPr>
              <w:spacing w:after="0" w:line="136" w:lineRule="exact"/>
              <w:rPr>
                <w:sz w:val="20"/>
                <w:szCs w:val="20"/>
                <w:color w:val="auto"/>
              </w:rPr>
            </w:pPr>
            <w:r>
              <w:rPr>
                <w:rFonts w:ascii="Arial" w:cs="Arial" w:eastAsia="Arial" w:hAnsi="Arial"/>
                <w:sz w:val="12"/>
                <w:szCs w:val="12"/>
                <w:color w:val="auto"/>
              </w:rPr>
              <w:t>Robert Schwartz</w:t>
            </w:r>
          </w:p>
        </w:tc>
        <w:tc>
          <w:tcPr>
            <w:tcW w:w="1440" w:type="dxa"/>
            <w:vAlign w:val="bottom"/>
            <w:gridSpan w:val="2"/>
          </w:tcPr>
          <w:p>
            <w:pPr>
              <w:jc w:val="center"/>
              <w:ind w:right="400"/>
              <w:spacing w:after="0" w:line="136" w:lineRule="exact"/>
              <w:rPr>
                <w:sz w:val="20"/>
                <w:szCs w:val="20"/>
                <w:color w:val="auto"/>
              </w:rPr>
            </w:pPr>
            <w:r>
              <w:rPr>
                <w:rFonts w:ascii="Arial" w:cs="Arial" w:eastAsia="Arial" w:hAnsi="Arial"/>
                <w:sz w:val="12"/>
                <w:szCs w:val="12"/>
                <w:color w:val="auto"/>
                <w:w w:val="99"/>
              </w:rPr>
              <w:t>—</w:t>
            </w:r>
          </w:p>
        </w:tc>
        <w:tc>
          <w:tcPr>
            <w:tcW w:w="1360" w:type="dxa"/>
            <w:vAlign w:val="bottom"/>
            <w:gridSpan w:val="2"/>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300"/>
              <w:spacing w:after="0" w:line="136" w:lineRule="exact"/>
              <w:rPr>
                <w:sz w:val="20"/>
                <w:szCs w:val="20"/>
                <w:color w:val="auto"/>
              </w:rPr>
            </w:pPr>
            <w:r>
              <w:rPr>
                <w:rFonts w:ascii="Arial" w:cs="Arial" w:eastAsia="Arial" w:hAnsi="Arial"/>
                <w:sz w:val="12"/>
                <w:szCs w:val="12"/>
                <w:color w:val="auto"/>
              </w:rPr>
              <w:t>—</w:t>
            </w:r>
          </w:p>
        </w:tc>
        <w:tc>
          <w:tcPr>
            <w:tcW w:w="1060" w:type="dxa"/>
            <w:vAlign w:val="bottom"/>
          </w:tcPr>
          <w:p>
            <w:pPr>
              <w:jc w:val="center"/>
              <w:spacing w:after="0" w:line="136" w:lineRule="exact"/>
              <w:rPr>
                <w:sz w:val="20"/>
                <w:szCs w:val="20"/>
                <w:color w:val="auto"/>
              </w:rPr>
            </w:pPr>
            <w:r>
              <w:rPr>
                <w:rFonts w:ascii="Arial" w:cs="Arial" w:eastAsia="Arial" w:hAnsi="Arial"/>
                <w:sz w:val="12"/>
                <w:szCs w:val="12"/>
                <w:color w:val="auto"/>
                <w:w w:val="99"/>
              </w:rPr>
              <w:t>—</w:t>
            </w:r>
          </w:p>
        </w:tc>
        <w:tc>
          <w:tcPr>
            <w:tcW w:w="0" w:type="dxa"/>
            <w:vAlign w:val="bottom"/>
          </w:tcPr>
          <w:p>
            <w:pPr>
              <w:spacing w:after="0"/>
              <w:rPr>
                <w:sz w:val="1"/>
                <w:szCs w:val="1"/>
                <w:color w:val="auto"/>
              </w:rPr>
            </w:pPr>
          </w:p>
        </w:tc>
      </w:tr>
      <w:tr>
        <w:trPr>
          <w:trHeight w:val="135"/>
        </w:trPr>
        <w:tc>
          <w:tcPr>
            <w:tcW w:w="37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Sukhinder Singh Cassidy</w:t>
            </w:r>
          </w:p>
        </w:tc>
        <w:tc>
          <w:tcPr>
            <w:tcW w:w="10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3780" w:type="dxa"/>
            <w:vAlign w:val="bottom"/>
            <w:gridSpan w:val="2"/>
          </w:tcPr>
          <w:p>
            <w:pPr>
              <w:spacing w:after="0"/>
              <w:rPr>
                <w:sz w:val="20"/>
                <w:szCs w:val="20"/>
                <w:color w:val="auto"/>
              </w:rPr>
            </w:pPr>
            <w:r>
              <w:rPr>
                <w:rFonts w:ascii="Arial" w:cs="Arial" w:eastAsia="Arial" w:hAnsi="Arial"/>
                <w:sz w:val="12"/>
                <w:szCs w:val="12"/>
                <w:color w:val="auto"/>
              </w:rPr>
              <w:t>Hilliard C. Terry, III</w:t>
            </w:r>
          </w:p>
        </w:tc>
        <w:tc>
          <w:tcPr>
            <w:tcW w:w="1440" w:type="dxa"/>
            <w:vAlign w:val="bottom"/>
            <w:gridSpan w:val="2"/>
          </w:tcPr>
          <w:p>
            <w:pPr>
              <w:jc w:val="right"/>
              <w:ind w:right="420"/>
              <w:spacing w:after="0"/>
              <w:rPr>
                <w:sz w:val="20"/>
                <w:szCs w:val="20"/>
                <w:color w:val="auto"/>
              </w:rPr>
            </w:pPr>
            <w:r>
              <w:rPr>
                <w:rFonts w:ascii="Arial" w:cs="Arial" w:eastAsia="Arial" w:hAnsi="Arial"/>
                <w:sz w:val="12"/>
                <w:szCs w:val="12"/>
                <w:color w:val="auto"/>
              </w:rPr>
              <w:t>March 29, 2019</w:t>
            </w:r>
          </w:p>
        </w:tc>
        <w:tc>
          <w:tcPr>
            <w:tcW w:w="1360" w:type="dxa"/>
            <w:vAlign w:val="bottom"/>
            <w:gridSpan w:val="2"/>
          </w:tcPr>
          <w:p>
            <w:pPr>
              <w:ind w:left="600"/>
              <w:spacing w:after="0"/>
              <w:rPr>
                <w:sz w:val="20"/>
                <w:szCs w:val="20"/>
                <w:color w:val="auto"/>
              </w:rPr>
            </w:pPr>
            <w:r>
              <w:rPr>
                <w:rFonts w:ascii="Arial" w:cs="Arial" w:eastAsia="Arial" w:hAnsi="Arial"/>
                <w:sz w:val="12"/>
                <w:szCs w:val="12"/>
                <w:color w:val="auto"/>
              </w:rPr>
              <w:t>128,295</w:t>
            </w:r>
            <w:r>
              <w:rPr>
                <w:rFonts w:ascii="Arial" w:cs="Arial" w:eastAsia="Arial" w:hAnsi="Arial"/>
                <w:sz w:val="20"/>
                <w:szCs w:val="20"/>
                <w:color w:val="auto"/>
                <w:vertAlign w:val="superscript"/>
              </w:rPr>
              <w:t>(d)</w:t>
            </w:r>
          </w:p>
        </w:tc>
        <w:tc>
          <w:tcPr>
            <w:tcW w:w="4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140" w:type="dxa"/>
            <w:vAlign w:val="bottom"/>
            <w:gridSpan w:val="2"/>
          </w:tcPr>
          <w:p>
            <w:pPr>
              <w:ind w:left="500"/>
              <w:spacing w:after="0"/>
              <w:rPr>
                <w:sz w:val="20"/>
                <w:szCs w:val="20"/>
                <w:color w:val="auto"/>
              </w:rPr>
            </w:pPr>
            <w:r>
              <w:rPr>
                <w:rFonts w:ascii="Arial" w:cs="Arial" w:eastAsia="Arial" w:hAnsi="Arial"/>
                <w:sz w:val="12"/>
                <w:szCs w:val="12"/>
                <w:color w:val="auto"/>
              </w:rPr>
              <w:t>3.80</w:t>
            </w:r>
          </w:p>
        </w:tc>
        <w:tc>
          <w:tcPr>
            <w:tcW w:w="1060" w:type="dxa"/>
            <w:vAlign w:val="bottom"/>
          </w:tcPr>
          <w:p>
            <w:pPr>
              <w:jc w:val="right"/>
              <w:spacing w:after="0"/>
              <w:rPr>
                <w:sz w:val="20"/>
                <w:szCs w:val="20"/>
                <w:color w:val="auto"/>
              </w:rPr>
            </w:pPr>
            <w:r>
              <w:rPr>
                <w:rFonts w:ascii="Arial" w:cs="Arial" w:eastAsia="Arial" w:hAnsi="Arial"/>
                <w:sz w:val="12"/>
                <w:szCs w:val="12"/>
                <w:color w:val="auto"/>
              </w:rPr>
              <w:t>March 29,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-7620</wp:posOffset>
            </wp:positionV>
            <wp:extent cx="64389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 w:lineRule="exact"/>
        <w:rPr>
          <w:sz w:val="20"/>
          <w:szCs w:val="20"/>
          <w:color w:val="auto"/>
        </w:rPr>
      </w:pPr>
    </w:p>
    <w:p>
      <w:pPr>
        <w:ind w:left="2020" w:hanging="543"/>
        <w:spacing w:after="0"/>
        <w:tabs>
          <w:tab w:leader="none" w:pos="202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Each of the outstanding equity awards listed in the table above was granted pursuant to our 2012 Plan.</w:t>
      </w:r>
    </w:p>
    <w:p>
      <w:pPr>
        <w:ind w:left="2020" w:right="140" w:hanging="543"/>
        <w:spacing w:after="0" w:line="235" w:lineRule="auto"/>
        <w:tabs>
          <w:tab w:leader="none" w:pos="202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Ms. Hentges’ continued role as a service provider to us, in 24 equal monthly installments beginning on January 1, 2020.</w:t>
      </w:r>
    </w:p>
    <w:p>
      <w:pPr>
        <w:ind w:left="2020" w:right="80" w:hanging="543"/>
        <w:spacing w:after="0" w:line="235" w:lineRule="auto"/>
        <w:tabs>
          <w:tab w:leader="none" w:pos="202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O’Kelly’s continued role as a service provider, in 24 equal monthly installments beginning on April 1, 2018.</w:t>
      </w:r>
    </w:p>
    <w:p>
      <w:pPr>
        <w:ind w:left="2020" w:right="300" w:hanging="543"/>
        <w:spacing w:after="0" w:line="246" w:lineRule="auto"/>
        <w:tabs>
          <w:tab w:leader="none" w:pos="2020" w:val="left"/>
        </w:tabs>
        <w:numPr>
          <w:ilvl w:val="1"/>
          <w:numId w:val="104"/>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Terry’s continued role as a service provider to us, in 24 equal monthly installments beginning on March 1, 2019.</w:t>
      </w:r>
    </w:p>
    <w:p>
      <w:pPr>
        <w:spacing w:after="0" w:line="86" w:lineRule="exact"/>
        <w:rPr>
          <w:rFonts w:ascii="Arial" w:cs="Arial" w:eastAsia="Arial" w:hAnsi="Arial"/>
          <w:sz w:val="12"/>
          <w:szCs w:val="12"/>
          <w:color w:val="auto"/>
        </w:rPr>
      </w:pPr>
    </w:p>
    <w:p>
      <w:pPr>
        <w:ind w:left="1480" w:hanging="453"/>
        <w:spacing w:after="0"/>
        <w:tabs>
          <w:tab w:leader="none" w:pos="1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Ms. Hentges became a member of our board of directors in December 2019.</w:t>
      </w:r>
    </w:p>
    <w:p>
      <w:pPr>
        <w:ind w:left="1480" w:hanging="453"/>
        <w:spacing w:after="0" w:line="235" w:lineRule="auto"/>
        <w:tabs>
          <w:tab w:leader="none" w:pos="1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Mr. Palmer resigned from our board of directors in December 2019.</w:t>
      </w:r>
    </w:p>
    <w:p>
      <w:pPr>
        <w:ind w:left="1480" w:hanging="453"/>
        <w:spacing w:after="0" w:line="235" w:lineRule="auto"/>
        <w:tabs>
          <w:tab w:leader="none" w:pos="1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Mr. Quigg resigned from our board of directors in February 2020.</w:t>
      </w:r>
    </w:p>
    <w:p>
      <w:pPr>
        <w:ind w:left="1480" w:hanging="453"/>
        <w:spacing w:after="0" w:line="235" w:lineRule="auto"/>
        <w:tabs>
          <w:tab w:leader="none" w:pos="1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Ms. Singh Cassidy became a member of our board of directors in February 2020.</w:t>
      </w:r>
    </w:p>
    <w:p>
      <w:pPr>
        <w:ind w:left="1480" w:hanging="453"/>
        <w:spacing w:after="0"/>
        <w:tabs>
          <w:tab w:leader="none" w:pos="1480" w:val="left"/>
        </w:tabs>
        <w:numPr>
          <w:ilvl w:val="0"/>
          <w:numId w:val="105"/>
        </w:numPr>
        <w:rPr>
          <w:rFonts w:ascii="Arial" w:cs="Arial" w:eastAsia="Arial" w:hAnsi="Arial"/>
          <w:sz w:val="12"/>
          <w:szCs w:val="12"/>
          <w:color w:val="auto"/>
        </w:rPr>
      </w:pPr>
      <w:r>
        <w:rPr>
          <w:rFonts w:ascii="Arial" w:cs="Arial" w:eastAsia="Arial" w:hAnsi="Arial"/>
          <w:sz w:val="12"/>
          <w:szCs w:val="12"/>
          <w:color w:val="auto"/>
        </w:rPr>
        <w:t>Mr. Terry became a member of our board of directors in February 2019.</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April 2020 Option Grants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April 2020, our board of directors approved option grants under our 2012 Plan to each of Ms. Singh Cassidy and Mr. O’Kelly. In connection with Ms. Singh Cassidy’s appointment as a member of the board of directors in February 2020, Ms. Singh Cassidy received an option to purchase 128,295 shares of our common stock, which vests in 24 equal monthly installments beginning on March 1, 2020, subject to Ms. Singh Cassidy’s continued role as a service provider to us. Mr. O’Kelly received an option to purchase 64,148 shares of our common stock, which vests in 12 equal monthly installments beginning on May 1, 2020, subject to Mr. O’Kelly’s continued role as a service provider to us.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Outside Director Compensation Policy</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Prior to this offering, we did not have a formal policy with respect to compensation payable to our non-employee directors for service as directors. From time to time, we have granted equity awards to certain non-employee directors to entice them to join our board of directors and for their continued service on our board of directors. We reimburse our directors for necessary and reasonable expenses associated with attending meetings of our board of directors or its committees.</w:t>
      </w:r>
    </w:p>
    <w:p>
      <w:pPr>
        <w:spacing w:after="0" w:line="172" w:lineRule="exact"/>
        <w:rPr>
          <w:sz w:val="20"/>
          <w:szCs w:val="20"/>
          <w:color w:val="auto"/>
        </w:rPr>
      </w:pPr>
    </w:p>
    <w:p>
      <w:pPr>
        <w:ind w:left="1020" w:right="300" w:firstLine="460"/>
        <w:spacing w:after="0" w:line="238" w:lineRule="auto"/>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a new compensation policy for our non-employee directors that will be effective as of the date of the effectiveness of the registration statement of which this prospectus forms a part. This policy was developed with input from our independent compensation consultant regarding practices and compensation levels at comparable companies. It is designed to attract, retain, and reward non-employee directors.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0220"/>
          </w:cols>
          <w:pgMar w:left="320" w:top="407" w:right="1359" w:bottom="1440" w:gutter="0" w:footer="0" w:header="0"/>
        </w:sectPr>
      </w:pPr>
    </w:p>
    <w:bookmarkStart w:id="184" w:name="page185"/>
    <w:bookmarkEnd w:id="1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380" w:firstLine="460"/>
        <w:spacing w:after="0"/>
        <w:rPr>
          <w:sz w:val="20"/>
          <w:szCs w:val="20"/>
          <w:color w:val="auto"/>
        </w:rPr>
      </w:pPr>
      <w:r>
        <w:rPr>
          <w:rFonts w:ascii="Arial" w:cs="Arial" w:eastAsia="Arial" w:hAnsi="Arial"/>
          <w:sz w:val="15"/>
          <w:szCs w:val="15"/>
          <w:color w:val="auto"/>
        </w:rPr>
        <w:t>Under this compensation policy, each non-employee director will receive the cash and equity compensation for board services described below. We also will continue to reimburse our non-employee directors for reasonable, customary and documented travel expenses to board of directors or committee meetings.</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compensation policy includes a maximum annual limit of $ 1,000,000 of cash compensation and equity awards that may be paid, issued, or granted to a non-employee director in any fiscal year, increased to $2,000,000 in an individual’s first year of service as a non-employee director. For purposes of this limitation, the value of equity awards is based on the grant date fair value (determined in accordance with GAAP). Any cash compensation paid or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Following the completion of this offering, non-employee directors will be entitled to receive the following cash compensation for their services under the outside director compensation policy:</w:t>
      </w:r>
    </w:p>
    <w:p>
      <w:pPr>
        <w:spacing w:after="0" w:line="87" w:lineRule="exact"/>
        <w:rPr>
          <w:sz w:val="20"/>
          <w:szCs w:val="20"/>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$30,000 per year for service as a board member;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$40,000 per year for service as non-employee chair of the board;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$25,000 per year for service as a lead independent director;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$20,000 per year for service as chair of the audit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$10,000 per year for service as a member of the audit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$14,000 per year for service as chair of the compensation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$7,000 per year for service as a member of the compensation committee;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$8,000 per year for service as chair of the nominating and corporate governance committee;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$4,000 per year for service as a member of the nominating and corporate governance committee.</w:t>
      </w:r>
    </w:p>
    <w:p>
      <w:pPr>
        <w:spacing w:after="0" w:line="177"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Each non-employee director who serves as the chair of a committee will receive only the additional annual cash fee as the chair of the committee, and not the annual fee as a member of the committee, provided that each non-employee director who serves as the non-employee chair or the lead independent director will receive the annual fee for service as a board member and an additional annual fee as the non-employee chair or lead independent director. All cash payments to non-employee directors are paid annually in arrears on a pro-rated basis.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Election to receive Restricted Stock Units in lieu of Cash Compensation</w:t>
      </w:r>
    </w:p>
    <w:p>
      <w:pPr>
        <w:spacing w:after="0" w:line="10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Each non-employee director may elect to convert all or a portion of his or her annual cash retainer payments into an award covering a number of restricted stock units, or a Retainer Award, with a grant date fair value (determined in accordance with GAAP) equal to the amount of the applicable annual cash retainer payment to which the Retainer Award relates.</w:t>
      </w:r>
    </w:p>
    <w:p>
      <w:pPr>
        <w:spacing w:after="0" w:line="170" w:lineRule="exact"/>
        <w:rPr>
          <w:sz w:val="20"/>
          <w:szCs w:val="20"/>
          <w:color w:val="auto"/>
        </w:rPr>
      </w:pPr>
    </w:p>
    <w:p>
      <w:pPr>
        <w:ind w:left="1020" w:right="300" w:firstLine="460"/>
        <w:spacing w:after="0"/>
        <w:rPr>
          <w:sz w:val="20"/>
          <w:szCs w:val="20"/>
          <w:color w:val="auto"/>
        </w:rPr>
      </w:pPr>
      <w:r>
        <w:rPr>
          <w:rFonts w:ascii="Arial" w:cs="Arial" w:eastAsia="Arial" w:hAnsi="Arial"/>
          <w:sz w:val="15"/>
          <w:szCs w:val="15"/>
          <w:color w:val="auto"/>
        </w:rPr>
        <w:t>Each individual who first becomes a non-employee director must make an election to receive Retainer Awards in lieu of cash payments, or a Retainer RSU Election, with respect to annual cash retainer payments relating to services to be performed in the same calendar year as such individual</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0220"/>
          </w:cols>
          <w:pgMar w:left="320" w:top="407" w:right="1359" w:bottom="1440" w:gutter="0" w:footer="0" w:header="0"/>
        </w:sectPr>
      </w:pPr>
    </w:p>
    <w:bookmarkStart w:id="185" w:name="page186"/>
    <w:bookmarkEnd w:id="1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first becomes a non-employee director on or prior to the date that the individual first becomes a non-employee director. Each non-employee director must make a Retainer RSU Election with respect to annual cash retainer payments relating to services to be performed in the following calendar year by no later than December 31 of each calendar year, or such earlier deadline as established by our board of directors or the compensation committee of our board of directors.</w:t>
      </w:r>
    </w:p>
    <w:p>
      <w:pPr>
        <w:spacing w:after="0" w:line="17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If a non-employee director who has made a valid Retainer RSU election ceases to be a non-employee director prior to the applicable grant date of a Retainer Award to which the Retainer RSU Election relates, the Retainer RSU Election will be treated as cancelled and the non-employee director will be eligible to receive a prorated payment of the annual payment of the non-employee director’s applicable annual cash retainer, calculated based on the number of days during the applicable calendar year the non-employee director served in the relevant capacities, in accordance with the terms and conditions of the policy.</w:t>
      </w:r>
    </w:p>
    <w:p>
      <w:pPr>
        <w:spacing w:after="0" w:line="170" w:lineRule="exact"/>
        <w:rPr>
          <w:sz w:val="20"/>
          <w:szCs w:val="20"/>
          <w:color w:val="auto"/>
        </w:rPr>
      </w:pPr>
    </w:p>
    <w:p>
      <w:pPr>
        <w:jc w:val="both"/>
        <w:ind w:left="1020" w:right="260" w:firstLine="460"/>
        <w:spacing w:after="0"/>
        <w:rPr>
          <w:sz w:val="20"/>
          <w:szCs w:val="20"/>
          <w:color w:val="auto"/>
        </w:rPr>
      </w:pPr>
      <w:r>
        <w:rPr>
          <w:rFonts w:ascii="Arial" w:cs="Arial" w:eastAsia="Arial" w:hAnsi="Arial"/>
          <w:sz w:val="15"/>
          <w:szCs w:val="15"/>
          <w:color w:val="auto"/>
        </w:rPr>
        <w:t>Retainer Awards will be granted on January 10 immediately following the end of the calendar year for which the corresponding annual cash retainer payment was earned, except that if such date is not a trading day, the associated grant of the applicable Retainer Award shall occur on the next trading day following such date. Each Retainer Award will be fully vested on the date of grant.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Initial Award: Each person who first becomes a non-employee director after the date of the effective date of the policy will receive, on the first trading date on or after the date on which the person first becomes a non-employee director, an initial award of restricted stock units, or the Initial Award, covering a number of shares of our common stock having a grant date fair value (determined in accordance with GAAP) equal to $165,000; provided that any resulting fraction will be rounded down to the nearest whole share. The Initial Award will vest in its entirety on the one (1) year anniversary of the non-employee director’s initial start date, subject to the non-employee director continuing to be a non-employee director through the applicable vesting date. If the person was a member of our board of directors and also an employee, becoming a non-employee director due to termination of employment will not entitle them to an Initial Award.</w:t>
      </w:r>
    </w:p>
    <w:p>
      <w:pPr>
        <w:spacing w:after="0" w:line="171"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Annual Award: Each non-employee director automatically will receive, on the date of each annual meeting of our stockholders following the effective date of the policy, an annual award of restricted stock units, or an Annual Award, covering a number of shares of our common stock having a grant date fair value (determined in accordance with GAAP) of $165,000; provided that the first annual award granted to an individual who first becomes a non-employee director following the effective date of the policy will have a grant date fair value equal to the product of (A) $165,000 multiplied by (B) a fraction, (i) the numerator of which is equal to the number of fully completed days between the non-employee director’s initial start date and the date of the first annual meeting of our stockholders to occur after such individual first becomes a non-employee director, and (ii) the denominator of which is 365; and provided further that any resulting fraction will be rounded down to the nearest whole share. Each Annual Award will vest in its entirety on the earlier of (x) the 1-year anniversary of the Annual Award’s grant date, or (y) the day immediately before the date of the next annual meeting of our stockholders that follows the grant date of the Annual Award, subject to the non-employee director’s continued service through the applicable vesting date.</w:t>
      </w:r>
    </w:p>
    <w:p>
      <w:pPr>
        <w:spacing w:after="0" w:line="174"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Pursuant to the policy, for purposes of determining the grant date fair value of Initial Awards, Annual Awards and Retainer Awards, the grant date fair value per share will equal the average closing price of one share of our common stock for the 30 trading days immediately prior to the applicable date of grant.</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0200"/>
          </w:cols>
          <w:pgMar w:left="320" w:top="407" w:right="1379" w:bottom="1440" w:gutter="0" w:footer="0" w:header="0"/>
        </w:sectPr>
      </w:pPr>
    </w:p>
    <w:bookmarkStart w:id="186" w:name="page187"/>
    <w:bookmarkEnd w:id="1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the event of a “change in control” (as defined in our 2020 Plan), each non-employee director will fully vest in their outstanding company equity awards issued under the director compensation policy, including any Initial Award or Annual Award, immediately prior to the consummation of the change in control provided that the non-employee director continues to be a non-employee director through such date.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0180"/>
          </w:cols>
          <w:pgMar w:left="320" w:top="407" w:right="1399" w:bottom="1440" w:gutter="0" w:footer="0" w:header="0"/>
        </w:sectPr>
      </w:pPr>
    </w:p>
    <w:bookmarkStart w:id="187" w:name="page188"/>
    <w:bookmarkEnd w:id="1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EXECUTIVE COMPENSATION</w:t>
      </w:r>
    </w:p>
    <w:p>
      <w:pPr>
        <w:spacing w:after="0" w:line="195"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Our named executive officers, consisting of our principal executive officer and the next two most highly compensated executive officers, as of December 31, 2019, were:</w:t>
      </w:r>
    </w:p>
    <w:p>
      <w:pPr>
        <w:spacing w:after="0" w:line="87" w:lineRule="exact"/>
        <w:rPr>
          <w:sz w:val="20"/>
          <w:szCs w:val="20"/>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Dave Girouard, our Chief Executive Officer and member of our board of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Sanjay Datta, our Chief Financial Officer;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Paul Gu, our Senior Vice President of Product and Data Science and member of our board of directors.</w:t>
      </w:r>
    </w:p>
    <w:p>
      <w:pPr>
        <w:spacing w:after="0" w:line="249"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Summary Compensation Table</w:t>
      </w:r>
    </w:p>
    <w:p>
      <w:pPr>
        <w:spacing w:after="0" w:line="195"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The amounts below represent the compensation awarded to or earned by or paid to our named executive officers for the year ended December 31, 2019:</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6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Non-Equity</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8"/>
              </w:rPr>
              <w:t>Option</w:t>
            </w:r>
          </w:p>
        </w:tc>
        <w:tc>
          <w:tcPr>
            <w:tcW w:w="106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9"/>
              </w:rPr>
              <w:t>Incentive Plan</w:t>
            </w:r>
          </w:p>
        </w:tc>
        <w:tc>
          <w:tcPr>
            <w:tcW w:w="10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All Other</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540" w:type="dxa"/>
            <w:vAlign w:val="bottom"/>
            <w:gridSpan w:val="2"/>
          </w:tcPr>
          <w:p>
            <w:pPr>
              <w:jc w:val="right"/>
              <w:ind w:right="200"/>
              <w:spacing w:after="0" w:line="131" w:lineRule="exact"/>
              <w:rPr>
                <w:sz w:val="20"/>
                <w:szCs w:val="20"/>
                <w:color w:val="auto"/>
              </w:rPr>
            </w:pPr>
            <w:r>
              <w:rPr>
                <w:rFonts w:ascii="Arial" w:cs="Arial" w:eastAsia="Arial" w:hAnsi="Arial"/>
                <w:sz w:val="12"/>
                <w:szCs w:val="12"/>
                <w:b w:val="1"/>
                <w:bCs w:val="1"/>
                <w:color w:val="auto"/>
                <w:w w:val="93"/>
              </w:rPr>
              <w:t>Fiscal</w:t>
            </w:r>
          </w:p>
        </w:tc>
        <w:tc>
          <w:tcPr>
            <w:tcW w:w="7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Salary</w:t>
            </w:r>
          </w:p>
        </w:tc>
        <w:tc>
          <w:tcPr>
            <w:tcW w:w="580" w:type="dxa"/>
            <w:vAlign w:val="bottom"/>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96"/>
              </w:rPr>
              <w:t>Bonus</w:t>
            </w: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w w:val="96"/>
              </w:rPr>
              <w:t>Awards</w:t>
            </w: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2"/>
                <w:szCs w:val="12"/>
                <w:b w:val="1"/>
                <w:bCs w:val="1"/>
                <w:color w:val="auto"/>
              </w:rPr>
              <w:t>Compensation</w:t>
            </w:r>
          </w:p>
        </w:tc>
        <w:tc>
          <w:tcPr>
            <w:tcW w:w="1060" w:type="dxa"/>
            <w:vAlign w:val="bottom"/>
            <w:gridSpan w:val="2"/>
          </w:tcPr>
          <w:p>
            <w:pPr>
              <w:jc w:val="right"/>
              <w:ind w:right="220"/>
              <w:spacing w:after="0" w:line="131" w:lineRule="exact"/>
              <w:rPr>
                <w:sz w:val="20"/>
                <w:szCs w:val="20"/>
                <w:color w:val="auto"/>
              </w:rPr>
            </w:pPr>
            <w:r>
              <w:rPr>
                <w:rFonts w:ascii="Arial" w:cs="Arial" w:eastAsia="Arial" w:hAnsi="Arial"/>
                <w:sz w:val="12"/>
                <w:szCs w:val="12"/>
                <w:b w:val="1"/>
                <w:bCs w:val="1"/>
                <w:color w:val="auto"/>
                <w:w w:val="98"/>
              </w:rPr>
              <w:t>Compensation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880" w:type="dxa"/>
            <w:vAlign w:val="bottom"/>
            <w:gridSpan w:val="2"/>
            <w:vMerge w:val="continue"/>
          </w:tcPr>
          <w:p>
            <w:pPr>
              <w:spacing w:after="0"/>
              <w:rPr>
                <w:sz w:val="13"/>
                <w:szCs w:val="13"/>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Year</w:t>
            </w:r>
          </w:p>
        </w:tc>
        <w:tc>
          <w:tcPr>
            <w:tcW w:w="540" w:type="dxa"/>
            <w:vAlign w:val="bottom"/>
          </w:tcPr>
          <w:p>
            <w:pPr>
              <w:jc w:val="right"/>
              <w:ind w:right="135"/>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40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3"/>
                <w:szCs w:val="13"/>
                <w:color w:val="auto"/>
              </w:rPr>
            </w:pPr>
          </w:p>
        </w:tc>
        <w:tc>
          <w:tcPr>
            <w:tcW w:w="540" w:type="dxa"/>
            <w:vAlign w:val="bottom"/>
          </w:tcPr>
          <w:p>
            <w:pPr>
              <w:jc w:val="center"/>
              <w:spacing w:after="0" w:line="138"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(1)</w:t>
            </w:r>
          </w:p>
        </w:tc>
        <w:tc>
          <w:tcPr>
            <w:tcW w:w="220" w:type="dxa"/>
            <w:vAlign w:val="bottom"/>
          </w:tcPr>
          <w:p>
            <w:pPr>
              <w:spacing w:after="0"/>
              <w:rPr>
                <w:sz w:val="13"/>
                <w:szCs w:val="13"/>
                <w:color w:val="auto"/>
              </w:rPr>
            </w:pPr>
          </w:p>
        </w:tc>
        <w:tc>
          <w:tcPr>
            <w:tcW w:w="840" w:type="dxa"/>
            <w:vAlign w:val="bottom"/>
          </w:tcPr>
          <w:p>
            <w:pPr>
              <w:jc w:val="center"/>
              <w:spacing w:after="0" w:line="138"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8"/>
                <w:szCs w:val="8"/>
                <w:b w:val="1"/>
                <w:bCs w:val="1"/>
                <w:color w:val="auto"/>
              </w:rPr>
              <w:t>(2)</w:t>
            </w:r>
          </w:p>
        </w:tc>
        <w:tc>
          <w:tcPr>
            <w:tcW w:w="220" w:type="dxa"/>
            <w:vAlign w:val="bottom"/>
          </w:tcPr>
          <w:p>
            <w:pPr>
              <w:spacing w:after="0"/>
              <w:rPr>
                <w:sz w:val="13"/>
                <w:szCs w:val="13"/>
                <w:color w:val="auto"/>
              </w:rPr>
            </w:pPr>
          </w:p>
        </w:tc>
        <w:tc>
          <w:tcPr>
            <w:tcW w:w="840" w:type="dxa"/>
            <w:vAlign w:val="bottom"/>
          </w:tcPr>
          <w:p>
            <w:pPr>
              <w:jc w:val="right"/>
              <w:ind w:right="276"/>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17"/>
        </w:trPr>
        <w:tc>
          <w:tcPr>
            <w:tcW w:w="162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9"/>
                <w:szCs w:val="9"/>
                <w:color w:val="auto"/>
              </w:rPr>
              <w:t>Dave Girouard</w:t>
            </w:r>
            <w:r>
              <w:rPr>
                <w:rFonts w:ascii="Arial" w:cs="Arial" w:eastAsia="Arial" w:hAnsi="Arial"/>
                <w:sz w:val="13"/>
                <w:szCs w:val="13"/>
                <w:color w:val="auto"/>
                <w:vertAlign w:val="superscript"/>
              </w:rPr>
              <w:t>(3)</w:t>
            </w:r>
          </w:p>
        </w:tc>
        <w:tc>
          <w:tcPr>
            <w:tcW w:w="2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360,000</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9"/>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360,000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880" w:type="dxa"/>
            <w:vAlign w:val="bottom"/>
            <w:gridSpan w:val="2"/>
          </w:tcPr>
          <w:p>
            <w:pPr>
              <w:spacing w:after="0"/>
              <w:rPr>
                <w:sz w:val="20"/>
                <w:szCs w:val="20"/>
                <w:color w:val="auto"/>
              </w:rPr>
            </w:pPr>
            <w:r>
              <w:rPr>
                <w:rFonts w:ascii="Arial" w:cs="Arial" w:eastAsia="Arial" w:hAnsi="Arial"/>
                <w:sz w:val="14"/>
                <w:szCs w:val="14"/>
                <w:color w:val="auto"/>
              </w:rPr>
              <w:t>Sanjay Datta</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8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tcPr>
          <w:p>
            <w:pPr>
              <w:jc w:val="right"/>
              <w:spacing w:after="0"/>
              <w:rPr>
                <w:sz w:val="20"/>
                <w:szCs w:val="20"/>
                <w:color w:val="auto"/>
              </w:rPr>
            </w:pPr>
            <w:r>
              <w:rPr>
                <w:rFonts w:ascii="Arial" w:cs="Arial" w:eastAsia="Arial" w:hAnsi="Arial"/>
                <w:sz w:val="14"/>
                <w:szCs w:val="14"/>
                <w:color w:val="auto"/>
              </w:rPr>
              <w:t>375,000</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4"/>
              </w:rPr>
              <w:t>384,525</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189,000</w:t>
            </w:r>
          </w:p>
        </w:tc>
        <w:tc>
          <w:tcPr>
            <w:tcW w:w="2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ind w:left="40"/>
              <w:spacing w:after="0"/>
              <w:rPr>
                <w:sz w:val="20"/>
                <w:szCs w:val="20"/>
                <w:color w:val="auto"/>
              </w:rPr>
            </w:pPr>
            <w:r>
              <w:rPr>
                <w:rFonts w:ascii="Arial" w:cs="Arial" w:eastAsia="Arial" w:hAnsi="Arial"/>
                <w:sz w:val="14"/>
                <w:szCs w:val="14"/>
                <w:color w:val="auto"/>
                <w:w w:val="94"/>
              </w:rPr>
              <w:t>948,525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880" w:type="dxa"/>
            <w:vAlign w:val="bottom"/>
            <w:gridSpan w:val="2"/>
            <w:shd w:val="clear" w:color="auto" w:fill="CCEEFF"/>
          </w:tcPr>
          <w:p>
            <w:pPr>
              <w:spacing w:after="0" w:line="154" w:lineRule="exact"/>
              <w:rPr>
                <w:sz w:val="20"/>
                <w:szCs w:val="20"/>
                <w:color w:val="auto"/>
              </w:rPr>
            </w:pPr>
            <w:r>
              <w:rPr>
                <w:rFonts w:ascii="Arial" w:cs="Arial" w:eastAsia="Arial" w:hAnsi="Arial"/>
                <w:sz w:val="11"/>
                <w:szCs w:val="11"/>
                <w:color w:val="auto"/>
              </w:rPr>
              <w:t>Paul Gu</w:t>
            </w:r>
            <w:r>
              <w:rPr>
                <w:rFonts w:ascii="Arial" w:cs="Arial" w:eastAsia="Arial" w:hAnsi="Arial"/>
                <w:sz w:val="17"/>
                <w:szCs w:val="17"/>
                <w:color w:val="auto"/>
                <w:vertAlign w:val="superscript"/>
              </w:rPr>
              <w:t>(3)</w:t>
            </w:r>
          </w:p>
        </w:tc>
        <w:tc>
          <w:tcPr>
            <w:tcW w:w="3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SVP, Product and Data Science</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2019</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269,773</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384,525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145,677</w:t>
            </w:r>
          </w:p>
        </w:tc>
        <w:tc>
          <w:tcPr>
            <w:tcW w:w="2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799,975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right="60" w:hanging="453"/>
        <w:spacing w:after="0" w:line="235" w:lineRule="auto"/>
        <w:tabs>
          <w:tab w:leader="none" w:pos="14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amount reported represents the aggregate grant-date fair value of the stock options awarded to the named executive officer in 2019, calculated in accordance with Topic 718, “Compensation—Stock Compensation.” Such grant-date fair value does not take into account any estimated forfeitures related to vesting conditions. The assumptions used in calculating the grant-date fair value of the stock options reported in this column are set forth in Note 11 to our Consolidated Financial Statements. These amounts do not reflect the actual economic value that may be realized by the named executive officer.</w:t>
      </w:r>
    </w:p>
    <w:p>
      <w:pPr>
        <w:ind w:left="1480" w:right="40" w:hanging="453"/>
        <w:spacing w:after="0" w:line="235" w:lineRule="auto"/>
        <w:tabs>
          <w:tab w:leader="none" w:pos="14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amounts reported represent the amounts earned by the named executive officers in calendar year 2019 under Upstart’s 2019 Bonus Plan, as described in more detail below under “Employee Benefit and Stock Plans—2019 Bonus Plan.” The amounts reported were paid out, less applicable withholdings, on February 14, 2020.</w:t>
      </w:r>
    </w:p>
    <w:p>
      <w:pPr>
        <w:ind w:left="1480" w:hanging="453"/>
        <w:spacing w:after="0"/>
        <w:tabs>
          <w:tab w:leader="none" w:pos="14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Mr. Girouard and Mr. Gu serve on our board of directors but are not paid additional compensation for such service.</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0220"/>
          </w:cols>
          <w:pgMar w:left="320" w:top="407" w:right="1359" w:bottom="1440" w:gutter="0" w:footer="0" w:header="0"/>
        </w:sectPr>
      </w:pPr>
    </w:p>
    <w:bookmarkStart w:id="188" w:name="page189"/>
    <w:bookmarkEnd w:id="1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Outstanding Equity Awards at Year-End</w:t>
      </w:r>
    </w:p>
    <w:p>
      <w:pPr>
        <w:spacing w:after="0" w:line="19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sets forth information regarding outstanding equity awards held by our named executive officers as of</w:t>
      </w:r>
    </w:p>
    <w:p>
      <w:pPr>
        <w:ind w:left="1020"/>
        <w:spacing w:after="0"/>
        <w:rPr>
          <w:sz w:val="20"/>
          <w:szCs w:val="20"/>
          <w:color w:val="auto"/>
        </w:rPr>
      </w:pPr>
      <w:r>
        <w:rPr>
          <w:rFonts w:ascii="Arial" w:cs="Arial" w:eastAsia="Arial" w:hAnsi="Arial"/>
          <w:sz w:val="15"/>
          <w:szCs w:val="15"/>
          <w:color w:val="auto"/>
        </w:rPr>
        <w:t>December 31, 2019:</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w w:val="99"/>
              </w:rPr>
              <w:t>Number of</w:t>
            </w:r>
          </w:p>
        </w:tc>
        <w:tc>
          <w:tcPr>
            <w:tcW w:w="400" w:type="dxa"/>
            <w:vAlign w:val="bottom"/>
          </w:tcPr>
          <w:p>
            <w:pPr>
              <w:spacing w:after="0"/>
              <w:rPr>
                <w:sz w:val="10"/>
                <w:szCs w:val="10"/>
                <w:color w:val="auto"/>
              </w:rPr>
            </w:pPr>
          </w:p>
        </w:tc>
        <w:tc>
          <w:tcPr>
            <w:tcW w:w="1180" w:type="dxa"/>
            <w:vAlign w:val="bottom"/>
            <w:gridSpan w:val="2"/>
          </w:tcPr>
          <w:p>
            <w:pPr>
              <w:jc w:val="center"/>
              <w:ind w:right="300"/>
              <w:spacing w:after="0" w:line="117" w:lineRule="exact"/>
              <w:rPr>
                <w:sz w:val="20"/>
                <w:szCs w:val="20"/>
                <w:color w:val="auto"/>
              </w:rPr>
            </w:pPr>
            <w:r>
              <w:rPr>
                <w:rFonts w:ascii="Arial" w:cs="Arial" w:eastAsia="Arial" w:hAnsi="Arial"/>
                <w:sz w:val="12"/>
                <w:szCs w:val="12"/>
                <w:b w:val="1"/>
                <w:bCs w:val="1"/>
                <w:color w:val="auto"/>
                <w:w w:val="99"/>
              </w:rPr>
              <w:t>Number of</w:t>
            </w: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w w:val="97"/>
              </w:rPr>
              <w:t>Securities</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Unexercised</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6" w:lineRule="exact"/>
              <w:rPr>
                <w:sz w:val="20"/>
                <w:szCs w:val="20"/>
                <w:color w:val="auto"/>
              </w:rPr>
            </w:pPr>
            <w:r>
              <w:rPr>
                <w:rFonts w:ascii="Arial" w:cs="Arial" w:eastAsia="Arial" w:hAnsi="Arial"/>
                <w:sz w:val="12"/>
                <w:szCs w:val="12"/>
                <w:b w:val="1"/>
                <w:bCs w:val="1"/>
                <w:color w:val="auto"/>
              </w:rPr>
              <w:t>Unexercised</w:t>
            </w:r>
          </w:p>
        </w:tc>
        <w:tc>
          <w:tcPr>
            <w:tcW w:w="920" w:type="dxa"/>
            <w:vAlign w:val="bottom"/>
            <w:gridSpan w:val="2"/>
          </w:tcPr>
          <w:p>
            <w:pPr>
              <w:jc w:val="center"/>
              <w:ind w:right="280"/>
              <w:spacing w:after="0" w:line="136" w:lineRule="exact"/>
              <w:rPr>
                <w:sz w:val="20"/>
                <w:szCs w:val="20"/>
                <w:color w:val="auto"/>
              </w:rPr>
            </w:pPr>
            <w:r>
              <w:rPr>
                <w:rFonts w:ascii="Arial" w:cs="Arial" w:eastAsia="Arial" w:hAnsi="Arial"/>
                <w:sz w:val="12"/>
                <w:szCs w:val="12"/>
                <w:b w:val="1"/>
                <w:bCs w:val="1"/>
                <w:color w:val="auto"/>
              </w:rPr>
              <w:t>Option</w:t>
            </w:r>
          </w:p>
        </w:tc>
        <w:tc>
          <w:tcPr>
            <w:tcW w:w="13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Option</w:t>
            </w:r>
          </w:p>
        </w:tc>
        <w:tc>
          <w:tcPr>
            <w:tcW w:w="0" w:type="dxa"/>
            <w:vAlign w:val="bottom"/>
          </w:tcPr>
          <w:p>
            <w:pPr>
              <w:spacing w:after="0"/>
              <w:rPr>
                <w:sz w:val="1"/>
                <w:szCs w:val="1"/>
                <w:color w:val="auto"/>
              </w:rPr>
            </w:pPr>
          </w:p>
        </w:tc>
      </w:tr>
      <w:tr>
        <w:trPr>
          <w:trHeight w:val="131"/>
        </w:trPr>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w w:val="97"/>
              </w:rPr>
              <w:t>Name</w:t>
            </w:r>
          </w:p>
        </w:tc>
        <w:tc>
          <w:tcPr>
            <w:tcW w:w="2600" w:type="dxa"/>
            <w:vAlign w:val="bottom"/>
            <w:vMerge w:val="restart"/>
          </w:tcPr>
          <w:p>
            <w:pPr>
              <w:spacing w:after="0"/>
              <w:rPr>
                <w:sz w:val="11"/>
                <w:szCs w:val="11"/>
                <w:color w:val="auto"/>
              </w:rPr>
            </w:pPr>
          </w:p>
        </w:tc>
        <w:tc>
          <w:tcPr>
            <w:tcW w:w="172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99"/>
              </w:rPr>
              <w:t>Grant</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Options (#)</w:t>
            </w:r>
          </w:p>
        </w:tc>
        <w:tc>
          <w:tcPr>
            <w:tcW w:w="400" w:type="dxa"/>
            <w:vAlign w:val="bottom"/>
          </w:tcPr>
          <w:p>
            <w:pPr>
              <w:spacing w:after="0"/>
              <w:rPr>
                <w:sz w:val="11"/>
                <w:szCs w:val="11"/>
                <w:color w:val="auto"/>
              </w:rPr>
            </w:pPr>
          </w:p>
        </w:tc>
        <w:tc>
          <w:tcPr>
            <w:tcW w:w="1180" w:type="dxa"/>
            <w:vAlign w:val="bottom"/>
            <w:gridSpan w:val="2"/>
          </w:tcPr>
          <w:p>
            <w:pPr>
              <w:jc w:val="center"/>
              <w:ind w:right="300"/>
              <w:spacing w:after="0" w:line="131" w:lineRule="exact"/>
              <w:rPr>
                <w:sz w:val="20"/>
                <w:szCs w:val="20"/>
                <w:color w:val="auto"/>
              </w:rPr>
            </w:pPr>
            <w:r>
              <w:rPr>
                <w:rFonts w:ascii="Arial" w:cs="Arial" w:eastAsia="Arial" w:hAnsi="Arial"/>
                <w:sz w:val="12"/>
                <w:szCs w:val="12"/>
                <w:b w:val="1"/>
                <w:bCs w:val="1"/>
                <w:color w:val="auto"/>
              </w:rPr>
              <w:t>Options (#)</w:t>
            </w:r>
          </w:p>
        </w:tc>
        <w:tc>
          <w:tcPr>
            <w:tcW w:w="920" w:type="dxa"/>
            <w:vAlign w:val="bottom"/>
            <w:gridSpan w:val="2"/>
          </w:tcPr>
          <w:p>
            <w:pPr>
              <w:jc w:val="center"/>
              <w:ind w:right="280"/>
              <w:spacing w:after="0" w:line="131" w:lineRule="exact"/>
              <w:rPr>
                <w:sz w:val="20"/>
                <w:szCs w:val="20"/>
                <w:color w:val="auto"/>
              </w:rPr>
            </w:pPr>
            <w:r>
              <w:rPr>
                <w:rFonts w:ascii="Arial" w:cs="Arial" w:eastAsia="Arial" w:hAnsi="Arial"/>
                <w:sz w:val="12"/>
                <w:szCs w:val="12"/>
                <w:b w:val="1"/>
                <w:bCs w:val="1"/>
                <w:color w:val="auto"/>
                <w:w w:val="97"/>
              </w:rPr>
              <w:t>Exercise</w:t>
            </w:r>
          </w:p>
        </w:tc>
        <w:tc>
          <w:tcPr>
            <w:tcW w:w="13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0" w:type="dxa"/>
            <w:vAlign w:val="bottom"/>
          </w:tcPr>
          <w:p>
            <w:pPr>
              <w:spacing w:after="0"/>
              <w:rPr>
                <w:sz w:val="1"/>
                <w:szCs w:val="1"/>
                <w:color w:val="auto"/>
              </w:rPr>
            </w:pPr>
          </w:p>
        </w:tc>
      </w:tr>
      <w:tr>
        <w:trPr>
          <w:trHeight w:val="143"/>
        </w:trPr>
        <w:tc>
          <w:tcPr>
            <w:tcW w:w="340" w:type="dxa"/>
            <w:vAlign w:val="bottom"/>
            <w:tcBorders>
              <w:bottom w:val="single" w:sz="8" w:color="auto"/>
            </w:tcBorders>
            <w:vMerge w:val="continue"/>
          </w:tcPr>
          <w:p>
            <w:pPr>
              <w:spacing w:after="0"/>
              <w:rPr>
                <w:sz w:val="12"/>
                <w:szCs w:val="12"/>
                <w:color w:val="auto"/>
              </w:rPr>
            </w:pPr>
          </w:p>
        </w:tc>
        <w:tc>
          <w:tcPr>
            <w:tcW w:w="2600" w:type="dxa"/>
            <w:vAlign w:val="bottom"/>
            <w:vMerge w:val="continue"/>
          </w:tcPr>
          <w:p>
            <w:pPr>
              <w:spacing w:after="0"/>
              <w:rPr>
                <w:sz w:val="12"/>
                <w:szCs w:val="12"/>
                <w:color w:val="auto"/>
              </w:rPr>
            </w:pPr>
          </w:p>
        </w:tc>
        <w:tc>
          <w:tcPr>
            <w:tcW w:w="1720" w:type="dxa"/>
            <w:vAlign w:val="bottom"/>
            <w:gridSpan w:val="2"/>
          </w:tcPr>
          <w:p>
            <w:pPr>
              <w:jc w:val="center"/>
              <w:ind w:right="260"/>
              <w:spacing w:after="0" w:line="138" w:lineRule="exact"/>
              <w:rPr>
                <w:sz w:val="20"/>
                <w:szCs w:val="20"/>
                <w:color w:val="auto"/>
              </w:rPr>
            </w:pPr>
            <w:r>
              <w:rPr>
                <w:rFonts w:ascii="Arial" w:cs="Arial" w:eastAsia="Arial" w:hAnsi="Arial"/>
                <w:sz w:val="10"/>
                <w:szCs w:val="10"/>
                <w:b w:val="1"/>
                <w:bCs w:val="1"/>
                <w:color w:val="auto"/>
              </w:rPr>
              <w:t>Date</w:t>
            </w:r>
            <w:r>
              <w:rPr>
                <w:rFonts w:ascii="Arial" w:cs="Arial" w:eastAsia="Arial" w:hAnsi="Arial"/>
                <w:sz w:val="16"/>
                <w:szCs w:val="16"/>
                <w:b w:val="1"/>
                <w:bCs w:val="1"/>
                <w:color w:val="auto"/>
                <w:vertAlign w:val="superscript"/>
              </w:rPr>
              <w:t>(1)</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8"/>
              </w:rPr>
              <w:t>Exercisable</w:t>
            </w:r>
          </w:p>
        </w:tc>
        <w:tc>
          <w:tcPr>
            <w:tcW w:w="400" w:type="dxa"/>
            <w:vAlign w:val="bottom"/>
          </w:tcPr>
          <w:p>
            <w:pPr>
              <w:spacing w:after="0"/>
              <w:rPr>
                <w:sz w:val="12"/>
                <w:szCs w:val="12"/>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8"/>
              </w:rPr>
              <w:t>Unexercisable</w:t>
            </w:r>
          </w:p>
        </w:tc>
        <w:tc>
          <w:tcPr>
            <w:tcW w:w="920" w:type="dxa"/>
            <w:vAlign w:val="bottom"/>
            <w:gridSpan w:val="2"/>
          </w:tcPr>
          <w:p>
            <w:pPr>
              <w:jc w:val="center"/>
              <w:ind w:right="280"/>
              <w:spacing w:after="0" w:line="138" w:lineRule="exact"/>
              <w:rPr>
                <w:sz w:val="20"/>
                <w:szCs w:val="20"/>
                <w:color w:val="auto"/>
              </w:rPr>
            </w:pPr>
            <w:r>
              <w:rPr>
                <w:rFonts w:ascii="Arial" w:cs="Arial" w:eastAsia="Arial" w:hAnsi="Arial"/>
                <w:sz w:val="10"/>
                <w:szCs w:val="10"/>
                <w:b w:val="1"/>
                <w:bCs w:val="1"/>
                <w:color w:val="auto"/>
              </w:rPr>
              <w:t xml:space="preserve">Price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r>
              <w:rPr>
                <w:rFonts w:ascii="Arial" w:cs="Arial" w:eastAsia="Arial" w:hAnsi="Arial"/>
                <w:sz w:val="16"/>
                <w:szCs w:val="16"/>
                <w:b w:val="1"/>
                <w:bCs w:val="1"/>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0" w:type="dxa"/>
            <w:vAlign w:val="bottom"/>
          </w:tcPr>
          <w:p>
            <w:pPr>
              <w:spacing w:after="0"/>
              <w:rPr>
                <w:sz w:val="1"/>
                <w:szCs w:val="1"/>
                <w:color w:val="auto"/>
              </w:rPr>
            </w:pPr>
          </w:p>
        </w:tc>
      </w:tr>
      <w:tr>
        <w:trPr>
          <w:trHeight w:val="20"/>
        </w:trPr>
        <w:tc>
          <w:tcPr>
            <w:tcW w:w="294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Dave Girouard</w:t>
            </w:r>
          </w:p>
        </w:tc>
        <w:tc>
          <w:tcPr>
            <w:tcW w:w="1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gridSpan w:val="2"/>
            <w:vMerge w:val="continue"/>
            <w:shd w:val="clear" w:color="auto" w:fill="CCEEFF"/>
          </w:tcPr>
          <w:p>
            <w:pPr>
              <w:spacing w:after="0"/>
              <w:rPr>
                <w:sz w:val="12"/>
                <w:szCs w:val="12"/>
                <w:color w:val="auto"/>
              </w:rPr>
            </w:pPr>
          </w:p>
        </w:tc>
        <w:tc>
          <w:tcPr>
            <w:tcW w:w="1440" w:type="dxa"/>
            <w:vAlign w:val="bottom"/>
            <w:shd w:val="clear" w:color="auto" w:fill="CCEEFF"/>
          </w:tcPr>
          <w:p>
            <w:pPr>
              <w:jc w:val="center"/>
              <w:spacing w:after="0" w:line="140" w:lineRule="exact"/>
              <w:rPr>
                <w:sz w:val="20"/>
                <w:szCs w:val="20"/>
                <w:color w:val="auto"/>
              </w:rPr>
            </w:pPr>
            <w:r>
              <w:rPr>
                <w:rFonts w:ascii="Arial" w:cs="Arial" w:eastAsia="Arial" w:hAnsi="Arial"/>
                <w:sz w:val="11"/>
                <w:szCs w:val="11"/>
                <w:color w:val="auto"/>
              </w:rPr>
              <w:t>September 20, 2016</w:t>
            </w:r>
            <w:r>
              <w:rPr>
                <w:rFonts w:ascii="Arial" w:cs="Arial" w:eastAsia="Arial" w:hAnsi="Arial"/>
                <w:sz w:val="16"/>
                <w:szCs w:val="16"/>
                <w:color w:val="auto"/>
                <w:vertAlign w:val="superscript"/>
              </w:rPr>
              <w:t>(3)</w:t>
            </w:r>
          </w:p>
        </w:tc>
        <w:tc>
          <w:tcPr>
            <w:tcW w:w="280" w:type="dxa"/>
            <w:vAlign w:val="bottom"/>
            <w:vMerge w:val="continue"/>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1,017,042</w:t>
            </w:r>
          </w:p>
        </w:tc>
        <w:tc>
          <w:tcPr>
            <w:tcW w:w="4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20"/>
              <w:spacing w:after="0" w:line="141" w:lineRule="exact"/>
              <w:rPr>
                <w:sz w:val="20"/>
                <w:szCs w:val="20"/>
                <w:color w:val="auto"/>
              </w:rPr>
            </w:pPr>
            <w:r>
              <w:rPr>
                <w:rFonts w:ascii="Arial" w:cs="Arial" w:eastAsia="Arial" w:hAnsi="Arial"/>
                <w:sz w:val="14"/>
                <w:szCs w:val="14"/>
                <w:color w:val="auto"/>
              </w:rPr>
              <w:t>234,703</w:t>
            </w:r>
          </w:p>
        </w:tc>
        <w:tc>
          <w:tcPr>
            <w:tcW w:w="64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$0.83</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line="141" w:lineRule="exact"/>
              <w:rPr>
                <w:sz w:val="20"/>
                <w:szCs w:val="20"/>
                <w:color w:val="auto"/>
              </w:rPr>
            </w:pPr>
            <w:r>
              <w:rPr>
                <w:rFonts w:ascii="Arial" w:cs="Arial" w:eastAsia="Arial" w:hAnsi="Arial"/>
                <w:sz w:val="14"/>
                <w:szCs w:val="14"/>
                <w:color w:val="auto"/>
                <w:w w:val="96"/>
              </w:rPr>
              <w:t>September 20, 2026</w:t>
            </w: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Arial" w:cs="Arial" w:eastAsia="Arial" w:hAnsi="Arial"/>
                <w:sz w:val="14"/>
                <w:szCs w:val="14"/>
                <w:color w:val="auto"/>
              </w:rPr>
              <w:t>Sanjay Datta</w:t>
            </w:r>
          </w:p>
        </w:tc>
        <w:tc>
          <w:tcPr>
            <w:tcW w:w="172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93"/>
              </w:rPr>
              <w:t>December 28, 2016</w:t>
            </w:r>
            <w:r>
              <w:rPr>
                <w:rFonts w:ascii="Arial" w:cs="Arial" w:eastAsia="Arial" w:hAnsi="Arial"/>
                <w:sz w:val="22"/>
                <w:szCs w:val="22"/>
                <w:color w:val="auto"/>
                <w:w w:val="93"/>
                <w:vertAlign w:val="superscript"/>
              </w:rPr>
              <w:t>(4)</w:t>
            </w:r>
          </w:p>
        </w:tc>
        <w:tc>
          <w:tcPr>
            <w:tcW w:w="740" w:type="dxa"/>
            <w:vAlign w:val="bottom"/>
          </w:tcPr>
          <w:p>
            <w:pPr>
              <w:jc w:val="right"/>
              <w:spacing w:after="0"/>
              <w:rPr>
                <w:sz w:val="20"/>
                <w:szCs w:val="20"/>
                <w:color w:val="auto"/>
              </w:rPr>
            </w:pPr>
            <w:r>
              <w:rPr>
                <w:rFonts w:ascii="Arial" w:cs="Arial" w:eastAsia="Arial" w:hAnsi="Arial"/>
                <w:sz w:val="14"/>
                <w:szCs w:val="14"/>
                <w:color w:val="auto"/>
              </w:rPr>
              <w:t>474,619</w:t>
            </w:r>
          </w:p>
        </w:tc>
        <w:tc>
          <w:tcPr>
            <w:tcW w:w="1580" w:type="dxa"/>
            <w:vAlign w:val="bottom"/>
            <w:gridSpan w:val="3"/>
          </w:tcPr>
          <w:p>
            <w:pPr>
              <w:jc w:val="right"/>
              <w:ind w:right="320"/>
              <w:spacing w:after="0"/>
              <w:rPr>
                <w:sz w:val="20"/>
                <w:szCs w:val="20"/>
                <w:color w:val="auto"/>
              </w:rPr>
            </w:pPr>
            <w:r>
              <w:rPr>
                <w:rFonts w:ascii="Arial" w:cs="Arial" w:eastAsia="Arial" w:hAnsi="Arial"/>
                <w:sz w:val="14"/>
                <w:szCs w:val="14"/>
                <w:color w:val="auto"/>
              </w:rPr>
              <w:t>176,288</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$1.35</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5"/>
              </w:rPr>
              <w:t>December 28, 2026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December 28, 2016</w:t>
            </w:r>
            <w:r>
              <w:rPr>
                <w:rFonts w:ascii="Arial" w:cs="Arial" w:eastAsia="Arial" w:hAnsi="Arial"/>
                <w:sz w:val="18"/>
                <w:szCs w:val="18"/>
                <w:color w:val="auto"/>
                <w:vertAlign w:val="superscript"/>
              </w:rPr>
              <w:t>(5)</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60,500</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39,639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December 28, 2026</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December 18, 2017</w:t>
            </w:r>
            <w:r>
              <w:rPr>
                <w:rFonts w:ascii="Arial" w:cs="Arial" w:eastAsia="Arial" w:hAnsi="Arial"/>
                <w:sz w:val="18"/>
                <w:szCs w:val="18"/>
                <w:color w:val="auto"/>
                <w:vertAlign w:val="superscript"/>
              </w:rPr>
              <w:t>(6)</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47,916</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52,084</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$2.15</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5"/>
              </w:rPr>
              <w:t>December 18, 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March 29, 2019</w:t>
            </w:r>
            <w:r>
              <w:rPr>
                <w:rFonts w:ascii="Arial" w:cs="Arial" w:eastAsia="Arial" w:hAnsi="Arial"/>
                <w:sz w:val="18"/>
                <w:szCs w:val="18"/>
                <w:color w:val="auto"/>
                <w:vertAlign w:val="superscript"/>
              </w:rPr>
              <w:t>(7)</w:t>
            </w:r>
          </w:p>
        </w:tc>
        <w:tc>
          <w:tcPr>
            <w:tcW w:w="740" w:type="dxa"/>
            <w:vAlign w:val="bottom"/>
            <w:shd w:val="clear" w:color="auto" w:fill="CCEEFF"/>
          </w:tcPr>
          <w:p>
            <w:pPr>
              <w:jc w:val="right"/>
              <w:ind w:right="215"/>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$3.80</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March 29, 2029</w:t>
            </w:r>
          </w:p>
        </w:tc>
        <w:tc>
          <w:tcPr>
            <w:tcW w:w="0" w:type="dxa"/>
            <w:vAlign w:val="bottom"/>
          </w:tcPr>
          <w:p>
            <w:pPr>
              <w:spacing w:after="0"/>
              <w:rPr>
                <w:sz w:val="1"/>
                <w:szCs w:val="1"/>
                <w:color w:val="auto"/>
              </w:rPr>
            </w:pPr>
          </w:p>
        </w:tc>
      </w:tr>
      <w:tr>
        <w:trPr>
          <w:trHeight w:val="203"/>
        </w:trPr>
        <w:tc>
          <w:tcPr>
            <w:tcW w:w="2940" w:type="dxa"/>
            <w:vAlign w:val="bottom"/>
            <w:gridSpan w:val="2"/>
          </w:tcPr>
          <w:p>
            <w:pPr>
              <w:spacing w:after="0"/>
              <w:rPr>
                <w:sz w:val="20"/>
                <w:szCs w:val="20"/>
                <w:color w:val="auto"/>
              </w:rPr>
            </w:pPr>
            <w:r>
              <w:rPr>
                <w:rFonts w:ascii="Arial" w:cs="Arial" w:eastAsia="Arial" w:hAnsi="Arial"/>
                <w:sz w:val="14"/>
                <w:szCs w:val="14"/>
                <w:color w:val="auto"/>
              </w:rPr>
              <w:t>Paul Gu</w:t>
            </w:r>
          </w:p>
        </w:tc>
        <w:tc>
          <w:tcPr>
            <w:tcW w:w="1720" w:type="dxa"/>
            <w:vAlign w:val="bottom"/>
            <w:gridSpan w:val="2"/>
          </w:tcPr>
          <w:p>
            <w:pPr>
              <w:jc w:val="center"/>
              <w:ind w:right="280"/>
              <w:spacing w:after="0" w:line="203" w:lineRule="exact"/>
              <w:rPr>
                <w:sz w:val="20"/>
                <w:szCs w:val="20"/>
                <w:color w:val="auto"/>
              </w:rPr>
            </w:pPr>
            <w:r>
              <w:rPr>
                <w:rFonts w:ascii="Arial" w:cs="Arial" w:eastAsia="Arial" w:hAnsi="Arial"/>
                <w:sz w:val="14"/>
                <w:szCs w:val="14"/>
                <w:color w:val="auto"/>
                <w:w w:val="93"/>
              </w:rPr>
              <w:t>May 11, 2012</w:t>
            </w:r>
            <w:r>
              <w:rPr>
                <w:rFonts w:ascii="Arial" w:cs="Arial" w:eastAsia="Arial" w:hAnsi="Arial"/>
                <w:sz w:val="22"/>
                <w:szCs w:val="22"/>
                <w:color w:val="auto"/>
                <w:w w:val="93"/>
                <w:vertAlign w:val="superscript"/>
              </w:rPr>
              <w:t>(8)</w:t>
            </w:r>
          </w:p>
        </w:tc>
        <w:tc>
          <w:tcPr>
            <w:tcW w:w="740" w:type="dxa"/>
            <w:vAlign w:val="bottom"/>
          </w:tcPr>
          <w:p>
            <w:pPr>
              <w:jc w:val="right"/>
              <w:spacing w:after="0"/>
              <w:rPr>
                <w:sz w:val="20"/>
                <w:szCs w:val="20"/>
                <w:color w:val="auto"/>
              </w:rPr>
            </w:pPr>
            <w:r>
              <w:rPr>
                <w:rFonts w:ascii="Arial" w:cs="Arial" w:eastAsia="Arial" w:hAnsi="Arial"/>
                <w:sz w:val="14"/>
                <w:szCs w:val="14"/>
                <w:color w:val="auto"/>
              </w:rPr>
              <w:t>210,000</w:t>
            </w:r>
          </w:p>
        </w:tc>
        <w:tc>
          <w:tcPr>
            <w:tcW w:w="400" w:type="dxa"/>
            <w:vAlign w:val="bottom"/>
          </w:tcPr>
          <w:p>
            <w:pPr>
              <w:spacing w:after="0"/>
              <w:rPr>
                <w:sz w:val="17"/>
                <w:szCs w:val="17"/>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$0.15</w:t>
            </w:r>
          </w:p>
        </w:tc>
        <w:tc>
          <w:tcPr>
            <w:tcW w:w="28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6"/>
              </w:rPr>
              <w:t>May 11, 2022</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August 21, 2012</w:t>
            </w:r>
            <w:r>
              <w:rPr>
                <w:rFonts w:ascii="Arial" w:cs="Arial" w:eastAsia="Arial" w:hAnsi="Arial"/>
                <w:sz w:val="18"/>
                <w:szCs w:val="18"/>
                <w:color w:val="auto"/>
                <w:vertAlign w:val="superscript"/>
              </w:rPr>
              <w:t>(9)</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120,000</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$0.15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August 21, 2022</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60"/>
              <w:spacing w:after="0" w:line="157" w:lineRule="exact"/>
              <w:rPr>
                <w:sz w:val="20"/>
                <w:szCs w:val="20"/>
                <w:color w:val="auto"/>
              </w:rPr>
            </w:pPr>
            <w:r>
              <w:rPr>
                <w:rFonts w:ascii="Arial" w:cs="Arial" w:eastAsia="Arial" w:hAnsi="Arial"/>
                <w:sz w:val="12"/>
                <w:szCs w:val="12"/>
                <w:color w:val="auto"/>
              </w:rPr>
              <w:t>May 23, 2013</w:t>
            </w:r>
            <w:r>
              <w:rPr>
                <w:rFonts w:ascii="Arial" w:cs="Arial" w:eastAsia="Arial" w:hAnsi="Arial"/>
                <w:sz w:val="18"/>
                <w:szCs w:val="18"/>
                <w:color w:val="auto"/>
                <w:vertAlign w:val="superscript"/>
              </w:rPr>
              <w:t>(10)</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300,000</w:t>
            </w:r>
          </w:p>
        </w:tc>
        <w:tc>
          <w:tcPr>
            <w:tcW w:w="400" w:type="dxa"/>
            <w:vAlign w:val="bottom"/>
          </w:tcPr>
          <w:p>
            <w:pPr>
              <w:spacing w:after="0"/>
              <w:rPr>
                <w:sz w:val="13"/>
                <w:szCs w:val="13"/>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$0.23</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6"/>
              </w:rPr>
              <w:t>May 23, 2023</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June 19, 2014</w:t>
            </w:r>
            <w:r>
              <w:rPr>
                <w:rFonts w:ascii="Arial" w:cs="Arial" w:eastAsia="Arial" w:hAnsi="Arial"/>
                <w:sz w:val="18"/>
                <w:szCs w:val="18"/>
                <w:color w:val="auto"/>
                <w:vertAlign w:val="superscript"/>
              </w:rPr>
              <w:t>(11)</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270,000</w:t>
            </w:r>
          </w:p>
        </w:tc>
        <w:tc>
          <w:tcPr>
            <w:tcW w:w="4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$0.43</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June 19, 2024</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January 14, 2015</w:t>
            </w:r>
            <w:r>
              <w:rPr>
                <w:rFonts w:ascii="Arial" w:cs="Arial" w:eastAsia="Arial" w:hAnsi="Arial"/>
                <w:sz w:val="18"/>
                <w:szCs w:val="18"/>
                <w:color w:val="auto"/>
                <w:vertAlign w:val="superscript"/>
              </w:rPr>
              <w:t>(12)</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200,000</w:t>
            </w:r>
          </w:p>
        </w:tc>
        <w:tc>
          <w:tcPr>
            <w:tcW w:w="400" w:type="dxa"/>
            <w:vAlign w:val="bottom"/>
          </w:tcPr>
          <w:p>
            <w:pPr>
              <w:spacing w:after="0"/>
              <w:rPr>
                <w:sz w:val="13"/>
                <w:szCs w:val="13"/>
                <w:color w:val="auto"/>
              </w:rPr>
            </w:pPr>
          </w:p>
        </w:tc>
        <w:tc>
          <w:tcPr>
            <w:tcW w:w="118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$0.60</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7"/>
              </w:rPr>
              <w:t>January 14, 2025</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80"/>
              <w:spacing w:after="0" w:line="157" w:lineRule="exact"/>
              <w:rPr>
                <w:sz w:val="20"/>
                <w:szCs w:val="20"/>
                <w:color w:val="auto"/>
              </w:rPr>
            </w:pPr>
            <w:r>
              <w:rPr>
                <w:rFonts w:ascii="Arial" w:cs="Arial" w:eastAsia="Arial" w:hAnsi="Arial"/>
                <w:sz w:val="12"/>
                <w:szCs w:val="12"/>
                <w:color w:val="auto"/>
              </w:rPr>
              <w:t>December 18, 2015</w:t>
            </w:r>
            <w:r>
              <w:rPr>
                <w:rFonts w:ascii="Arial" w:cs="Arial" w:eastAsia="Arial" w:hAnsi="Arial"/>
                <w:sz w:val="18"/>
                <w:szCs w:val="18"/>
                <w:color w:val="auto"/>
                <w:vertAlign w:val="superscript"/>
              </w:rPr>
              <w:t>(13)</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244,791</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5,209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$1.17</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December 18, 2025</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60"/>
              <w:spacing w:after="0" w:line="157" w:lineRule="exact"/>
              <w:rPr>
                <w:sz w:val="20"/>
                <w:szCs w:val="20"/>
                <w:color w:val="auto"/>
              </w:rPr>
            </w:pPr>
            <w:r>
              <w:rPr>
                <w:rFonts w:ascii="Arial" w:cs="Arial" w:eastAsia="Arial" w:hAnsi="Arial"/>
                <w:sz w:val="12"/>
                <w:szCs w:val="12"/>
                <w:color w:val="auto"/>
              </w:rPr>
              <w:t>June 24, 2016</w:t>
            </w:r>
            <w:r>
              <w:rPr>
                <w:rFonts w:ascii="Arial" w:cs="Arial" w:eastAsia="Arial" w:hAnsi="Arial"/>
                <w:sz w:val="18"/>
                <w:szCs w:val="18"/>
                <w:color w:val="auto"/>
                <w:vertAlign w:val="superscript"/>
              </w:rPr>
              <w:t>(14)</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256,249</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43,751</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$1.17</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6"/>
              </w:rPr>
              <w:t>June 24, 2026</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January 9, 2017</w:t>
            </w:r>
            <w:r>
              <w:rPr>
                <w:rFonts w:ascii="Arial" w:cs="Arial" w:eastAsia="Arial" w:hAnsi="Arial"/>
                <w:sz w:val="18"/>
                <w:szCs w:val="18"/>
                <w:color w:val="auto"/>
                <w:vertAlign w:val="superscript"/>
              </w:rPr>
              <w:t>(15)</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182,291</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67,709</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$1.35</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7"/>
              </w:rPr>
              <w:t>January 9, 2027</w:t>
            </w:r>
          </w:p>
        </w:tc>
        <w:tc>
          <w:tcPr>
            <w:tcW w:w="0" w:type="dxa"/>
            <w:vAlign w:val="bottom"/>
          </w:tcPr>
          <w:p>
            <w:pPr>
              <w:spacing w:after="0"/>
              <w:rPr>
                <w:sz w:val="1"/>
                <w:szCs w:val="1"/>
                <w:color w:val="auto"/>
              </w:rPr>
            </w:pPr>
          </w:p>
        </w:tc>
      </w:tr>
      <w:tr>
        <w:trPr>
          <w:trHeight w:val="158"/>
        </w:trPr>
        <w:tc>
          <w:tcPr>
            <w:tcW w:w="3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720" w:type="dxa"/>
            <w:vAlign w:val="bottom"/>
            <w:gridSpan w:val="2"/>
          </w:tcPr>
          <w:p>
            <w:pPr>
              <w:jc w:val="center"/>
              <w:ind w:right="280"/>
              <w:spacing w:after="0" w:line="157" w:lineRule="exact"/>
              <w:rPr>
                <w:sz w:val="20"/>
                <w:szCs w:val="20"/>
                <w:color w:val="auto"/>
              </w:rPr>
            </w:pPr>
            <w:r>
              <w:rPr>
                <w:rFonts w:ascii="Arial" w:cs="Arial" w:eastAsia="Arial" w:hAnsi="Arial"/>
                <w:sz w:val="12"/>
                <w:szCs w:val="12"/>
                <w:color w:val="auto"/>
              </w:rPr>
              <w:t>December 18, 2017</w:t>
            </w:r>
            <w:r>
              <w:rPr>
                <w:rFonts w:ascii="Arial" w:cs="Arial" w:eastAsia="Arial" w:hAnsi="Arial"/>
                <w:sz w:val="18"/>
                <w:szCs w:val="18"/>
                <w:color w:val="auto"/>
                <w:vertAlign w:val="superscript"/>
              </w:rPr>
              <w:t>(16)</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95,833</w:t>
            </w:r>
          </w:p>
        </w:tc>
        <w:tc>
          <w:tcPr>
            <w:tcW w:w="1580" w:type="dxa"/>
            <w:vAlign w:val="bottom"/>
            <w:gridSpan w:val="3"/>
          </w:tcPr>
          <w:p>
            <w:pPr>
              <w:jc w:val="right"/>
              <w:ind w:right="320"/>
              <w:spacing w:after="0" w:line="158" w:lineRule="exact"/>
              <w:rPr>
                <w:sz w:val="20"/>
                <w:szCs w:val="20"/>
                <w:color w:val="auto"/>
              </w:rPr>
            </w:pPr>
            <w:r>
              <w:rPr>
                <w:rFonts w:ascii="Arial" w:cs="Arial" w:eastAsia="Arial" w:hAnsi="Arial"/>
                <w:sz w:val="14"/>
                <w:szCs w:val="14"/>
                <w:color w:val="auto"/>
              </w:rPr>
              <w:t>104,167</w:t>
            </w:r>
          </w:p>
        </w:tc>
        <w:tc>
          <w:tcPr>
            <w:tcW w:w="640" w:type="dxa"/>
            <w:vAlign w:val="bottom"/>
          </w:tcPr>
          <w:p>
            <w:pPr>
              <w:jc w:val="center"/>
              <w:spacing w:after="0" w:line="158" w:lineRule="exact"/>
              <w:rPr>
                <w:sz w:val="20"/>
                <w:szCs w:val="20"/>
                <w:color w:val="auto"/>
              </w:rPr>
            </w:pPr>
            <w:r>
              <w:rPr>
                <w:rFonts w:ascii="Arial" w:cs="Arial" w:eastAsia="Arial" w:hAnsi="Arial"/>
                <w:sz w:val="14"/>
                <w:szCs w:val="14"/>
                <w:color w:val="auto"/>
                <w:w w:val="96"/>
              </w:rPr>
              <w:t>$2.15</w:t>
            </w:r>
          </w:p>
        </w:tc>
        <w:tc>
          <w:tcPr>
            <w:tcW w:w="28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color w:val="auto"/>
                <w:w w:val="95"/>
              </w:rPr>
              <w:t>December 18, 2027</w:t>
            </w:r>
          </w:p>
        </w:tc>
        <w:tc>
          <w:tcPr>
            <w:tcW w:w="0" w:type="dxa"/>
            <w:vAlign w:val="bottom"/>
          </w:tcPr>
          <w:p>
            <w:pPr>
              <w:spacing w:after="0"/>
              <w:rPr>
                <w:sz w:val="1"/>
                <w:szCs w:val="1"/>
                <w:color w:val="auto"/>
              </w:rPr>
            </w:pPr>
          </w:p>
        </w:tc>
      </w:tr>
      <w:tr>
        <w:trPr>
          <w:trHeight w:val="158"/>
        </w:trPr>
        <w:tc>
          <w:tcPr>
            <w:tcW w:w="340" w:type="dxa"/>
            <w:vAlign w:val="bottom"/>
            <w:shd w:val="clear" w:color="auto" w:fill="CCEEFF"/>
          </w:tcPr>
          <w:p>
            <w:pPr>
              <w:spacing w:after="0"/>
              <w:rPr>
                <w:sz w:val="13"/>
                <w:szCs w:val="13"/>
                <w:color w:val="auto"/>
              </w:rPr>
            </w:pPr>
          </w:p>
        </w:tc>
        <w:tc>
          <w:tcPr>
            <w:tcW w:w="26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center"/>
              <w:ind w:right="260"/>
              <w:spacing w:after="0" w:line="157" w:lineRule="exact"/>
              <w:rPr>
                <w:sz w:val="20"/>
                <w:szCs w:val="20"/>
                <w:color w:val="auto"/>
              </w:rPr>
            </w:pPr>
            <w:r>
              <w:rPr>
                <w:rFonts w:ascii="Arial" w:cs="Arial" w:eastAsia="Arial" w:hAnsi="Arial"/>
                <w:sz w:val="12"/>
                <w:szCs w:val="12"/>
                <w:color w:val="auto"/>
              </w:rPr>
              <w:t>March 29, 2019</w:t>
            </w:r>
            <w:r>
              <w:rPr>
                <w:rFonts w:ascii="Arial" w:cs="Arial" w:eastAsia="Arial" w:hAnsi="Arial"/>
                <w:sz w:val="18"/>
                <w:szCs w:val="18"/>
                <w:color w:val="auto"/>
                <w:vertAlign w:val="superscript"/>
              </w:rPr>
              <w:t>(17)</w:t>
            </w:r>
          </w:p>
        </w:tc>
        <w:tc>
          <w:tcPr>
            <w:tcW w:w="740" w:type="dxa"/>
            <w:vAlign w:val="bottom"/>
            <w:shd w:val="clear" w:color="auto" w:fill="CCEEFF"/>
          </w:tcPr>
          <w:p>
            <w:pPr>
              <w:jc w:val="right"/>
              <w:ind w:right="215"/>
              <w:spacing w:after="0" w:line="158"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150,000</w:t>
            </w:r>
          </w:p>
        </w:tc>
        <w:tc>
          <w:tcPr>
            <w:tcW w:w="64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$3.80</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6"/>
              </w:rPr>
              <w:t>March 29, 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Each of the outstanding equity awards listed in the table above was granted pursuant to our 2012 Plan.</w:t>
      </w:r>
    </w:p>
    <w:p>
      <w:pPr>
        <w:ind w:left="148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This column represents the fair value of a share of our common stock on the grant date, as determined by our board of directors.</w:t>
      </w:r>
    </w:p>
    <w:p>
      <w:pPr>
        <w:ind w:left="1480" w:right="4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Girouard’s continued role as a service provider to us, in 48 equal monthly installments beginning on October 1, 2016.</w:t>
      </w:r>
    </w:p>
    <w:p>
      <w:pPr>
        <w:ind w:left="1480" w:right="2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as to 1/4th of the total shares on January 1, 2018 with 1/48th of the total shares vesting monthly thereafter.</w:t>
      </w:r>
    </w:p>
    <w:p>
      <w:pPr>
        <w:ind w:left="1480" w:right="10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as to 1/4th of the total shares on July 1, 2018 with 1/48th of the total shares vesting monthly thereafter.</w:t>
      </w:r>
    </w:p>
    <w:p>
      <w:pPr>
        <w:ind w:left="1480" w:right="16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in 48 equal monthly installments beginning on February 1, 2018.</w:t>
      </w:r>
    </w:p>
    <w:p>
      <w:pPr>
        <w:ind w:left="1480" w:right="16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Datta’s continued role as a service provider to us, in 12 equal monthly installments beginning on February 1, 2021.</w:t>
      </w:r>
    </w:p>
    <w:p>
      <w:pPr>
        <w:ind w:left="1480" w:right="2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May 1, 2013 with 1/48th of the total shares vesting monthly thereafter.</w:t>
      </w:r>
    </w:p>
    <w:p>
      <w:pPr>
        <w:ind w:left="1480" w:right="36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September 1, 2013 with 1/48th of the total shares vesting monthly thereafter.</w:t>
      </w:r>
    </w:p>
    <w:p>
      <w:pPr>
        <w:ind w:left="1480" w:right="2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May 1, 2014 with 1/48th of the total shares vesting monthly thereafter.</w:t>
      </w:r>
    </w:p>
    <w:p>
      <w:pPr>
        <w:ind w:left="148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as to 1/4th of the total shares on April 1, 2015 with 1/48th of the total shares vesting monthly thereafter.</w:t>
      </w:r>
    </w:p>
    <w:p>
      <w:pPr>
        <w:ind w:left="1480" w:right="30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2015.</w:t>
      </w:r>
    </w:p>
    <w:p>
      <w:pPr>
        <w:ind w:left="1480" w:right="30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2016.</w:t>
      </w:r>
    </w:p>
    <w:p>
      <w:pPr>
        <w:ind w:left="148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August 1, 2016.</w:t>
      </w:r>
    </w:p>
    <w:p>
      <w:pPr>
        <w:ind w:left="1480" w:right="30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2017.</w:t>
      </w:r>
    </w:p>
    <w:p>
      <w:pPr>
        <w:ind w:left="1480" w:right="300" w:hanging="453"/>
        <w:spacing w:after="0" w:line="235"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48 equal monthly installments beginning on February 1, 2018.</w:t>
      </w:r>
    </w:p>
    <w:p>
      <w:pPr>
        <w:ind w:left="1480" w:right="300" w:hanging="453"/>
        <w:spacing w:after="0" w:line="246" w:lineRule="auto"/>
        <w:tabs>
          <w:tab w:leader="none" w:pos="14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The shares underlying this option vest, subject to Mr. Gu’s continued role as a service provider to us, in 12 equal monthly installments beginning on February 1, 2021.</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0220"/>
          </w:cols>
          <w:pgMar w:left="320" w:top="407" w:right="1359" w:bottom="1440" w:gutter="0" w:footer="0" w:header="0"/>
        </w:sectPr>
      </w:pPr>
    </w:p>
    <w:bookmarkStart w:id="189" w:name="page190"/>
    <w:bookmarkEnd w:id="1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Fiscal Year 2020 Option Grants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January 2020, our board of directors approved option grants under our 2012 Plan to each of Mr. Datta and Mr. Gu. Mr. Datta received an option to purchase 200,000 shares of our common stock, which vests in 12 equal monthly installments beginning on January 1, 2022, subject to Mr. Datta’s continued role as a service provider to us. Mr. Gu received an option to purchase 200,000 shares of our common stock, which vests in 12 equal monthly installments beginning on January 1, 2022, subject to Mr. Gu’s continued role as a service provider to us.</w:t>
      </w:r>
    </w:p>
    <w:p>
      <w:pPr>
        <w:spacing w:after="0" w:line="170" w:lineRule="exact"/>
        <w:rPr>
          <w:sz w:val="20"/>
          <w:szCs w:val="20"/>
          <w:color w:val="auto"/>
        </w:rPr>
      </w:pPr>
    </w:p>
    <w:p>
      <w:pPr>
        <w:jc w:val="both"/>
        <w:ind w:left="1020" w:right="80" w:firstLine="460"/>
        <w:spacing w:after="0"/>
        <w:rPr>
          <w:sz w:val="20"/>
          <w:szCs w:val="20"/>
          <w:color w:val="auto"/>
        </w:rPr>
      </w:pPr>
      <w:r>
        <w:rPr>
          <w:rFonts w:ascii="Arial" w:cs="Arial" w:eastAsia="Arial" w:hAnsi="Arial"/>
          <w:sz w:val="15"/>
          <w:szCs w:val="15"/>
          <w:color w:val="auto"/>
        </w:rPr>
        <w:t>In November 2020, our board of directors approved an option grant under our 2012 Plan to Mr. Girouard. Mr. Girouard received an option to purchase 550,000 shares of our common stock, which vests in 28 equal monthly installments beginning on September 1, 2020, subject to Mr. Girouard’s continued role as a service provider to us.</w:t>
      </w:r>
    </w:p>
    <w:p>
      <w:pPr>
        <w:spacing w:after="0" w:line="242" w:lineRule="exact"/>
        <w:rPr>
          <w:sz w:val="20"/>
          <w:szCs w:val="20"/>
          <w:color w:val="auto"/>
        </w:rPr>
      </w:pPr>
    </w:p>
    <w:p>
      <w:pPr>
        <w:ind w:left="3520"/>
        <w:spacing w:after="0"/>
        <w:rPr>
          <w:sz w:val="20"/>
          <w:szCs w:val="20"/>
          <w:color w:val="auto"/>
        </w:rPr>
      </w:pPr>
      <w:r>
        <w:rPr>
          <w:rFonts w:ascii="Arial" w:cs="Arial" w:eastAsia="Arial" w:hAnsi="Arial"/>
          <w:sz w:val="15"/>
          <w:szCs w:val="15"/>
          <w:b w:val="1"/>
          <w:bCs w:val="1"/>
          <w:color w:val="auto"/>
        </w:rPr>
        <w:t>Potential Payments upon Termination or Change in Control</w:t>
      </w:r>
    </w:p>
    <w:p>
      <w:pPr>
        <w:spacing w:after="0" w:line="105"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In October 2020, our board of directors approved our Executive Change in Control and Severance Policy, or the Severance Policy, which became effective as of the date of the effectiveness of the registration statement of which this prospectus forms a part. Each of our named executive officers participates in the Severance Policy. Pursuant to our Severance Policy, if, within the 3 month period prior to or the 12 month period following a “change in control” (as defined in the Severance Policy), we terminate the employment of an executive without “cause” (excluding death or disability) or the executive resigns for “good reason” (as such terms are defined in the applicable agreement), and within 60 days following such termination, the executive executes a waiver and release of claims in our favor that becomes effective and irrevocable, the executive will be entitled to receive (i) a lump sum payment equal to 12 months of the executive’s then current annual base salary, (ii) a lump sum payment equal to 100% of the executive’s target annual bonus amount for the year of termination (provided such amount will be prorated based on days of service during the applicable bonus period with respect to Messrs. Datta and Gu), (iii) reimbursement of premiums to maintain group health insurance continuation benefits pursuant to “COBRA” for the executive and the executive’s respective eligible dependents for up to 12 months, and (iv) vesting acceleration as to 100% of the then-unvested shares subject to each of the executive’s then outstanding equity awards (and in the case of awards with performance vesting, unless the applicable award agreement governing such award provides otherwise, all performance goals and other vesting criteria will be deemed achieved at target or as earned (determined on a pro rata basis) if greater.</w:t>
      </w:r>
    </w:p>
    <w:p>
      <w:pPr>
        <w:spacing w:after="0" w:line="172"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Pursuant to the Severance Policy, in the event any payment to an executive would be subject to the excise tax imposed by Section 4999 of the Internal Revenue Code, as amended, or the Code (as a result of a payment being classified as a parachute payment under Section 280G of the Code), the executive will receive such payment as would entitle the executive to receive the greatest after-tax benefit, even if it means that we pay the executive a lower aggregate payment so as to minimize or eliminate the potential excise tax imposed by Section 4999 of the Code.</w:t>
      </w:r>
    </w:p>
    <w:p>
      <w:pPr>
        <w:spacing w:after="0" w:line="242" w:lineRule="exact"/>
        <w:rPr>
          <w:sz w:val="20"/>
          <w:szCs w:val="20"/>
          <w:color w:val="auto"/>
        </w:rPr>
      </w:pPr>
    </w:p>
    <w:p>
      <w:pPr>
        <w:ind w:left="4400"/>
        <w:spacing w:after="0"/>
        <w:rPr>
          <w:sz w:val="20"/>
          <w:szCs w:val="20"/>
          <w:color w:val="auto"/>
        </w:rPr>
      </w:pPr>
      <w:r>
        <w:rPr>
          <w:rFonts w:ascii="Arial" w:cs="Arial" w:eastAsia="Arial" w:hAnsi="Arial"/>
          <w:sz w:val="15"/>
          <w:szCs w:val="15"/>
          <w:b w:val="1"/>
          <w:bCs w:val="1"/>
          <w:color w:val="auto"/>
        </w:rPr>
        <w:t>Employee Benefit and Stock Plans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2020 Equity Incentive Plan</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our 2020 Plan. Our 2020 Plan became effective on the business day immediately prior to the effective date of the registration statement of which this prospectus forms a part. Our 2020 Plan provides for the grant of incentive stock options, within the meaning of Section 422 of the Code, to our employees and any parent and subsidiary corporations’ employees, and for the grant of nonstatutory stock options, stock appreciation rights, restricted stock,</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0200"/>
          </w:cols>
          <w:pgMar w:left="320" w:top="407" w:right="1379" w:bottom="1440" w:gutter="0" w:footer="0" w:header="0"/>
        </w:sectPr>
      </w:pPr>
    </w:p>
    <w:bookmarkStart w:id="190" w:name="page191"/>
    <w:bookmarkEnd w:id="1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80"/>
        <w:spacing w:after="0"/>
        <w:rPr>
          <w:sz w:val="20"/>
          <w:szCs w:val="20"/>
          <w:color w:val="auto"/>
        </w:rPr>
      </w:pPr>
      <w:r>
        <w:rPr>
          <w:rFonts w:ascii="Arial" w:cs="Arial" w:eastAsia="Arial" w:hAnsi="Arial"/>
          <w:sz w:val="15"/>
          <w:szCs w:val="15"/>
          <w:color w:val="auto"/>
        </w:rPr>
        <w:t>restricted stock units, or RSUs, and performance awards to our employees, directors, and consultants and our parent and subsidiary corporations’ employees and consultants. Our 2012 Plan will terminate immediately prior to effectiveness of the 2020 Plan with respect to the grant of future awards.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Authorized Shares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Subject to the adjustment provisions of and the automatic increase described in our 2020 Plan, a total of 5,520,000 shares of our common stock are reserved for issuance pursuant to our 2020 Plan. In addition, subject to the adjustment provisions of our 2020 Plan, the shares reserved for issuance under our 2020 Plan also include any shares subject to awards granted under our 2012 Plan that, on or after the effective date of the registration statement of which this prospectus forms a part, expire or otherwise terminate without having been exercised or issued in full, are tendered to or withheld by us for payment of an exercise price or for satisfying tax withholding obligations, or are forfeited to or repurchased by us due to failure to vest (provided that the maximum number of shares that may be added to our 2020 Plan pursuant to outstanding awards under the 2012 Plan is 15,000,000 shares). Subject to the adjustment provisions of our 2020 Plan, the number of shares available for issuance under our 2020 Plan will also include an annual increase on the first day of each fiscal year beginning with the 2021 fiscal year and ending on the ten year anniversary of the date our board of directors approved the 2020 Plan, in an amount equal to the least of:</w:t>
      </w:r>
    </w:p>
    <w:p>
      <w:pPr>
        <w:spacing w:after="0" w:line="95" w:lineRule="exact"/>
        <w:rPr>
          <w:sz w:val="20"/>
          <w:szCs w:val="20"/>
          <w:color w:val="auto"/>
        </w:rPr>
      </w:pPr>
    </w:p>
    <w:p>
      <w:pPr>
        <w:ind w:left="1660" w:hanging="183"/>
        <w:spacing w:after="0"/>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15,000,000 shares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5% of the outstanding shares of our common stock on the last day of our immediately preceding fiscal year;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such number of shares of our common stock as the administrator may determine.</w:t>
      </w:r>
    </w:p>
    <w:p>
      <w:pPr>
        <w:spacing w:after="0" w:line="17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If a stock option or stock appreciation right granted under the 2020 Plan expires or becomes unexercisable without having been exercised in full or is surrendered pursuant to an exchange program or, with respect to restricted stock, RSUs or stock settled performance awards, is forfeited to, or repurchased by, us due to failure to vest, then the unpurchased shares (or for awards other than stock options or stock appreciation rights, the forfeited or repurchased shares) which were subject thereto will become available for future grant or sale under the 2020 Plan (unless the 2020 Plan has terminated). With respect to stock appreciation rights, only the net shares actually issued will cease to be available under the 2020 Plan and all remaining shares under stock appreciation rights will remain available for future grant or sale under the 2020 Plan (unless the 2020 Plan has terminated). Shares that have actually been issued under the 2020 Plan under any award will not be returned to the 2020 Plan; provided, however, that if shares issued pursuant to awards of restricted stock, RSUs or performance awards are repurchased or forfeited to us due to failure to vest, such shares will become available for future grant under the 2020 Plan. Shares used to pay the exercise price of an award or to satisfy the tax withholding obligations related to an award will become available for future grant or sale under the 2020 Plan. To the extent an award is paid out in cash rather than shares, the cash payment will not result in a reduction in the number of shares available for issuance under the 2020 Plan.</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Plan Administration</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Our compensation committee administers our 2020 Plan and may further delegate authority to one or more subcommittees or officers to the extent such delegation complies with applicable laws. Subject to the provisions of our 2020 Plan, the administrator will have the power to administer our 2020 Plan and make all determinations deemed necessary or advisable for administering our 2020 Plan, including but not limited to: the power to determine the fair market value of our common stock; select the service providers to whom awards may be granted; determine the number of shares covered by each award; approve forms of award agreements for use under our 2020 Plan; determine the terms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0220"/>
          </w:cols>
          <w:pgMar w:left="320" w:top="407" w:right="1359" w:bottom="1440" w:gutter="0" w:footer="0" w:header="0"/>
        </w:sectPr>
      </w:pPr>
    </w:p>
    <w:bookmarkStart w:id="191" w:name="page192"/>
    <w:bookmarkEnd w:id="1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6" w:lineRule="auto"/>
        <w:rPr>
          <w:sz w:val="20"/>
          <w:szCs w:val="20"/>
          <w:color w:val="auto"/>
        </w:rPr>
      </w:pPr>
      <w:r>
        <w:rPr>
          <w:rFonts w:ascii="Arial" w:cs="Arial" w:eastAsia="Arial" w:hAnsi="Arial"/>
          <w:sz w:val="15"/>
          <w:szCs w:val="15"/>
          <w:color w:val="auto"/>
        </w:rPr>
        <w:t>and conditions of awards (including, but not limited to, the exercise price, the times or times at which the awards may be exercised, any vesting acceleration or waiver or forfeiture restrictions, and any restriction or limitation regarding any award or the shares relating thereto); construe and interpret the terms of our 2020 Plan and awards granted under it, including but not limited to determining whether and when a change in control has occurred; establish, amend, and rescind rules and regulations relating to our 2020 Plan, and adopt sub-plans relating to the 2020 Plan; interpret, modify or amend each award, including but not limited to the discretionary authority to extend the post-termination exercisability period of awards; allow participants to satisfy tax withholding obligations in any manner permitted by the 2020 Plan; delegate ministerial duties to any of our employees; authorize any person to take any steps and execute, on our behalf, any documents required for an award previously granted by the administrator to be effective; temporarily suspend the exercisability of an award if the administrator deems such suspension to be necessary or appropriate for administrative purposes, provided that, unless prohibited by applicable laws, such suspension shall be lifted in all cases not less than ten trading days before the last date that the award may be exercised; allow a participant to defer the receipt of payment of cash or the delivery of shares that would otherwise be due to such participant under an award; and make any determinations necessary or appropriate under the adjustment provisions of the 2020 Plan.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will be final and binding on all participants to the full extent permitted by law.</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2020 Plan permits the grant of options. The exercise price of options granted under our 2020 Plan must be at least equal to the fair market value of our common stock on the date of grant, except that options may be granted with a lower exercise price to a service provider who is not a U.S. taxpayer, or pursuant to certain transactions. The term of an option is determined by the administrator, provided that the term of an incentive stock option may not exceed ten years. With respect to any participant who owns more than 10% of the voting power of all classes of our outstanding stock, the term of an incentive stock option granted to such participant must not exceed five years and the exercise price must equal at least 110% of the fair market value on the grant date. The administrator determines the methods of payment of the exercise price of an option, which may include cash, check or wire transfer, cashless exercise, net exercise, promissory note, shares, or other consideration or method of payment acceptable to the administrator, to the extent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the option will remain exercisable for thirty days. These exercise periods may be tolled in certain circumstances, for example if exercise prior to the end of the applicable period is not permitted because of applicable laws. However, in no event may an option be exercised later than the expiration of its term.</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Appreciation Rights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Our 2020 Plan permits the grant of stock appreciation rights. Stock appreciation rights allow the recipient to receive the appreciation in the fair market value of our common stock between the exercise date and the date of grant. The term of stock appreciation rights is determined by the administrator. After the termination of service of an employee, director, or consultant, he or she may exercise his or her stock appreciation right for the period of time stated in his or her stock appreciation rights</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0220"/>
          </w:cols>
          <w:pgMar w:left="320" w:top="407" w:right="135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thirty days following the termination of service. These exercise periods may be tolled in certain circumstances, for example if exercise prior to the end of the applicable period is not permitted because of applicable laws.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must be no less than 100% of the fair market value per share on the date of grant.</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2020 Plan permits the grant of restricted stock. Restricted stock awards are grants of shares of our common stock that vest in accordance with terms and conditions established by the administrator. The administrator determines the number of shares of restricted stock granted to any employee, director, or consultant and, subject to the provisions of our 2020 Plan, determines the terms and conditions of such awards. The administrator has the authority to impose whatever conditions to vesting it determines to be appropriate (for example, the administrator will be able to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provides otherwise. Shares of restricted stock that do not vest will be subject to our right of repurchase or forfeiture.</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 Units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2020 Plan permits the grant of RSUs. Each RSU will represent an amount equal to the fair market value of one share of our common stock. Subject to the provisions of our 2020 Plan, the administrator determines the terms and conditions of RSUs, including the vesting criteria and the form and timing of payment. The administrator has the authority to set vesting criteria based upon the achievement of company-wide, divisional, business unit, or individual goals (including, but not limited to, continued employment or service), or any other basis determined by the administrator in its discretion. The administrator, in its sole discretion, may pay earned RSUs in the form of cash, in shares, or in some combination of both. Notwithstanding the foregoing, the administrator, in its sole discretion, may accelerate the vesting, or reduce or waive the criteria that must be met for vesting, of the RSUs or the time at which any restrictions will lapse or be removed.</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Performance Awards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2020 Plan permits the grant of performance awards. Performance awards are awards that will result in a payment to a participant only if performance goals established by the administrator are achieved or the awards otherwise vest. The administrator may establish performance objectives or other vesting criteria in its discretion, which, depending on the extent to which they are met, will determine the number and/or the value of performance awards to be paid out to participants. The administrator has the authority to set performance objectives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0200"/>
          </w:cols>
          <w:pgMar w:left="320" w:top="407" w:right="1379" w:bottom="1440" w:gutter="0" w:footer="0" w:header="0"/>
        </w:sectPr>
      </w:pPr>
    </w:p>
    <w:bookmarkStart w:id="193" w:name="page194"/>
    <w:bookmarkEnd w:id="1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80"/>
        <w:spacing w:after="0"/>
        <w:rPr>
          <w:sz w:val="20"/>
          <w:szCs w:val="20"/>
          <w:color w:val="auto"/>
        </w:rPr>
      </w:pPr>
      <w:r>
        <w:rPr>
          <w:rFonts w:ascii="Arial" w:cs="Arial" w:eastAsia="Arial" w:hAnsi="Arial"/>
          <w:sz w:val="15"/>
          <w:szCs w:val="15"/>
          <w:color w:val="auto"/>
        </w:rPr>
        <w:t>of a performance award, the administrator, in its sole discretion, may reduce or waive any performance criteria or other vesting provisions for such performance award. The administrator, in its sole discretion, may pay earned performance awards in the form of cash, in shares, or in some combination thereof.</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Our 2020 Plan provides that all outside (non-employee) directors will be eligible to receive all types of awards (except for incentive stock options) under our 2020 Plan. In order to provide a maximum limit on the awards that can be made to our non-employee directors, our 2020 Plan provides that in any given fiscal year, a non-employee director will not be granted awards having a grant-date fair value greater than $1,000,000, but this limit is increased to $2,000,000 in connection with his or her initially joining our board of directors (in each case, excluding awards granted to him or her as a consultant or employee). The grant-date fair values will be determined according to GAAP. The maximum limits do not reflect the intended size of any potential grants or a commitment to make grants to our outside directors under our 2020 Plan in the future.</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105"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Unless the administrator provides otherwise, our 2020 Plan generally does not allow for the 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Certain Adjustments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of our common stock or other of our securities, other change in our corporate structure affecting the shares, or any similar equity restructuring transaction affecting our shares occurs (including a change in control), the administrator, to prevent diminution or enlargement of the benefits or potential benefits intended to be provided under the 2020 Plan, will adjust the number and class of shares that may be delivered under the 2020 Plan and/or the number, class, and price of shares covered by each outstanding award, and the numerical share limits set forth in our 2020 Plan. The conversion of any of our convertible securities and ordinary course repurchases of our shares or other securities will not be treated as an event that will require adjustment under the 2020 Plan.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Dissolution or Liquidation</w:t>
      </w:r>
    </w:p>
    <w:p>
      <w:pPr>
        <w:spacing w:after="0" w:line="105" w:lineRule="exact"/>
        <w:rPr>
          <w:sz w:val="20"/>
          <w:szCs w:val="20"/>
          <w:color w:val="auto"/>
        </w:rPr>
      </w:pPr>
    </w:p>
    <w:p>
      <w:pPr>
        <w:ind w:left="1020" w:right="240" w:firstLine="460"/>
        <w:spacing w:after="0"/>
        <w:rPr>
          <w:sz w:val="20"/>
          <w:szCs w:val="20"/>
          <w:color w:val="auto"/>
        </w:rPr>
      </w:pPr>
      <w:r>
        <w:rPr>
          <w:rFonts w:ascii="Arial" w:cs="Arial" w:eastAsia="Arial" w:hAnsi="Arial"/>
          <w:sz w:val="15"/>
          <w:szCs w:val="15"/>
          <w:color w:val="auto"/>
        </w:rPr>
        <w:t>In the event of our proposed dissolution or liquidation, the administrator will notify participants as soon as practicable prior to the effective date of such proposed transaction and all awards will terminate immediately prior to the consummation of such proposed transaction.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 or Change in Control</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2020 Plan provides that in the event of a merger or change in control, as defined under our 2020 Plan, each outstanding award will be treated as the administrator determines, without a requirement to obtain a participant’s consent, including, without limitation, that such award will be continued by the successor corporation or a parent or subsidiary of the successor corporation. An award generally will be considered continued if, following the transaction, (i) the award gives the right to purchase or receive the consideration received in the transaction by holders of our shares or (ii) the award is terminated in exchange for an amount of cash and/or property, if any, equal to the amount</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0200"/>
          </w:cols>
          <w:pgMar w:left="320" w:top="407" w:right="1379" w:bottom="1440" w:gutter="0" w:footer="0" w:header="0"/>
        </w:sectPr>
      </w:pPr>
    </w:p>
    <w:bookmarkStart w:id="194" w:name="page195"/>
    <w:bookmarkEnd w:id="1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38" w:lineRule="auto"/>
        <w:rPr>
          <w:sz w:val="20"/>
          <w:szCs w:val="20"/>
          <w:color w:val="auto"/>
        </w:rPr>
      </w:pPr>
      <w:r>
        <w:rPr>
          <w:rFonts w:ascii="Arial" w:cs="Arial" w:eastAsia="Arial" w:hAnsi="Arial"/>
          <w:sz w:val="15"/>
          <w:szCs w:val="15"/>
          <w:color w:val="auto"/>
        </w:rPr>
        <w:t>that would have been received upon the exercise or realization of the award at the closing of the transaction, which payment may be subject to any escrow applicable to holders of our common stock in connection with the transaction or subjected to the award’s original vesting schedule. The administrator will not be required to treat all awards or portions thereof the vested and unvested portions of an award, or all participants similarly.</w:t>
      </w:r>
    </w:p>
    <w:p>
      <w:pPr>
        <w:spacing w:after="0" w:line="172"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In the event that a successor corporation or its parent or subsidiary does not continue an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unless specifically provided for otherwise under the applicable award agreement or other written agreement with the participant. The award will then terminate upon the expiration of the specified period of time. If an option or stock appreciation right is not continued,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70"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With respect to awards granted to an outside director, in the event of a change in control, all of his or her options and stock appreciation rights, if any, will vest fully and become immediately exercisable, all restrictions on his or her restricted stock and RSUs will lapse, and all performance goals or other vesting requirements for his or her performance awards will be deemed achieved at 100% of target levels, and all other terms and conditions met.</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Clawback</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Awards will be subject to any clawback policy that we are required to adopt pursuant to the listing standards of any national securities exchange or association on which our stock is listed or as otherwise required by applicable laws, and the administrator will also be able to specify in an award agreement that the participant’s rights, payments, and/or benefits with respect to an award will be subject to reduction, cancellation, forfeiture, and/or recoupment upon the occurrence of certain specified events.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administrator has the authority to amend, alter, suspend, or terminate our 2020 Plan, provided we will obtain stockholder approval of any amendment to the extent necessary or desirable to comply with applicable laws. However, no amendment, alteration, suspension or termination of our 2020 Plan or an Award under it may, taken as a whole, materially impair the existing rights of any participant without the participant’s consent. Our 2020 Plan will continue in effect until it is terminated, provided that incentive stock options may not be granted after the ten year anniversary of the date our board of directors approved the 2020 Plan, and the automatic annual share increase will end on the ten year anniversary of the date our board of directors approved the 2020 Plan.</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2012 Stock Plan</w:t>
      </w:r>
    </w:p>
    <w:p>
      <w:pPr>
        <w:spacing w:after="0" w:line="105"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Our 2012 Plan was originally adopted by the board of directors of Upstart Network, Inc. in April 2012 and was assumed by Upstart Holdings, Inc. in December 2013 pursuant to a restructuring.</w:t>
      </w:r>
    </w:p>
    <w:p>
      <w:pPr>
        <w:spacing w:after="0" w:line="166"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Our 2012 Plan provides for the grant of incentive stock options (within the meaning of Section 422 of the Code), or ISOs, to our employees and any of our parent and subsidiary corporations’ employees, and for the grant of nonstatutory stock options, or NSOs and restricted stock to our employees and consultants, and our parent, subsidiary, and affiliate corporations’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0220"/>
          </w:cols>
          <w:pgMar w:left="320" w:top="407" w:right="1359" w:bottom="1440" w:gutter="0" w:footer="0" w:header="0"/>
        </w:sectPr>
      </w:pPr>
    </w:p>
    <w:bookmarkStart w:id="195" w:name="page196"/>
    <w:bookmarkEnd w:id="1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300"/>
        <w:spacing w:after="0"/>
        <w:rPr>
          <w:sz w:val="20"/>
          <w:szCs w:val="20"/>
          <w:color w:val="auto"/>
        </w:rPr>
      </w:pPr>
      <w:r>
        <w:rPr>
          <w:rFonts w:ascii="Arial" w:cs="Arial" w:eastAsia="Arial" w:hAnsi="Arial"/>
          <w:sz w:val="15"/>
          <w:szCs w:val="15"/>
          <w:color w:val="auto"/>
        </w:rPr>
        <w:t>employees and consultants. One business day prior to the effectiveness of the registration statement of which this prospectus forms a part, our 2012 Plan will be terminated, and we will not grant any additional awards under our 2012 Plan thereafter. However, our 2012 Plan will continue to govern the terms and conditions of the outstanding awards previously granted under our 2012 Plan.</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options to purchase 16,502,206 shares of our common stock were outstanding under our 2012 Plan.</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Plan Administration</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2012 Plan is administered by our board of directors or one or more committees appointed by our board of directors. Each committee will consist of two or more members of our board of directors and will have such authority and be responsible for such functions as our board of directors has assigned to it (the board of directors, or its designated committee, the “administrator”). Our board of directors may also authorize one or more of our officers to administer the 2012 Plan within the parameters specified by the board of directors. All decisions, interpretations, and other actions of the administrator are final and binding on all participants and all persons deriving their rights from a participant.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Subject to the provisions of our 2012 Plan, the administrator has the power to determine the fair market value of shares of stock, to select the participants to whom awards may be granted, to determine the number of shares covered by an award, to approve the form(s) of agreement(s) and other related documents used under our 2012 Plan, to determine the term and conditions of awards, to amend awards or related agreements, to determine under what circumstances an option may be settled in cash, to institute an exchange program by which outstanding awards may be surrendered in exchange for awards with a higher or lower exercise price, to grant awards to foreign nationals or participants employed outside of the United States, and to construe and interpret the terms of the 2012 Plan and agreements related to awards.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Eligibility</w:t>
      </w:r>
    </w:p>
    <w:p>
      <w:pPr>
        <w:spacing w:after="0" w:line="10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Employees, consultants and directors of ours and employees, consultants or directors or our parent, subsidiary, and affiliate companies are eligible to receive awards. Only our employees or employees of our parent or subsidiary companies are eligible to receive incentive stock options.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 Options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Stock options have been granted under our 2012 Plan. Subject to the provisions of our 2012 Plan, the administrator determines the term of an option, the number of shares subject to an option and the time period in which an option may be exercised.</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incentive stock option granted to a person who owns more than 10% of the total combined voting power of all classes of our outstanding stock or of our parent or any subsidiary may have a term of no longer than five years from the grant date and must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those of any parent or subsidiary) exceeds $100,000, such options will be treated as nonstatutory stock options.</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0200"/>
          </w:cols>
          <w:pgMar w:left="320" w:top="407" w:right="1379" w:bottom="1440" w:gutter="0" w:footer="0" w:header="0"/>
        </w:sectPr>
      </w:pPr>
    </w:p>
    <w:bookmarkStart w:id="196" w:name="page197"/>
    <w:bookmarkEnd w:id="1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administrator determines how a participant may pay the exercise price of an option, and the permissible methods are generally set forth in the applicable award agreement. If a participant’s “continuous service status” (as defined in our 2012 Plan) terminates, that participant may exercise the vested portion of his or her option for the period of time stated in the applicable award agreement. If the award agreement does not specify the terms and conditions upon which an option shall terminate upon termination of a participant’s continuous service status, the 2012 Plan provides that the vested portion of such option will (i) be exercisable for three months following the participant’s termination for reasons other than death, disability or cause, (ii) be exercisable for twelve months following the participant’s termination for reasons of death or disability, and (iii) terminate immediately upon the participant’s termination for “cause,” as defined in the 2012 Plan.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Restricted Stock</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Restricted stock may be granted under our 2012 Plan. Restricted stock awards are grants of shares of our common stock that vest in accordance with terms and conditions established by the administrator (if any). The administrator will determine the number of shares of restricted stock granted to any employee, consultant or director and, subject to the provisions of our 2012 Plan, will determine any terms and conditions of such awards. The restricted stock will vest at such rate as the administrator may determine. Once the restricted stock is purchased or issued, the participant will have the rights equivalent to those of a holder of capital stock. No adjustment will be made for a dividend or other right for which the record date is prior to the date the restricted stock is purchased or received, except as otherwise provided in the 2012 Plan.</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 of Awards</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Except as set forth in the 2012 Plan, awards may not be sold, pledged, assigned, hypothecated, transferred or disposed of in any manner other than by will or by the laws of descent or distribution. The designation of a beneficiary by a participant will not constitute a transfer. An option may be exercised during the lifetime of the holder of the option, only by such holder or a transferee permitted by the 2012 Plan.</w:t>
      </w:r>
    </w:p>
    <w:p>
      <w:pPr>
        <w:spacing w:after="0" w:line="172"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administrator may in its sole discretion grant nonstatutory stock options that may be transferred by instrument to an inter vivos or testamentary trust in which the options are to be passed to beneficiaries upon the death of the trustor or by gift to family members.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Certain Adjustments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the event of a stock split, reverse stock split, stock dividend, combination, consolidation, reclassification of the shares or subdivision of the shares, proportionate adjustments will automatically be made in each of (i) the numbers and class of shares or other stock or securities: (x) available for future awards under the 2012 Plan and (y) covered by each outstanding award, (ii) the exercise price per share of each such outstanding option, and (iii) any repurchase price per share applicable to shares issued pursuant to any award. In the event of any increase or decrease in the number of issued shares effected without receipt of consideration by us, a declaration of an extraordinary dividend with respect to the shares payable in a form other than shares in an amount that has a material effect on the fair market value, a recapitalization (including a recapitalization through a large nonrecurring cash dividend), a rights offering, a reorganization, merger, a spin-off, split-up, change in corporate structure or a similar occurrence, the administrator at its sole discretion may make appropriate adjustments in one or more of the items listed in (i) through (iii) above.</w:t>
      </w:r>
    </w:p>
    <w:p>
      <w:pPr>
        <w:spacing w:after="0" w:line="119"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0220"/>
          </w:cols>
          <w:pgMar w:left="320" w:top="407" w:right="1359" w:bottom="1440" w:gutter="0" w:footer="0" w:header="0"/>
        </w:sectPr>
      </w:pPr>
    </w:p>
    <w:bookmarkStart w:id="197" w:name="page198"/>
    <w:bookmarkEnd w:id="1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Mergers and Consolidations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the event of (i) a transfer of all or substantially all of our assets, (ii) a merger, consolidation or other capital reorganization or business combination transaction of us with or into another corporation, entity or person, or (iii) the consummation of a transaction, or series of related transactions, in which any person becomes the beneficial owner, directly or indirectly, of more than 50% of our outstanding capital stock (each a “corporate transaction”), each outstanding award will be treated as the administrator determines. The administrator’s determination may be made without the consent of any participant and need not treat all outstanding awards in an identical manner. The administrator’s determination may provide for one or more of the following without limitation with respect to each outstanding award: (i) the continuation of outstanding awards by us; (ii) the assumption of outstanding awards by the surviving corporation or its parent; (iii) the substitution by the surviving corporation or its parent of new options or equity awards for such awards; (iv) the cancellation of awards and a payment to the participants equal to the excess of (x) the fair market value of the shares subject to awards as of the closing date of the corporate transaction over (y) the exercise price or purchase price for the shares to be issued pursuant to the exercise of awards; or (v) the cancellation of awards for no consideration.</w:t>
      </w:r>
    </w:p>
    <w:p>
      <w:pPr>
        <w:spacing w:after="0" w:line="174"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With respect to awards providing for accelerated vesting in connection with any termination of service that occurs on or after a corporate transaction, if the successor does not agree to assume the award, or to substitute an equivalent award or right for the award, then any acceleration of vesting that would otherwise occur upon such termination of service will occur immediately prior to, and contingent upon, the consummation of the corporate transaction.</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and Termination</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board of directors may amend or terminate our 2012 Plan at any time; provided, however no amendment or termination will be made that would materially and adversely affect the rights of any participant under any outstanding award, without his or her consent. To the extent necessary and desirable to comply with applicable laws, we will obtain the approval of holders of capital stock with respect to any amendments to our 2012 Plan as required. As noted above, one business day prior to the effectiveness of the registration statement of which this prospectus forms a part, our 2012 Plan will be terminated, and we will not grant any additional awards under our 2012 Plan thereafter.</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2020 Employee Stock Purchase Plan</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In October 2020, our board of directors adopted, and in November 2020 our board of directors amended and our stockholders approved, our ESPP. Our ESPP became effective on the business day immediately prior to the effective date of the registration statement of which this prospectus forms a part.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Authorized Shares</w:t>
      </w:r>
    </w:p>
    <w:p>
      <w:pPr>
        <w:spacing w:after="0" w:line="105"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Subject to the adjustment provisions of our ESPP, a total of 1,380,000 shares of our common stock are reserved for issuance pursuant to our ESPP. The number of shares available for issuance under our ESPP also includes an annual increase on the first day of each fiscal year beginning with the 2021 fiscal year in an amount equal to the least of:</w:t>
      </w:r>
    </w:p>
    <w:p>
      <w:pPr>
        <w:spacing w:after="0" w:line="91" w:lineRule="exact"/>
        <w:rPr>
          <w:sz w:val="20"/>
          <w:szCs w:val="20"/>
          <w:color w:val="auto"/>
        </w:rPr>
      </w:pPr>
    </w:p>
    <w:p>
      <w:pPr>
        <w:ind w:left="1660" w:hanging="183"/>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2,000,000 shares of our common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1% of the outstanding shares of our common stock on the last day of our immediately preceding fiscal year;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such number of shares of our common stock as the administrator may determine.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0180"/>
          </w:cols>
          <w:pgMar w:left="320" w:top="407" w:right="1399" w:bottom="1440" w:gutter="0" w:footer="0" w:header="0"/>
        </w:sectPr>
      </w:pPr>
    </w:p>
    <w:bookmarkStart w:id="198" w:name="page199"/>
    <w:bookmarkEnd w:id="1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ESPP Administration</w:t>
      </w:r>
    </w:p>
    <w:p>
      <w:pPr>
        <w:spacing w:after="0" w:line="105"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The compensation committee of our board of directors administers our ESPP and has full and 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Eligibility</w:t>
      </w:r>
    </w:p>
    <w:p>
      <w:pPr>
        <w:spacing w:after="0" w:line="105" w:lineRule="exact"/>
        <w:rPr>
          <w:sz w:val="20"/>
          <w:szCs w:val="20"/>
          <w:color w:val="auto"/>
        </w:rPr>
      </w:pPr>
    </w:p>
    <w:p>
      <w:pPr>
        <w:ind w:left="1020" w:right="40" w:firstLine="460"/>
        <w:spacing w:after="0" w:line="236" w:lineRule="auto"/>
        <w:rPr>
          <w:sz w:val="20"/>
          <w:szCs w:val="20"/>
          <w:color w:val="auto"/>
        </w:rPr>
      </w:pPr>
      <w:r>
        <w:rPr>
          <w:rFonts w:ascii="Arial" w:cs="Arial" w:eastAsia="Arial" w:hAnsi="Arial"/>
          <w:sz w:val="15"/>
          <w:szCs w:val="15"/>
          <w:color w:val="auto"/>
        </w:rPr>
        <w:t>Generally, all of our employees will be eligible to participate if they are customarily employed by us, or any participating subsidiary or affiliate, for at least 20 hours per week and more than five months in any calendar year. The administrator, in its discretion, may, prior to an enrollment date, for all options to be granted on such enrollment date in an offering, determine that an employee who (i) has not completed at least two years of service (or a lesser period of time determined by the administrator) since his or her last hire date, (ii) customarily works not more than 20 hours per week (or a lesser period of time determined by the administrator), (iii) customarily works not more than five months per calendar year (or a lesser period of time determined by the administrator), (iv) is a highly compensated employee within the meaning of Section 414(q) of the Code, or (v)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7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However, an employee may not be granted rights to purchase shares of our common stock under our ESPP if such employee:</w:t>
      </w:r>
    </w:p>
    <w:p>
      <w:pPr>
        <w:spacing w:after="0" w:line="98" w:lineRule="exact"/>
        <w:rPr>
          <w:sz w:val="20"/>
          <w:szCs w:val="20"/>
          <w:color w:val="auto"/>
        </w:rPr>
      </w:pPr>
    </w:p>
    <w:p>
      <w:pPr>
        <w:jc w:val="both"/>
        <w:ind w:left="1660" w:right="120" w:hanging="183"/>
        <w:spacing w:after="0" w:line="245" w:lineRule="auto"/>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immediately after the grant would own capital stock and/or hold outstanding options to purchase such shares possessing 5% or more of the total combined voting power or value of all classes of capital stock of ours or of any parent or subsidiary of ours; or</w:t>
      </w:r>
    </w:p>
    <w:p>
      <w:pPr>
        <w:spacing w:after="0" w:line="87" w:lineRule="exact"/>
        <w:rPr>
          <w:rFonts w:ascii="Arial" w:cs="Arial" w:eastAsia="Arial" w:hAnsi="Arial"/>
          <w:sz w:val="15"/>
          <w:szCs w:val="15"/>
          <w:color w:val="auto"/>
        </w:rPr>
      </w:pPr>
    </w:p>
    <w:p>
      <w:pPr>
        <w:ind w:left="1660" w:right="340" w:hanging="183"/>
        <w:spacing w:after="0"/>
        <w:tabs>
          <w:tab w:leader="none" w:pos="16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holds rights to purchase shares of our common stock under all employee share purchase plans of ours or any parent or subsidiary of ours that accrue at a rate that exceeds $25,000 worth of our shares of common stock for each calendar year in which such rights are outstanding at any time.</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Offering Periods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ESPP includes a component that allows us to make offerings intended to qualify under Section 423 of the Code and a component that allows us to make offerings not intended to qualify under Section 423 of the Code to designated companies, as described in our ESPP. Our ESPP will provide for consecutive six-month offering periods. The offering periods will be scheduled to start on the first trading day on or after February 15 and August 15 of each year, except the first offering period will commence on the first trading day on or after the effective date of the registration statement of which this prospectus forms a part and will end on the first trading day on or before August 15, 2021, and the second offering period will commence on the last trading day on or after August 15, 2021.</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Contributions</w:t>
      </w:r>
    </w:p>
    <w:p>
      <w:pPr>
        <w:spacing w:after="0" w:line="10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Our ESPP permits participants to purchase our shares of common stock through contributions (in the form of payroll deductions or otherwise to the extent permitted by the administrator) of up to 15%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189</w:t>
      </w:r>
    </w:p>
    <w:p>
      <w:pPr>
        <w:sectPr>
          <w:pgSz w:w="11900" w:h="16838" w:orient="portrait"/>
          <w:cols w:equalWidth="0" w:num="1">
            <w:col w:w="10220"/>
          </w:cols>
          <w:pgMar w:left="320" w:top="407" w:right="1359" w:bottom="1440" w:gutter="0" w:footer="0" w:header="0"/>
        </w:sectPr>
      </w:pPr>
    </w:p>
    <w:bookmarkStart w:id="199" w:name="page200"/>
    <w:bookmarkEnd w:id="1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spacing w:after="0" w:line="238" w:lineRule="auto"/>
        <w:rPr>
          <w:sz w:val="20"/>
          <w:szCs w:val="20"/>
          <w:color w:val="auto"/>
        </w:rPr>
      </w:pPr>
      <w:r>
        <w:rPr>
          <w:rFonts w:ascii="Arial" w:cs="Arial" w:eastAsia="Arial" w:hAnsi="Arial"/>
          <w:sz w:val="15"/>
          <w:szCs w:val="15"/>
          <w:color w:val="auto"/>
        </w:rPr>
        <w:t>their eligible compensation, which includes a participant’s gross payments of base salary but excludes payments for incentive compensation, bonuses, payments for overtime and shift premium, equity compensation income and other similar compensation. Unless otherwise determined by the administrator, a participant may make a one-time decrease (but not increase) to the rate of his or her contributions during an offering period, provided that during the first offering period under the ESPP a participant may decrease the rate of his or her contributions two times.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Exercise of Purchase Right</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Amounts contributed and accumulated by the participant will be used to purchase our shares of common stock at the end of each offering. A participant may purchase a maximum of 2,000 shares of our common stock during an offering period. The purchase price of the shares will be 85% of the lower of the fair market value of our shares of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Non-Transferability</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 participant may not transfer contributions credited to his or her account nor any rights granted under our ESPP other than by will, the laws of descent and distribution or as otherwise provided under our ESPP.</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Merger or Change in Control</w:t>
      </w:r>
    </w:p>
    <w:p>
      <w:pPr>
        <w:spacing w:after="0" w:line="10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ESPP provides that in the event of a merger or change in control, as defined under our ESPP, a successor corporation (or a parent or subsidiary of the successor corporation) will assume or substitute each outstanding purchase right. If the successor corporation refuses to assume or substitute for the outstanding purchase right, the offering period with respect to which the purchase right relates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Termination</w:t>
      </w:r>
    </w:p>
    <w:p>
      <w:pPr>
        <w:spacing w:after="0" w:line="105" w:lineRule="exact"/>
        <w:rPr>
          <w:sz w:val="20"/>
          <w:szCs w:val="20"/>
          <w:color w:val="auto"/>
        </w:rPr>
      </w:pPr>
    </w:p>
    <w:p>
      <w:pPr>
        <w:ind w:left="1020" w:right="380" w:firstLine="460"/>
        <w:spacing w:after="0" w:line="245" w:lineRule="auto"/>
        <w:rPr>
          <w:sz w:val="20"/>
          <w:szCs w:val="20"/>
          <w:color w:val="auto"/>
        </w:rPr>
      </w:pPr>
      <w:r>
        <w:rPr>
          <w:rFonts w:ascii="Arial" w:cs="Arial" w:eastAsia="Arial" w:hAnsi="Arial"/>
          <w:sz w:val="15"/>
          <w:szCs w:val="15"/>
          <w:color w:val="auto"/>
        </w:rPr>
        <w:t>The administrator has the authority to amend, suspend or terminate our ESPP. Our ESPP automatically will terminate in 2040, unless we terminate it sooner.</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2019 Bonus Plan</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In May 2019, our board of directors adopted an annual bonus plan for calendar year 2019, which we refer to as the 2019 Bonus Plan. Mr. Datta and Mr. Gu were participants in the 2019 Bonus Plan. The 2019 Bonus Plan provided for non-equity incentive compensation based upon the combined achievement of individual and corporate performance goals over calendar year 2019. The corporate performance goals under the 2019 Bonus Plan consisted of revenue attainment and operating profit over calendar year 2019.</w:t>
      </w:r>
    </w:p>
    <w:p>
      <w:pPr>
        <w:spacing w:after="0" w:line="172"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Under the 2019 Bonus Plan, bonus payments were determined by multiplying each participant’s target bonus by (i) a factor determined by individual performance, capped at 150%, and (ii) a factor determined by the achievement of the corporate performance goals, capped at 200%. We refer to the attainment of such factors as individual and corporate multipliers, respectively.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0220"/>
          </w:cols>
          <w:pgMar w:left="320" w:top="407" w:right="1359" w:bottom="1440" w:gutter="0" w:footer="0" w:header="0"/>
        </w:sectPr>
      </w:pPr>
    </w:p>
    <w:bookmarkStart w:id="200" w:name="page201"/>
    <w:bookmarkEnd w:id="2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individual multiplier was based on achievement of individual goals over calendar year 2019. The individual multiplier scaled from 0% to 150% depending on our assessment of individual performance.</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corporate multiplier was based on the product of (i) the revenue multiplier derived from the achievement of revenue attainment goals and (ii) the profitability multiplier derived from the achievement of operating profit goals over calendar year 2019. With respect to revenue attainment goals, the revenue multiplier scaled linearly from zero to 100% between 66% of the target revenue attainment goal and 100% of the target revenue attainment goal, and scaled linearly from 100% to 200% between 100% of the target revenue attainment goal and 166% of the target revenue attainment goal. With respect to operating profit goals, the profitability multiplier scaled linearly from zero to 100% between 0% of the target operating profit goal and 100% of the target operating profit goal, and scaled linearly from 100% to 200% between 100% of the target operating profit goal and 200% of the target operating profit goal.</w:t>
      </w:r>
    </w:p>
    <w:p>
      <w:pPr>
        <w:spacing w:after="0" w:line="171"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In January 2020, our compensation committee reviewed achievement of the corporate performance goals for calendar year 2019, and approved a corporate multiplier of 120%.</w:t>
      </w:r>
    </w:p>
    <w:p>
      <w:pPr>
        <w:spacing w:after="0" w:line="166"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2019 Bonus Plan required a participant’s continued employment through the bonus payment date in order to receive a bonus for the applicable performance period.</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401(k) Plan</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We maintain a 401(k) plan for employees. The 401(k) is intended to qualify under Section 401(k) of the Code, so that contributions to the 401(k) plan by employees or by us, and the investment earnings thereon, are not taxable to the employees until withdrawn, and so that contributions made by us, if any, will be deductible by us when made. Employees may elect to reduce their current compensation by up to the statutorily prescribed annual limits and to have the amount of such reduction contributed to their 401(k) plans. The 401(k) plan permits us to make contributions up to the limits allowed by law on behalf of all eligible employees.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Employee Incentive Compensation Plan</w:t>
      </w:r>
    </w:p>
    <w:p>
      <w:pPr>
        <w:spacing w:after="0" w:line="105"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In October 2020, our board of directors approved our Employee Incentive Compensation Plan, or Master Bonus Plan which became effective on the date it was approved. Messrs. Girouard, Datta and Gu are participants in the Master Bonus Plan, and 2020 annual bonuses, if any will be paid pursuant to the Master Bonus Plan.</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Our board of directors or a committee appointed by our board of directors administers the Master Bonus Plan, provided that unless and until our board of directors determines otherwise, our compensation committee will administer the Master Bonus Plan. The Master Bonus Plan allows the administrator to provide awards to employees selected for participation, who may include our named executive officers, which awards may be based upon performance goals established by the administrator. The administrator, in its sole discretion, may establish a target award for each participant under the Master Bonus Plan, which may be expressed as a percentage of the participant’s average annual base salary for the applicable performance period, a fixed dollar amount, or such other amount or based on such other formula as the administrator determines to be appropriate.</w:t>
      </w:r>
    </w:p>
    <w:p>
      <w:pPr>
        <w:spacing w:after="0" w:line="171"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Under the Master Bonus Plan, the administrator determines the performance goals, if any, applicable to any target award (or portion thereof) for a performance period, which may include, without limitation, goals related to: attainment of research and development milestones; sales bookings; business divestitures and acquisitions; capital raising; cash flow; cash position; contract awards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0180"/>
          </w:cols>
          <w:pgMar w:left="320" w:top="407" w:right="1399" w:bottom="1440" w:gutter="0" w:footer="0" w:header="0"/>
        </w:sectPr>
      </w:pPr>
    </w:p>
    <w:bookmarkStart w:id="201" w:name="page202"/>
    <w:bookmarkEnd w:id="2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0"/>
        <w:spacing w:after="0" w:line="235" w:lineRule="auto"/>
        <w:rPr>
          <w:sz w:val="20"/>
          <w:szCs w:val="20"/>
          <w:color w:val="auto"/>
        </w:rPr>
      </w:pPr>
      <w:r>
        <w:rPr>
          <w:rFonts w:ascii="Arial" w:cs="Arial" w:eastAsia="Arial" w:hAnsi="Arial"/>
          <w:sz w:val="15"/>
          <w:szCs w:val="15"/>
          <w:color w:val="auto"/>
        </w:rPr>
        <w:t>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loans and loan originations; and individual objectives such as peer reviews or other subjective or objective criteria. As determined by the administrator, the performance goals may be based on GAAP or non GAAP results and any actual results may be adjusted by the administrator for one-time items or unbudgeted or unexpected items and/or payments of awards under the Master Bonus Plan when determining whether the performance goals have been met. The performance goals may be based on any factors the administrator determines relevant, including without limitation on an individual, divisional, portfolio, project, business unit, segment or company-wide basis. Any criteria used may be measured on such basis as the administrator determines, including without limitation: (a) in absolute terms, (b) in combination with another performance goal or goals (for example, but not by way of limitation, as a ratio or matrix),</w:t>
      </w:r>
    </w:p>
    <w:p>
      <w:pPr>
        <w:spacing w:after="0" w:line="2" w:lineRule="exact"/>
        <w:rPr>
          <w:sz w:val="20"/>
          <w:szCs w:val="20"/>
          <w:color w:val="auto"/>
        </w:rPr>
      </w:pPr>
    </w:p>
    <w:p>
      <w:pPr>
        <w:ind w:left="1020" w:right="100" w:firstLine="7"/>
        <w:spacing w:after="0" w:line="237" w:lineRule="auto"/>
        <w:tabs>
          <w:tab w:leader="none" w:pos="1237"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in relative terms (including, but not limited to, results for other periods, passage of time and/or against another company or companies or an index or indices), (d) on a per-share basis, (e) against our performance as a whole or a segment and/or (f) on a pre-tax or after-tax basis. The performance goals may differ from participant to participant and from award to award. Failure to meet the applicable performance goals will result in a failure to earn the target award, subject to the administrator’s discretion to modify an award. The administrator also may determine that a target award (or portion thereof) will not have a performance goal associated with it but instead will be granted (if at all) as determined by the administrator.</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administrator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administrator’s discretion. The administrator may determine the amount of any increase, reduction, or elimination on the basis of such factors as it deems relevant, and it is not required to establish any allocation or weighting with respect to the factors it considers.</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Actual awards under the Master Bonus Plan generally will be paid in cash (or its equivalent) in a single lump sum only after they are earned and approved by the administrator, provided that the administrator reserves the right, in its sole discretion, to settle an actual award with a grant of an equity award with such terms and conditions, including vesting requirements, as determined by the administrator in its sole discretion. Unless otherwise determined by administrator, to earn an actual award, a participant must be employed by us (or an affiliate of us, as applicable) through the date the bonus is paid. Payment of bonuses occurs as soon as administratively practicable after the end of the applicable performance period, but in no case after the later of (i) the 15th day of the third month of the fiscal year immediately following the fiscal year in which the bonuses vest and (ii) March 15 of the calendar year immediately following the calendar year in which the bonuses vest.</w:t>
      </w:r>
    </w:p>
    <w:p>
      <w:pPr>
        <w:spacing w:after="0" w:line="170"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Awards under our Master Bonus Plan will be subject to reduction, cancellation, forfeiture, or recoupment in accordance with any clawback policy that we adopt pursuant to the listing standards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0220"/>
          </w:cols>
          <w:pgMar w:left="320" w:top="407" w:right="1359" w:bottom="1440" w:gutter="0" w:footer="0" w:header="0"/>
        </w:sectPr>
      </w:pPr>
    </w:p>
    <w:bookmarkStart w:id="202" w:name="page203"/>
    <w:bookmarkEnd w:id="2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79"/>
        <w:spacing w:after="0" w:line="238" w:lineRule="auto"/>
        <w:rPr>
          <w:sz w:val="20"/>
          <w:szCs w:val="20"/>
          <w:color w:val="auto"/>
        </w:rPr>
      </w:pPr>
      <w:r>
        <w:rPr>
          <w:rFonts w:ascii="Arial" w:cs="Arial" w:eastAsia="Arial" w:hAnsi="Arial"/>
          <w:sz w:val="15"/>
          <w:szCs w:val="15"/>
          <w:color w:val="auto"/>
        </w:rPr>
        <w:t>any national securities exchange or association on which our securities are listed or as is otherwise required by the Dodd-Frank Wall Street Reform and Consumer Protection Act or other applicable laws. In addition, the administrator may impose such other clawback, recovery or recoupment provisions with respect to an award under the Master Bonus Plan as the administrator determines necessary or appropriate, including without limitation a reacquisition right in respect of previously acquired cash, stock, or other property provided with respect to an award.</w:t>
      </w:r>
    </w:p>
    <w:p>
      <w:pPr>
        <w:spacing w:after="0" w:line="170" w:lineRule="exact"/>
        <w:rPr>
          <w:sz w:val="20"/>
          <w:szCs w:val="20"/>
          <w:color w:val="auto"/>
        </w:rPr>
      </w:pPr>
    </w:p>
    <w:p>
      <w:pPr>
        <w:ind w:left="1020" w:right="159" w:firstLine="460"/>
        <w:spacing w:after="0"/>
        <w:rPr>
          <w:sz w:val="20"/>
          <w:szCs w:val="20"/>
          <w:color w:val="auto"/>
        </w:rPr>
      </w:pPr>
      <w:r>
        <w:rPr>
          <w:rFonts w:ascii="Arial" w:cs="Arial" w:eastAsia="Arial" w:hAnsi="Arial"/>
          <w:sz w:val="15"/>
          <w:szCs w:val="15"/>
          <w:color w:val="auto"/>
        </w:rPr>
        <w:t>The administrator will have the authority to amend or terminate the Master Bonus Plan. However, such action may not materially alter or materially impair the existing rights of any participant with respect to any earned bonus without the participant’s consent. The Master Bonus Plan will remain in effect until terminated in accordance with the terms of the Master Bonus Plan.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0139"/>
          </w:cols>
          <w:pgMar w:left="320" w:top="407" w:right="1440" w:bottom="1440" w:gutter="0" w:footer="0" w:header="0"/>
        </w:sectPr>
      </w:pPr>
    </w:p>
    <w:bookmarkStart w:id="203" w:name="page204"/>
    <w:bookmarkEnd w:id="2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3240"/>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95" w:lineRule="exact"/>
        <w:rPr>
          <w:sz w:val="20"/>
          <w:szCs w:val="20"/>
          <w:color w:val="auto"/>
        </w:rPr>
      </w:pPr>
    </w:p>
    <w:p>
      <w:pPr>
        <w:ind w:left="1020" w:right="540" w:firstLine="460"/>
        <w:spacing w:after="0"/>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discussed in the sections titled “Management” and “Executive Compensation,” the following is a description of each transaction since January 1, 2017 and each currently proposed transaction in which:</w:t>
      </w:r>
    </w:p>
    <w:p>
      <w:pPr>
        <w:spacing w:after="0" w:line="91" w:lineRule="exact"/>
        <w:rPr>
          <w:sz w:val="20"/>
          <w:szCs w:val="20"/>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amount involved exceeded or exceeds $120,000; and</w:t>
      </w:r>
    </w:p>
    <w:p>
      <w:pPr>
        <w:spacing w:after="0" w:line="97" w:lineRule="exact"/>
        <w:rPr>
          <w:rFonts w:ascii="Arial" w:cs="Arial" w:eastAsia="Arial" w:hAnsi="Arial"/>
          <w:sz w:val="15"/>
          <w:szCs w:val="15"/>
          <w:color w:val="auto"/>
        </w:rPr>
      </w:pPr>
    </w:p>
    <w:p>
      <w:pPr>
        <w:ind w:left="1660" w:right="20" w:hanging="183"/>
        <w:spacing w:after="0"/>
        <w:tabs>
          <w:tab w:leader="none" w:pos="16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42"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Equity Financings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Series D Convertible Preferred Stock Financing</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From December 2018 to April 2019, we sold an aggregate of 6,010,911 shares of our Series D convertible preferred stock at a purchase price of $9.000295 per share, for an aggregate purchase price of $54.1 million. The following table summarizes purchases of our Series D convertible preferred stock by related persons:</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Shares of</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9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Series D</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9"/>
              </w:rPr>
              <w:t>Convertible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Stockholder</w:t>
            </w: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Preferred</w:t>
            </w:r>
          </w:p>
        </w:tc>
        <w:tc>
          <w:tcPr>
            <w:tcW w:w="140" w:type="dxa"/>
            <w:vAlign w:val="bottom"/>
          </w:tcPr>
          <w:p>
            <w:pPr>
              <w:spacing w:after="0"/>
              <w:rPr>
                <w:sz w:val="11"/>
                <w:szCs w:val="11"/>
                <w:color w:val="auto"/>
              </w:rPr>
            </w:pPr>
          </w:p>
        </w:tc>
        <w:tc>
          <w:tcPr>
            <w:tcW w:w="118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Total Purchase</w:t>
            </w:r>
          </w:p>
        </w:tc>
        <w:tc>
          <w:tcPr>
            <w:tcW w:w="0" w:type="dxa"/>
            <w:vAlign w:val="bottom"/>
          </w:tcPr>
          <w:p>
            <w:pPr>
              <w:spacing w:after="0"/>
              <w:rPr>
                <w:sz w:val="1"/>
                <w:szCs w:val="1"/>
                <w:color w:val="auto"/>
              </w:rPr>
            </w:pPr>
          </w:p>
        </w:tc>
      </w:tr>
      <w:tr>
        <w:trPr>
          <w:trHeight w:val="134"/>
        </w:trPr>
        <w:tc>
          <w:tcPr>
            <w:tcW w:w="6900" w:type="dxa"/>
            <w:vAlign w:val="bottom"/>
            <w:gridSpan w:val="2"/>
            <w:vMerge w:val="continue"/>
          </w:tcPr>
          <w:p>
            <w:pPr>
              <w:spacing w:after="0"/>
              <w:rPr>
                <w:sz w:val="11"/>
                <w:szCs w:val="11"/>
                <w:color w:val="auto"/>
              </w:rPr>
            </w:pPr>
          </w:p>
        </w:tc>
        <w:tc>
          <w:tcPr>
            <w:tcW w:w="980" w:type="dxa"/>
            <w:vAlign w:val="bottom"/>
            <w:gridSpan w:val="2"/>
          </w:tcPr>
          <w:p>
            <w:pPr>
              <w:jc w:val="center"/>
              <w:ind w:right="140"/>
              <w:spacing w:after="0" w:line="134" w:lineRule="exact"/>
              <w:rPr>
                <w:sz w:val="20"/>
                <w:szCs w:val="20"/>
                <w:color w:val="auto"/>
              </w:rPr>
            </w:pPr>
            <w:r>
              <w:rPr>
                <w:rFonts w:ascii="Arial" w:cs="Arial" w:eastAsia="Arial" w:hAnsi="Arial"/>
                <w:sz w:val="12"/>
                <w:szCs w:val="12"/>
                <w:b w:val="1"/>
                <w:bCs w:val="1"/>
                <w:color w:val="auto"/>
                <w:w w:val="97"/>
              </w:rPr>
              <w:t>Stock</w:t>
            </w:r>
          </w:p>
        </w:tc>
        <w:tc>
          <w:tcPr>
            <w:tcW w:w="140" w:type="dxa"/>
            <w:vAlign w:val="bottom"/>
          </w:tcPr>
          <w:p>
            <w:pPr>
              <w:spacing w:after="0"/>
              <w:rPr>
                <w:sz w:val="11"/>
                <w:szCs w:val="11"/>
                <w:color w:val="auto"/>
              </w:rPr>
            </w:pPr>
          </w:p>
        </w:tc>
        <w:tc>
          <w:tcPr>
            <w:tcW w:w="1180" w:type="dxa"/>
            <w:vAlign w:val="bottom"/>
            <w:gridSpan w:val="2"/>
          </w:tcPr>
          <w:p>
            <w:pPr>
              <w:jc w:val="center"/>
              <w:ind w:right="200"/>
              <w:spacing w:after="0" w:line="134" w:lineRule="exact"/>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9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Entities affiliated with Andrew Quigg</w:t>
            </w:r>
            <w:r>
              <w:rPr>
                <w:rFonts w:ascii="Arial" w:cs="Arial" w:eastAsia="Arial" w:hAnsi="Arial"/>
                <w:sz w:val="12"/>
                <w:szCs w:val="12"/>
                <w:color w:val="auto"/>
              </w:rPr>
              <w:t>(1)</w:t>
            </w:r>
          </w:p>
        </w:tc>
        <w:tc>
          <w:tcPr>
            <w:tcW w:w="8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3,011,011</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51" w:lineRule="exact"/>
              <w:rPr>
                <w:sz w:val="20"/>
                <w:szCs w:val="20"/>
                <w:color w:val="auto"/>
              </w:rPr>
            </w:pPr>
            <w:r>
              <w:rPr>
                <w:rFonts w:ascii="Arial" w:cs="Arial" w:eastAsia="Arial" w:hAnsi="Arial"/>
                <w:sz w:val="15"/>
                <w:szCs w:val="15"/>
                <w:color w:val="auto"/>
              </w:rPr>
              <w:t>27,099,987.26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2" w:lineRule="exact"/>
        <w:rPr>
          <w:sz w:val="20"/>
          <w:szCs w:val="20"/>
          <w:color w:val="auto"/>
        </w:rPr>
      </w:pPr>
    </w:p>
    <w:p>
      <w:pPr>
        <w:ind w:left="1480" w:right="100" w:hanging="453"/>
        <w:spacing w:after="0" w:line="246" w:lineRule="auto"/>
        <w:tabs>
          <w:tab w:leader="none" w:pos="148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Shares purchased by Progressive Investment Company, Inc. Andrew Quigg, a former member of our board of directors, is the Chief Strategy Officer of Progressive Insurance, an affiliate of Progressive Investment Company, Inc.</w:t>
      </w: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Investors’ Rights Agreement</w:t>
      </w:r>
    </w:p>
    <w:p>
      <w:pPr>
        <w:spacing w:after="0" w:line="19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We are party to the IRA, which provides, among other things, that certain holders of our capital stock, including entities affiliated with Third Point Ventures LLC, or Third Point, Stone Ridge Trust V, Khosla Ventures, Rakuten, First Round Capital and Progressive have the right to demand that we file a registration statement or request that their shares of our capital stock be covered by a registration statement that we are otherwise filing. Entities affiliated with Dave Girouard, our co-founder, chief executive officer and a member of our board of directors, are party to the IRA. Robert Schwartz, a member of our board of directors, is affiliated with Third Point. Oskar Mielczarek de la Miel, a member of our board of directors, is affiliated with Rakuten. Andrew Quigg, a former member of our board of directors, is affiliated with Progressive. See the section titled “Description of Capital Stock—Registration Rights” for additional information regarding these registration rights.</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Right of First Refusal</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Pursuant to certain of our equity compensation plans and certain agreements with our stockholders, including an amended and restated right of first refusal and co-sale agreement, dated as of December 31, 2018, we or our assignees have a right to purchase shares of our capital stock which stockholders propose to sell to other parties. This right will terminate upon completion of this offering. Dave Girouard, our co-founder, chief executive officer and a member of our board of directors, and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0220"/>
          </w:cols>
          <w:pgMar w:left="320" w:top="407" w:right="1359" w:bottom="1440" w:gutter="0" w:footer="0" w:header="0"/>
        </w:sectPr>
      </w:pPr>
    </w:p>
    <w:bookmarkStart w:id="204" w:name="page205"/>
    <w:bookmarkEnd w:id="20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79"/>
        <w:spacing w:after="0" w:line="238" w:lineRule="auto"/>
        <w:rPr>
          <w:sz w:val="20"/>
          <w:szCs w:val="20"/>
          <w:color w:val="auto"/>
        </w:rPr>
      </w:pPr>
      <w:r>
        <w:rPr>
          <w:rFonts w:ascii="Arial" w:cs="Arial" w:eastAsia="Arial" w:hAnsi="Arial"/>
          <w:sz w:val="15"/>
          <w:szCs w:val="15"/>
          <w:color w:val="auto"/>
        </w:rPr>
        <w:t>entities affiliated with Third Point, Stone Ridge Trust V, Khosla Ventures, Rakuten, First Round Capital and Progressive are party to the right of first refusal and co-sale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44"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auto"/>
        </w:rPr>
        <w:t>Voting Agreement</w:t>
      </w:r>
    </w:p>
    <w:p>
      <w:pPr>
        <w:spacing w:after="0" w:line="195" w:lineRule="exact"/>
        <w:rPr>
          <w:sz w:val="20"/>
          <w:szCs w:val="20"/>
          <w:color w:val="auto"/>
        </w:rPr>
      </w:pPr>
    </w:p>
    <w:p>
      <w:pPr>
        <w:ind w:left="1020" w:right="79" w:firstLine="460"/>
        <w:spacing w:after="0" w:line="236" w:lineRule="auto"/>
        <w:rPr>
          <w:sz w:val="20"/>
          <w:szCs w:val="20"/>
          <w:color w:val="auto"/>
        </w:rPr>
      </w:pPr>
      <w:r>
        <w:rPr>
          <w:rFonts w:ascii="Arial" w:cs="Arial" w:eastAsia="Arial" w:hAnsi="Arial"/>
          <w:sz w:val="15"/>
          <w:szCs w:val="15"/>
          <w:color w:val="auto"/>
        </w:rPr>
        <w:t>We are party to an amended and restated voting agreement, dated as of December 31, 2018, under which certain holders of our capital stock, including entities affiliated with Third Point, Stone Ridge Trust V, Khosla Ventures, Rakuten, First Round Capital and Progressive, have agreed to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 Dave Girouard, our co-founder, chief executive officer and a member of our board of directors, and entities affiliated with Third Point, Stone Ridge Trust V, Khosla Ventures, Rakuten, First Round Capital and Progressive are party to the voting agreement. Robert Schwartz, a member of our board of directors, is affiliated with Third Point. Oskar Mielczarek de la Miel, a member of our board of directors, is affiliated with Rakuten. Andrew Quigg, a former member of our board of directors, is affiliated with Progressive.</w:t>
      </w:r>
    </w:p>
    <w:p>
      <w:pPr>
        <w:spacing w:after="0" w:line="247"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Transactions with Stone Ridge and Affiliated Entities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105" w:lineRule="exact"/>
        <w:rPr>
          <w:sz w:val="20"/>
          <w:szCs w:val="20"/>
          <w:color w:val="auto"/>
        </w:rPr>
      </w:pPr>
    </w:p>
    <w:p>
      <w:pPr>
        <w:ind w:left="1020" w:right="39" w:firstLine="460"/>
        <w:spacing w:after="0" w:line="238" w:lineRule="auto"/>
        <w:rPr>
          <w:sz w:val="20"/>
          <w:szCs w:val="20"/>
          <w:color w:val="auto"/>
        </w:rPr>
      </w:pPr>
      <w:r>
        <w:rPr>
          <w:rFonts w:ascii="Arial" w:cs="Arial" w:eastAsia="Arial" w:hAnsi="Arial"/>
          <w:sz w:val="15"/>
          <w:szCs w:val="15"/>
          <w:color w:val="auto"/>
        </w:rPr>
        <w:t>In September and October 2017, we issued two subordinated convertible promissory notes to Stone Ridge Trust V. Each of the notes had an aggregate principal amount of $5.0 million, an interest rate of 8% per annum and a maturity date of June 30, 2018. On June 30, 2018, the outstanding principal and accrued and unpaid interest of $10.6 million on the notes were converted into 2,932,657 shares of Series C-1 convertible preferred stock at a per share price of $3.612, equal to the issue price in the Series C-1 financing round.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right="119" w:firstLine="460"/>
        <w:spacing w:after="0" w:line="238" w:lineRule="auto"/>
        <w:rPr>
          <w:sz w:val="20"/>
          <w:szCs w:val="20"/>
          <w:color w:val="auto"/>
        </w:rPr>
      </w:pPr>
      <w:r>
        <w:rPr>
          <w:rFonts w:ascii="Arial" w:cs="Arial" w:eastAsia="Arial" w:hAnsi="Arial"/>
          <w:sz w:val="15"/>
          <w:szCs w:val="15"/>
          <w:color w:val="auto"/>
        </w:rPr>
        <w:t>In September and October 2017, we issued two preferred stock purchase warrants to Stone Ridge Trust V in connection with the convertible promissory notes described above. These warrants entitled Stone Ridge Trust V to purchase up to 415,234 shares of Series C-1 convertible preferred stock for a total of $1.5 million. On June 30, 2018, each of the warrants were cancelled when the convertible promissory notes converted into shares of Series C-1 convertible preferred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Whole Loan Purchases</w:t>
      </w:r>
    </w:p>
    <w:p>
      <w:pPr>
        <w:spacing w:after="0" w:line="105" w:lineRule="exact"/>
        <w:rPr>
          <w:sz w:val="20"/>
          <w:szCs w:val="20"/>
          <w:color w:val="auto"/>
        </w:rPr>
      </w:pPr>
    </w:p>
    <w:p>
      <w:pPr>
        <w:ind w:left="1020" w:right="219" w:firstLine="460"/>
        <w:spacing w:after="0"/>
        <w:rPr>
          <w:sz w:val="20"/>
          <w:szCs w:val="20"/>
          <w:color w:val="auto"/>
        </w:rPr>
      </w:pPr>
      <w:r>
        <w:rPr>
          <w:rFonts w:ascii="Arial" w:cs="Arial" w:eastAsia="Arial" w:hAnsi="Arial"/>
          <w:sz w:val="15"/>
          <w:szCs w:val="15"/>
          <w:color w:val="auto"/>
        </w:rPr>
        <w:t>Stone Ridge Trust V and certain affiliated entities purchased whole loans through our platform in the aggregate amount of $509.5 million, $411.9 million, $173.2 million and $226.4 million in 2017, 2018, 2019 and the nine months ended September 30, 2020, respectively.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105" w:lineRule="exact"/>
        <w:rPr>
          <w:sz w:val="20"/>
          <w:szCs w:val="20"/>
          <w:color w:val="auto"/>
        </w:rPr>
      </w:pPr>
    </w:p>
    <w:p>
      <w:pPr>
        <w:ind w:left="1020" w:right="19" w:firstLine="460"/>
        <w:spacing w:after="0"/>
        <w:rPr>
          <w:sz w:val="20"/>
          <w:szCs w:val="20"/>
          <w:color w:val="auto"/>
        </w:rPr>
      </w:pPr>
      <w:r>
        <w:rPr>
          <w:rFonts w:ascii="Arial" w:cs="Arial" w:eastAsia="Arial" w:hAnsi="Arial"/>
          <w:sz w:val="15"/>
          <w:szCs w:val="15"/>
          <w:color w:val="auto"/>
        </w:rPr>
        <w:t>As the sponsor of securitization transactions, we create several legal entities for the roles of depositors, issuers, and grantor trusts and majority-owned affiliates, or MOAs, for each securitization transaction. Concurrently with the closing of the 2017-1, 2017-2, and 2018-1 securitization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0139"/>
          </w:cols>
          <w:pgMar w:left="320" w:top="407" w:right="1440" w:bottom="1440" w:gutter="0" w:footer="0" w:header="0"/>
        </w:sectPr>
      </w:pPr>
    </w:p>
    <w:bookmarkStart w:id="205" w:name="page206"/>
    <w:bookmarkEnd w:id="20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6"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transactions, we sold 80% of our ownership interests in the related MOAs to Stone Ridge Trust V in exchange for approximately</w:t>
      </w:r>
    </w:p>
    <w:p>
      <w:pPr>
        <w:ind w:left="1020" w:right="320"/>
        <w:spacing w:after="0" w:line="245" w:lineRule="auto"/>
        <w:rPr>
          <w:sz w:val="20"/>
          <w:szCs w:val="20"/>
          <w:color w:val="auto"/>
        </w:rPr>
      </w:pPr>
      <w:r>
        <w:rPr>
          <w:rFonts w:ascii="Arial" w:cs="Arial" w:eastAsia="Arial" w:hAnsi="Arial"/>
          <w:sz w:val="15"/>
          <w:szCs w:val="15"/>
          <w:color w:val="auto"/>
        </w:rPr>
        <w:t>$8.0 million, $7.8 million, and $8.0 million, respectively. For more information about these transactions, see Note 3 to our consolidated financial statements.</w:t>
      </w:r>
    </w:p>
    <w:p>
      <w:pPr>
        <w:spacing w:after="0" w:line="166"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In addition, Stone Ridge Trust V and certain affiliated entities also contributed approximately $262.3 million, $100.1 million, and $137.3 million and $45.3 million in loans as collateral in private offering securitization transactions that we sponsored and serviced in 2017, 2018, and 2019 and the nine months ended September 30, 2020, respectively. In connection with these contributions, Stone Ridge Trust V and certain affiliated entities received approximately $62.8 million in asset-backed securities in 2017 and cash payments of $202.5 million, $100.1 million, and $138.5 million and $45.6 million in 2017, 2018 and 2019, and the nine months ended September 30, 2020, respectively.</w:t>
      </w:r>
    </w:p>
    <w:p>
      <w:pPr>
        <w:spacing w:after="0" w:line="172"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As of December 31, 2018, and 2019, and September 30, 2020, the balance of payable to securitization note holders and residual certificate holders due to Stone Ridge Trust V and certain affiliated entities was $22.4 million, $0 and $0, respectively.</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Servicing Fees</w:t>
      </w:r>
    </w:p>
    <w:p>
      <w:pPr>
        <w:spacing w:after="0" w:line="105" w:lineRule="exact"/>
        <w:rPr>
          <w:sz w:val="20"/>
          <w:szCs w:val="20"/>
          <w:color w:val="auto"/>
        </w:rPr>
      </w:pPr>
    </w:p>
    <w:p>
      <w:pPr>
        <w:ind w:left="1020" w:right="180" w:firstLine="460"/>
        <w:spacing w:after="0"/>
        <w:rPr>
          <w:sz w:val="20"/>
          <w:szCs w:val="20"/>
          <w:color w:val="auto"/>
        </w:rPr>
      </w:pPr>
      <w:r>
        <w:rPr>
          <w:rFonts w:ascii="Arial" w:cs="Arial" w:eastAsia="Arial" w:hAnsi="Arial"/>
          <w:sz w:val="15"/>
          <w:szCs w:val="15"/>
          <w:color w:val="auto"/>
        </w:rPr>
        <w:t>We are the servicer of certain loans purchased and held by Stone Ridge Trust V and certain affiliated entities. In 2017, 2018, and 2019 and the nine months ended September 30, 2020, we received servicing fees in the amount of $1.4 million, $2.1 million, and $2.3 million and $1.1 million, respectively, from Stone Ridge Trust V and certain affiliated entities.</w:t>
      </w:r>
    </w:p>
    <w:p>
      <w:pPr>
        <w:spacing w:after="0" w:line="242"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Transactions with Third Point and Affiliated Entities</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Convertible Promissory Note</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September 2017, we issued a subordinated convertible promissory note to Third Point Ventures LLC. The note had an aggregate principal amount of $ 10.0 million, an interest rate of 8% per annum and a maturity date of June 30, 2018. On June 30, 2018, the outstanding principal and accrued and unpaid interest of $10.6 million on the note was converted into 2,938,725 shares of Series C-1 convertible preferred stock at a per share price of $3.612, equal to the issue price in the Series C-1 financing round.</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Warrants</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In September 2017, we issued a preferred stock purchase warrant to Third Point Ventures LLC in connection with the convertible promissory notes described above. The warrant entitled Third Point Ventures LLC to purchase up to 415,234 shares of Series C-1 preferred stock for a total of $1.5 million. On June 30, 2018, the warrant was cancelled when the convertible promissory note converted into shares of Series C-1 convertible preferred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Pass-Through Certificates</w:t>
      </w:r>
    </w:p>
    <w:p>
      <w:pPr>
        <w:spacing w:after="0" w:line="105" w:lineRule="exact"/>
        <w:rPr>
          <w:sz w:val="20"/>
          <w:szCs w:val="20"/>
          <w:color w:val="auto"/>
        </w:rPr>
      </w:pPr>
    </w:p>
    <w:p>
      <w:pPr>
        <w:jc w:val="both"/>
        <w:ind w:left="1020" w:right="220" w:firstLine="460"/>
        <w:spacing w:after="0"/>
        <w:rPr>
          <w:sz w:val="20"/>
          <w:szCs w:val="20"/>
          <w:color w:val="auto"/>
        </w:rPr>
      </w:pPr>
      <w:r>
        <w:rPr>
          <w:rFonts w:ascii="Arial" w:cs="Arial" w:eastAsia="Arial" w:hAnsi="Arial"/>
          <w:sz w:val="15"/>
          <w:szCs w:val="15"/>
          <w:color w:val="auto"/>
        </w:rPr>
        <w:t>Certain entities affiliated with Third Point purchased approximately $219.4 million, and $454.0 million and $199.9 million in pass-through certificates backed by Upstart-powered loans in 2018, and 2019 and the nine months ended September 30, 2020, respectively, from a series trust affiliated with Jefferies LLC.</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In 2017 and 2018, certain entities affiliated with Third Point purchased approximately $9.8 million and $66.1 million of asset-backed securities, respectively, in private offering securitization transactions that we sponsored and serviced.</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0220"/>
          </w:cols>
          <w:pgMar w:left="320" w:top="407" w:right="1359" w:bottom="1440" w:gutter="0" w:footer="0" w:header="0"/>
        </w:sectPr>
      </w:pPr>
    </w:p>
    <w:bookmarkStart w:id="206" w:name="page207"/>
    <w:bookmarkEnd w:id="20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2019 and the nine months ended September 30, 2020, certain entities affiliated with Third Point contributed approximately $340.6 million and $150.3 million, respectively, in loans as collateral in private offering securitization transactions that we sponsored and serviced through a series trust affiliated with Jefferies LLC and related entities. In connection with these contributions, certain entities affiliated with Third Point received approximately $53.5 million and $0 in asset-backed securities and cash payments of $306.9 million and $151.8 million.</w:t>
      </w:r>
    </w:p>
    <w:p>
      <w:pPr>
        <w:spacing w:after="0" w:line="170"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As of December 31, 2018, and 2019 and the period ending September 30, 2020, the balance of payable to securitization note holders and residual certificate holders due to certain entities affiliated with Third Point was $61.4 million, and $41.3 million and $0, respectively.</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Participation in our Initial Public Offering</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 to such entities as they will from any other shares of common stock sold to the public in this offering.</w:t>
      </w:r>
    </w:p>
    <w:p>
      <w:pPr>
        <w:spacing w:after="0" w:line="245"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Other Transactions</w:t>
      </w:r>
    </w:p>
    <w:p>
      <w:pPr>
        <w:spacing w:after="0" w:line="195" w:lineRule="exact"/>
        <w:rPr>
          <w:sz w:val="20"/>
          <w:szCs w:val="20"/>
          <w:color w:val="auto"/>
        </w:rPr>
      </w:pPr>
    </w:p>
    <w:p>
      <w:pPr>
        <w:ind w:left="1020" w:right="280" w:firstLine="460"/>
        <w:spacing w:after="0" w:line="238" w:lineRule="auto"/>
        <w:rPr>
          <w:sz w:val="20"/>
          <w:szCs w:val="20"/>
          <w:color w:val="auto"/>
        </w:rPr>
      </w:pPr>
      <w:r>
        <w:rPr>
          <w:rFonts w:ascii="Arial" w:cs="Arial" w:eastAsia="Arial" w:hAnsi="Arial"/>
          <w:sz w:val="15"/>
          <w:szCs w:val="15"/>
          <w:color w:val="auto"/>
        </w:rPr>
        <w:t>In 2017, 2018, and 2019 and the nine months ended September 30, 2020, certain of our executive officers and directors participated in Upstart’s platform by purchasing fractional interests in Upstart-powered loans from a sponsored trust entity. For more information about our fractional loan program, see Note 3 to our consolidated financial statements. The aggregate amount of the notes purchased and distributions received by such participating executive officers and directors are set forth below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For the year ended December 31,</w:t>
            </w:r>
          </w:p>
        </w:tc>
        <w:tc>
          <w:tcPr>
            <w:tcW w:w="10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Executive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580" w:type="dxa"/>
            <w:vAlign w:val="bottom"/>
            <w:gridSpan w:val="2"/>
            <w:vMerge w:val="continue"/>
          </w:tcPr>
          <w:p>
            <w:pPr>
              <w:spacing w:after="0"/>
              <w:rPr>
                <w:sz w:val="13"/>
                <w:szCs w:val="13"/>
                <w:color w:val="auto"/>
              </w:rPr>
            </w:pPr>
          </w:p>
        </w:tc>
        <w:tc>
          <w:tcPr>
            <w:tcW w:w="10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Officers</w:t>
            </w:r>
          </w:p>
        </w:tc>
        <w:tc>
          <w:tcPr>
            <w:tcW w:w="5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Directors</w:t>
            </w:r>
          </w:p>
        </w:tc>
        <w:tc>
          <w:tcPr>
            <w:tcW w:w="0" w:type="dxa"/>
            <w:vAlign w:val="bottom"/>
          </w:tcPr>
          <w:p>
            <w:pPr>
              <w:spacing w:after="0"/>
              <w:rPr>
                <w:sz w:val="1"/>
                <w:szCs w:val="1"/>
                <w:color w:val="auto"/>
              </w:rPr>
            </w:pPr>
          </w:p>
        </w:tc>
      </w:tr>
      <w:tr>
        <w:trPr>
          <w:trHeight w:val="129"/>
        </w:trPr>
        <w:tc>
          <w:tcPr>
            <w:tcW w:w="19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2017</w:t>
            </w:r>
          </w:p>
        </w:tc>
        <w:tc>
          <w:tcPr>
            <w:tcW w:w="5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580" w:type="dxa"/>
            <w:vAlign w:val="bottom"/>
            <w:gridSpan w:val="2"/>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2,277</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Distributions received</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2,525</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48"/>
        </w:trPr>
        <w:tc>
          <w:tcPr>
            <w:tcW w:w="190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5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654</w:t>
            </w:r>
          </w:p>
        </w:tc>
        <w:tc>
          <w:tcPr>
            <w:tcW w:w="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4"/>
        </w:trPr>
        <w:tc>
          <w:tcPr>
            <w:tcW w:w="7580" w:type="dxa"/>
            <w:vAlign w:val="bottom"/>
            <w:gridSpan w:val="2"/>
          </w:tcPr>
          <w:p>
            <w:pPr>
              <w:spacing w:after="0"/>
              <w:rPr>
                <w:sz w:val="20"/>
                <w:szCs w:val="20"/>
                <w:color w:val="auto"/>
              </w:rPr>
            </w:pPr>
            <w:r>
              <w:rPr>
                <w:rFonts w:ascii="Arial" w:cs="Arial" w:eastAsia="Arial" w:hAnsi="Arial"/>
                <w:sz w:val="14"/>
                <w:szCs w:val="14"/>
                <w:color w:val="auto"/>
              </w:rPr>
              <w:t>Distributions received</w:t>
            </w:r>
          </w:p>
        </w:tc>
        <w:tc>
          <w:tcPr>
            <w:tcW w:w="16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2,148</w:t>
            </w:r>
          </w:p>
        </w:tc>
        <w:tc>
          <w:tcPr>
            <w:tcW w:w="240" w:type="dxa"/>
            <w:vAlign w:val="bottom"/>
          </w:tcPr>
          <w:p>
            <w:pPr>
              <w:spacing w:after="0"/>
              <w:rPr>
                <w:sz w:val="14"/>
                <w:szCs w:val="14"/>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4"/>
        </w:trPr>
        <w:tc>
          <w:tcPr>
            <w:tcW w:w="1900" w:type="dxa"/>
            <w:vAlign w:val="bottom"/>
          </w:tcPr>
          <w:p>
            <w:pPr>
              <w:spacing w:after="0"/>
              <w:rPr>
                <w:sz w:val="7"/>
                <w:szCs w:val="7"/>
                <w:color w:val="auto"/>
              </w:rPr>
            </w:pPr>
          </w:p>
        </w:tc>
        <w:tc>
          <w:tcPr>
            <w:tcW w:w="5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19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2019</w:t>
            </w:r>
          </w:p>
        </w:tc>
        <w:tc>
          <w:tcPr>
            <w:tcW w:w="5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580" w:type="dxa"/>
            <w:vAlign w:val="bottom"/>
            <w:gridSpan w:val="2"/>
          </w:tcPr>
          <w:p>
            <w:pPr>
              <w:spacing w:after="0" w:line="158" w:lineRule="exact"/>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tcPr>
          <w:p>
            <w:pPr>
              <w:ind w:left="2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60"/>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58"/>
        </w:trPr>
        <w:tc>
          <w:tcPr>
            <w:tcW w:w="758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Distributions received</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1,364</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7"/>
        </w:trPr>
        <w:tc>
          <w:tcPr>
            <w:tcW w:w="758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Aggregate amount of loan-related securities purchased</w:t>
            </w: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580" w:type="dxa"/>
            <w:vAlign w:val="bottom"/>
            <w:gridSpan w:val="2"/>
          </w:tcPr>
          <w:p>
            <w:pPr>
              <w:spacing w:after="0"/>
              <w:rPr>
                <w:sz w:val="20"/>
                <w:szCs w:val="20"/>
                <w:color w:val="auto"/>
              </w:rPr>
            </w:pPr>
            <w:r>
              <w:rPr>
                <w:rFonts w:ascii="Arial" w:cs="Arial" w:eastAsia="Arial" w:hAnsi="Arial"/>
                <w:sz w:val="14"/>
                <w:szCs w:val="14"/>
                <w:color w:val="auto"/>
              </w:rPr>
              <w:t>Distributions received</w:t>
            </w:r>
          </w:p>
        </w:tc>
        <w:tc>
          <w:tcPr>
            <w:tcW w:w="1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color w:val="auto"/>
              </w:rPr>
              <w:t>623</w:t>
            </w:r>
          </w:p>
        </w:tc>
        <w:tc>
          <w:tcPr>
            <w:tcW w:w="240" w:type="dxa"/>
            <w:vAlign w:val="bottom"/>
          </w:tcPr>
          <w:p>
            <w:pPr>
              <w:spacing w:after="0"/>
              <w:rPr>
                <w:sz w:val="15"/>
                <w:szCs w:val="15"/>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We have granted stock options to our executive officers and certain of our directors. See the sections titled “Executive Compensation—Outstanding Equity Awards at Year-End” and “Management—Non-Employee Director Compensation” for a description of these stock options.</w:t>
      </w:r>
    </w:p>
    <w:p>
      <w:pPr>
        <w:spacing w:after="0" w:line="170"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We have entered into employment agreement and offer letters with certain of our executive officers that provide for, among other things, certain severance and change in control benefits. See the</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0220"/>
          </w:cols>
          <w:pgMar w:left="320" w:top="407" w:right="1359" w:bottom="1440" w:gutter="0" w:footer="0" w:header="0"/>
        </w:sectPr>
      </w:pPr>
    </w:p>
    <w:bookmarkStart w:id="207" w:name="page208"/>
    <w:bookmarkEnd w:id="20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section titled “Executive Compensation—Executive Employment Agreements” for additional information.</w:t>
      </w:r>
    </w:p>
    <w:p>
      <w:pPr>
        <w:spacing w:after="0" w:line="17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Other than as described above under this section titled “Certain Relationships and Related Party Transactions,” since January 1, 2017, we have not entered into any transactions, nor are there any currently proposed transactions, between us and a related party where the amount involved exceeds, or would exceed, $ 120,000,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Limitation of Liability and Indemnification of Officers and Directors</w:t>
      </w:r>
    </w:p>
    <w:p>
      <w:pPr>
        <w:spacing w:after="0" w:line="195" w:lineRule="exact"/>
        <w:rPr>
          <w:sz w:val="20"/>
          <w:szCs w:val="20"/>
          <w:color w:val="auto"/>
        </w:rPr>
      </w:pPr>
    </w:p>
    <w:p>
      <w:pPr>
        <w:ind w:left="1020" w:right="400" w:firstLine="460"/>
        <w:spacing w:after="0" w:line="238" w:lineRule="auto"/>
        <w:rPr>
          <w:sz w:val="20"/>
          <w:szCs w:val="20"/>
          <w:color w:val="auto"/>
        </w:rPr>
      </w:pPr>
      <w:r>
        <w:rPr>
          <w:rFonts w:ascii="Arial" w:cs="Arial" w:eastAsia="Arial" w:hAnsi="Arial"/>
          <w:sz w:val="15"/>
          <w:szCs w:val="15"/>
          <w:color w:val="auto"/>
        </w:rPr>
        <w:t>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for liability for any:</w:t>
      </w:r>
    </w:p>
    <w:p>
      <w:pPr>
        <w:spacing w:after="0" w:line="93" w:lineRule="exact"/>
        <w:rPr>
          <w:sz w:val="20"/>
          <w:szCs w:val="20"/>
          <w:color w:val="auto"/>
        </w:rPr>
      </w:pPr>
    </w:p>
    <w:p>
      <w:pPr>
        <w:ind w:left="1660" w:hanging="183"/>
        <w:spacing w:after="0"/>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breach of their duty of loyalty to our company or our stockholders;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act or omission not in good faith or that involves intentional misconduct or a knowing violation of law;</w:t>
      </w:r>
    </w:p>
    <w:p>
      <w:pPr>
        <w:spacing w:after="0" w:line="97" w:lineRule="exact"/>
        <w:rPr>
          <w:rFonts w:ascii="Arial" w:cs="Arial" w:eastAsia="Arial" w:hAnsi="Arial"/>
          <w:sz w:val="15"/>
          <w:szCs w:val="15"/>
          <w:color w:val="auto"/>
        </w:rPr>
      </w:pPr>
    </w:p>
    <w:p>
      <w:pPr>
        <w:ind w:left="1660" w:right="460" w:hanging="183"/>
        <w:spacing w:after="0" w:line="245" w:lineRule="auto"/>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transaction from which they derived an improper personal benefit.</w:t>
      </w:r>
    </w:p>
    <w:p>
      <w:pPr>
        <w:spacing w:after="0" w:line="177"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72"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In addition, we expect to adopt amended and restated bylaws, which will become effective immediately prior to the completion of this offering, and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limited exceptions.</w:t>
      </w:r>
    </w:p>
    <w:p>
      <w:pPr>
        <w:spacing w:after="0" w:line="17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Further, we have entered into or will enter into indemnification agreements with each of our directors and executive officers that may be broader than the specific indemnification provisions contained in the Delaware General Corporation Law. These indemnification agreements require us, among other things, to indemnify our directors and executive officers against liabilities that may arise by reason of their status or service. These indemnification agreements also require us to advance all expenses incurred by the directors and executive officers in investigating or defending any such action,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0180"/>
          </w:cols>
          <w:pgMar w:left="320" w:top="407" w:right="1399" w:bottom="1440" w:gutter="0" w:footer="0" w:header="0"/>
        </w:sectPr>
      </w:pPr>
    </w:p>
    <w:bookmarkStart w:id="208" w:name="page209"/>
    <w:bookmarkEnd w:id="20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280"/>
        <w:spacing w:after="0" w:line="245" w:lineRule="auto"/>
        <w:rPr>
          <w:sz w:val="20"/>
          <w:szCs w:val="20"/>
          <w:color w:val="auto"/>
        </w:rPr>
      </w:pPr>
      <w:r>
        <w:rPr>
          <w:rFonts w:ascii="Arial" w:cs="Arial" w:eastAsia="Arial" w:hAnsi="Arial"/>
          <w:sz w:val="15"/>
          <w:szCs w:val="15"/>
          <w:color w:val="auto"/>
        </w:rPr>
        <w:t>suit or proceeding. We believe that these agreements are necessary to attract and retain qualified individuals to serve as directors and executive officers.</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limitation of liability and indemnification provisions that are expected to be included in our amended and restated certificate of incorporation, amended and restated bylaws and in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74"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72"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Certain of our non-employee directors may, through their relationships with their employers, be insured or indemnified against certain liabilities incurred in their capacity as members of our board of directors.</w:t>
      </w:r>
    </w:p>
    <w:p>
      <w:pPr>
        <w:spacing w:after="0" w:line="166"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underwriting agreement related to this offering will provide for indemnification by the underwriters of us and our officers and directors for certain liabilities arising under the Securities Act or otherwise.</w:t>
      </w:r>
    </w:p>
    <w:p>
      <w:pPr>
        <w:spacing w:after="0" w:line="166" w:lineRule="exact"/>
        <w:rPr>
          <w:sz w:val="20"/>
          <w:szCs w:val="20"/>
          <w:color w:val="auto"/>
        </w:rPr>
      </w:pPr>
    </w:p>
    <w:p>
      <w:pPr>
        <w:jc w:val="both"/>
        <w:ind w:left="1020" w:right="60" w:firstLine="460"/>
        <w:spacing w:after="0"/>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242"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9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Upon completion of this offering, our written policy regarding transactions between us and related persons will provide that a related person is defined as a director, executive officer, nominee for director, or greater than 5% beneficial owner of our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0220"/>
          </w:cols>
          <w:pgMar w:left="320" w:top="407" w:right="1359" w:bottom="1440" w:gutter="0" w:footer="0" w:header="0"/>
        </w:sectPr>
      </w:pPr>
    </w:p>
    <w:bookmarkStart w:id="209" w:name="page210"/>
    <w:bookmarkEnd w:id="20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PRINCIPAL AND SELLING STOCKHOLDERS</w:t>
      </w:r>
    </w:p>
    <w:p>
      <w:pPr>
        <w:spacing w:after="0" w:line="195" w:lineRule="exact"/>
        <w:rPr>
          <w:sz w:val="20"/>
          <w:szCs w:val="20"/>
          <w:color w:val="auto"/>
        </w:rPr>
      </w:pPr>
    </w:p>
    <w:p>
      <w:pPr>
        <w:ind w:left="1020" w:right="180" w:firstLine="460"/>
        <w:spacing w:after="0" w:line="245" w:lineRule="auto"/>
        <w:rPr>
          <w:sz w:val="20"/>
          <w:szCs w:val="20"/>
          <w:color w:val="auto"/>
        </w:rPr>
      </w:pPr>
      <w:r>
        <w:rPr>
          <w:rFonts w:ascii="Arial" w:cs="Arial" w:eastAsia="Arial" w:hAnsi="Arial"/>
          <w:sz w:val="15"/>
          <w:szCs w:val="15"/>
          <w:color w:val="auto"/>
        </w:rPr>
        <w:t>The following table sets forth certain information with respect to the beneficial ownership of our capital stock as of September 30, 2020, and as adjusted to reflect the sale of our common stock in this offering for:</w:t>
      </w:r>
    </w:p>
    <w:p>
      <w:pPr>
        <w:spacing w:after="0" w:line="87" w:lineRule="exact"/>
        <w:rPr>
          <w:sz w:val="20"/>
          <w:szCs w:val="20"/>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of the selling stockholders; and</w:t>
      </w:r>
    </w:p>
    <w:p>
      <w:pPr>
        <w:spacing w:after="0" w:line="9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each person or group of affiliated persons, known by us to be the beneficial owner of more than 5% of the outstanding shares of our common stock.</w:t>
      </w:r>
    </w:p>
    <w:p>
      <w:pPr>
        <w:spacing w:after="0" w:line="166"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We have based our calculation of the percentage of beneficial ownership prior to this offering on 62,994,492 shares of our common stock (including the preferred stock issued upon the exercise of a warrant in November 2020 and the Capital Stock Conversion) outstanding as of September 30, 2020. We have based our calculation of the percentage of beneficial ownership after this offering on 72,460,881 shares of common stock outstanding immediately after the completion of this offering. We have deemed shares of our common stock subject to stock options that are currently exercisable or exercisable within 60 days of September 30,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13"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0200"/>
          </w:cols>
          <w:pgMar w:left="320" w:top="407" w:right="137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900" w:firstLine="460"/>
        <w:spacing w:after="0" w:line="245" w:lineRule="auto"/>
        <w:rPr>
          <w:sz w:val="20"/>
          <w:szCs w:val="20"/>
          <w:color w:val="auto"/>
        </w:rPr>
      </w:pPr>
      <w:r>
        <w:rPr>
          <w:rFonts w:ascii="Arial" w:cs="Arial" w:eastAsia="Arial" w:hAnsi="Arial"/>
          <w:sz w:val="15"/>
          <w:szCs w:val="15"/>
          <w:color w:val="auto"/>
        </w:rPr>
        <w:t>Unless otherwise indicated, the address of each beneficial owner listed in the table below is c/o Upstart Holdings, Inc., 2950 S. Delaware Street, Suite 300, San Mateo, California 94403.</w:t>
      </w:r>
    </w:p>
    <w:p>
      <w:pPr>
        <w:spacing w:after="0" w:line="159"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1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rPr>
              <w:t>Total Number of</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5"/>
          </w:tcPr>
          <w:p>
            <w:pPr>
              <w:jc w:val="center"/>
              <w:ind w:right="680"/>
              <w:spacing w:after="0"/>
              <w:rPr>
                <w:sz w:val="20"/>
                <w:szCs w:val="20"/>
                <w:color w:val="auto"/>
              </w:rPr>
            </w:pPr>
            <w:r>
              <w:rPr>
                <w:rFonts w:ascii="Arial" w:cs="Arial" w:eastAsia="Arial" w:hAnsi="Arial"/>
                <w:sz w:val="11"/>
                <w:szCs w:val="11"/>
                <w:b w:val="1"/>
                <w:bCs w:val="1"/>
                <w:color w:val="auto"/>
                <w:w w:val="94"/>
              </w:rPr>
              <w:t>Beneficial Ownership</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gridSpan w:val="3"/>
            <w:vMerge w:val="restart"/>
          </w:tcPr>
          <w:p>
            <w:pPr>
              <w:jc w:val="center"/>
              <w:ind w:left="181"/>
              <w:spacing w:after="0"/>
              <w:rPr>
                <w:sz w:val="20"/>
                <w:szCs w:val="20"/>
                <w:color w:val="auto"/>
              </w:rPr>
            </w:pPr>
            <w:r>
              <w:rPr>
                <w:rFonts w:ascii="Arial" w:cs="Arial" w:eastAsia="Arial" w:hAnsi="Arial"/>
                <w:sz w:val="11"/>
                <w:szCs w:val="11"/>
                <w:b w:val="1"/>
                <w:bCs w:val="1"/>
                <w:color w:val="auto"/>
                <w:w w:val="96"/>
              </w:rPr>
              <w:t>Beneficial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0" w:type="dxa"/>
            <w:vAlign w:val="bottom"/>
            <w:gridSpan w:val="4"/>
          </w:tcPr>
          <w:p>
            <w:pPr>
              <w:jc w:val="right"/>
              <w:ind w:right="420"/>
              <w:spacing w:after="0"/>
              <w:rPr>
                <w:sz w:val="20"/>
                <w:szCs w:val="20"/>
                <w:color w:val="auto"/>
              </w:rPr>
            </w:pPr>
            <w:r>
              <w:rPr>
                <w:rFonts w:ascii="Arial" w:cs="Arial" w:eastAsia="Arial" w:hAnsi="Arial"/>
                <w:sz w:val="11"/>
                <w:szCs w:val="11"/>
                <w:b w:val="1"/>
                <w:bCs w:val="1"/>
                <w:color w:val="auto"/>
              </w:rPr>
              <w:t>Shares Being Offered</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40" w:type="dxa"/>
            <w:vAlign w:val="bottom"/>
            <w:gridSpan w:val="5"/>
          </w:tcPr>
          <w:p>
            <w:pPr>
              <w:jc w:val="center"/>
              <w:ind w:right="680"/>
              <w:spacing w:after="0"/>
              <w:rPr>
                <w:sz w:val="20"/>
                <w:szCs w:val="20"/>
                <w:color w:val="auto"/>
              </w:rPr>
            </w:pPr>
            <w:r>
              <w:rPr>
                <w:rFonts w:ascii="Arial" w:cs="Arial" w:eastAsia="Arial" w:hAnsi="Arial"/>
                <w:sz w:val="11"/>
                <w:szCs w:val="11"/>
                <w:b w:val="1"/>
                <w:bCs w:val="1"/>
                <w:color w:val="auto"/>
                <w:w w:val="96"/>
              </w:rPr>
              <w:t>After This Offering</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top w:val="single" w:sz="8" w:color="auto"/>
            </w:tcBorders>
            <w:gridSpan w:val="2"/>
          </w:tcPr>
          <w:p>
            <w:pPr>
              <w:jc w:val="center"/>
              <w:ind w:right="120"/>
              <w:spacing w:after="0" w:line="93" w:lineRule="exact"/>
              <w:rPr>
                <w:sz w:val="20"/>
                <w:szCs w:val="20"/>
                <w:color w:val="auto"/>
              </w:rPr>
            </w:pPr>
            <w:r>
              <w:rPr>
                <w:rFonts w:ascii="Arial" w:cs="Arial" w:eastAsia="Arial" w:hAnsi="Arial"/>
                <w:sz w:val="9"/>
                <w:szCs w:val="9"/>
                <w:b w:val="1"/>
                <w:bCs w:val="1"/>
                <w:color w:val="auto"/>
              </w:rPr>
              <w:t>Assuming the</w:t>
            </w:r>
          </w:p>
        </w:tc>
        <w:tc>
          <w:tcPr>
            <w:tcW w:w="780" w:type="dxa"/>
            <w:vAlign w:val="bottom"/>
            <w:tcBorders>
              <w:top w:val="single" w:sz="8" w:color="auto"/>
            </w:tcBorders>
          </w:tcPr>
          <w:p>
            <w:pPr>
              <w:jc w:val="center"/>
              <w:spacing w:after="0" w:line="93" w:lineRule="exact"/>
              <w:rPr>
                <w:sz w:val="20"/>
                <w:szCs w:val="20"/>
                <w:color w:val="auto"/>
              </w:rPr>
            </w:pPr>
            <w:r>
              <w:rPr>
                <w:rFonts w:ascii="Arial" w:cs="Arial" w:eastAsia="Arial" w:hAnsi="Arial"/>
                <w:sz w:val="9"/>
                <w:szCs w:val="9"/>
                <w:b w:val="1"/>
                <w:bCs w:val="1"/>
                <w:color w:val="auto"/>
              </w:rPr>
              <w:t>Assuming the</w:t>
            </w:r>
          </w:p>
        </w:tc>
        <w:tc>
          <w:tcPr>
            <w:tcW w:w="120" w:type="dxa"/>
            <w:vAlign w:val="bottom"/>
          </w:tcPr>
          <w:p>
            <w:pPr>
              <w:spacing w:after="0"/>
              <w:rPr>
                <w:sz w:val="8"/>
                <w:szCs w:val="8"/>
                <w:color w:val="auto"/>
              </w:rPr>
            </w:pPr>
          </w:p>
        </w:tc>
        <w:tc>
          <w:tcPr>
            <w:tcW w:w="1600" w:type="dxa"/>
            <w:vAlign w:val="bottom"/>
            <w:tcBorders>
              <w:top w:val="single" w:sz="8" w:color="auto"/>
            </w:tcBorders>
            <w:gridSpan w:val="4"/>
          </w:tcPr>
          <w:p>
            <w:pPr>
              <w:jc w:val="center"/>
              <w:ind w:right="220"/>
              <w:spacing w:after="0" w:line="93" w:lineRule="exact"/>
              <w:rPr>
                <w:sz w:val="20"/>
                <w:szCs w:val="20"/>
                <w:color w:val="auto"/>
              </w:rPr>
            </w:pPr>
            <w:r>
              <w:rPr>
                <w:rFonts w:ascii="Arial" w:cs="Arial" w:eastAsia="Arial" w:hAnsi="Arial"/>
                <w:sz w:val="9"/>
                <w:szCs w:val="9"/>
                <w:b w:val="1"/>
                <w:bCs w:val="1"/>
                <w:color w:val="auto"/>
              </w:rPr>
              <w:t>Assuming the</w:t>
            </w:r>
          </w:p>
        </w:tc>
        <w:tc>
          <w:tcPr>
            <w:tcW w:w="1140" w:type="dxa"/>
            <w:vAlign w:val="bottom"/>
            <w:tcBorders>
              <w:top w:val="single" w:sz="8" w:color="auto"/>
            </w:tcBorders>
            <w:gridSpan w:val="3"/>
          </w:tcPr>
          <w:p>
            <w:pPr>
              <w:jc w:val="center"/>
              <w:ind w:left="261"/>
              <w:spacing w:after="0" w:line="93" w:lineRule="exact"/>
              <w:rPr>
                <w:sz w:val="20"/>
                <w:szCs w:val="20"/>
                <w:color w:val="auto"/>
              </w:rPr>
            </w:pPr>
            <w:r>
              <w:rPr>
                <w:rFonts w:ascii="Arial" w:cs="Arial" w:eastAsia="Arial" w:hAnsi="Arial"/>
                <w:sz w:val="9"/>
                <w:szCs w:val="9"/>
                <w:b w:val="1"/>
                <w:bCs w:val="1"/>
                <w:color w:val="auto"/>
              </w:rPr>
              <w:t>Assuming the</w:t>
            </w:r>
          </w:p>
        </w:tc>
        <w:tc>
          <w:tcPr>
            <w:tcW w:w="3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20" w:type="dxa"/>
            <w:vAlign w:val="bottom"/>
            <w:gridSpan w:val="5"/>
          </w:tcPr>
          <w:p>
            <w:pPr>
              <w:jc w:val="center"/>
              <w:ind w:right="240"/>
              <w:spacing w:after="0" w:line="113" w:lineRule="exact"/>
              <w:rPr>
                <w:sz w:val="20"/>
                <w:szCs w:val="20"/>
                <w:color w:val="auto"/>
              </w:rPr>
            </w:pPr>
            <w:r>
              <w:rPr>
                <w:rFonts w:ascii="Arial" w:cs="Arial" w:eastAsia="Arial" w:hAnsi="Arial"/>
                <w:sz w:val="11"/>
                <w:szCs w:val="11"/>
                <w:b w:val="1"/>
                <w:bCs w:val="1"/>
                <w:color w:val="auto"/>
                <w:w w:val="94"/>
              </w:rPr>
              <w:t>Ownership Before</w:t>
            </w:r>
          </w:p>
        </w:tc>
        <w:tc>
          <w:tcPr>
            <w:tcW w:w="90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5"/>
              </w:rPr>
              <w:t>Underwriters’</w:t>
            </w:r>
          </w:p>
        </w:tc>
        <w:tc>
          <w:tcPr>
            <w:tcW w:w="90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5"/>
              </w:rPr>
              <w:t>Underwriters’</w:t>
            </w:r>
          </w:p>
        </w:tc>
        <w:tc>
          <w:tcPr>
            <w:tcW w:w="1600" w:type="dxa"/>
            <w:vAlign w:val="bottom"/>
            <w:gridSpan w:val="4"/>
          </w:tcPr>
          <w:p>
            <w:pPr>
              <w:jc w:val="center"/>
              <w:ind w:right="240"/>
              <w:spacing w:after="0" w:line="113" w:lineRule="exact"/>
              <w:rPr>
                <w:sz w:val="20"/>
                <w:szCs w:val="20"/>
                <w:color w:val="auto"/>
              </w:rPr>
            </w:pPr>
            <w:r>
              <w:rPr>
                <w:rFonts w:ascii="Arial" w:cs="Arial" w:eastAsia="Arial" w:hAnsi="Arial"/>
                <w:sz w:val="11"/>
                <w:szCs w:val="11"/>
                <w:b w:val="1"/>
                <w:bCs w:val="1"/>
                <w:color w:val="auto"/>
                <w:w w:val="95"/>
              </w:rPr>
              <w:t>Underwriters’ Option</w:t>
            </w:r>
          </w:p>
        </w:tc>
        <w:tc>
          <w:tcPr>
            <w:tcW w:w="1620" w:type="dxa"/>
            <w:vAlign w:val="bottom"/>
            <w:gridSpan w:val="5"/>
          </w:tcPr>
          <w:p>
            <w:pPr>
              <w:jc w:val="center"/>
              <w:ind w:right="160"/>
              <w:spacing w:after="0" w:line="113" w:lineRule="exact"/>
              <w:rPr>
                <w:sz w:val="20"/>
                <w:szCs w:val="20"/>
                <w:color w:val="auto"/>
              </w:rPr>
            </w:pPr>
            <w:r>
              <w:rPr>
                <w:rFonts w:ascii="Arial" w:cs="Arial" w:eastAsia="Arial" w:hAnsi="Arial"/>
                <w:sz w:val="11"/>
                <w:szCs w:val="11"/>
                <w:b w:val="1"/>
                <w:bCs w:val="1"/>
                <w:color w:val="auto"/>
                <w:w w:val="96"/>
              </w:rPr>
              <w:t>Underwriters’ Option</w:t>
            </w:r>
          </w:p>
        </w:tc>
        <w:tc>
          <w:tcPr>
            <w:tcW w:w="0" w:type="dxa"/>
            <w:vAlign w:val="bottom"/>
          </w:tcPr>
          <w:p>
            <w:pPr>
              <w:spacing w:after="0"/>
              <w:rPr>
                <w:sz w:val="1"/>
                <w:szCs w:val="1"/>
                <w:color w:val="auto"/>
              </w:rPr>
            </w:pPr>
          </w:p>
        </w:tc>
      </w:tr>
      <w:tr>
        <w:trPr>
          <w:trHeight w:val="124"/>
        </w:trPr>
        <w:tc>
          <w:tcPr>
            <w:tcW w:w="1320" w:type="dxa"/>
            <w:vAlign w:val="bottom"/>
            <w:vMerge w:val="restart"/>
          </w:tcPr>
          <w:p>
            <w:pPr>
              <w:spacing w:after="0"/>
              <w:rPr>
                <w:sz w:val="20"/>
                <w:szCs w:val="20"/>
                <w:color w:val="auto"/>
              </w:rPr>
            </w:pPr>
            <w:r>
              <w:rPr>
                <w:rFonts w:ascii="Arial" w:cs="Arial" w:eastAsia="Arial" w:hAnsi="Arial"/>
                <w:sz w:val="11"/>
                <w:szCs w:val="11"/>
                <w:b w:val="1"/>
                <w:bCs w:val="1"/>
                <w:color w:val="auto"/>
                <w:w w:val="95"/>
              </w:rPr>
              <w:t>Name of Beneficial Owner</w:t>
            </w:r>
          </w:p>
        </w:tc>
        <w:tc>
          <w:tcPr>
            <w:tcW w:w="1440" w:type="dxa"/>
            <w:vAlign w:val="bottom"/>
            <w:vMerge w:val="restart"/>
          </w:tcPr>
          <w:p>
            <w:pPr>
              <w:spacing w:after="0"/>
              <w:rPr>
                <w:sz w:val="10"/>
                <w:szCs w:val="10"/>
                <w:color w:val="auto"/>
              </w:rPr>
            </w:pPr>
          </w:p>
        </w:tc>
        <w:tc>
          <w:tcPr>
            <w:tcW w:w="940" w:type="dxa"/>
            <w:vAlign w:val="bottom"/>
            <w:gridSpan w:val="3"/>
          </w:tcPr>
          <w:p>
            <w:pPr>
              <w:jc w:val="center"/>
              <w:ind w:left="181"/>
              <w:spacing w:after="0" w:line="124" w:lineRule="exact"/>
              <w:rPr>
                <w:sz w:val="20"/>
                <w:szCs w:val="20"/>
                <w:color w:val="auto"/>
              </w:rPr>
            </w:pPr>
            <w:r>
              <w:rPr>
                <w:rFonts w:ascii="Arial" w:cs="Arial" w:eastAsia="Arial" w:hAnsi="Arial"/>
                <w:sz w:val="11"/>
                <w:szCs w:val="11"/>
                <w:b w:val="1"/>
                <w:bCs w:val="1"/>
                <w:color w:val="auto"/>
                <w:w w:val="96"/>
              </w:rPr>
              <w:t>This Offering</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5"/>
              </w:rPr>
              <w:t>Option is Not</w:t>
            </w:r>
          </w:p>
        </w:tc>
        <w:tc>
          <w:tcPr>
            <w:tcW w:w="900" w:type="dxa"/>
            <w:vAlign w:val="bottom"/>
            <w:gridSpan w:val="2"/>
          </w:tcPr>
          <w:p>
            <w:pPr>
              <w:jc w:val="center"/>
              <w:ind w:right="120"/>
              <w:spacing w:after="0" w:line="124" w:lineRule="exact"/>
              <w:rPr>
                <w:sz w:val="20"/>
                <w:szCs w:val="20"/>
                <w:color w:val="auto"/>
              </w:rPr>
            </w:pPr>
            <w:r>
              <w:rPr>
                <w:rFonts w:ascii="Arial" w:cs="Arial" w:eastAsia="Arial" w:hAnsi="Arial"/>
                <w:sz w:val="11"/>
                <w:szCs w:val="11"/>
                <w:b w:val="1"/>
                <w:bCs w:val="1"/>
                <w:color w:val="auto"/>
                <w:w w:val="96"/>
              </w:rPr>
              <w:t>Option is</w:t>
            </w:r>
          </w:p>
        </w:tc>
        <w:tc>
          <w:tcPr>
            <w:tcW w:w="1600" w:type="dxa"/>
            <w:vAlign w:val="bottom"/>
            <w:gridSpan w:val="4"/>
          </w:tcPr>
          <w:p>
            <w:pPr>
              <w:jc w:val="center"/>
              <w:ind w:right="220"/>
              <w:spacing w:after="0" w:line="124" w:lineRule="exact"/>
              <w:rPr>
                <w:sz w:val="20"/>
                <w:szCs w:val="20"/>
                <w:color w:val="auto"/>
              </w:rPr>
            </w:pPr>
            <w:r>
              <w:rPr>
                <w:rFonts w:ascii="Arial" w:cs="Arial" w:eastAsia="Arial" w:hAnsi="Arial"/>
                <w:sz w:val="11"/>
                <w:szCs w:val="11"/>
                <w:b w:val="1"/>
                <w:bCs w:val="1"/>
                <w:color w:val="auto"/>
                <w:w w:val="95"/>
              </w:rPr>
              <w:t>is Not Exercised</w:t>
            </w:r>
          </w:p>
        </w:tc>
        <w:tc>
          <w:tcPr>
            <w:tcW w:w="1140" w:type="dxa"/>
            <w:vAlign w:val="bottom"/>
            <w:gridSpan w:val="3"/>
          </w:tcPr>
          <w:p>
            <w:pPr>
              <w:jc w:val="center"/>
              <w:ind w:left="261"/>
              <w:spacing w:after="0" w:line="124" w:lineRule="exact"/>
              <w:rPr>
                <w:sz w:val="20"/>
                <w:szCs w:val="20"/>
                <w:color w:val="auto"/>
              </w:rPr>
            </w:pPr>
            <w:r>
              <w:rPr>
                <w:rFonts w:ascii="Arial" w:cs="Arial" w:eastAsia="Arial" w:hAnsi="Arial"/>
                <w:sz w:val="11"/>
                <w:szCs w:val="11"/>
                <w:b w:val="1"/>
                <w:bCs w:val="1"/>
                <w:color w:val="auto"/>
                <w:w w:val="96"/>
              </w:rPr>
              <w:t>is Exercised</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320" w:type="dxa"/>
            <w:vAlign w:val="bottom"/>
            <w:tcBorders>
              <w:bottom w:val="single" w:sz="8" w:color="auto"/>
            </w:tcBorders>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940" w:type="dxa"/>
            <w:vAlign w:val="bottom"/>
            <w:tcBorders>
              <w:top w:val="single" w:sz="8" w:color="auto"/>
            </w:tcBorders>
            <w:gridSpan w:val="3"/>
          </w:tcPr>
          <w:p>
            <w:pPr>
              <w:ind w:left="120"/>
              <w:spacing w:after="0" w:line="93" w:lineRule="exact"/>
              <w:rPr>
                <w:sz w:val="20"/>
                <w:szCs w:val="20"/>
                <w:color w:val="auto"/>
              </w:rPr>
            </w:pPr>
            <w:r>
              <w:rPr>
                <w:rFonts w:ascii="Arial" w:cs="Arial" w:eastAsia="Arial" w:hAnsi="Arial"/>
                <w:sz w:val="9"/>
                <w:szCs w:val="9"/>
                <w:b w:val="1"/>
                <w:bCs w:val="1"/>
                <w:color w:val="auto"/>
              </w:rPr>
              <w:t>Shares</w:t>
            </w:r>
            <w:r>
              <w:rPr>
                <w:rFonts w:ascii="Arial" w:cs="Arial" w:eastAsia="Arial" w:hAnsi="Arial"/>
                <w:sz w:val="7"/>
                <w:szCs w:val="7"/>
                <w:b w:val="1"/>
                <w:bCs w:val="1"/>
                <w:color w:val="auto"/>
              </w:rPr>
              <w:t>(1)</w:t>
            </w:r>
          </w:p>
        </w:tc>
        <w:tc>
          <w:tcPr>
            <w:tcW w:w="240" w:type="dxa"/>
            <w:vAlign w:val="bottom"/>
            <w:tcBorders>
              <w:top w:val="single" w:sz="8" w:color="auto"/>
            </w:tcBorders>
          </w:tcPr>
          <w:p>
            <w:pPr>
              <w:jc w:val="right"/>
              <w:ind w:right="80"/>
              <w:spacing w:after="0" w:line="93" w:lineRule="exact"/>
              <w:rPr>
                <w:sz w:val="20"/>
                <w:szCs w:val="20"/>
                <w:color w:val="auto"/>
              </w:rPr>
            </w:pPr>
            <w:r>
              <w:rPr>
                <w:rFonts w:ascii="Arial" w:cs="Arial" w:eastAsia="Arial" w:hAnsi="Arial"/>
                <w:sz w:val="9"/>
                <w:szCs w:val="9"/>
                <w:b w:val="1"/>
                <w:bCs w:val="1"/>
                <w:color w:val="auto"/>
                <w:w w:val="99"/>
              </w:rPr>
              <w:t>%</w:t>
            </w:r>
          </w:p>
        </w:tc>
        <w:tc>
          <w:tcPr>
            <w:tcW w:w="240" w:type="dxa"/>
            <w:vAlign w:val="bottom"/>
          </w:tcPr>
          <w:p>
            <w:pPr>
              <w:spacing w:after="0"/>
              <w:rPr>
                <w:sz w:val="9"/>
                <w:szCs w:val="9"/>
                <w:color w:val="auto"/>
              </w:rPr>
            </w:pPr>
          </w:p>
        </w:tc>
        <w:tc>
          <w:tcPr>
            <w:tcW w:w="900" w:type="dxa"/>
            <w:vAlign w:val="bottom"/>
            <w:gridSpan w:val="2"/>
          </w:tcPr>
          <w:p>
            <w:pPr>
              <w:jc w:val="center"/>
              <w:ind w:right="120"/>
              <w:spacing w:after="0" w:line="93" w:lineRule="exact"/>
              <w:rPr>
                <w:sz w:val="20"/>
                <w:szCs w:val="20"/>
                <w:color w:val="auto"/>
              </w:rPr>
            </w:pPr>
            <w:r>
              <w:rPr>
                <w:rFonts w:ascii="Arial" w:cs="Arial" w:eastAsia="Arial" w:hAnsi="Arial"/>
                <w:sz w:val="9"/>
                <w:szCs w:val="9"/>
                <w:b w:val="1"/>
                <w:bCs w:val="1"/>
                <w:color w:val="auto"/>
              </w:rPr>
              <w:t>Exercised</w:t>
            </w:r>
          </w:p>
        </w:tc>
        <w:tc>
          <w:tcPr>
            <w:tcW w:w="900" w:type="dxa"/>
            <w:vAlign w:val="bottom"/>
            <w:gridSpan w:val="2"/>
          </w:tcPr>
          <w:p>
            <w:pPr>
              <w:jc w:val="center"/>
              <w:ind w:right="120"/>
              <w:spacing w:after="0" w:line="93" w:lineRule="exact"/>
              <w:rPr>
                <w:sz w:val="20"/>
                <w:szCs w:val="20"/>
                <w:color w:val="auto"/>
              </w:rPr>
            </w:pPr>
            <w:r>
              <w:rPr>
                <w:rFonts w:ascii="Arial" w:cs="Arial" w:eastAsia="Arial" w:hAnsi="Arial"/>
                <w:sz w:val="9"/>
                <w:szCs w:val="9"/>
                <w:b w:val="1"/>
                <w:bCs w:val="1"/>
                <w:color w:val="auto"/>
              </w:rPr>
              <w:t>Exercised</w:t>
            </w:r>
          </w:p>
        </w:tc>
        <w:tc>
          <w:tcPr>
            <w:tcW w:w="1000" w:type="dxa"/>
            <w:vAlign w:val="bottom"/>
            <w:tcBorders>
              <w:top w:val="single" w:sz="8" w:color="auto"/>
            </w:tcBorders>
            <w:gridSpan w:val="2"/>
          </w:tcPr>
          <w:p>
            <w:pPr>
              <w:jc w:val="right"/>
              <w:ind w:right="340"/>
              <w:spacing w:after="0" w:line="93" w:lineRule="exact"/>
              <w:rPr>
                <w:sz w:val="20"/>
                <w:szCs w:val="20"/>
                <w:color w:val="auto"/>
              </w:rPr>
            </w:pPr>
            <w:r>
              <w:rPr>
                <w:rFonts w:ascii="Arial" w:cs="Arial" w:eastAsia="Arial" w:hAnsi="Arial"/>
                <w:sz w:val="9"/>
                <w:szCs w:val="9"/>
                <w:b w:val="1"/>
                <w:bCs w:val="1"/>
                <w:color w:val="auto"/>
              </w:rPr>
              <w:t>Shares</w:t>
            </w:r>
            <w:r>
              <w:rPr>
                <w:rFonts w:ascii="Arial" w:cs="Arial" w:eastAsia="Arial" w:hAnsi="Arial"/>
                <w:sz w:val="7"/>
                <w:szCs w:val="7"/>
                <w:b w:val="1"/>
                <w:bCs w:val="1"/>
                <w:color w:val="auto"/>
              </w:rPr>
              <w:t>(1)</w:t>
            </w:r>
          </w:p>
        </w:tc>
        <w:tc>
          <w:tcPr>
            <w:tcW w:w="360" w:type="dxa"/>
            <w:vAlign w:val="bottom"/>
            <w:tcBorders>
              <w:top w:val="single" w:sz="8" w:color="auto"/>
            </w:tcBorders>
          </w:tcPr>
          <w:p>
            <w:pPr>
              <w:jc w:val="right"/>
              <w:ind w:right="81"/>
              <w:spacing w:after="0" w:line="93" w:lineRule="exact"/>
              <w:rPr>
                <w:sz w:val="20"/>
                <w:szCs w:val="20"/>
                <w:color w:val="auto"/>
              </w:rPr>
            </w:pPr>
            <w:r>
              <w:rPr>
                <w:rFonts w:ascii="Arial" w:cs="Arial" w:eastAsia="Arial" w:hAnsi="Arial"/>
                <w:sz w:val="9"/>
                <w:szCs w:val="9"/>
                <w:b w:val="1"/>
                <w:bCs w:val="1"/>
                <w:color w:val="auto"/>
              </w:rPr>
              <w:t>%</w:t>
            </w:r>
          </w:p>
        </w:tc>
        <w:tc>
          <w:tcPr>
            <w:tcW w:w="240" w:type="dxa"/>
            <w:vAlign w:val="bottom"/>
          </w:tcPr>
          <w:p>
            <w:pPr>
              <w:spacing w:after="0"/>
              <w:rPr>
                <w:sz w:val="9"/>
                <w:szCs w:val="9"/>
                <w:color w:val="auto"/>
              </w:rPr>
            </w:pPr>
          </w:p>
        </w:tc>
        <w:tc>
          <w:tcPr>
            <w:tcW w:w="1140" w:type="dxa"/>
            <w:vAlign w:val="bottom"/>
            <w:tcBorders>
              <w:top w:val="single" w:sz="8" w:color="auto"/>
            </w:tcBorders>
            <w:gridSpan w:val="3"/>
          </w:tcPr>
          <w:p>
            <w:pPr>
              <w:ind w:left="240"/>
              <w:spacing w:after="0" w:line="93" w:lineRule="exact"/>
              <w:rPr>
                <w:sz w:val="20"/>
                <w:szCs w:val="20"/>
                <w:color w:val="auto"/>
              </w:rPr>
            </w:pPr>
            <w:r>
              <w:rPr>
                <w:rFonts w:ascii="Arial" w:cs="Arial" w:eastAsia="Arial" w:hAnsi="Arial"/>
                <w:sz w:val="9"/>
                <w:szCs w:val="9"/>
                <w:b w:val="1"/>
                <w:bCs w:val="1"/>
                <w:color w:val="auto"/>
              </w:rPr>
              <w:t>Shares</w:t>
            </w:r>
            <w:r>
              <w:rPr>
                <w:rFonts w:ascii="Arial" w:cs="Arial" w:eastAsia="Arial" w:hAnsi="Arial"/>
                <w:sz w:val="7"/>
                <w:szCs w:val="7"/>
                <w:b w:val="1"/>
                <w:bCs w:val="1"/>
                <w:color w:val="auto"/>
              </w:rPr>
              <w:t>(1)</w:t>
            </w:r>
          </w:p>
        </w:tc>
        <w:tc>
          <w:tcPr>
            <w:tcW w:w="320" w:type="dxa"/>
            <w:vAlign w:val="bottom"/>
            <w:tcBorders>
              <w:top w:val="single" w:sz="8" w:color="auto"/>
            </w:tcBorders>
          </w:tcPr>
          <w:p>
            <w:pPr>
              <w:jc w:val="right"/>
              <w:ind w:right="100"/>
              <w:spacing w:after="0" w:line="93" w:lineRule="exact"/>
              <w:rPr>
                <w:sz w:val="20"/>
                <w:szCs w:val="20"/>
                <w:color w:val="auto"/>
              </w:rPr>
            </w:pPr>
            <w:r>
              <w:rPr>
                <w:rFonts w:ascii="Arial" w:cs="Arial" w:eastAsia="Arial" w:hAnsi="Arial"/>
                <w:sz w:val="9"/>
                <w:szCs w:val="9"/>
                <w:b w:val="1"/>
                <w:bCs w:val="1"/>
                <w:color w:val="auto"/>
              </w:rPr>
              <w:t>%</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760" w:type="dxa"/>
            <w:vAlign w:val="bottom"/>
            <w:tcBorders>
              <w:top w:val="single" w:sz="8" w:color="CCEEFF"/>
            </w:tcBorders>
            <w:gridSpan w:val="2"/>
            <w:shd w:val="clear" w:color="auto" w:fill="CCEEFF"/>
          </w:tcPr>
          <w:p>
            <w:pPr>
              <w:spacing w:after="0" w:line="107" w:lineRule="exact"/>
              <w:rPr>
                <w:sz w:val="20"/>
                <w:szCs w:val="20"/>
                <w:color w:val="auto"/>
              </w:rPr>
            </w:pPr>
            <w:r>
              <w:rPr>
                <w:rFonts w:ascii="Arial" w:cs="Arial" w:eastAsia="Arial" w:hAnsi="Arial"/>
                <w:sz w:val="12"/>
                <w:szCs w:val="12"/>
                <w:b w:val="1"/>
                <w:bCs w:val="1"/>
                <w:color w:val="auto"/>
              </w:rPr>
              <w:t>Named Executive Officers and Directors:</w:t>
            </w: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Dave Girouard</w:t>
            </w:r>
            <w:r>
              <w:rPr>
                <w:rFonts w:ascii="Arial" w:cs="Arial" w:eastAsia="Arial" w:hAnsi="Arial"/>
                <w:sz w:val="15"/>
                <w:szCs w:val="15"/>
                <w:color w:val="auto"/>
                <w:vertAlign w:val="superscript"/>
              </w:rPr>
              <w:t>(2)</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14,044,585</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w w:val="93"/>
              </w:rPr>
              <w:t>21.9%</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1,000,000</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1,000,000</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13,044,585</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17.7%</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13,044,585</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Sanjay Datta</w:t>
            </w:r>
            <w:r>
              <w:rPr>
                <w:rFonts w:ascii="Arial" w:cs="Arial" w:eastAsia="Arial" w:hAnsi="Arial"/>
                <w:sz w:val="15"/>
                <w:szCs w:val="15"/>
                <w:color w:val="auto"/>
                <w:vertAlign w:val="superscript"/>
              </w:rPr>
              <w:t>(3)</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778,067</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778,067</w:t>
            </w: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778,067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Paul Gu</w:t>
            </w:r>
            <w:r>
              <w:rPr>
                <w:rFonts w:ascii="Arial" w:cs="Arial" w:eastAsia="Arial" w:hAnsi="Arial"/>
                <w:sz w:val="15"/>
                <w:szCs w:val="15"/>
                <w:color w:val="auto"/>
                <w:vertAlign w:val="superscript"/>
              </w:rPr>
              <w:t>(4)</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2,131,249</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3.3%</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213,124</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213,124</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1,918,125</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2.6%</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1,918,125</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Mary Hentges</w:t>
            </w:r>
            <w:r>
              <w:rPr>
                <w:rFonts w:ascii="Arial" w:cs="Arial" w:eastAsia="Arial" w:hAnsi="Arial"/>
                <w:sz w:val="15"/>
                <w:szCs w:val="15"/>
                <w:color w:val="auto"/>
                <w:vertAlign w:val="superscript"/>
              </w:rPr>
              <w:t>(5)</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53,456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53,456</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53,456</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2"/>
                <w:szCs w:val="12"/>
                <w:color w:val="auto"/>
              </w:rPr>
              <w:t>Oskar Mielczarek de la Miel</w:t>
            </w:r>
          </w:p>
        </w:tc>
        <w:tc>
          <w:tcPr>
            <w:tcW w:w="940" w:type="dxa"/>
            <w:vAlign w:val="bottom"/>
            <w:gridSpan w:val="3"/>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Ciaran O’Kelly</w:t>
            </w:r>
            <w:r>
              <w:rPr>
                <w:rFonts w:ascii="Arial" w:cs="Arial" w:eastAsia="Arial" w:hAnsi="Arial"/>
                <w:sz w:val="15"/>
                <w:szCs w:val="15"/>
                <w:color w:val="auto"/>
                <w:vertAlign w:val="superscript"/>
              </w:rPr>
              <w:t>(6)</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160,369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160,369</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160,369</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2"/>
                <w:szCs w:val="12"/>
                <w:color w:val="auto"/>
              </w:rPr>
              <w:t>Robert Schwartz</w:t>
            </w:r>
          </w:p>
        </w:tc>
        <w:tc>
          <w:tcPr>
            <w:tcW w:w="940" w:type="dxa"/>
            <w:vAlign w:val="bottom"/>
            <w:gridSpan w:val="3"/>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140" w:type="dxa"/>
            <w:vAlign w:val="bottom"/>
            <w:gridSpan w:val="3"/>
          </w:tcPr>
          <w:p>
            <w:pPr>
              <w:jc w:val="right"/>
              <w:ind w:right="200"/>
              <w:spacing w:after="0" w:line="136" w:lineRule="exact"/>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Sukhinder Singh Cassidy</w:t>
            </w:r>
            <w:r>
              <w:rPr>
                <w:rFonts w:ascii="Arial" w:cs="Arial" w:eastAsia="Arial" w:hAnsi="Arial"/>
                <w:sz w:val="15"/>
                <w:szCs w:val="15"/>
                <w:color w:val="auto"/>
                <w:vertAlign w:val="superscript"/>
              </w:rPr>
              <w:t>(7)</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42,765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42,765</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42,765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Hilliard C. Terry, III</w:t>
            </w:r>
            <w:r>
              <w:rPr>
                <w:rFonts w:ascii="Arial" w:cs="Arial" w:eastAsia="Arial" w:hAnsi="Arial"/>
                <w:sz w:val="15"/>
                <w:szCs w:val="15"/>
                <w:color w:val="auto"/>
                <w:vertAlign w:val="superscript"/>
              </w:rPr>
              <w:t>(8)</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106,912</w:t>
            </w:r>
          </w:p>
        </w:tc>
        <w:tc>
          <w:tcPr>
            <w:tcW w:w="12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106,912</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106,912</w:t>
            </w: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60" w:type="dxa"/>
            <w:vAlign w:val="bottom"/>
            <w:gridSpan w:val="2"/>
            <w:shd w:val="clear" w:color="auto" w:fill="CCEEFF"/>
          </w:tcPr>
          <w:p>
            <w:pPr>
              <w:spacing w:after="0" w:line="133" w:lineRule="exact"/>
              <w:rPr>
                <w:sz w:val="20"/>
                <w:szCs w:val="20"/>
                <w:color w:val="auto"/>
              </w:rPr>
            </w:pPr>
            <w:r>
              <w:rPr>
                <w:rFonts w:ascii="Arial" w:cs="Arial" w:eastAsia="Arial" w:hAnsi="Arial"/>
                <w:sz w:val="12"/>
                <w:szCs w:val="12"/>
                <w:color w:val="auto"/>
              </w:rPr>
              <w:t>All executive officers and directors as a group</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6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0"/>
                <w:szCs w:val="10"/>
                <w:color w:val="auto"/>
              </w:rPr>
              <w:t>(11 persons)</w:t>
            </w:r>
            <w:r>
              <w:rPr>
                <w:rFonts w:ascii="Arial" w:cs="Arial" w:eastAsia="Arial" w:hAnsi="Arial"/>
                <w:sz w:val="15"/>
                <w:szCs w:val="15"/>
                <w:color w:val="auto"/>
                <w:vertAlign w:val="superscript"/>
              </w:rPr>
              <w:t>(9)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19,470,317</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3"/>
              </w:rPr>
              <w:t>28.0%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1,404,769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1,404,769</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18,065,548</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23.0%</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18,065,548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23.0%</w:t>
            </w:r>
          </w:p>
        </w:tc>
        <w:tc>
          <w:tcPr>
            <w:tcW w:w="0" w:type="dxa"/>
            <w:vAlign w:val="bottom"/>
          </w:tcPr>
          <w:p>
            <w:pPr>
              <w:spacing w:after="0"/>
              <w:rPr>
                <w:sz w:val="1"/>
                <w:szCs w:val="1"/>
                <w:color w:val="auto"/>
              </w:rPr>
            </w:pPr>
          </w:p>
        </w:tc>
      </w:tr>
      <w:tr>
        <w:trPr>
          <w:trHeight w:val="225"/>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5% Stockholders: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Entities affiliated with Third Point Ventures</w:t>
            </w:r>
            <w:r>
              <w:rPr>
                <w:rFonts w:ascii="Arial" w:cs="Arial" w:eastAsia="Arial" w:hAnsi="Arial"/>
                <w:sz w:val="15"/>
                <w:szCs w:val="15"/>
                <w:color w:val="auto"/>
                <w:vertAlign w:val="superscript"/>
              </w:rPr>
              <w:t>(10)(23)</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12,181,222</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w w:val="93"/>
              </w:rPr>
              <w:t>19.3%</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12,181,222</w:t>
            </w: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16.8%</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12,181,222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Entities affiliated with Stone Ridge Trust V</w:t>
            </w:r>
            <w:r>
              <w:rPr>
                <w:rFonts w:ascii="Arial" w:cs="Arial" w:eastAsia="Arial" w:hAnsi="Arial"/>
                <w:sz w:val="15"/>
                <w:szCs w:val="15"/>
                <w:color w:val="auto"/>
                <w:vertAlign w:val="superscript"/>
              </w:rPr>
              <w:t>(11)</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5,700,889</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9.0%</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570,088</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2,014,976</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5,130,801</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7.1%</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3,685,913</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Entities affiliated with Khosla Ventures</w:t>
            </w:r>
            <w:r>
              <w:rPr>
                <w:rFonts w:ascii="Arial" w:cs="Arial" w:eastAsia="Arial" w:hAnsi="Arial"/>
                <w:sz w:val="15"/>
                <w:szCs w:val="15"/>
                <w:color w:val="auto"/>
                <w:vertAlign w:val="superscript"/>
              </w:rPr>
              <w:t>(12)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5,248,588</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8.3%</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5,248,588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7.2%</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5,248,588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Entities affiliated with Rakuten</w:t>
            </w:r>
            <w:r>
              <w:rPr>
                <w:rFonts w:ascii="Arial" w:cs="Arial" w:eastAsia="Arial" w:hAnsi="Arial"/>
                <w:sz w:val="15"/>
                <w:szCs w:val="15"/>
                <w:color w:val="auto"/>
                <w:vertAlign w:val="superscript"/>
              </w:rPr>
              <w:t>(13)</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3,321,879</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5.3%</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36" w:lineRule="exact"/>
              <w:rPr>
                <w:sz w:val="20"/>
                <w:szCs w:val="20"/>
                <w:color w:val="auto"/>
              </w:rPr>
            </w:pPr>
            <w:r>
              <w:rPr>
                <w:rFonts w:ascii="Arial" w:cs="Arial" w:eastAsia="Arial" w:hAnsi="Arial"/>
                <w:sz w:val="12"/>
                <w:szCs w:val="12"/>
                <w:color w:val="auto"/>
              </w:rPr>
              <w:t>3,321,879</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4.6%</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3,321,879</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Entities affiliated with First Round Capital</w:t>
            </w:r>
            <w:r>
              <w:rPr>
                <w:rFonts w:ascii="Arial" w:cs="Arial" w:eastAsia="Arial" w:hAnsi="Arial"/>
                <w:sz w:val="15"/>
                <w:szCs w:val="15"/>
                <w:color w:val="auto"/>
                <w:vertAlign w:val="superscript"/>
              </w:rPr>
              <w:t>(14)</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3,220,682</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5.1%</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305,068</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305,068</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2,915,614</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4.0%</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2,915,614</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25"/>
        </w:trPr>
        <w:tc>
          <w:tcPr>
            <w:tcW w:w="2760" w:type="dxa"/>
            <w:vAlign w:val="bottom"/>
            <w:gridSpan w:val="2"/>
          </w:tcPr>
          <w:p>
            <w:pPr>
              <w:spacing w:after="0"/>
              <w:rPr>
                <w:sz w:val="20"/>
                <w:szCs w:val="20"/>
                <w:color w:val="auto"/>
              </w:rPr>
            </w:pPr>
            <w:r>
              <w:rPr>
                <w:rFonts w:ascii="Arial" w:cs="Arial" w:eastAsia="Arial" w:hAnsi="Arial"/>
                <w:sz w:val="12"/>
                <w:szCs w:val="12"/>
                <w:b w:val="1"/>
                <w:bCs w:val="1"/>
                <w:color w:val="auto"/>
              </w:rPr>
              <w:t>Selling Stockholders: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Anna M. Counselman</w:t>
            </w:r>
            <w:r>
              <w:rPr>
                <w:rFonts w:ascii="Arial" w:cs="Arial" w:eastAsia="Arial" w:hAnsi="Arial"/>
                <w:sz w:val="15"/>
                <w:szCs w:val="15"/>
                <w:color w:val="auto"/>
                <w:vertAlign w:val="superscript"/>
              </w:rPr>
              <w:t>(15)</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1,216,457</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1.9%</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121,645</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121,645</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1,094,812</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1.5%</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1,094,812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Alison Nicoll</w:t>
            </w:r>
            <w:r>
              <w:rPr>
                <w:rFonts w:ascii="Arial" w:cs="Arial" w:eastAsia="Arial" w:hAnsi="Arial"/>
                <w:sz w:val="15"/>
                <w:szCs w:val="15"/>
                <w:color w:val="auto"/>
                <w:vertAlign w:val="superscript"/>
              </w:rPr>
              <w:t>(16)</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936,457</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1.5%</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70,000</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70,000</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866,457</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866,457</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PESARC Hedge Fund Holdings Ltd.</w:t>
            </w:r>
            <w:r>
              <w:rPr>
                <w:rFonts w:ascii="Arial" w:cs="Arial" w:eastAsia="Arial" w:hAnsi="Arial"/>
                <w:sz w:val="15"/>
                <w:szCs w:val="15"/>
                <w:color w:val="auto"/>
                <w:vertAlign w:val="superscript"/>
              </w:rPr>
              <w:t>(17)</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1,004,600</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1.6%</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100,460</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164,114</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904,140</w:t>
            </w: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840,486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Riverview Strategic Opportunities Fund III LP</w:t>
            </w:r>
            <w:r>
              <w:rPr>
                <w:rFonts w:ascii="Arial" w:cs="Arial" w:eastAsia="Arial" w:hAnsi="Arial"/>
                <w:sz w:val="15"/>
                <w:szCs w:val="15"/>
                <w:color w:val="auto"/>
                <w:vertAlign w:val="superscript"/>
              </w:rPr>
              <w:t>(18)</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981,690</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1.6%</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98,169</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160,371</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883,521</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1.2%</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821,319</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US Bank FBO AIP Alternative Lending Fund A</w:t>
            </w:r>
            <w:r>
              <w:rPr>
                <w:rFonts w:ascii="Arial" w:cs="Arial" w:eastAsia="Arial" w:hAnsi="Arial"/>
                <w:sz w:val="15"/>
                <w:szCs w:val="15"/>
                <w:color w:val="auto"/>
                <w:vertAlign w:val="superscript"/>
              </w:rPr>
              <w:t>(19)</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1,196,575</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1.9%</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119,657</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351,266</w:t>
            </w:r>
          </w:p>
        </w:tc>
        <w:tc>
          <w:tcPr>
            <w:tcW w:w="8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1,076,918</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1.5%</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845,309</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GV 2012, L.P.</w:t>
            </w:r>
            <w:r>
              <w:rPr>
                <w:rFonts w:ascii="Arial" w:cs="Arial" w:eastAsia="Arial" w:hAnsi="Arial"/>
                <w:sz w:val="15"/>
                <w:szCs w:val="15"/>
                <w:color w:val="auto"/>
                <w:vertAlign w:val="superscript"/>
              </w:rPr>
              <w:t>(20)</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912,386</w:t>
            </w:r>
          </w:p>
        </w:tc>
        <w:tc>
          <w:tcPr>
            <w:tcW w:w="120" w:type="dxa"/>
            <w:vAlign w:val="bottom"/>
          </w:tcPr>
          <w:p>
            <w:pPr>
              <w:spacing w:after="0"/>
              <w:rPr>
                <w:sz w:val="11"/>
                <w:szCs w:val="11"/>
                <w:color w:val="auto"/>
              </w:rPr>
            </w:pPr>
          </w:p>
        </w:tc>
        <w:tc>
          <w:tcPr>
            <w:tcW w:w="48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1.4%</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79,963</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79,963</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832,423</w:t>
            </w:r>
          </w:p>
        </w:tc>
        <w:tc>
          <w:tcPr>
            <w:tcW w:w="6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832,423</w:t>
            </w:r>
          </w:p>
        </w:tc>
        <w:tc>
          <w:tcPr>
            <w:tcW w:w="80" w:type="dxa"/>
            <w:vAlign w:val="bottom"/>
          </w:tcPr>
          <w:p>
            <w:pPr>
              <w:spacing w:after="0"/>
              <w:rPr>
                <w:sz w:val="11"/>
                <w:szCs w:val="11"/>
                <w:color w:val="auto"/>
              </w:rPr>
            </w:pPr>
          </w:p>
        </w:tc>
        <w:tc>
          <w:tcPr>
            <w:tcW w:w="48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Andy Palmer</w:t>
            </w:r>
            <w:r>
              <w:rPr>
                <w:rFonts w:ascii="Arial" w:cs="Arial" w:eastAsia="Arial" w:hAnsi="Arial"/>
                <w:sz w:val="15"/>
                <w:szCs w:val="15"/>
                <w:color w:val="auto"/>
                <w:vertAlign w:val="superscript"/>
              </w:rPr>
              <w:t>(21)</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698,844</w:t>
            </w:r>
          </w:p>
        </w:tc>
        <w:tc>
          <w:tcPr>
            <w:tcW w:w="12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1.1%</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69,884</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69,884</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628,960</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628,960</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60" w:type="dxa"/>
            <w:vAlign w:val="bottom"/>
            <w:gridSpan w:val="2"/>
          </w:tcPr>
          <w:p>
            <w:pPr>
              <w:spacing w:after="0" w:line="133" w:lineRule="exact"/>
              <w:rPr>
                <w:sz w:val="20"/>
                <w:szCs w:val="20"/>
                <w:color w:val="auto"/>
              </w:rPr>
            </w:pPr>
            <w:r>
              <w:rPr>
                <w:rFonts w:ascii="Arial" w:cs="Arial" w:eastAsia="Arial" w:hAnsi="Arial"/>
                <w:sz w:val="12"/>
                <w:szCs w:val="12"/>
                <w:color w:val="auto"/>
              </w:rPr>
              <w:t>Current Employees (Non-Executive Leadership)</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306,665</w:t>
            </w:r>
          </w:p>
        </w:tc>
        <w:tc>
          <w:tcPr>
            <w:tcW w:w="1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30,666</w:t>
            </w:r>
          </w:p>
        </w:tc>
        <w:tc>
          <w:tcPr>
            <w:tcW w:w="9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30,666</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275,999</w:t>
            </w: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rPr>
              <w: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275,999</w:t>
            </w:r>
          </w:p>
        </w:tc>
        <w:tc>
          <w:tcPr>
            <w:tcW w:w="8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320" w:type="dxa"/>
            <w:vAlign w:val="bottom"/>
          </w:tcPr>
          <w:p>
            <w:pPr>
              <w:ind w:left="120"/>
              <w:spacing w:after="0"/>
              <w:rPr>
                <w:sz w:val="20"/>
                <w:szCs w:val="20"/>
                <w:color w:val="auto"/>
              </w:rPr>
            </w:pPr>
            <w:r>
              <w:rPr>
                <w:rFonts w:ascii="Arial" w:cs="Arial" w:eastAsia="Arial" w:hAnsi="Arial"/>
                <w:sz w:val="10"/>
                <w:szCs w:val="10"/>
                <w:color w:val="auto"/>
              </w:rPr>
              <w:t>(22)</w:t>
            </w:r>
          </w:p>
        </w:tc>
        <w:tc>
          <w:tcPr>
            <w:tcW w:w="14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Other Current Employees</w:t>
            </w:r>
            <w:r>
              <w:rPr>
                <w:rFonts w:ascii="Arial" w:cs="Arial" w:eastAsia="Arial" w:hAnsi="Arial"/>
                <w:sz w:val="15"/>
                <w:szCs w:val="15"/>
                <w:color w:val="auto"/>
                <w:vertAlign w:val="superscript"/>
              </w:rPr>
              <w:t>(22)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474,780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42,678</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42,678</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432,102</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432,102</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Former Employees</w:t>
            </w:r>
            <w:r>
              <w:rPr>
                <w:rFonts w:ascii="Arial" w:cs="Arial" w:eastAsia="Arial" w:hAnsi="Arial"/>
                <w:sz w:val="15"/>
                <w:szCs w:val="15"/>
                <w:color w:val="auto"/>
                <w:vertAlign w:val="superscript"/>
              </w:rPr>
              <w:t>(22)</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319,547</w:t>
            </w:r>
          </w:p>
        </w:tc>
        <w:tc>
          <w:tcPr>
            <w:tcW w:w="12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31,952</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31,952</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287,595</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287,595</w:t>
            </w: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Series C Preferred Investors</w:t>
            </w:r>
            <w:r>
              <w:rPr>
                <w:rFonts w:ascii="Arial" w:cs="Arial" w:eastAsia="Arial" w:hAnsi="Arial"/>
                <w:sz w:val="15"/>
                <w:szCs w:val="15"/>
                <w:color w:val="auto"/>
                <w:vertAlign w:val="superscript"/>
              </w:rPr>
              <w:t>(22)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595,303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59,195</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59,195</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536,108</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536,108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tcPr>
          <w:p>
            <w:pPr>
              <w:spacing w:after="0" w:line="136" w:lineRule="exact"/>
              <w:rPr>
                <w:sz w:val="20"/>
                <w:szCs w:val="20"/>
                <w:color w:val="auto"/>
              </w:rPr>
            </w:pPr>
            <w:r>
              <w:rPr>
                <w:rFonts w:ascii="Arial" w:cs="Arial" w:eastAsia="Arial" w:hAnsi="Arial"/>
                <w:sz w:val="10"/>
                <w:szCs w:val="10"/>
                <w:color w:val="auto"/>
              </w:rPr>
              <w:t>Other Preferred Investors</w:t>
            </w:r>
            <w:r>
              <w:rPr>
                <w:rFonts w:ascii="Arial" w:cs="Arial" w:eastAsia="Arial" w:hAnsi="Arial"/>
                <w:sz w:val="15"/>
                <w:szCs w:val="15"/>
                <w:color w:val="auto"/>
                <w:vertAlign w:val="superscript"/>
              </w:rPr>
              <w:t>(22)</w:t>
            </w:r>
          </w:p>
        </w:tc>
        <w:tc>
          <w:tcPr>
            <w:tcW w:w="82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554,543</w:t>
            </w:r>
          </w:p>
        </w:tc>
        <w:tc>
          <w:tcPr>
            <w:tcW w:w="120" w:type="dxa"/>
            <w:vAlign w:val="bottom"/>
          </w:tcPr>
          <w:p>
            <w:pPr>
              <w:spacing w:after="0"/>
              <w:rPr>
                <w:sz w:val="11"/>
                <w:szCs w:val="11"/>
                <w:color w:val="auto"/>
              </w:rPr>
            </w:pPr>
          </w:p>
        </w:tc>
        <w:tc>
          <w:tcPr>
            <w:tcW w:w="2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11"/>
                <w:szCs w:val="11"/>
                <w:color w:val="auto"/>
              </w:rPr>
            </w:pP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55,452</w:t>
            </w:r>
          </w:p>
        </w:tc>
        <w:tc>
          <w:tcPr>
            <w:tcW w:w="9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55,452</w:t>
            </w:r>
          </w:p>
        </w:tc>
        <w:tc>
          <w:tcPr>
            <w:tcW w:w="100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499,091</w:t>
            </w:r>
          </w:p>
        </w:tc>
        <w:tc>
          <w:tcPr>
            <w:tcW w:w="60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499,091</w:t>
            </w:r>
          </w:p>
        </w:tc>
        <w:tc>
          <w:tcPr>
            <w:tcW w:w="80" w:type="dxa"/>
            <w:vAlign w:val="bottom"/>
          </w:tcPr>
          <w:p>
            <w:pPr>
              <w:spacing w:after="0"/>
              <w:rPr>
                <w:sz w:val="11"/>
                <w:szCs w:val="11"/>
                <w:color w:val="auto"/>
              </w:rPr>
            </w:pP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60" w:type="dxa"/>
            <w:vAlign w:val="bottom"/>
            <w:gridSpan w:val="2"/>
            <w:shd w:val="clear" w:color="auto" w:fill="CCEEFF"/>
          </w:tcPr>
          <w:p>
            <w:pPr>
              <w:spacing w:after="0" w:line="136" w:lineRule="exact"/>
              <w:rPr>
                <w:sz w:val="20"/>
                <w:szCs w:val="20"/>
                <w:color w:val="auto"/>
              </w:rPr>
            </w:pPr>
            <w:r>
              <w:rPr>
                <w:rFonts w:ascii="Arial" w:cs="Arial" w:eastAsia="Arial" w:hAnsi="Arial"/>
                <w:sz w:val="10"/>
                <w:szCs w:val="10"/>
                <w:color w:val="auto"/>
              </w:rPr>
              <w:t>Other Non-Employees or Investors</w:t>
            </w:r>
            <w:r>
              <w:rPr>
                <w:rFonts w:ascii="Arial" w:cs="Arial" w:eastAsia="Arial" w:hAnsi="Arial"/>
                <w:sz w:val="15"/>
                <w:szCs w:val="15"/>
                <w:color w:val="auto"/>
                <w:vertAlign w:val="superscript"/>
              </w:rPr>
              <w:t>(22)</w:t>
            </w: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476,930</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47,689</w:t>
            </w: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47,689</w:t>
            </w:r>
          </w:p>
        </w:tc>
        <w:tc>
          <w:tcPr>
            <w:tcW w:w="100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2"/>
                <w:szCs w:val="12"/>
                <w:color w:val="auto"/>
              </w:rPr>
              <w:t>429,241</w:t>
            </w:r>
          </w:p>
        </w:tc>
        <w:tc>
          <w:tcPr>
            <w:tcW w:w="60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429,241</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9" w:lineRule="exact"/>
        <w:rPr>
          <w:sz w:val="20"/>
          <w:szCs w:val="20"/>
          <w:color w:val="auto"/>
        </w:rPr>
      </w:pPr>
    </w:p>
    <w:p>
      <w:pPr>
        <w:ind w:left="1480" w:hanging="453"/>
        <w:spacing w:after="0"/>
        <w:tabs>
          <w:tab w:leader="none" w:pos="14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Represents beneficial ownership of less than 1% of the outstanding shares of our common stock.</w:t>
      </w:r>
    </w:p>
    <w:p>
      <w:pPr>
        <w:ind w:left="1480" w:right="80" w:hanging="453"/>
        <w:spacing w:after="0" w:line="235" w:lineRule="auto"/>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Represents shares beneficially owned by such individual or entity, and includes shares held in the beneficial owner’s name or jointly with others, or in the name of a bank, nominee or trustee for the beneficial owner’s account.</w:t>
      </w:r>
    </w:p>
    <w:p>
      <w:pPr>
        <w:ind w:left="1480" w:right="100" w:hanging="453"/>
        <w:spacing w:after="0" w:line="235" w:lineRule="auto"/>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(i) 12,792,840 shares held of record by the 2008 D&amp;T Girouard Revocable Trust for which Mr. Girouard serves as trustee and (ii) 1,251,745 shares subject to options exercisable within 60 days of September 30, 2020 held by Mr. Girouard. Subsequent to September 30, 2020, a portion of the shares described in this footnote as held of record by Mr. Girouard were transferred to the TMG 2020 EXEMPT GIFT TRUST, dated October 19, 2020, the JRG 2020 EXEMPT GIFT TRUST, dated October 19, 2020 and the GIROUARD 2020 GRAT, dated October 19, 2020.</w:t>
      </w:r>
    </w:p>
    <w:p>
      <w:pPr>
        <w:ind w:left="1480" w:hanging="453"/>
        <w:spacing w:after="0" w:line="235" w:lineRule="auto"/>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778,067 shares subject to options exercisable within 60 days of September 30, 2020 held by Mr. Datta.</w:t>
      </w:r>
    </w:p>
    <w:p>
      <w:pPr>
        <w:ind w:left="1480" w:right="380" w:hanging="453"/>
        <w:spacing w:after="0" w:line="235" w:lineRule="auto"/>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(i) 160,000 shares held of record by Mr. Gu and (ii) 1,971,249 shares subject to options exercisable within 60 days of September 30, 2020 held by Mr. Gu.</w:t>
      </w:r>
    </w:p>
    <w:p>
      <w:pPr>
        <w:ind w:left="1480" w:hanging="453"/>
        <w:spacing w:after="0" w:line="235" w:lineRule="auto"/>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53,456 shares subject to options exercisable within 60 days of September 30, 2020 held by Ms. Hentges.</w:t>
      </w:r>
    </w:p>
    <w:p>
      <w:pPr>
        <w:ind w:left="1480" w:hanging="453"/>
        <w:spacing w:after="0" w:line="235" w:lineRule="auto"/>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160,369 shares subject to options exercisable within 60 days of September 30, 2020 held by Mr. O’Kelly.</w:t>
      </w:r>
    </w:p>
    <w:p>
      <w:pPr>
        <w:ind w:left="1480" w:hanging="453"/>
        <w:spacing w:after="0"/>
        <w:tabs>
          <w:tab w:leader="none" w:pos="14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Consists of 42,765 shares subject to options exercisable within 60 days of September 30, 2020 held by Ms. Singh Cassidy.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0220"/>
          </w:cols>
          <w:pgMar w:left="320" w:top="407" w:right="1359" w:bottom="1440" w:gutter="0" w:footer="0" w:header="0"/>
        </w:sectPr>
      </w:pPr>
    </w:p>
    <w:bookmarkStart w:id="211" w:name="page212"/>
    <w:bookmarkEnd w:id="21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1480" w:hanging="453"/>
        <w:spacing w:after="0"/>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106,912 shares subject to options exercisable within 60 days of September 30, 2020 held by Mr. Terry.</w:t>
      </w:r>
    </w:p>
    <w:p>
      <w:pPr>
        <w:ind w:left="14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(i) 12,997,340 shares beneficially owned by our executive officers and directors and (ii) 6,472,977 shares subject to options exercisable within 60 days of September 30, 2020.</w:t>
      </w:r>
    </w:p>
    <w:p>
      <w:pPr>
        <w:ind w:left="1480" w:right="10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12,181,222 shares held of record by Third Point Ventures LLC, as nominee for funds managed and/or advised by Third Point LLC. Third Point LLC and Daniel S. Loeb, managing member of Third Point LLC, may be deemed to have voting and investment power over such shares. The address for each of these entities is 55 Hudson Yards, New York, New York 10001.</w:t>
      </w:r>
    </w:p>
    <w:p>
      <w:pPr>
        <w:ind w:left="1480" w:right="4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5,700,889 shares held of record by Millennium Trust Company LLC for the benefit of Stone Ridge Trust V, on behalf of its series Stone Ridge Alternative Lending Risk Premium Fund, or LENDX. Stone Ridge Asset Management LLC, or Stone Ridge, acts as the investment adviser to LENDX, and Stone Ridge is controlled by Ross Stevens. Each of Stone Ridge and Ross Stevens may be deemed to have voting and dispositive power of such shares held by LENDX. The address for each of these entities is 510 Madison Avenue, 21st Floor, New York, New York 10022. Prior to this offering and under a previous version of the company’s charter, shares held by LENDX were entitled to no more than 4.99% of the aggregate voting power of all shares of the company with respect to any matter presented to the company’s stockholders, and in connection with this offering, LENDX has entered into an agreement with the company pursuant to which it will continue to be entitled to no more than 4.99% of the aggregate voting power of all shares of common stock with respect to any matter presented to the company’s stockholders.</w:t>
      </w:r>
    </w:p>
    <w:p>
      <w:pPr>
        <w:ind w:left="14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50,508 shares held of record by Khosla Ventures Seed B (CF), LP, or Seed B CF, 889,783 shares held of record by Khosla Ventures Seed B, LP, or Seed B, and 4,308,297 shares held of record by Khosla Ventures V, LP, or KV V, The general partner of Seed B CF and Seed B is Khosla Ventures Seed Associates B, LLC, or B Associates. VK Services, LLC, or VK Services, is the sole manager of B Associates. Vinod Khosla is the managing member of VK Services. Each of Mr. Khosla, VK Services and B Associates may be deemed to share voting and dispositive power of such securities held by Seed B CF and Seed B. Mr. Khosla, VK Services and B Associates disclaim beneficial ownership of such securities held by Seed B CF and Seed B, except to the extent of their respective pecuniary interests therein. The general partner of KV V is Khosla Ventures Associates V, LLC, or KVA V. VK Services, LLC, or VK Services, is the sole manager of KVA V. Vinod Khosla is the managing member of VK Services. Each of Mr. Khosla, VK Services and KVA V may be deemed to share voting and dispositive power of such securities held by KV V. Mr. Khosla, VK Services and KVA V disclaim beneficial ownership of such securities held by KV V, except to the extent of their respective pecuniary interests therein. The address for each of these entities is 2128 Sand Hill Road, Menlo Park, California 94025.</w:t>
      </w:r>
    </w:p>
    <w:p>
      <w:pPr>
        <w:ind w:left="1480" w:right="20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3,321,879 shares held of record by Rakuten Capital SCSp, or Rakuten Capital. Rakuten Capital is controlled by Rakuten Capital Holdings S.a.r.l., or Holdings. Holdings is a wholly-owned subsidiary of Rakuten Europe S.a.r.l., or Rakuten Europe. Rakuten Europe is a wholly-owned subsidiary of Rakuten, Inc. Hiroshi Mikitani is the Chairman and Chief Executive Officer of Rakuten, Inc. Each of Rakuten Capital, Holdings, Rakuten Europe, Rakuten, Inc. and Mr. Mikitani may be deemed to hold voting and dispositive power with respect to these shares. The address for these entities is 2 Rue du Fossé, Luxembourg L-1536, Grand Duchy of Luxembourg.</w:t>
      </w:r>
    </w:p>
    <w:p>
      <w:pPr>
        <w:ind w:left="1480" w:right="4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3,220,682 shares held of record by First Round Capital III, L.P., as nominee, a Delaware limited partnership, on behalf of First Round Capital III, LP, a Delaware limited partnership or, FRC III, First Round Capital III Partners Fund, LP, or FRC III Partners Fund, and First Round Capital III-A, LP, or FRC III-A, and together with FRC III and FRC III Partners Fund, the FRC III Funds. First Round Capital Management III, LP, a Delaware limited partnership, or FRC III GP, is the General Partner of the FRC III Funds. First Round Capital Management III, LLC, a Delaware limited liability company, is the General Partner of FRC III GP and has sole voting and investment power over the shares. A committee of three members controls First Round Capital Management III, LLC. The address for each of these entities is 2400 Market Street, Suite 237, Philadelphia, Pennsylvania 19103.</w:t>
      </w:r>
    </w:p>
    <w:p>
      <w:pPr>
        <w:ind w:left="1480" w:right="6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(i) 44,500 shares held of record by Ms. Counselman and (ii) 1,171,957 shares subject to options exercisable within 60 days of September 30, 2020 held by Ms. Counselman. Ms. Counselman serves as our Senior Vice President, People and Operations.</w:t>
      </w:r>
    </w:p>
    <w:p>
      <w:pPr>
        <w:ind w:left="148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936,457 shares subject to options exercisable within 60 days of September 30, 2020 held by Ms. Nicoll. Ms. Nicoll serves as our General Counsel.</w:t>
      </w:r>
    </w:p>
    <w:p>
      <w:pPr>
        <w:ind w:left="1480" w:right="4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1,004,600 shares held of record by PESARC Hedge Fund Holdings Ltd. The address for this entity is Ugland House, South Church Street, Georgetown, Grand Cayman, Cayman Islands KY1-1104.</w:t>
      </w:r>
    </w:p>
    <w:p>
      <w:pPr>
        <w:ind w:left="1480" w:right="60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981,690 shares held of record by Charles, Frederic &amp; Co as Nominee for the Bank of New York Mellon as Custodian f/b/o Riverview Strategic Opportunities Fund III LP. The address for this entity is 100 Front Street, Suite 400, West Conshohocken, PA 19428.</w:t>
      </w:r>
    </w:p>
    <w:p>
      <w:pPr>
        <w:ind w:left="1480" w:right="460" w:hanging="453"/>
        <w:spacing w:after="0" w:line="235"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913,825 shares held of record by US Bank FBO AIP Alternative Lending Fund A. The address for this entity is 100 Front Street, Suite 400, West Conshohocken, PA 19428.</w:t>
      </w:r>
    </w:p>
    <w:p>
      <w:pPr>
        <w:ind w:left="1480" w:right="60" w:hanging="453"/>
        <w:spacing w:after="0" w:line="239" w:lineRule="auto"/>
        <w:tabs>
          <w:tab w:leader="none" w:pos="14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Consists of 912,386 shares held of record by GV 2012, L.P. GV 2012 GP, L.L.C. (the general partner of GV 2012, L.P.), Alphabet Holdings LLC (the sole member of GV 2012 GP, L.L.C.), XXVI Holdings Inc. (the managing member of Alphabet Holdings LLC), and Alphabet Inc. (the sole stockholder of XXVI Holdings Inc.) may each be deemed to have sole power to vote or dispose of the shares held directly by GV 2012, L.P. The principal business address of GV 2012, L.P., GV 2012 GP, L.L.C., Alphabet Holdings LLC, XXVI Holdings Inc., and Alphabet Inc. is 1600 Amphitheatre Parkway, Mountain View, CA 94043.</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0200"/>
          </w:cols>
          <w:pgMar w:left="320" w:top="407" w:right="1379" w:bottom="1440" w:gutter="0" w:footer="0" w:header="0"/>
        </w:sectPr>
      </w:pPr>
    </w:p>
    <w:bookmarkStart w:id="212" w:name="page213"/>
    <w:bookmarkEnd w:id="21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71" w:lineRule="exact"/>
        <w:rPr>
          <w:sz w:val="20"/>
          <w:szCs w:val="20"/>
          <w:color w:val="auto"/>
        </w:rPr>
      </w:pPr>
    </w:p>
    <w:p>
      <w:pPr>
        <w:ind w:left="1480" w:hanging="453"/>
        <w:spacing w:after="0"/>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349,422 shares held of record by Andy Palmer and 349,422 shares held of record by Amy D. Palmer. Mr. Palmer is a former director of the Company.</w:t>
      </w:r>
    </w:p>
    <w:p>
      <w:pPr>
        <w:ind w:left="1480" w:right="119" w:hanging="453"/>
        <w:spacing w:after="0" w:line="235"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Consists of selling stockholders not otherwise listed in this table who within the groups indicated collectively own less than 1% of our common stock. Includes the number of shares that such selling stockholders have the right to acquire pursuant to options that may be exercised within 60 days of September 30, 2020.</w:t>
      </w:r>
    </w:p>
    <w:p>
      <w:pPr>
        <w:ind w:left="1480" w:right="39" w:hanging="453"/>
        <w:spacing w:after="0" w:line="237" w:lineRule="auto"/>
        <w:tabs>
          <w:tab w:leader="none" w:pos="148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However, if any shares are purchased by these affiliates, the number of shares of common stock beneficially owned after this offering and the percentage of common stock beneficially owned after this offering will differ from that set forth in the table above. Assuming the purchase of all 1,200,000 shares by these affiliates, the number of shares of common stock beneficially owned by Third Point Ventures LLC after this offering would increase by 1,200,000 shares and the percentage of common stock beneficially owned by such stockholder after this offering would increase by 1.7% (assuming no exercise of the underwriters’ option to purchase additional shares).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0139"/>
          </w:cols>
          <w:pgMar w:left="320" w:top="407" w:right="1440" w:bottom="1440" w:gutter="0" w:footer="0" w:header="0"/>
        </w:sectPr>
      </w:pPr>
    </w:p>
    <w:bookmarkStart w:id="213" w:name="page214"/>
    <w:bookmarkEnd w:id="21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DESCRIPTION OF CAPITAL STOCK</w:t>
      </w:r>
    </w:p>
    <w:p>
      <w:pPr>
        <w:spacing w:after="0" w:line="26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General</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following description summarizes certain important terms of our capital stock, as they are expected to be in effect immediately prior to the completion of this offering. We expect to adopt an amended and restated certificate of incorporation and amended and restated bylaws that will become effective immediately prior to the completion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amended and restated investors’ rights agreement, which are included as exhibits to the registration statement of which this prospectus forms a part, and to the applicable provisions of Delaware law. Immediately following the completion of this offering, our authorized capital stock will consist of 770,000,000 shares of capital stock, $0.0001 par value per share, of which:</w:t>
      </w:r>
    </w:p>
    <w:p>
      <w:pPr>
        <w:spacing w:after="0" w:line="96" w:lineRule="exact"/>
        <w:rPr>
          <w:sz w:val="20"/>
          <w:szCs w:val="20"/>
          <w:color w:val="auto"/>
        </w:rPr>
      </w:pPr>
    </w:p>
    <w:p>
      <w:pPr>
        <w:ind w:left="1660" w:hanging="183"/>
        <w:spacing w:after="0"/>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700,000,000 shares are designated as common stock; and</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70,000,000 shares are designated as preferred stock.</w:t>
      </w:r>
    </w:p>
    <w:p>
      <w:pPr>
        <w:spacing w:after="0" w:line="177"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Assuming the conversion of all outstanding shares of our convertible preferred stock into shares of our common stock, which will occur immediately prior to the completion of this offering, as of September 30, 2020, there were 62,994,492 shares of our common stock outstanding, held by 132 stockholders of record, assuming (i) the Capital Stock Conversion and (ii) the exercise in November 2020 of a warrant to purchase shares of preferred stock resulting in the issuance of 600,208 shares of our common stock. Pursuant to our amended and restated certificate of incorporation, our board of directors will have the authority, without stockholder approval except as required by the listing standards of the Nasdaq Global Select Market, to issue additional shares of our capital stock.</w:t>
      </w:r>
    </w:p>
    <w:p>
      <w:pPr>
        <w:spacing w:after="0" w:line="245"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Common Stock</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Dividend Rights</w:t>
      </w:r>
    </w:p>
    <w:p>
      <w:pPr>
        <w:spacing w:after="0" w:line="105"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Voting Rights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Holders of our common stock are entitled to one vote for each share held on all matters submitted to a vote of stockholders. We have not provided for cumulative voting for the election of directors in our amended and restated certificate of incorporation.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No Preemptive or Similar Rights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common stock is not entitled to preemptive rights, and is not subject to conversion, redemption or sinking fund provisions.</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0220"/>
          </w:cols>
          <w:pgMar w:left="320" w:top="407" w:right="1359" w:bottom="1440" w:gutter="0" w:footer="0" w:header="0"/>
        </w:sectPr>
      </w:pPr>
    </w:p>
    <w:bookmarkStart w:id="214" w:name="page215"/>
    <w:bookmarkEnd w:id="21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Right to Receive Liquidation Distributions</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44"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Fully Paid and Non-Assessable</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In connection with this offering, our legal counsel will opine that the shares of our common stock to be issued in this offering will be fully paid and non-assessable.</w:t>
      </w:r>
    </w:p>
    <w:p>
      <w:pPr>
        <w:spacing w:after="0" w:line="238"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Preferred Stock</w:t>
      </w:r>
    </w:p>
    <w:p>
      <w:pPr>
        <w:spacing w:after="0" w:line="19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After the completion of this offering, no shares of our preferred stock will be outstanding. Pursuant to our amended and restated certificate of incorporation that will become effective immediately prior to the completion of this offering, our board of directors will have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Options</w:t>
      </w:r>
    </w:p>
    <w:p>
      <w:pPr>
        <w:spacing w:after="0" w:line="19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As of September 30, 2020, we had outstanding options to purchase an aggregate of 18,889,653 shares of our common stock, with a weighted-average exercise price of approximately $3.17 per share, under our equity compensation plans.</w:t>
      </w: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5"/>
          <w:szCs w:val="15"/>
          <w:b w:val="1"/>
          <w:bCs w:val="1"/>
          <w:color w:val="auto"/>
        </w:rPr>
        <w:t>Warrants</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September 30, 2020, we had the following outstanding warrants:</w:t>
      </w:r>
    </w:p>
    <w:p>
      <w:pPr>
        <w:spacing w:after="0" w:line="98" w:lineRule="exact"/>
        <w:rPr>
          <w:sz w:val="20"/>
          <w:szCs w:val="20"/>
          <w:color w:val="auto"/>
        </w:rPr>
      </w:pPr>
    </w:p>
    <w:p>
      <w:pPr>
        <w:ind w:left="166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warrants to purchase 319,669 shares of our common stock with a weighted-average exercise price of $1.77 per share; and</w:t>
      </w:r>
    </w:p>
    <w:p>
      <w:pPr>
        <w:spacing w:after="0" w:line="97" w:lineRule="exact"/>
        <w:rPr>
          <w:rFonts w:ascii="Arial" w:cs="Arial" w:eastAsia="Arial" w:hAnsi="Arial"/>
          <w:sz w:val="15"/>
          <w:szCs w:val="15"/>
          <w:color w:val="auto"/>
        </w:rPr>
      </w:pPr>
    </w:p>
    <w:p>
      <w:pPr>
        <w:jc w:val="both"/>
        <w:ind w:left="1660" w:right="280" w:hanging="183"/>
        <w:spacing w:after="0"/>
        <w:tabs>
          <w:tab w:leader="none" w:pos="166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a warrant to purchase 600,208 shares of our Series B preferred stock with an exercise price of $0.01 per share. This warrant was exercised in November 2020 and such shares of Series B preferred stock issued will convert into shares of our common stock in connection with the Capital Stock Conversion.</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0200"/>
          </w:cols>
          <w:pgMar w:left="320" w:top="407" w:right="1379" w:bottom="1440" w:gutter="0" w:footer="0" w:header="0"/>
        </w:sectPr>
      </w:pPr>
    </w:p>
    <w:bookmarkStart w:id="215" w:name="page216"/>
    <w:bookmarkEnd w:id="21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After the completion of this offering, certain holders of our common stock will be entitled to rights with respect to the registration of their shares under the Securities Act pursuant to the IRA. We and certain holders of our preferred stock are parties to the IRA. The registration rights set forth in the IRA will expire four years following the completion of this offering, or, with respect to any particular stockholder, when such stockholder is able to sell all of its shares pursuant to Rule 144 of the Securities Act during any 90-day period. We will pay the registration expenses (other than underwriting discounts and commissions) of the holders of the shares registered pursuant to the demand registrations and piggyback registrations described below. Holders of our preferred stock participating in any S-3 registrations below will pay their own registration expenses. In an underwritten offering, the managing underwriter, if any, has the right, subject to specified conditions, to limit the number of shares such holders may include. Our stockholders have waived their rights under the IRA (i) to receive notice of this offering and (ii) to include their registrable shares in this offering. In addition, in connection with this offering, most stockholders that have registration rights have agreed not to sell or otherwise dispose of any securities without the prior written consent of us and the underwriters for a period of 180 days after the date of this prospectus, subject to certain terms and conditions. See the section titled “Shares Eligible for Future Sale—Lock-Up and Market Standoff Agreements” for additional information regarding such restrictions.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Demand Registration Rights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After the completion of this offering, the holders of up to 47,049,474 shares of our common stock will be entitled to certain demand registration rights. At any time beginning six months after the effective date of this offering, the holders of at least 50% of these shares then outstanding can request that we register the offer and sale of their shares. Such request for registration must cover securities, the anticipated aggregate public offering price of which, after payment of underwriting discounts and commissions, is at least $5,000,000. We are obligated to effect only two such registrations. If we determine that it would be seriously detrimental to us and our stockholders to effect such a demand registration, we have the right to defer such registration, not more than once in any 12-month period, for a period of up to 120 days.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Piggyback Registration Rights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After the completion of this offering, if we propose to register the offer and sale of our common stock under the Securities Act, in connection with the public offering of such common stock the holders of up to 59,949,785 shares of our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(i) a registration in which the only common stock being registered is common stock issuable upon conversion of debt securities that are also being registered; (ii) a registration related to any employee benefit plan or a corporate reorganization or other transaction covered by Rule 145 promulgated under the Securities Act; or (iii) a registration on any registration form which does not include substantially the same information as would be required to be included in a registration statement covering the public offering of our common stock, the holders of these shares are entitled to notice of the registration and have the right, subject to certain limitations, to include their shares in the registration.</w:t>
      </w:r>
    </w:p>
    <w:p>
      <w:pPr>
        <w:spacing w:after="0" w:line="246"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S-3 Registration Rights</w:t>
      </w:r>
    </w:p>
    <w:p>
      <w:pPr>
        <w:spacing w:after="0" w:line="10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After 180 days following the completion of this offering, the holders of up to 47,949,785 shares of our common stock will be entitled to certain Form S-3 registration rights. The holders of at least 50% of</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0220"/>
          </w:cols>
          <w:pgMar w:left="320" w:top="407" w:right="1359" w:bottom="1440" w:gutter="0" w:footer="0" w:header="0"/>
        </w:sectPr>
      </w:pPr>
    </w:p>
    <w:bookmarkStart w:id="216" w:name="page217"/>
    <w:bookmarkEnd w:id="21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these shares then outstanding may make a written request that we register the offer and sale of their shares on a registration statement on Form S-3 if we are eligible to file a registration statement on Form S-3 so long as the request covers securities the anticipated aggregate public offering price of which, after payment of underwriting discounts and commissions, is at least $1,000,000. These stockholders may make an unlimited number of requests for registration on Form S-3; however, we will not be required to effect a registration on Form S-3 if we have effected two such registrations within the 12-month period preceding the date of the request or if we have already previously effected three such registrations. Additionally, if we determine that it would be seriously detrimental to us and our stockholders to effect such a registration, we have the right to defer such registration, not more than once in any 12-month period, for a period of up to 120 days.</w:t>
      </w:r>
    </w:p>
    <w:p>
      <w:pPr>
        <w:spacing w:after="0" w:line="243"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Anti-Takeover Provisions</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Certain provisions of Delaware law, our amended and restated certificate of incorporation and our amended and restated bylaws, which will become effective immediately prior to the completion of this offering, which are summarized below, may have the effect of delaying, deferring or discouraging another person from acquiring control of us. They are also designed, in part, to enhance the likelihood of continued stability in the composition of our board of directors and its policies and to encourage persons seeking to acquire control of us to negotiate first with our board of directors. We believe that the benefits of these provisions, including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Delaware Law</w:t>
      </w:r>
    </w:p>
    <w:p>
      <w:pPr>
        <w:spacing w:after="0" w:line="105"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We will be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91" w:lineRule="exact"/>
        <w:rPr>
          <w:sz w:val="20"/>
          <w:szCs w:val="20"/>
          <w:color w:val="auto"/>
        </w:rPr>
      </w:pPr>
    </w:p>
    <w:p>
      <w:pPr>
        <w:ind w:left="1660" w:right="100" w:hanging="183"/>
        <w:spacing w:after="0" w:line="245"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87" w:lineRule="exact"/>
        <w:rPr>
          <w:rFonts w:ascii="Arial" w:cs="Arial" w:eastAsia="Arial" w:hAnsi="Arial"/>
          <w:sz w:val="15"/>
          <w:szCs w:val="15"/>
          <w:color w:val="auto"/>
        </w:rPr>
      </w:pPr>
    </w:p>
    <w:p>
      <w:pPr>
        <w:ind w:left="1660" w:right="160" w:hanging="183"/>
        <w:spacing w:after="0" w:line="238" w:lineRule="auto"/>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(i) directors who are also officers of the corporation and (ii) by employee stock plans in which employee participants do not have the right to determine confidentially whether shares held subject to the plan will be tendered in a tender or exchange offer; or</w:t>
      </w:r>
    </w:p>
    <w:p>
      <w:pPr>
        <w:spacing w:after="0" w:line="91" w:lineRule="exact"/>
        <w:rPr>
          <w:rFonts w:ascii="Arial" w:cs="Arial" w:eastAsia="Arial" w:hAnsi="Arial"/>
          <w:sz w:val="15"/>
          <w:szCs w:val="15"/>
          <w:color w:val="auto"/>
        </w:rPr>
      </w:pPr>
    </w:p>
    <w:p>
      <w:pPr>
        <w:ind w:left="1660" w:right="140" w:hanging="183"/>
        <w:spacing w:after="0"/>
        <w:tabs>
          <w:tab w:leader="none" w:pos="166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two-thirds of the outstanding voting stock which is not owned by the interested stockholder.</w:t>
      </w:r>
    </w:p>
    <w:p>
      <w:pPr>
        <w:spacing w:after="0" w:line="170"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our company.</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0220"/>
          </w:cols>
          <w:pgMar w:left="320" w:top="407" w:right="1359" w:bottom="1440" w:gutter="0" w:footer="0" w:header="0"/>
        </w:sectPr>
      </w:pPr>
    </w:p>
    <w:bookmarkStart w:id="217" w:name="page218"/>
    <w:bookmarkEnd w:id="21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Amended and Restated Certificate of Incorporation and Amended and Restated Bylaw Provisions</w:t>
      </w:r>
    </w:p>
    <w:p>
      <w:pPr>
        <w:spacing w:after="0" w:line="105" w:lineRule="exact"/>
        <w:rPr>
          <w:sz w:val="20"/>
          <w:szCs w:val="20"/>
          <w:color w:val="auto"/>
        </w:rPr>
      </w:pPr>
    </w:p>
    <w:p>
      <w:pPr>
        <w:ind w:left="1020" w:right="500" w:firstLine="460"/>
        <w:spacing w:after="0"/>
        <w:rPr>
          <w:sz w:val="20"/>
          <w:szCs w:val="20"/>
          <w:color w:val="auto"/>
        </w:rPr>
      </w:pPr>
      <w:r>
        <w:rPr>
          <w:rFonts w:ascii="Arial" w:cs="Arial" w:eastAsia="Arial" w:hAnsi="Arial"/>
          <w:sz w:val="15"/>
          <w:szCs w:val="15"/>
          <w:color w:val="auto"/>
        </w:rPr>
        <w:t>Our amended and restated certificate of incorporation and our amended and restated bylaws, which will become effective immediately prior to the completion of this offering, will include a number of provisions that could deter hostile takeovers or delay or prevent changes in control of our board of directors or management team, including the following:</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Board of Directors Vacancies</w:t>
      </w:r>
    </w:p>
    <w:p>
      <w:pPr>
        <w:spacing w:after="0" w:line="105"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Our amended and restated certificate of incorporation and amended and restated bylaws will authorize only 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will make it more difficult to change the composition of our board of directors and will promote continuity of management.</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Classified Board</w:t>
      </w:r>
    </w:p>
    <w:p>
      <w:pPr>
        <w:spacing w:after="0" w:line="105"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our board of 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“Management—Classified Board of Directors.”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Stockholder Action; Special Meeting of Stockholders</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Our amended and restated certificate of incorporation will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bylaws will further provide that special meetings of our stockholders may be called only by a majority of our board of directors, the chairperson of our board of directors, our President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Advance Notice Requirements for Stockholder Proposals and Director Nominations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 Cumulative Voting</w:t>
      </w:r>
    </w:p>
    <w:p>
      <w:pPr>
        <w:spacing w:after="0" w:line="105" w:lineRule="exact"/>
        <w:rPr>
          <w:sz w:val="20"/>
          <w:szCs w:val="20"/>
          <w:color w:val="auto"/>
        </w:rPr>
      </w:pPr>
    </w:p>
    <w:p>
      <w:pPr>
        <w:ind w:left="1020" w:right="260" w:firstLine="460"/>
        <w:spacing w:after="0"/>
        <w:rPr>
          <w:sz w:val="20"/>
          <w:szCs w:val="20"/>
          <w:color w:val="auto"/>
        </w:rPr>
      </w:pPr>
      <w:r>
        <w:rPr>
          <w:rFonts w:ascii="Arial" w:cs="Arial" w:eastAsia="Arial" w:hAnsi="Arial"/>
          <w:sz w:val="15"/>
          <w:szCs w:val="15"/>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0200"/>
          </w:cols>
          <w:pgMar w:left="320" w:top="407" w:right="1379" w:bottom="1440" w:gutter="0" w:footer="0" w:header="0"/>
        </w:sectPr>
      </w:pPr>
    </w:p>
    <w:bookmarkStart w:id="218" w:name="page219"/>
    <w:bookmarkEnd w:id="21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Directors Removed Only for Cause</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Our amended and restated certificate of incorporation will provide that stockholders may remove directors only for cause.</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Amendment of Charter Provisions</w:t>
      </w:r>
    </w:p>
    <w:p>
      <w:pPr>
        <w:spacing w:after="0" w:line="105"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Any amendment of the above provisions in our amended and restated certificate of incorporation would require approval by holders of at least 66 2/3% of our then outstanding capital stock.</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Issuance of Undesignated Preferred Stock</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Our board of directors will have the authority, without further action by our stockholders, to issue up to 70,000,000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Exclusive Forum</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amended and restated bylaws will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our certificate of incorporation or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Our amended and restated bylaws further provide that the federal district courts of the United States will be the exclusive forum for resolving any complaints asserting a cause of action arising under the Securities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This exclusive forum provision will not apply to any causes of action arising under the Exchange Act or any other claim for which the federal courts have exclusive jurisdiction.</w:t>
      </w: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5"/>
          <w:szCs w:val="15"/>
          <w:b w:val="1"/>
          <w:bCs w:val="1"/>
          <w:color w:val="auto"/>
        </w:rPr>
        <w:t>Transfer Agent and Registrar</w:t>
      </w:r>
    </w:p>
    <w:p>
      <w:pPr>
        <w:spacing w:after="0" w:line="195"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Upon the completion of this offering, the transfer agent and registrar for our common stock will be American Stock Transfer &amp; Trust Company. The transfer agent and registrar’s address is 6201 15th Avenue, Brooklyn, NY 11219.</w:t>
      </w:r>
    </w:p>
    <w:p>
      <w:pPr>
        <w:spacing w:after="0" w:line="238" w:lineRule="exact"/>
        <w:rPr>
          <w:sz w:val="20"/>
          <w:szCs w:val="20"/>
          <w:color w:val="auto"/>
        </w:rPr>
      </w:pPr>
    </w:p>
    <w:p>
      <w:pPr>
        <w:ind w:left="4100"/>
        <w:spacing w:after="0"/>
        <w:rPr>
          <w:sz w:val="20"/>
          <w:szCs w:val="20"/>
          <w:color w:val="auto"/>
        </w:rPr>
      </w:pPr>
      <w:r>
        <w:rPr>
          <w:rFonts w:ascii="Arial" w:cs="Arial" w:eastAsia="Arial" w:hAnsi="Arial"/>
          <w:sz w:val="15"/>
          <w:szCs w:val="15"/>
          <w:b w:val="1"/>
          <w:bCs w:val="1"/>
          <w:color w:val="auto"/>
        </w:rPr>
        <w:t>Limitations of Liability and Indemnification</w:t>
      </w:r>
    </w:p>
    <w:p>
      <w:pPr>
        <w:spacing w:after="0" w:line="195"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See the section titled “Certain Relationships and Related Party Transactions—Limitation of Liability and Indemnification of Officers and Directors.”</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5"/>
          <w:szCs w:val="15"/>
          <w:b w:val="1"/>
          <w:bCs w:val="1"/>
          <w:color w:val="auto"/>
        </w:rPr>
        <w:t>Listing</w:t>
      </w:r>
    </w:p>
    <w:p>
      <w:pPr>
        <w:spacing w:after="0" w:line="19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common stock on the Nasdaq Global Select Market under the symbol “UPST”.</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0200"/>
          </w:cols>
          <w:pgMar w:left="320" w:top="407" w:right="1379" w:bottom="1440" w:gutter="0" w:footer="0" w:header="0"/>
        </w:sectPr>
      </w:pPr>
    </w:p>
    <w:bookmarkStart w:id="219" w:name="page220"/>
    <w:bookmarkEnd w:id="21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SHARES ELIGIBLE FOR FUTURE SALE</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71"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Following the completion of this offering, based on the number of shares of our capital stock outstanding as of September 30, 2020, we will have a total of 72,460,881 shares of our common stock outstanding. Of these outstanding shares, all 12,015,690 shares of our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remaining outstanding shares of our common stock will be, and shares subject to stock options will be upon issuance,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and market standoff agreements described below and the provisions of our IRA described in the section titled “Description of Capital Stock—Registration Rights,” and subject to the provisions of Rule 144 or Rule 701, shares of our common stock will be available for sale in the public market as follows:</w:t>
      </w:r>
    </w:p>
    <w:p>
      <w:pPr>
        <w:spacing w:after="0" w:line="94" w:lineRule="exact"/>
        <w:rPr>
          <w:sz w:val="20"/>
          <w:szCs w:val="20"/>
          <w:color w:val="auto"/>
        </w:rPr>
      </w:pPr>
    </w:p>
    <w:p>
      <w:pPr>
        <w:ind w:left="1660" w:right="340" w:hanging="183"/>
        <w:spacing w:after="0" w:line="245" w:lineRule="auto"/>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beginning on the date of this prospectus, all 12,015,690 shares of our common stock sold in this offering will be immediately available for sale in the public market; and</w:t>
      </w:r>
    </w:p>
    <w:p>
      <w:pPr>
        <w:spacing w:after="0" w:line="87" w:lineRule="exact"/>
        <w:rPr>
          <w:rFonts w:ascii="Arial" w:cs="Arial" w:eastAsia="Arial" w:hAnsi="Arial"/>
          <w:sz w:val="15"/>
          <w:szCs w:val="15"/>
          <w:color w:val="auto"/>
        </w:rPr>
      </w:pPr>
    </w:p>
    <w:p>
      <w:pPr>
        <w:ind w:left="1660" w:right="20" w:hanging="183"/>
        <w:spacing w:after="0"/>
        <w:tabs>
          <w:tab w:leader="none" w:pos="166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beginning 181 days after the date of this prospectus (subject to the terms of the lock-up and market standoff agreements described below) all remaining shares will become eligible for sale in the public market, subject in some cases to the volume and other restrictions of Rule 144, as described below.</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connection with this offering, we and our officers and directors, the selling stockholders, and the other holders of our common stock, who collectively hold substantially all of our common stock and stock options, have agreed with the underwriters, subject to certain exceptions, not to offer, sell, contract to sell, pledge, grant any option to purchase, make any short sale of or otherwise transfer or dispose of, or hedge, any shares of our common stock, or any options or warrants to purchase any shares of our common stock, or any securities convertible into, exchangeable for or that represent the right to receive, shares of our common stock during the period from the date of this prospectus continuing through the date 180 days after the date of this prospectus, except with the prior written consent of Goldman Sachs &amp; Co. LLC, BofA Securities, Inc. and Citigroup Global Markets Inc. See the section titled “Underwriting.”</w:t>
      </w:r>
    </w:p>
    <w:p>
      <w:pPr>
        <w:spacing w:after="0" w:line="171"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0200"/>
          </w:cols>
          <w:pgMar w:left="320" w:top="407" w:right="1379" w:bottom="1440" w:gutter="0" w:footer="0" w:header="0"/>
        </w:sectPr>
      </w:pPr>
    </w:p>
    <w:bookmarkStart w:id="220" w:name="page221"/>
    <w:bookmarkEnd w:id="22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jc w:val="both"/>
        <w:ind w:left="1020" w:right="140" w:firstLine="460"/>
        <w:spacing w:after="0" w:line="238" w:lineRule="auto"/>
        <w:rPr>
          <w:sz w:val="20"/>
          <w:szCs w:val="20"/>
          <w:color w:val="auto"/>
        </w:rPr>
      </w:pPr>
      <w:r>
        <w:rPr>
          <w:rFonts w:ascii="Arial" w:cs="Arial" w:eastAsia="Arial" w:hAnsi="Arial"/>
          <w:sz w:val="15"/>
          <w:szCs w:val="15"/>
          <w:color w:val="auto"/>
        </w:rPr>
        <w:t>In addition, our executive officers, directors, and holders of substantially all of our capital stock and securities convertible into or exchangeable for our capital stock have entered into market standoff agreements with us under which they have agreed that, subject to certain exceptions, for a period of 180 days after the date of this prospectus, they will not, without our prior written consent, dispose of or hedge any shares or any securities convertible into or exchangeable for shares of our common stock.</w:t>
      </w:r>
    </w:p>
    <w:p>
      <w:pPr>
        <w:spacing w:after="0" w:line="244"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Rule 144</w:t>
      </w:r>
    </w:p>
    <w:p>
      <w:pPr>
        <w:spacing w:after="0" w:line="19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general, Rule 144 provides that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general, Rule 144 provides that our affiliates or persons selling shares of our common stock on behalf of our affiliates are entitled to sell upon expiration of the market standoff agreements and lock-up agreements described above, within any three-month period, a number of shares of our common stock that does not exceed the greater of:</w:t>
      </w:r>
    </w:p>
    <w:p>
      <w:pPr>
        <w:spacing w:after="0" w:line="91" w:lineRule="exact"/>
        <w:rPr>
          <w:sz w:val="20"/>
          <w:szCs w:val="20"/>
          <w:color w:val="auto"/>
        </w:rPr>
      </w:pPr>
    </w:p>
    <w:p>
      <w:pPr>
        <w:ind w:left="1660" w:right="620" w:hanging="183"/>
        <w:spacing w:after="0" w:line="245"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1% of the number of shares of our capital stock then outstanding, which will equal 724,609 shares immediately after the completion of this offering; or</w:t>
      </w:r>
    </w:p>
    <w:p>
      <w:pPr>
        <w:spacing w:after="0" w:line="87" w:lineRule="exact"/>
        <w:rPr>
          <w:rFonts w:ascii="Arial" w:cs="Arial" w:eastAsia="Arial" w:hAnsi="Arial"/>
          <w:sz w:val="15"/>
          <w:szCs w:val="15"/>
          <w:color w:val="auto"/>
        </w:rPr>
      </w:pPr>
    </w:p>
    <w:p>
      <w:pPr>
        <w:ind w:left="1660" w:right="60" w:hanging="183"/>
        <w:spacing w:after="0" w:line="245" w:lineRule="auto"/>
        <w:tabs>
          <w:tab w:leader="none" w:pos="166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average weekly trading volume of our common stock during the four calendar weeks preceding the filing of a notice on Form 144 with respect to that sale.</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Sales of our common stock made in reliance upon Rule 144 by our affiliates or persons selling shares of our common stock on behalf of our affiliates are also subject to certain manner of sale provisions and notice requirements and to the availability of current public information about us.</w:t>
      </w:r>
    </w:p>
    <w:p>
      <w:pPr>
        <w:spacing w:after="0" w:line="242"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Rule 701</w:t>
      </w:r>
    </w:p>
    <w:p>
      <w:pPr>
        <w:spacing w:after="0" w:line="19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5"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Registration Rights</w:t>
      </w:r>
    </w:p>
    <w:p>
      <w:pPr>
        <w:spacing w:after="0" w:line="195" w:lineRule="exact"/>
        <w:rPr>
          <w:sz w:val="20"/>
          <w:szCs w:val="20"/>
          <w:color w:val="auto"/>
        </w:rPr>
      </w:pPr>
    </w:p>
    <w:p>
      <w:pPr>
        <w:jc w:val="both"/>
        <w:ind w:left="1020" w:right="180" w:firstLine="460"/>
        <w:spacing w:after="0"/>
        <w:rPr>
          <w:sz w:val="20"/>
          <w:szCs w:val="20"/>
          <w:color w:val="auto"/>
        </w:rPr>
      </w:pPr>
      <w:r>
        <w:rPr>
          <w:rFonts w:ascii="Arial" w:cs="Arial" w:eastAsia="Arial" w:hAnsi="Arial"/>
          <w:sz w:val="15"/>
          <w:szCs w:val="15"/>
          <w:color w:val="auto"/>
        </w:rPr>
        <w:t>Pursuant to the IRA, after the completion of this offering, the holders of up to 59,949,785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0200"/>
          </w:cols>
          <w:pgMar w:left="320" w:top="407" w:right="1379" w:bottom="1440" w:gutter="0" w:footer="0" w:header="0"/>
        </w:sectPr>
      </w:pPr>
    </w:p>
    <w:bookmarkStart w:id="221" w:name="page222"/>
    <w:bookmarkEnd w:id="22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45" w:lineRule="auto"/>
        <w:rPr>
          <w:sz w:val="20"/>
          <w:szCs w:val="20"/>
          <w:color w:val="auto"/>
        </w:rPr>
      </w:pPr>
      <w:r>
        <w:rPr>
          <w:rFonts w:ascii="Arial" w:cs="Arial" w:eastAsia="Arial" w:hAnsi="Arial"/>
          <w:sz w:val="15"/>
          <w:szCs w:val="15"/>
          <w:color w:val="auto"/>
        </w:rPr>
        <w:t>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238"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Registration Statement</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We intend to file a registration statement on Form S-8 under the Securities Act promptly after the effectiveness of the registration statement of which this prospectus forms a part to register shares of our options outstanding, as well as reserved for future issuance, under our equity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market standoff agreements and lock-up agreements. See the section titled “Executive Compensation—Employee Benefit and Stock Plans” for a description of our equity compensation plans.</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0160"/>
          </w:cols>
          <w:pgMar w:left="320" w:top="407" w:right="141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MATERIAL U.S. FEDERAL INCOME TAX CONSEQUENCES TO NON-U.S. HOLDERS OF OUR COMMON STOCK</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following is a summary of the material U.S. federal income tax consequences to certain non-U.S. holders (as defined below) of the ownership and disposition of our common stock, but does not purport to be a complete analysis of all the potential tax considerations relating thereto. This summary is based upon the provisions of the Code, Treasury regulations promulgated thereunder, administrative rulings, and judicial decisions, all as of the date hereof. These authorities may be changed, possibly retroactively, so as to result in U.S. federal income tax consequences different from those set forth below.</w:t>
      </w:r>
    </w:p>
    <w:p>
      <w:pPr>
        <w:spacing w:after="0" w:line="170"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This summary does not address the tax considerations arising under the laws of any state, local or non-U.S. jurisdiction, or under U.S. federal gift and estate tax laws. In addition, this discussion does not address tax considerations applicable to a non-U.S. holder’s particular circumstances or non-U.S. holders that may be subject to special tax rules, including, without limitation:</w:t>
      </w:r>
    </w:p>
    <w:p>
      <w:pPr>
        <w:spacing w:after="0" w:line="91" w:lineRule="exact"/>
        <w:rPr>
          <w:sz w:val="20"/>
          <w:szCs w:val="20"/>
          <w:color w:val="auto"/>
        </w:rPr>
      </w:pPr>
    </w:p>
    <w:p>
      <w:pPr>
        <w:ind w:left="166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banks, insurance companies or other financial institutions (except to the extent specifically set forth below), regulated investment companies or real estate investment trusts;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subject to the alternative minimum tax or Medicare contribution tax on net investment income;</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tax-exempt organizations or governmental organizations;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pension plans or tax-exempt retirement plans;</w:t>
      </w:r>
    </w:p>
    <w:p>
      <w:pPr>
        <w:spacing w:after="0" w:line="97" w:lineRule="exact"/>
        <w:rPr>
          <w:rFonts w:ascii="Arial" w:cs="Arial" w:eastAsia="Arial" w:hAnsi="Arial"/>
          <w:sz w:val="15"/>
          <w:szCs w:val="15"/>
          <w:color w:val="auto"/>
        </w:rPr>
      </w:pPr>
    </w:p>
    <w:p>
      <w:pPr>
        <w:ind w:left="1660" w:right="4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brokers or dealers in securities or currencies;</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traders in securities or other persons that elect to use a mark-to-market method of accounting for their holdings in our stock;</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that own, or are deemed to own, more than 5% of our capital stock (except to the extent specifically set forth below);</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97" w:lineRule="exact"/>
        <w:rPr>
          <w:rFonts w:ascii="Arial" w:cs="Arial" w:eastAsia="Arial" w:hAnsi="Arial"/>
          <w:sz w:val="15"/>
          <w:szCs w:val="15"/>
          <w:color w:val="auto"/>
        </w:rPr>
      </w:pPr>
    </w:p>
    <w:p>
      <w:pPr>
        <w:ind w:left="1660" w:right="30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partnerships, entities or arrangements classified as partnerships for U.S. federal income tax purposes or other pass-through entities (and investors therein);</w:t>
      </w:r>
    </w:p>
    <w:p>
      <w:pPr>
        <w:spacing w:after="0" w:line="87" w:lineRule="exact"/>
        <w:rPr>
          <w:rFonts w:ascii="Arial" w:cs="Arial" w:eastAsia="Arial" w:hAnsi="Arial"/>
          <w:sz w:val="15"/>
          <w:szCs w:val="15"/>
          <w:color w:val="auto"/>
        </w:rPr>
      </w:pPr>
    </w:p>
    <w:p>
      <w:pPr>
        <w:ind w:left="1660" w:right="32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who hold our common stock as a position in a hedging transaction, “straddle,” “conversion transaction” or other risk reduction transaction or integrated investment;</w:t>
      </w:r>
    </w:p>
    <w:p>
      <w:pPr>
        <w:spacing w:after="0" w:line="87" w:lineRule="exact"/>
        <w:rPr>
          <w:rFonts w:ascii="Arial" w:cs="Arial" w:eastAsia="Arial" w:hAnsi="Arial"/>
          <w:sz w:val="15"/>
          <w:szCs w:val="15"/>
          <w:color w:val="auto"/>
        </w:rPr>
      </w:pPr>
    </w:p>
    <w:p>
      <w:pPr>
        <w:ind w:left="1660" w:right="68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who hold or receive our common stock pursuant to the exercise of any employee stock option or otherwise as compensation;</w:t>
      </w:r>
    </w:p>
    <w:p>
      <w:pPr>
        <w:spacing w:after="0" w:line="87" w:lineRule="exact"/>
        <w:rPr>
          <w:rFonts w:ascii="Arial" w:cs="Arial" w:eastAsia="Arial" w:hAnsi="Arial"/>
          <w:sz w:val="15"/>
          <w:szCs w:val="15"/>
          <w:color w:val="auto"/>
        </w:rPr>
      </w:pPr>
    </w:p>
    <w:p>
      <w:pPr>
        <w:ind w:left="1660" w:right="120" w:hanging="183"/>
        <w:spacing w:after="0" w:line="245" w:lineRule="auto"/>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who do not hold our common stock as a capital asset within the meaning of Section 1221 of the Code; or</w:t>
      </w:r>
    </w:p>
    <w:p>
      <w:pPr>
        <w:spacing w:after="0" w:line="97" w:lineRule="exact"/>
        <w:rPr>
          <w:rFonts w:ascii="Arial" w:cs="Arial" w:eastAsia="Arial" w:hAnsi="Arial"/>
          <w:sz w:val="15"/>
          <w:szCs w:val="15"/>
          <w:color w:val="auto"/>
        </w:rPr>
      </w:pPr>
    </w:p>
    <w:p>
      <w:pPr>
        <w:ind w:left="1660" w:hanging="183"/>
        <w:spacing w:after="0"/>
        <w:tabs>
          <w:tab w:leader="none" w:pos="166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persons deemed to sell our common stock under the constructive sale provisions of the Code.</w:t>
      </w:r>
    </w:p>
    <w:p>
      <w:pPr>
        <w:spacing w:after="0" w:line="177"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In addition, if a partnership, including an entity or arrangement classified as a partnership for U.S. federal income tax purposes, holds our common stock, the tax treatment of a partner generally will</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0180"/>
          </w:cols>
          <w:pgMar w:left="320" w:top="407" w:right="1399" w:bottom="1440" w:gutter="0" w:footer="0" w:header="0"/>
        </w:sectPr>
      </w:pPr>
    </w:p>
    <w:bookmarkStart w:id="223" w:name="page224"/>
    <w:bookmarkEnd w:id="22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spacing w:after="0"/>
        <w:rPr>
          <w:sz w:val="20"/>
          <w:szCs w:val="20"/>
          <w:color w:val="auto"/>
        </w:rPr>
      </w:pPr>
      <w:r>
        <w:rPr>
          <w:rFonts w:ascii="Arial" w:cs="Arial" w:eastAsia="Arial" w:hAnsi="Arial"/>
          <w:sz w:val="15"/>
          <w:szCs w:val="15"/>
          <w:color w:val="auto"/>
        </w:rPr>
        <w:t>depend on the status of the partner and upon the activities of the partnership. Accordingly, partnerships that hold our common stock, and partners in such partnerships, should consult their tax advisors regarding the tax consequences of the ownership and disposition of our common stock through a partnership.</w:t>
      </w:r>
    </w:p>
    <w:p>
      <w:pPr>
        <w:spacing w:after="0" w:line="152"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3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Non-U.S. Holder Defined</w:t>
      </w:r>
    </w:p>
    <w:p>
      <w:pPr>
        <w:spacing w:after="0" w:line="195" w:lineRule="exact"/>
        <w:rPr>
          <w:sz w:val="20"/>
          <w:szCs w:val="20"/>
          <w:color w:val="auto"/>
        </w:rPr>
      </w:pPr>
    </w:p>
    <w:p>
      <w:pPr>
        <w:ind w:left="1020" w:right="400" w:firstLine="460"/>
        <w:spacing w:after="0"/>
        <w:rPr>
          <w:sz w:val="20"/>
          <w:szCs w:val="20"/>
          <w:color w:val="auto"/>
        </w:rPr>
      </w:pPr>
      <w:r>
        <w:rPr>
          <w:rFonts w:ascii="Arial" w:cs="Arial" w:eastAsia="Arial" w:hAnsi="Arial"/>
          <w:sz w:val="15"/>
          <w:szCs w:val="15"/>
          <w:color w:val="auto"/>
        </w:rPr>
        <w:t>For purposes of this discussion, you are a non-U.S. holder if you are any beneficial owner of our common stock that is not a partnership (including an entity or arrangement treated as a partnership for U.S. federal income tax purposes) and are not any of the following:</w:t>
      </w:r>
    </w:p>
    <w:p>
      <w:pPr>
        <w:spacing w:after="0" w:line="91" w:lineRule="exact"/>
        <w:rPr>
          <w:sz w:val="20"/>
          <w:szCs w:val="20"/>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 individual who is a citizen or resident of the United States (for U.S. federal income tax purposes);</w:t>
      </w:r>
    </w:p>
    <w:p>
      <w:pPr>
        <w:spacing w:after="0" w:line="97" w:lineRule="exact"/>
        <w:rPr>
          <w:rFonts w:ascii="Arial" w:cs="Arial" w:eastAsia="Arial" w:hAnsi="Arial"/>
          <w:sz w:val="15"/>
          <w:szCs w:val="15"/>
          <w:color w:val="auto"/>
        </w:rPr>
      </w:pPr>
    </w:p>
    <w:p>
      <w:pPr>
        <w:ind w:left="1660" w:right="200" w:hanging="183"/>
        <w:spacing w:after="0" w:line="24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 corporation or other entity taxable as a corporation created or organized in the United States or under the laws of the United States, any state thereof or the District of Columbia or other entity treated as such for U.S. federal income tax purposes;</w:t>
      </w:r>
    </w:p>
    <w:p>
      <w:pPr>
        <w:spacing w:after="0" w:line="87" w:lineRule="exact"/>
        <w:rPr>
          <w:rFonts w:ascii="Arial" w:cs="Arial" w:eastAsia="Arial" w:hAnsi="Arial"/>
          <w:sz w:val="15"/>
          <w:szCs w:val="15"/>
          <w:color w:val="auto"/>
        </w:rPr>
      </w:pPr>
    </w:p>
    <w:p>
      <w:pPr>
        <w:ind w:left="1660" w:hanging="183"/>
        <w:spacing w:after="0"/>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an estate whose income is subject to U.S. federal income tax regardless of its source; or</w:t>
      </w:r>
    </w:p>
    <w:p>
      <w:pPr>
        <w:spacing w:after="0" w:line="97" w:lineRule="exact"/>
        <w:rPr>
          <w:rFonts w:ascii="Arial" w:cs="Arial" w:eastAsia="Arial" w:hAnsi="Arial"/>
          <w:sz w:val="15"/>
          <w:szCs w:val="15"/>
          <w:color w:val="auto"/>
        </w:rPr>
      </w:pPr>
    </w:p>
    <w:p>
      <w:pPr>
        <w:ind w:left="1660" w:right="80" w:hanging="183"/>
        <w:spacing w:after="0" w:line="235" w:lineRule="auto"/>
        <w:tabs>
          <w:tab w:leader="none" w:pos="16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 trust (x) whose administration is subject to the primary supervision of a U.S. court and which has one or more “U.S. persons” (within the meaning of Section 7701(a)(30) of the Code) who have the authority to control all substantial decisions of the trust or</w:t>
      </w:r>
    </w:p>
    <w:p>
      <w:pPr>
        <w:ind w:left="1660"/>
        <w:spacing w:after="0"/>
        <w:rPr>
          <w:rFonts w:ascii="Arial" w:cs="Arial" w:eastAsia="Arial" w:hAnsi="Arial"/>
          <w:sz w:val="15"/>
          <w:szCs w:val="15"/>
          <w:color w:val="auto"/>
        </w:rPr>
      </w:pPr>
      <w:r>
        <w:rPr>
          <w:rFonts w:ascii="Arial" w:cs="Arial" w:eastAsia="Arial" w:hAnsi="Arial"/>
          <w:sz w:val="15"/>
          <w:szCs w:val="15"/>
          <w:color w:val="auto"/>
        </w:rPr>
        <w:t>(y) which has made a valid election to be treated as a U.S. person.</w:t>
      </w:r>
    </w:p>
    <w:p>
      <w:pPr>
        <w:spacing w:after="0" w:line="249"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Distributions</w:t>
      </w:r>
    </w:p>
    <w:p>
      <w:pPr>
        <w:spacing w:after="0" w:line="19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 described in the section titled “Dividend Policy,” we have never declared or paid cash dividends on our capital stock and do not anticipate paying any dividends on our capital stock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as described below under “—Gain on Disposition of Our Common Stock.”</w:t>
      </w:r>
    </w:p>
    <w:p>
      <w:pPr>
        <w:spacing w:after="0" w:line="172"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Except as otherwise described below in the discussion on effectively connected income and the sections titled “–Backup Withholding and Information Reporting” and “–FATCA,” any dividend paid to you generally will be subject to U.S. federal withholding tax either at a rate of 30% of the gross amount of the dividend or such lower rate as may be specified by an applicable income tax treaty. If you are eligible for exemption of U.S. federal withholding tax pursuant to an income tax treaty, you may be entitled to a refund or credit of any excess tax withheld by timely filing an appropriate claim with the IRS.</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In order to be subject to withholding at a reduced treaty rate, you must provide us with an IRS Form W-8BEN, IRS Form W-8BEN-E or other appropriate version of IRS Form W-8, including any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0200"/>
          </w:cols>
          <w:pgMar w:left="320" w:top="407" w:right="1379" w:bottom="1440" w:gutter="0" w:footer="0" w:header="0"/>
        </w:sectPr>
      </w:pPr>
    </w:p>
    <w:bookmarkStart w:id="224" w:name="page225"/>
    <w:bookmarkEnd w:id="22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required attachments and your taxpayer identification number, certifying qualification for the exemption; additionally, you will be required to update such forms and certifications from time to time as required by law. If you hold our stock through a financial institution or other agent acting on your behalf, you will be required to provide appropriate documentation to the agent, which then will be required to provide certification to us or our paying agent, either directly or through other intermediaries. You should consult your tax advisor regarding entitlement to benefits under any applicable income tax treaties.</w:t>
      </w:r>
    </w:p>
    <w:p>
      <w:pPr>
        <w:spacing w:after="0" w:line="170"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Dividends received by you that are effectively connected with your conduct of a U.S. trade or business (and, if required by an applicable income tax treaty, attributable to a permanent establishment or fixed base maintained by you in the United States) are generally exempt from such withholding tax. In order to obtain this exemption, you must provide us with an IRS Form W-8ECI, including any required attachments and your taxpayer identification number, certifying qualification for the exemption; additionally, you will be required to update such forms and certifications from time to time as required by law. Such effectively connected dividends, although not subject to withholding tax, are includable on your U.S. income tax return and taxed to you at the same graduated rates applicable to U.S. persons, net of certain deductions and credits. If you are a corporate non-U.S. holder, dividends you receive that are effectively connected with your conduct of a U.S. trade or business may also be subject to a branch profits tax at a rate of 30% or such lower rate as may be specified by an applicable income tax treaty. You should consult your tax advisor regarding any applicable tax treaties that may provide for different rules.</w:t>
      </w:r>
    </w:p>
    <w:p>
      <w:pPr>
        <w:spacing w:after="0" w:line="246"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Gain on Disposition of Our Common Stock</w:t>
      </w:r>
    </w:p>
    <w:p>
      <w:pPr>
        <w:spacing w:after="0" w:line="195" w:lineRule="exact"/>
        <w:rPr>
          <w:sz w:val="20"/>
          <w:szCs w:val="20"/>
          <w:color w:val="auto"/>
        </w:rPr>
      </w:pPr>
    </w:p>
    <w:p>
      <w:pPr>
        <w:ind w:left="1020" w:right="320" w:firstLine="460"/>
        <w:spacing w:after="0"/>
        <w:rPr>
          <w:sz w:val="20"/>
          <w:szCs w:val="20"/>
          <w:color w:val="auto"/>
        </w:rPr>
      </w:pPr>
      <w:r>
        <w:rPr>
          <w:rFonts w:ascii="Arial" w:cs="Arial" w:eastAsia="Arial" w:hAnsi="Arial"/>
          <w:sz w:val="15"/>
          <w:szCs w:val="15"/>
          <w:color w:val="auto"/>
        </w:rPr>
        <w:t>Except as otherwise described below in the section titled “–Backup Withholding and Information Reporting” and “–FATCA,” you generally will not be subject to U.S. federal income tax on any gain realized upon the sale or other disposition of our common stock unless:</w:t>
      </w:r>
    </w:p>
    <w:p>
      <w:pPr>
        <w:spacing w:after="0" w:line="91" w:lineRule="exact"/>
        <w:rPr>
          <w:sz w:val="20"/>
          <w:szCs w:val="20"/>
          <w:color w:val="auto"/>
        </w:rPr>
      </w:pPr>
    </w:p>
    <w:p>
      <w:pPr>
        <w:ind w:left="1660" w:right="400" w:hanging="183"/>
        <w:spacing w:after="0" w:line="245"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gain is effectively connected with your conduct of a U.S. trade or business (and, if required by an applicable income tax treaty, is attributable to a permanent establishment or fixed base maintained by you in the United States);</w:t>
      </w:r>
    </w:p>
    <w:p>
      <w:pPr>
        <w:spacing w:after="0" w:line="87" w:lineRule="exact"/>
        <w:rPr>
          <w:rFonts w:ascii="Arial" w:cs="Arial" w:eastAsia="Arial" w:hAnsi="Arial"/>
          <w:sz w:val="15"/>
          <w:szCs w:val="15"/>
          <w:color w:val="auto"/>
        </w:rPr>
      </w:pPr>
    </w:p>
    <w:p>
      <w:pPr>
        <w:ind w:left="1660" w:right="100" w:hanging="183"/>
        <w:spacing w:after="0" w:line="245"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you are a non-resident alien individual who is present in the United States for a period or periods aggregating 183 days or more during the calendar year in which the sale or disposition occurs and other conditions are met; or</w:t>
      </w:r>
    </w:p>
    <w:p>
      <w:pPr>
        <w:spacing w:after="0" w:line="87" w:lineRule="exact"/>
        <w:rPr>
          <w:rFonts w:ascii="Arial" w:cs="Arial" w:eastAsia="Arial" w:hAnsi="Arial"/>
          <w:sz w:val="15"/>
          <w:szCs w:val="15"/>
          <w:color w:val="auto"/>
        </w:rPr>
      </w:pPr>
    </w:p>
    <w:p>
      <w:pPr>
        <w:ind w:left="1660" w:right="40" w:hanging="183"/>
        <w:spacing w:after="0" w:line="238" w:lineRule="auto"/>
        <w:tabs>
          <w:tab w:leader="none" w:pos="16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 and, in the case where shares of our common stock are regularly traded on an established securities market, you own, or are treated as owning, more than 5% of our common stock at any time during the foregoing period.</w:t>
      </w:r>
    </w:p>
    <w:p>
      <w:pPr>
        <w:spacing w:after="0" w:line="170"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relative to the fair market value of our other business assets, there can be no assurance that we will not become a USRPHC in the future. Even if we become a USRPHC, however, as long as our common stock is regularly traded on an established securities market, such common stock will be treated as a United States real property interest only if you actually or constructively hold more than 5% of such regularly traded common stock at any time during the shorter of the five-year period preceding your disposition of, or your holding period for, our common stock.</w:t>
      </w:r>
    </w:p>
    <w:p>
      <w:pPr>
        <w:spacing w:after="0" w:line="11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0200"/>
          </w:cols>
          <w:pgMar w:left="320" w:top="407" w:right="1379" w:bottom="1440" w:gutter="0" w:footer="0" w:header="0"/>
        </w:sectPr>
      </w:pPr>
    </w:p>
    <w:bookmarkStart w:id="225" w:name="page226"/>
    <w:bookmarkEnd w:id="22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If you are a non-U.S. holder described in the first bullet above, you will generally be required to pay tax on the net gain derived from the sale under regular graduated U.S. federal income tax rates (and a corporate non-U.S. holder described in the first bullet above also may be subject to the branch profits tax at a 30% rate), unless otherwise provided by an applicable income tax treaty. If you are a non-U.S. holder described in the second bullet above, you will generally be required to pay a flat 30% tax (or such lower rate specified by an applicable income tax treaty) on the gain derived from the sale, which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43"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95" w:lineRule="exact"/>
        <w:rPr>
          <w:sz w:val="20"/>
          <w:szCs w:val="20"/>
          <w:color w:val="auto"/>
        </w:rPr>
      </w:pPr>
    </w:p>
    <w:p>
      <w:pPr>
        <w:ind w:left="1020" w:right="80" w:firstLine="460"/>
        <w:spacing w:after="0"/>
        <w:rPr>
          <w:sz w:val="20"/>
          <w:szCs w:val="20"/>
          <w:color w:val="auto"/>
        </w:rPr>
      </w:pPr>
      <w:r>
        <w:rPr>
          <w:rFonts w:ascii="Arial" w:cs="Arial" w:eastAsia="Arial" w:hAnsi="Arial"/>
          <w:sz w:val="15"/>
          <w:szCs w:val="15"/>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70"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Payments of dividends or of proceeds from the disposition of our common stock made to you may be subject to information reporting and backup withholding at a current rate of 24% unless you establish an exemption, for example, by properly certifying your non-U.S. status on an IRS Form W-8BEN, IRS Form W-8BEN-E or another appropriate version of IRS Form W-8. Any documentation provided to an applicable withholding agent may need to be updated in certain circumstances. Notwithstanding the foregoing, backup withholding and information reporting may apply if either we or our paying agent has actual knowledge, or reason to know, that you are a U.S. person.</w:t>
      </w:r>
    </w:p>
    <w:p>
      <w:pPr>
        <w:spacing w:after="0" w:line="170"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Information reporting and backup withholding generally will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 -U.S. holders should consult their own tax advisors regarding the application of the information reporting and backup withholding rules to them.</w:t>
      </w:r>
    </w:p>
    <w:p>
      <w:pPr>
        <w:spacing w:after="0" w:line="170"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Backup withholding is not an additional tax; rather, the U.S. federal income tax liability of persons subject to backup withholding will be reduced by the amount of tax withheld under the backup withholding rules. If backup withholding results in an overpayment of taxes, a refund or credit may generally be obtained from the IRS, provided that the required information is furnished to the IRS in a timely manner.</w:t>
      </w:r>
    </w:p>
    <w:p>
      <w:pPr>
        <w:spacing w:after="0" w:line="24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FATCA</w:t>
      </w:r>
    </w:p>
    <w:p>
      <w:pPr>
        <w:spacing w:after="0" w:line="195" w:lineRule="exact"/>
        <w:rPr>
          <w:sz w:val="20"/>
          <w:szCs w:val="20"/>
          <w:color w:val="auto"/>
        </w:rPr>
      </w:pPr>
    </w:p>
    <w:p>
      <w:pPr>
        <w:ind w:left="1020" w:right="140" w:firstLine="460"/>
        <w:spacing w:after="0" w:line="237" w:lineRule="auto"/>
        <w:rPr>
          <w:sz w:val="20"/>
          <w:szCs w:val="20"/>
          <w:color w:val="auto"/>
        </w:rPr>
      </w:pPr>
      <w:r>
        <w:rPr>
          <w:rFonts w:ascii="Arial" w:cs="Arial" w:eastAsia="Arial" w:hAnsi="Arial"/>
          <w:sz w:val="15"/>
          <w:szCs w:val="15"/>
          <w:color w:val="auto"/>
        </w:rPr>
        <w:t>The Foreign Account Tax Compliance Act and the rules and Treasury regulations promulgated thereunder, or collectively, FATCA, generally impose U.S. federal withholding tax at a rate of 30% on dividends on and (subject to the proposed Treasury regulations discussed below) the gross proceeds from a sale or other disposition of our common stock paid to a “foreign financial institution” (as specially defined under these rules), unless such institution enters into an agreement with the U.S. government to withhold on certain payments and to collect and provide to the U.S. tax authorities substantial information regarding the U.S. account holders of such institution (which includes certain equity and</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0200"/>
          </w:cols>
          <w:pgMar w:left="320" w:top="407" w:right="1379" w:bottom="1440" w:gutter="0" w:footer="0" w:header="0"/>
        </w:sectPr>
      </w:pPr>
    </w:p>
    <w:bookmarkStart w:id="226" w:name="page227"/>
    <w:bookmarkEnd w:id="22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6" w:lineRule="auto"/>
        <w:rPr>
          <w:sz w:val="20"/>
          <w:szCs w:val="20"/>
          <w:color w:val="auto"/>
        </w:rPr>
      </w:pPr>
      <w:r>
        <w:rPr>
          <w:rFonts w:ascii="Arial" w:cs="Arial" w:eastAsia="Arial" w:hAnsi="Arial"/>
          <w:sz w:val="15"/>
          <w:szCs w:val="15"/>
          <w:color w:val="auto"/>
        </w:rPr>
        <w:t>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for purposes of these rules) unless such entity provides the withholding agent with a certification identifying certain substantial direct and indirect U.S. owners of the entity, certifies that there are none, or otherwise establishes and certifies to an exemption. The withholding provisions under FATCA generally apply to dividends on our common stock. While withholding under FATCA would have applied also to payments of gross proceeds from the sale or other disposition of our common stock on or after January 1, 2019, proposed Treasury regulations provide that the withholding provisions under FATCA do not apply with respect to the payment of gross proceeds from a sale or other disposition of our common stock. These proposed Treasury regulations may be relied upon by taxpayers until final Treasury regulations are issued. An intergovernmental agreement between the United States and your country of tax residence may modify the requirements described in this paragraph. Non-U.S. holders should consult their own tax advisors regarding the possible implications of FATCA on their investment in our common stock.</w:t>
      </w:r>
    </w:p>
    <w:p>
      <w:pPr>
        <w:spacing w:after="0" w:line="155" w:lineRule="exact"/>
        <w:rPr>
          <w:sz w:val="20"/>
          <w:szCs w:val="20"/>
          <w:color w:val="auto"/>
        </w:rPr>
      </w:pPr>
    </w:p>
    <w:p>
      <w:pPr>
        <w:jc w:val="both"/>
        <w:ind w:left="1020" w:right="260" w:firstLine="460"/>
        <w:spacing w:after="0" w:line="252" w:lineRule="auto"/>
        <w:rPr>
          <w:sz w:val="20"/>
          <w:szCs w:val="20"/>
          <w:color w:val="auto"/>
        </w:rPr>
      </w:pPr>
      <w:r>
        <w:rPr>
          <w:rFonts w:ascii="Arial" w:cs="Arial" w:eastAsia="Arial" w:hAnsi="Arial"/>
          <w:sz w:val="15"/>
          <w:szCs w:val="15"/>
          <w:b w:val="1"/>
          <w:bCs w:val="1"/>
          <w:color w:val="auto"/>
        </w:rPr>
        <w:t>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0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0160"/>
          </w:cols>
          <w:pgMar w:left="320" w:top="407" w:right="1419" w:bottom="1440" w:gutter="0" w:footer="0" w:header="0"/>
        </w:sectPr>
      </w:pPr>
    </w:p>
    <w:bookmarkStart w:id="227" w:name="page228"/>
    <w:bookmarkEnd w:id="22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UNDERWRITING</w:t>
      </w:r>
    </w:p>
    <w:p>
      <w:pPr>
        <w:spacing w:after="0" w:line="19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We, the selling stockholders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and Citigroup Global Markets Inc. are the representatives of the underwriters.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65"/>
        </w:trPr>
        <w:tc>
          <w:tcPr>
            <w:tcW w:w="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Underwriters</w:t>
            </w:r>
          </w:p>
        </w:tc>
        <w:tc>
          <w:tcPr>
            <w:tcW w:w="73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Number of Shares</w:t>
            </w:r>
          </w:p>
        </w:tc>
      </w:tr>
      <w:tr>
        <w:trPr>
          <w:trHeight w:val="140"/>
        </w:trPr>
        <w:tc>
          <w:tcPr>
            <w:tcW w:w="8120" w:type="dxa"/>
            <w:vAlign w:val="bottom"/>
            <w:tcBorders>
              <w:top w:val="single" w:sz="8" w:color="CCEEFF"/>
            </w:tcBorders>
            <w:gridSpan w:val="2"/>
            <w:shd w:val="clear" w:color="auto" w:fill="CCEEFF"/>
          </w:tcPr>
          <w:p>
            <w:pPr>
              <w:spacing w:after="0" w:line="141" w:lineRule="exact"/>
              <w:rPr>
                <w:sz w:val="20"/>
                <w:szCs w:val="20"/>
                <w:color w:val="auto"/>
              </w:rPr>
            </w:pPr>
            <w:r>
              <w:rPr>
                <w:rFonts w:ascii="Arial" w:cs="Arial" w:eastAsia="Arial" w:hAnsi="Arial"/>
                <w:sz w:val="14"/>
                <w:szCs w:val="14"/>
                <w:color w:val="auto"/>
              </w:rPr>
              <w:t>Goldman Sachs &amp; Co. LLC</w:t>
            </w:r>
          </w:p>
        </w:tc>
        <w:tc>
          <w:tcPr>
            <w:tcW w:w="10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4,565,962</w:t>
            </w:r>
          </w:p>
        </w:tc>
        <w:tc>
          <w:tcPr>
            <w:tcW w:w="40" w:type="dxa"/>
            <w:vAlign w:val="bottom"/>
            <w:tcBorders>
              <w:top w:val="single" w:sz="8" w:color="CCEEFF"/>
            </w:tcBorders>
            <w:shd w:val="clear" w:color="auto" w:fill="CCEEFF"/>
          </w:tcPr>
          <w:p>
            <w:pPr>
              <w:spacing w:after="0"/>
              <w:rPr>
                <w:sz w:val="12"/>
                <w:szCs w:val="12"/>
                <w:color w:val="auto"/>
              </w:rPr>
            </w:pPr>
          </w:p>
        </w:tc>
      </w:tr>
      <w:tr>
        <w:trPr>
          <w:trHeight w:val="169"/>
        </w:trPr>
        <w:tc>
          <w:tcPr>
            <w:tcW w:w="8120" w:type="dxa"/>
            <w:vAlign w:val="bottom"/>
            <w:gridSpan w:val="2"/>
          </w:tcPr>
          <w:p>
            <w:pPr>
              <w:spacing w:after="0"/>
              <w:rPr>
                <w:sz w:val="20"/>
                <w:szCs w:val="20"/>
                <w:color w:val="auto"/>
              </w:rPr>
            </w:pPr>
            <w:r>
              <w:rPr>
                <w:rFonts w:ascii="Arial" w:cs="Arial" w:eastAsia="Arial" w:hAnsi="Arial"/>
                <w:sz w:val="14"/>
                <w:szCs w:val="14"/>
                <w:color w:val="auto"/>
              </w:rPr>
              <w:t>BofA Securities, Inc.</w:t>
            </w:r>
          </w:p>
        </w:tc>
        <w:tc>
          <w:tcPr>
            <w:tcW w:w="1040" w:type="dxa"/>
            <w:vAlign w:val="bottom"/>
          </w:tcPr>
          <w:p>
            <w:pPr>
              <w:jc w:val="right"/>
              <w:spacing w:after="0"/>
              <w:rPr>
                <w:sz w:val="20"/>
                <w:szCs w:val="20"/>
                <w:color w:val="auto"/>
              </w:rPr>
            </w:pPr>
            <w:r>
              <w:rPr>
                <w:rFonts w:ascii="Arial" w:cs="Arial" w:eastAsia="Arial" w:hAnsi="Arial"/>
                <w:sz w:val="14"/>
                <w:szCs w:val="14"/>
                <w:color w:val="auto"/>
              </w:rPr>
              <w:t>2,403,138</w:t>
            </w:r>
          </w:p>
        </w:tc>
        <w:tc>
          <w:tcPr>
            <w:tcW w:w="40" w:type="dxa"/>
            <w:vAlign w:val="bottom"/>
          </w:tcPr>
          <w:p>
            <w:pPr>
              <w:spacing w:after="0"/>
              <w:rPr>
                <w:sz w:val="14"/>
                <w:szCs w:val="14"/>
                <w:color w:val="auto"/>
              </w:rPr>
            </w:pPr>
          </w:p>
        </w:tc>
      </w:tr>
      <w:tr>
        <w:trPr>
          <w:trHeight w:val="158"/>
        </w:trPr>
        <w:tc>
          <w:tcPr>
            <w:tcW w:w="81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Citigroup Global Markets Inc.</w:t>
            </w:r>
          </w:p>
        </w:tc>
        <w:tc>
          <w:tcPr>
            <w:tcW w:w="10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1,682,197</w:t>
            </w:r>
          </w:p>
        </w:tc>
        <w:tc>
          <w:tcPr>
            <w:tcW w:w="40" w:type="dxa"/>
            <w:vAlign w:val="bottom"/>
            <w:shd w:val="clear" w:color="auto" w:fill="CCEEFF"/>
          </w:tcPr>
          <w:p>
            <w:pPr>
              <w:spacing w:after="0"/>
              <w:rPr>
                <w:sz w:val="13"/>
                <w:szCs w:val="13"/>
                <w:color w:val="auto"/>
              </w:rPr>
            </w:pPr>
          </w:p>
        </w:tc>
      </w:tr>
      <w:tr>
        <w:trPr>
          <w:trHeight w:val="158"/>
        </w:trPr>
        <w:tc>
          <w:tcPr>
            <w:tcW w:w="8120" w:type="dxa"/>
            <w:vAlign w:val="bottom"/>
            <w:gridSpan w:val="2"/>
          </w:tcPr>
          <w:p>
            <w:pPr>
              <w:spacing w:after="0" w:line="158" w:lineRule="exact"/>
              <w:rPr>
                <w:sz w:val="20"/>
                <w:szCs w:val="20"/>
                <w:color w:val="auto"/>
              </w:rPr>
            </w:pPr>
            <w:r>
              <w:rPr>
                <w:rFonts w:ascii="Arial" w:cs="Arial" w:eastAsia="Arial" w:hAnsi="Arial"/>
                <w:sz w:val="14"/>
                <w:szCs w:val="14"/>
                <w:color w:val="auto"/>
              </w:rPr>
              <w:t>Jefferies LLC</w:t>
            </w:r>
          </w:p>
        </w:tc>
        <w:tc>
          <w:tcPr>
            <w:tcW w:w="1040" w:type="dxa"/>
            <w:vAlign w:val="bottom"/>
          </w:tcPr>
          <w:p>
            <w:pPr>
              <w:jc w:val="right"/>
              <w:spacing w:after="0" w:line="158" w:lineRule="exact"/>
              <w:rPr>
                <w:sz w:val="20"/>
                <w:szCs w:val="20"/>
                <w:color w:val="auto"/>
              </w:rPr>
            </w:pPr>
            <w:r>
              <w:rPr>
                <w:rFonts w:ascii="Arial" w:cs="Arial" w:eastAsia="Arial" w:hAnsi="Arial"/>
                <w:sz w:val="14"/>
                <w:szCs w:val="14"/>
                <w:color w:val="auto"/>
              </w:rPr>
              <w:t>1,441,883</w:t>
            </w:r>
          </w:p>
        </w:tc>
        <w:tc>
          <w:tcPr>
            <w:tcW w:w="40" w:type="dxa"/>
            <w:vAlign w:val="bottom"/>
          </w:tcPr>
          <w:p>
            <w:pPr>
              <w:spacing w:after="0"/>
              <w:rPr>
                <w:sz w:val="13"/>
                <w:szCs w:val="13"/>
                <w:color w:val="auto"/>
              </w:rPr>
            </w:pPr>
          </w:p>
        </w:tc>
      </w:tr>
      <w:tr>
        <w:trPr>
          <w:trHeight w:val="158"/>
        </w:trPr>
        <w:tc>
          <w:tcPr>
            <w:tcW w:w="81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Barclays Capital Inc.</w:t>
            </w:r>
          </w:p>
        </w:tc>
        <w:tc>
          <w:tcPr>
            <w:tcW w:w="10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1,321,726</w:t>
            </w:r>
          </w:p>
        </w:tc>
        <w:tc>
          <w:tcPr>
            <w:tcW w:w="40" w:type="dxa"/>
            <w:vAlign w:val="bottom"/>
            <w:shd w:val="clear" w:color="auto" w:fill="CCEEFF"/>
          </w:tcPr>
          <w:p>
            <w:pPr>
              <w:spacing w:after="0"/>
              <w:rPr>
                <w:sz w:val="13"/>
                <w:szCs w:val="13"/>
                <w:color w:val="auto"/>
              </w:rPr>
            </w:pPr>
          </w:p>
        </w:tc>
      </w:tr>
      <w:tr>
        <w:trPr>
          <w:trHeight w:val="158"/>
        </w:trPr>
        <w:tc>
          <w:tcPr>
            <w:tcW w:w="8120" w:type="dxa"/>
            <w:vAlign w:val="bottom"/>
            <w:gridSpan w:val="2"/>
          </w:tcPr>
          <w:p>
            <w:pPr>
              <w:spacing w:after="0" w:line="158" w:lineRule="exact"/>
              <w:rPr>
                <w:sz w:val="20"/>
                <w:szCs w:val="20"/>
                <w:color w:val="auto"/>
              </w:rPr>
            </w:pPr>
            <w:r>
              <w:rPr>
                <w:rFonts w:ascii="Arial" w:cs="Arial" w:eastAsia="Arial" w:hAnsi="Arial"/>
                <w:sz w:val="14"/>
                <w:szCs w:val="14"/>
                <w:color w:val="auto"/>
              </w:rPr>
              <w:t>JMP Securities LLC</w:t>
            </w:r>
          </w:p>
        </w:tc>
        <w:tc>
          <w:tcPr>
            <w:tcW w:w="1040" w:type="dxa"/>
            <w:vAlign w:val="bottom"/>
          </w:tcPr>
          <w:p>
            <w:pPr>
              <w:jc w:val="right"/>
              <w:spacing w:after="0" w:line="158" w:lineRule="exact"/>
              <w:rPr>
                <w:sz w:val="20"/>
                <w:szCs w:val="20"/>
                <w:color w:val="auto"/>
              </w:rPr>
            </w:pPr>
            <w:r>
              <w:rPr>
                <w:rFonts w:ascii="Arial" w:cs="Arial" w:eastAsia="Arial" w:hAnsi="Arial"/>
                <w:sz w:val="14"/>
                <w:szCs w:val="14"/>
                <w:color w:val="auto"/>
              </w:rPr>
              <w:t>420,549</w:t>
            </w:r>
          </w:p>
        </w:tc>
        <w:tc>
          <w:tcPr>
            <w:tcW w:w="40" w:type="dxa"/>
            <w:vAlign w:val="bottom"/>
          </w:tcPr>
          <w:p>
            <w:pPr>
              <w:spacing w:after="0"/>
              <w:rPr>
                <w:sz w:val="13"/>
                <w:szCs w:val="13"/>
                <w:color w:val="auto"/>
              </w:rPr>
            </w:pPr>
          </w:p>
        </w:tc>
      </w:tr>
      <w:tr>
        <w:trPr>
          <w:trHeight w:val="158"/>
        </w:trPr>
        <w:tc>
          <w:tcPr>
            <w:tcW w:w="812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Blaylock Van, LLC</w:t>
            </w:r>
          </w:p>
        </w:tc>
        <w:tc>
          <w:tcPr>
            <w:tcW w:w="10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180,235</w:t>
            </w:r>
          </w:p>
        </w:tc>
        <w:tc>
          <w:tcPr>
            <w:tcW w:w="40" w:type="dxa"/>
            <w:vAlign w:val="bottom"/>
            <w:shd w:val="clear" w:color="auto" w:fill="CCEEFF"/>
          </w:tcPr>
          <w:p>
            <w:pPr>
              <w:spacing w:after="0"/>
              <w:rPr>
                <w:sz w:val="13"/>
                <w:szCs w:val="13"/>
                <w:color w:val="auto"/>
              </w:rPr>
            </w:pPr>
          </w:p>
        </w:tc>
      </w:tr>
      <w:tr>
        <w:trPr>
          <w:trHeight w:val="160"/>
        </w:trPr>
        <w:tc>
          <w:tcPr>
            <w:tcW w:w="8120" w:type="dxa"/>
            <w:vAlign w:val="bottom"/>
            <w:gridSpan w:val="2"/>
          </w:tcPr>
          <w:p>
            <w:pPr>
              <w:ind w:left="280"/>
              <w:spacing w:after="0"/>
              <w:rPr>
                <w:sz w:val="20"/>
                <w:szCs w:val="20"/>
                <w:color w:val="auto"/>
              </w:rPr>
            </w:pPr>
            <w:r>
              <w:rPr>
                <w:rFonts w:ascii="Arial" w:cs="Arial" w:eastAsia="Arial" w:hAnsi="Arial"/>
                <w:sz w:val="14"/>
                <w:szCs w:val="14"/>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12,015,690</w:t>
            </w:r>
          </w:p>
        </w:tc>
        <w:tc>
          <w:tcPr>
            <w:tcW w:w="40" w:type="dxa"/>
            <w:vAlign w:val="bottom"/>
          </w:tcPr>
          <w:p>
            <w:pPr>
              <w:spacing w:after="0"/>
              <w:rPr>
                <w:sz w:val="13"/>
                <w:szCs w:val="13"/>
                <w:color w:val="auto"/>
              </w:rPr>
            </w:pPr>
          </w:p>
        </w:tc>
      </w:tr>
      <w:tr>
        <w:trPr>
          <w:trHeight w:val="20"/>
        </w:trPr>
        <w:tc>
          <w:tcPr>
            <w:tcW w:w="7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underwriters are committed to take and pay for all of the shares being offered, if any are taken, other than the shares covered by the option described below unless and until this option is exercised.</w:t>
      </w:r>
    </w:p>
    <w:p>
      <w:pPr>
        <w:spacing w:after="0" w:line="166"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The underwriters have an option to buy up to an additional 1,802,353 shares from certain selling stockholders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Certain entities affiliated with Third Point Ventures LLC, a holder of more than 5% of our common stock and an affiliate of a member of our board of directors, have indicated an interest in purchasing an aggregate of up to 1,200,000 shares of our common stock in this offering at the initial public offering price. Because these indications of interest are not binding agreements or commitments to purchase, such entities may elect to purchase fewer or no shares in this offering, or the underwriters may elect to sell fewer or no shares in this offering to such entities. The underwriters will receive the same discount from any shares of common stock sold to such entities as they will from any other shares of common stock sold to the public in this offering.</w:t>
      </w:r>
    </w:p>
    <w:p>
      <w:pPr>
        <w:spacing w:after="0" w:line="172"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and the selling stockholders in connection with this offering. Such amounts are shown assuming both no exercise and full exercise of the underwriters’ option to purchase 1,802,353 additional shares.</w:t>
      </w:r>
    </w:p>
    <w:p>
      <w:pPr>
        <w:spacing w:after="0" w:line="152"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Paid by us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2040" w:type="dxa"/>
            <w:vAlign w:val="bottom"/>
            <w:tcBorders>
              <w:bottom w:val="single" w:sz="8" w:color="CCEEFF"/>
            </w:tcBorders>
          </w:tcPr>
          <w:p>
            <w:pPr>
              <w:spacing w:after="0"/>
              <w:rPr>
                <w:sz w:val="12"/>
                <w:szCs w:val="12"/>
                <w:color w:val="auto"/>
              </w:rPr>
            </w:pPr>
          </w:p>
        </w:tc>
        <w:tc>
          <w:tcPr>
            <w:tcW w:w="51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No Exercise</w:t>
            </w:r>
          </w:p>
        </w:tc>
        <w:tc>
          <w:tcPr>
            <w:tcW w:w="240" w:type="dxa"/>
            <w:vAlign w:val="bottom"/>
            <w:tcBorders>
              <w:bottom w:val="single" w:sz="8" w:color="CCEEFF"/>
            </w:tcBorders>
            <w:gridSpan w:val="2"/>
          </w:tcPr>
          <w:p>
            <w:pPr>
              <w:spacing w:after="0"/>
              <w:rPr>
                <w:sz w:val="12"/>
                <w:szCs w:val="12"/>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Full Exercise</w:t>
            </w:r>
          </w:p>
        </w:tc>
        <w:tc>
          <w:tcPr>
            <w:tcW w:w="60" w:type="dxa"/>
            <w:vAlign w:val="bottom"/>
            <w:tcBorders>
              <w:bottom w:val="single" w:sz="8" w:color="CCEEFF"/>
            </w:tcBorders>
          </w:tcPr>
          <w:p>
            <w:pPr>
              <w:spacing w:after="0"/>
              <w:rPr>
                <w:sz w:val="12"/>
                <w:szCs w:val="12"/>
                <w:color w:val="auto"/>
              </w:rPr>
            </w:pPr>
          </w:p>
        </w:tc>
      </w:tr>
      <w:tr>
        <w:trPr>
          <w:trHeight w:val="149"/>
        </w:trPr>
        <w:tc>
          <w:tcPr>
            <w:tcW w:w="20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Per Share</w:t>
            </w:r>
          </w:p>
        </w:tc>
        <w:tc>
          <w:tcPr>
            <w:tcW w:w="5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w:t>
            </w:r>
          </w:p>
        </w:tc>
      </w:tr>
      <w:tr>
        <w:trPr>
          <w:trHeight w:val="164"/>
        </w:trPr>
        <w:tc>
          <w:tcPr>
            <w:tcW w:w="2040" w:type="dxa"/>
            <w:vAlign w:val="bottom"/>
          </w:tcPr>
          <w:p>
            <w:pPr>
              <w:spacing w:after="0"/>
              <w:rPr>
                <w:sz w:val="20"/>
                <w:szCs w:val="20"/>
                <w:color w:val="auto"/>
              </w:rPr>
            </w:pPr>
            <w:r>
              <w:rPr>
                <w:rFonts w:ascii="Arial" w:cs="Arial" w:eastAsia="Arial" w:hAnsi="Arial"/>
                <w:sz w:val="14"/>
                <w:szCs w:val="14"/>
                <w:color w:val="auto"/>
              </w:rPr>
              <w:t>Total</w:t>
            </w:r>
          </w:p>
        </w:tc>
        <w:tc>
          <w:tcPr>
            <w:tcW w:w="6060" w:type="dxa"/>
            <w:vAlign w:val="bottom"/>
            <w:gridSpan w:val="5"/>
          </w:tcPr>
          <w:p>
            <w:pPr>
              <w:jc w:val="right"/>
              <w:ind w:right="80"/>
              <w:spacing w:after="0"/>
              <w:rPr>
                <w:sz w:val="20"/>
                <w:szCs w:val="20"/>
                <w:color w:val="auto"/>
              </w:rPr>
            </w:pPr>
            <w:r>
              <w:rPr>
                <w:rFonts w:ascii="Arial" w:cs="Arial" w:eastAsia="Arial" w:hAnsi="Arial"/>
                <w:sz w:val="14"/>
                <w:szCs w:val="14"/>
                <w:color w:val="auto"/>
              </w:rPr>
              <w:t>$  12,600,000</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12,600,000</w:t>
            </w:r>
          </w:p>
        </w:tc>
      </w:tr>
      <w:tr>
        <w:trPr>
          <w:trHeight w:val="353"/>
        </w:trPr>
        <w:tc>
          <w:tcPr>
            <w:tcW w:w="2040" w:type="dxa"/>
            <w:vAlign w:val="bottom"/>
          </w:tcPr>
          <w:p>
            <w:pPr>
              <w:spacing w:after="0"/>
              <w:rPr>
                <w:sz w:val="24"/>
                <w:szCs w:val="24"/>
                <w:color w:val="auto"/>
              </w:rPr>
            </w:pPr>
          </w:p>
        </w:tc>
        <w:tc>
          <w:tcPr>
            <w:tcW w:w="5420" w:type="dxa"/>
            <w:vAlign w:val="bottom"/>
            <w:gridSpan w:val="3"/>
          </w:tcPr>
          <w:p>
            <w:pPr>
              <w:jc w:val="right"/>
              <w:ind w:right="1640"/>
              <w:spacing w:after="0"/>
              <w:rPr>
                <w:sz w:val="20"/>
                <w:szCs w:val="20"/>
                <w:color w:val="auto"/>
              </w:rPr>
            </w:pPr>
            <w:r>
              <w:rPr>
                <w:rFonts w:ascii="Arial" w:cs="Arial" w:eastAsia="Arial" w:hAnsi="Arial"/>
                <w:sz w:val="15"/>
                <w:szCs w:val="15"/>
                <w:b w:val="1"/>
                <w:bCs w:val="1"/>
                <w:color w:val="auto"/>
              </w:rPr>
              <w:t>Paid by the selling stockholders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2040" w:type="dxa"/>
            <w:vAlign w:val="bottom"/>
            <w:tcBorders>
              <w:bottom w:val="single" w:sz="8" w:color="CCEEFF"/>
            </w:tcBorders>
          </w:tcPr>
          <w:p>
            <w:pPr>
              <w:spacing w:after="0"/>
              <w:rPr>
                <w:sz w:val="24"/>
                <w:szCs w:val="24"/>
                <w:color w:val="auto"/>
              </w:rPr>
            </w:pPr>
          </w:p>
        </w:tc>
        <w:tc>
          <w:tcPr>
            <w:tcW w:w="5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No Exercise</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Full Exercise</w:t>
            </w:r>
          </w:p>
        </w:tc>
        <w:tc>
          <w:tcPr>
            <w:tcW w:w="60" w:type="dxa"/>
            <w:vAlign w:val="bottom"/>
            <w:tcBorders>
              <w:bottom w:val="single" w:sz="8" w:color="CCEEFF"/>
            </w:tcBorders>
          </w:tcPr>
          <w:p>
            <w:pPr>
              <w:spacing w:after="0"/>
              <w:rPr>
                <w:sz w:val="24"/>
                <w:szCs w:val="24"/>
                <w:color w:val="auto"/>
              </w:rPr>
            </w:pPr>
          </w:p>
        </w:tc>
      </w:tr>
      <w:tr>
        <w:trPr>
          <w:trHeight w:val="149"/>
        </w:trPr>
        <w:tc>
          <w:tcPr>
            <w:tcW w:w="20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Per Share</w:t>
            </w:r>
          </w:p>
        </w:tc>
        <w:tc>
          <w:tcPr>
            <w:tcW w:w="5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w:t>
            </w:r>
          </w:p>
        </w:tc>
        <w:tc>
          <w:tcPr>
            <w:tcW w:w="1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w:t>
            </w:r>
          </w:p>
        </w:tc>
      </w:tr>
      <w:tr>
        <w:trPr>
          <w:trHeight w:val="164"/>
        </w:trPr>
        <w:tc>
          <w:tcPr>
            <w:tcW w:w="2040" w:type="dxa"/>
            <w:vAlign w:val="bottom"/>
          </w:tcPr>
          <w:p>
            <w:pPr>
              <w:spacing w:after="0"/>
              <w:rPr>
                <w:sz w:val="20"/>
                <w:szCs w:val="20"/>
                <w:color w:val="auto"/>
              </w:rPr>
            </w:pPr>
            <w:r>
              <w:rPr>
                <w:rFonts w:ascii="Arial" w:cs="Arial" w:eastAsia="Arial" w:hAnsi="Arial"/>
                <w:sz w:val="14"/>
                <w:szCs w:val="14"/>
                <w:color w:val="auto"/>
              </w:rPr>
              <w:t>Total</w:t>
            </w:r>
          </w:p>
        </w:tc>
        <w:tc>
          <w:tcPr>
            <w:tcW w:w="54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9"/>
              </w:rPr>
              <w:t>4,221,966</w:t>
            </w:r>
          </w:p>
        </w:tc>
        <w:tc>
          <w:tcPr>
            <w:tcW w:w="160" w:type="dxa"/>
            <w:vAlign w:val="bottom"/>
          </w:tcPr>
          <w:p>
            <w:pPr>
              <w:spacing w:after="0"/>
              <w:rPr>
                <w:sz w:val="14"/>
                <w:szCs w:val="14"/>
                <w:color w:val="auto"/>
              </w:rPr>
            </w:pP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6,745,260</w:t>
            </w:r>
          </w:p>
        </w:tc>
      </w:tr>
    </w:tbl>
    <w:p>
      <w:pPr>
        <w:spacing w:after="0" w:line="1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0220"/>
          </w:cols>
          <w:pgMar w:left="320" w:top="407" w:right="1359" w:bottom="1440" w:gutter="0" w:footer="0" w:header="0"/>
        </w:sectPr>
      </w:pPr>
    </w:p>
    <w:bookmarkStart w:id="228" w:name="page229"/>
    <w:bookmarkEnd w:id="22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 prospectus. Any shares sold by the underwriters to securities dealers may be sold at a discount of up to $0.84 per share from the initial public offering price. After the initial offering of our common stock, the representatives may change the offering price and the other selling terms. The offering of our common stock by the underwriters is subject to receipt and acceptance and subject to the underwriters’ right to reject any order in whole or in part.</w:t>
      </w:r>
    </w:p>
    <w:p>
      <w:pPr>
        <w:spacing w:after="0" w:line="170" w:lineRule="exact"/>
        <w:rPr>
          <w:sz w:val="20"/>
          <w:szCs w:val="20"/>
          <w:color w:val="auto"/>
        </w:rPr>
      </w:pPr>
    </w:p>
    <w:p>
      <w:pPr>
        <w:ind w:left="1020" w:right="300" w:firstLine="460"/>
        <w:spacing w:after="0" w:line="237" w:lineRule="auto"/>
        <w:rPr>
          <w:sz w:val="20"/>
          <w:szCs w:val="20"/>
          <w:color w:val="auto"/>
        </w:rPr>
      </w:pPr>
      <w:r>
        <w:rPr>
          <w:rFonts w:ascii="Arial" w:cs="Arial" w:eastAsia="Arial" w:hAnsi="Arial"/>
          <w:sz w:val="15"/>
          <w:szCs w:val="15"/>
          <w:color w:val="auto"/>
        </w:rPr>
        <w:t>We and our officers and directors, the selling stockholders, and the other holders of our common stock, who collectively hold substantially all of our common stock, have agreed with the underwriters, subject to certain exceptions, not to dispose of or hedge any common stock or securities convertible into or exchangeable for shares of common stock during the period from the date of such agreement continuing through the date 180 days after the date of this prospectus, except with the prior written consent of the representatives. This agreement does not apply to any existing employee benefit plans. See “Shares Available for Future Sale” for a discussion of certain transfer restrictions.</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Prior to this offering, there has been no public market for our common stock. The initial public offering price was negotiated among the representatives and us. Among the factors considered in determining the initial public offering price of our common stock,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We have been approved to list our common stock on the Nasdaq Global Select Market under the symbol “UPST”.</w:t>
      </w:r>
    </w:p>
    <w:p>
      <w:pPr>
        <w:spacing w:after="0" w:line="177"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2"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0" w:lineRule="exact"/>
        <w:rPr>
          <w:sz w:val="20"/>
          <w:szCs w:val="20"/>
          <w:color w:val="auto"/>
        </w:rPr>
      </w:pPr>
    </w:p>
    <w:p>
      <w:pPr>
        <w:ind w:left="1020" w:right="100" w:firstLine="460"/>
        <w:spacing w:after="0"/>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0200"/>
          </w:cols>
          <w:pgMar w:left="320" w:top="407" w:right="1379" w:bottom="1440" w:gutter="0" w:footer="0" w:header="0"/>
        </w:sectPr>
      </w:pPr>
    </w:p>
    <w:bookmarkStart w:id="229" w:name="page230"/>
    <w:bookmarkEnd w:id="22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480"/>
        <w:spacing w:after="0" w:line="238" w:lineRule="auto"/>
        <w:rPr>
          <w:sz w:val="20"/>
          <w:szCs w:val="20"/>
          <w:color w:val="auto"/>
        </w:rPr>
      </w:pPr>
      <w:r>
        <w:rPr>
          <w:rFonts w:ascii="Arial" w:cs="Arial" w:eastAsia="Arial" w:hAnsi="Arial"/>
          <w:sz w:val="15"/>
          <w:szCs w:val="15"/>
          <w:color w:val="auto"/>
        </w:rPr>
        <w:t>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2" w:lineRule="exact"/>
        <w:rPr>
          <w:sz w:val="20"/>
          <w:szCs w:val="20"/>
          <w:color w:val="auto"/>
        </w:rPr>
      </w:pPr>
    </w:p>
    <w:p>
      <w:pPr>
        <w:ind w:left="1020" w:right="600" w:firstLine="460"/>
        <w:spacing w:after="0" w:line="245" w:lineRule="auto"/>
        <w:rPr>
          <w:sz w:val="20"/>
          <w:szCs w:val="20"/>
          <w:color w:val="auto"/>
        </w:rPr>
      </w:pPr>
      <w:r>
        <w:rPr>
          <w:rFonts w:ascii="Arial" w:cs="Arial" w:eastAsia="Arial" w:hAnsi="Arial"/>
          <w:sz w:val="15"/>
          <w:szCs w:val="15"/>
          <w:color w:val="auto"/>
        </w:rPr>
        <w:t>We estimate that our share of the total expenses of the offering, excluding underwriting discounts and commissions, will be approximately $8.9 million.</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We agreed to reimburse the underwriters for expenses related to any applicable state securities filings and to the Financial Industry Regulatory Authority, Inc. incurred by them in connection with this offering in an amount up to $35,000. We and the selling stockholders also agreed to indemnify the several underwriters against certain liabilities, including liabilities under the Securities Act of 1933.</w:t>
      </w:r>
    </w:p>
    <w:p>
      <w:pPr>
        <w:spacing w:after="0" w:line="170"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 lender under a revolving credit facility entered into with one of our consolidated variable interest entities. Goldman Sachs</w:t>
      </w:r>
    </w:p>
    <w:p>
      <w:pPr>
        <w:spacing w:after="0" w:line="1" w:lineRule="exact"/>
        <w:rPr>
          <w:sz w:val="20"/>
          <w:szCs w:val="20"/>
          <w:color w:val="auto"/>
        </w:rPr>
      </w:pPr>
    </w:p>
    <w:p>
      <w:pPr>
        <w:ind w:left="1020" w:firstLine="7"/>
        <w:spacing w:after="0" w:line="238" w:lineRule="auto"/>
        <w:tabs>
          <w:tab w:leader="none" w:pos="1162" w:val="left"/>
        </w:tabs>
        <w:numPr>
          <w:ilvl w:val="0"/>
          <w:numId w:val="130"/>
        </w:numPr>
        <w:rPr>
          <w:rFonts w:ascii="Arial" w:cs="Arial" w:eastAsia="Arial" w:hAnsi="Arial"/>
          <w:sz w:val="15"/>
          <w:szCs w:val="15"/>
          <w:color w:val="auto"/>
        </w:rPr>
      </w:pPr>
      <w:r>
        <w:rPr>
          <w:rFonts w:ascii="Arial" w:cs="Arial" w:eastAsia="Arial" w:hAnsi="Arial"/>
          <w:sz w:val="15"/>
          <w:szCs w:val="15"/>
          <w:color w:val="auto"/>
        </w:rPr>
        <w:t>Co. LLC or other affiliates of the same serve or have served as securitizer for certain consumer loans originated by our bank partners, or co-sponsor for, initial purchaser with respect to, or an investor in, certain of such securitizations. Jefferies LLC or other affiliates of the same have also served as purchaser and securitizer for certain consumer loans originated by our bank partners, or initial purchaser with respect to those and certain other securitizations of consumer loans originated by our bank partners.</w:t>
      </w:r>
    </w:p>
    <w:p>
      <w:pPr>
        <w:spacing w:after="0" w:line="172"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 relation to each Member State of the European Economic Area (each a “Member State”), no common stock has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80" w:lineRule="exact"/>
        <w:rPr>
          <w:sz w:val="20"/>
          <w:szCs w:val="20"/>
          <w:color w:val="auto"/>
        </w:rPr>
      </w:pPr>
    </w:p>
    <w:p>
      <w:pPr>
        <w:ind w:left="5500" w:right="2920" w:hanging="4198"/>
        <w:spacing w:after="0" w:line="417" w:lineRule="auto"/>
        <w:tabs>
          <w:tab w:leader="none" w:pos="1529"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in the Prospectus Regulation; 220</w:t>
      </w:r>
    </w:p>
    <w:p>
      <w:pPr>
        <w:sectPr>
          <w:pgSz w:w="11900" w:h="16838" w:orient="portrait"/>
          <w:cols w:equalWidth="0" w:num="1">
            <w:col w:w="10220"/>
          </w:cols>
          <w:pgMar w:left="320" w:top="407" w:right="1359" w:bottom="1440" w:gutter="0" w:footer="0" w:header="0"/>
        </w:sectPr>
      </w:pPr>
    </w:p>
    <w:bookmarkStart w:id="230" w:name="page231"/>
    <w:bookmarkEnd w:id="23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300" w:right="640" w:firstLine="2"/>
        <w:spacing w:after="0" w:line="245" w:lineRule="auto"/>
        <w:tabs>
          <w:tab w:leader="none" w:pos="1525" w:val="left"/>
        </w:tabs>
        <w:numPr>
          <w:ilvl w:val="0"/>
          <w:numId w:val="132"/>
        </w:numPr>
        <w:rPr>
          <w:rFonts w:ascii="Arial" w:cs="Arial" w:eastAsia="Arial" w:hAnsi="Arial"/>
          <w:sz w:val="15"/>
          <w:szCs w:val="15"/>
          <w:color w:val="auto"/>
        </w:rPr>
      </w:pPr>
      <w:r>
        <w:rPr>
          <w:rFonts w:ascii="Arial" w:cs="Arial" w:eastAsia="Arial" w:hAnsi="Arial"/>
          <w:sz w:val="15"/>
          <w:szCs w:val="15"/>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76" w:lineRule="exact"/>
        <w:rPr>
          <w:rFonts w:ascii="Arial" w:cs="Arial" w:eastAsia="Arial" w:hAnsi="Arial"/>
          <w:sz w:val="15"/>
          <w:szCs w:val="15"/>
          <w:color w:val="auto"/>
        </w:rPr>
      </w:pPr>
    </w:p>
    <w:p>
      <w:pPr>
        <w:ind w:left="1520" w:hanging="218"/>
        <w:spacing w:after="0"/>
        <w:tabs>
          <w:tab w:leader="none" w:pos="1520" w:val="left"/>
        </w:tabs>
        <w:numPr>
          <w:ilvl w:val="0"/>
          <w:numId w:val="132"/>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77"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provided that no such offer of common stock shall result in a requirement for us or any underwriter to publish a prospectus pursuant to Article 3 of the Prospectus Regulation or supplement a prospectus pursuant to Article 23 of the Prospectus Regulation.</w:t>
      </w:r>
    </w:p>
    <w:p>
      <w:pPr>
        <w:spacing w:after="0" w:line="166"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Each person in a Member State who initially acquires any common stock or to whom any offer is made will be deemed to have represented, acknowledged and agreed with us and the representatives that it is a qualified investor within the meaning of the Prospectus Regulation.</w:t>
      </w:r>
    </w:p>
    <w:p>
      <w:pPr>
        <w:spacing w:after="0" w:line="170"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In the case of any common stock being offered to a financial intermediary as that term is used in Article 5(1) of the Prospectus Regulation, each such financial intermediary will be deemed to have represented, acknowledged and agreed that the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72"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We, the underwriters and their affiliates will rely upon the truth and accuracy of the foregoing representations, acknowledgments and agreements.</w:t>
      </w:r>
    </w:p>
    <w:p>
      <w:pPr>
        <w:spacing w:after="0" w:line="166"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For the purposes of this provision, the expression an “offer to the public” in relation to any common stock in any Member State means the communication in any form and by any means of sufficient information on the terms of the offer and any common stock to be offered so as to enable an investor to decide to purchase or subscribe for our common stock, and the expression “Prospectus Regulation” means Regulation (EU) 2017/1129.</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United Kingdom</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Each underwriter has represented and agreed that:</w:t>
      </w:r>
    </w:p>
    <w:p>
      <w:pPr>
        <w:spacing w:after="0" w:line="87" w:lineRule="exact"/>
        <w:rPr>
          <w:sz w:val="20"/>
          <w:szCs w:val="20"/>
          <w:color w:val="auto"/>
        </w:rPr>
      </w:pPr>
    </w:p>
    <w:p>
      <w:pPr>
        <w:ind w:left="1300" w:right="40" w:firstLine="2"/>
        <w:spacing w:after="0" w:line="238" w:lineRule="auto"/>
        <w:tabs>
          <w:tab w:leader="none" w:pos="152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our common stock in circumstances in which Section 21(1) of the FSMA does not apply to the company; and</w:t>
      </w:r>
    </w:p>
    <w:p>
      <w:pPr>
        <w:spacing w:after="0" w:line="82" w:lineRule="exact"/>
        <w:rPr>
          <w:rFonts w:ascii="Arial" w:cs="Arial" w:eastAsia="Arial" w:hAnsi="Arial"/>
          <w:sz w:val="15"/>
          <w:szCs w:val="15"/>
          <w:color w:val="auto"/>
        </w:rPr>
      </w:pPr>
    </w:p>
    <w:p>
      <w:pPr>
        <w:ind w:left="1300" w:right="360" w:firstLine="2"/>
        <w:spacing w:after="0" w:line="245" w:lineRule="auto"/>
        <w:tabs>
          <w:tab w:leader="none" w:pos="1525" w:val="left"/>
        </w:tabs>
        <w:numPr>
          <w:ilvl w:val="0"/>
          <w:numId w:val="133"/>
        </w:numPr>
        <w:rPr>
          <w:rFonts w:ascii="Arial" w:cs="Arial" w:eastAsia="Arial" w:hAnsi="Arial"/>
          <w:sz w:val="15"/>
          <w:szCs w:val="15"/>
          <w:color w:val="auto"/>
        </w:rPr>
      </w:pPr>
      <w:r>
        <w:rPr>
          <w:rFonts w:ascii="Arial" w:cs="Arial" w:eastAsia="Arial" w:hAnsi="Arial"/>
          <w:sz w:val="15"/>
          <w:szCs w:val="15"/>
          <w:color w:val="auto"/>
        </w:rPr>
        <w:t>it has complied and will comply with all applicable provisions of the FSMA with respect to anything done by it in relation to our common stock in, from or otherwise involving the United Kingdom.</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Canada</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0200"/>
          </w:cols>
          <w:pgMar w:left="320" w:top="407" w:right="1379" w:bottom="1440" w:gutter="0" w:footer="0" w:header="0"/>
        </w:sectPr>
      </w:pPr>
    </w:p>
    <w:bookmarkStart w:id="231" w:name="page232"/>
    <w:bookmarkEnd w:id="23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0" w:lineRule="exact"/>
        <w:rPr>
          <w:sz w:val="20"/>
          <w:szCs w:val="20"/>
          <w:color w:val="auto"/>
        </w:rPr>
      </w:pPr>
    </w:p>
    <w:p>
      <w:pPr>
        <w:ind w:left="1020" w:right="320" w:firstLine="460"/>
        <w:spacing w:after="0" w:line="245"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Hong Kong</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Singapore</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our common stock may not be circulated or distributed, nor may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Where our common stock is subscribed or purchased under Section 275 of the SFA by a relevant person which is a corporation</w:t>
      </w:r>
    </w:p>
    <w:p>
      <w:pPr>
        <w:ind w:left="1020"/>
        <w:spacing w:after="0" w:line="235" w:lineRule="auto"/>
        <w:rPr>
          <w:sz w:val="20"/>
          <w:szCs w:val="20"/>
          <w:color w:val="auto"/>
        </w:rPr>
      </w:pPr>
      <w:r>
        <w:rPr>
          <w:rFonts w:ascii="Arial" w:cs="Arial" w:eastAsia="Arial" w:hAnsi="Arial"/>
          <w:sz w:val="15"/>
          <w:szCs w:val="15"/>
          <w:color w:val="auto"/>
        </w:rPr>
        <w:t>(which is not an accredited investor (as defined in Section 4A of the SFA)) the sole business of which is to hold investments and the entire</w:t>
      </w:r>
    </w:p>
    <w:p>
      <w:pPr>
        <w:ind w:left="1020"/>
        <w:spacing w:after="0" w:line="235" w:lineRule="auto"/>
        <w:rPr>
          <w:sz w:val="20"/>
          <w:szCs w:val="20"/>
          <w:color w:val="auto"/>
        </w:rPr>
      </w:pPr>
      <w:r>
        <w:rPr>
          <w:rFonts w:ascii="Arial" w:cs="Arial" w:eastAsia="Arial" w:hAnsi="Arial"/>
          <w:sz w:val="15"/>
          <w:szCs w:val="15"/>
          <w:color w:val="auto"/>
        </w:rPr>
        <w:t>share capital of which is owned by one or more individuals, each of whom is an accredited investor, the securities (as defined in</w:t>
      </w:r>
    </w:p>
    <w:p>
      <w:pPr>
        <w:ind w:left="1020"/>
        <w:spacing w:after="0" w:line="235" w:lineRule="auto"/>
        <w:rPr>
          <w:sz w:val="20"/>
          <w:szCs w:val="20"/>
          <w:color w:val="auto"/>
        </w:rPr>
      </w:pPr>
      <w:r>
        <w:rPr>
          <w:rFonts w:ascii="Arial" w:cs="Arial" w:eastAsia="Arial" w:hAnsi="Arial"/>
          <w:sz w:val="15"/>
          <w:szCs w:val="15"/>
          <w:color w:val="auto"/>
        </w:rPr>
        <w:t>Section 239(1) of the SFA) of that corporation shall not be transferable for 6 months after that corporation has acquired our common stock</w:t>
      </w:r>
    </w:p>
    <w:p>
      <w:pPr>
        <w:ind w:left="1020"/>
        <w:spacing w:after="0" w:line="235" w:lineRule="auto"/>
        <w:rPr>
          <w:sz w:val="20"/>
          <w:szCs w:val="20"/>
          <w:color w:val="auto"/>
        </w:rPr>
      </w:pPr>
      <w:r>
        <w:rPr>
          <w:rFonts w:ascii="Arial" w:cs="Arial" w:eastAsia="Arial" w:hAnsi="Arial"/>
          <w:sz w:val="15"/>
          <w:szCs w:val="15"/>
          <w:color w:val="auto"/>
        </w:rPr>
        <w:t>under Section 275 of the SFA except: (1) to an institutional investor under Section 274 of the SFA or to a relevant person (as defined in</w:t>
      </w:r>
    </w:p>
    <w:p>
      <w:pPr>
        <w:ind w:left="1020"/>
        <w:spacing w:after="0" w:line="235" w:lineRule="auto"/>
        <w:rPr>
          <w:sz w:val="20"/>
          <w:szCs w:val="20"/>
          <w:color w:val="auto"/>
        </w:rPr>
      </w:pPr>
      <w:r>
        <w:rPr>
          <w:rFonts w:ascii="Arial" w:cs="Arial" w:eastAsia="Arial" w:hAnsi="Arial"/>
          <w:sz w:val="15"/>
          <w:szCs w:val="15"/>
          <w:color w:val="auto"/>
        </w:rPr>
        <w:t>Section 275(2) of the SFA), (2) where such transfer arises from an offer in that corporation’s securities pursuant to Section 275(1A) of the</w:t>
      </w:r>
    </w:p>
    <w:p>
      <w:pPr>
        <w:spacing w:after="0" w:line="1"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SFA, (3) where no consideration is or will be given for the transfer, (4) where</w:t>
      </w:r>
    </w:p>
    <w:p>
      <w:pPr>
        <w:spacing w:after="0" w:line="12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0200"/>
          </w:cols>
          <w:pgMar w:left="320" w:top="407" w:right="1379" w:bottom="1440" w:gutter="0" w:footer="0" w:header="0"/>
        </w:sectPr>
      </w:pPr>
    </w:p>
    <w:bookmarkStart w:id="232" w:name="page233"/>
    <w:bookmarkEnd w:id="23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right="120"/>
        <w:spacing w:after="0" w:line="245" w:lineRule="auto"/>
        <w:rPr>
          <w:sz w:val="20"/>
          <w:szCs w:val="20"/>
          <w:color w:val="auto"/>
        </w:rPr>
      </w:pPr>
      <w:r>
        <w:rPr>
          <w:rFonts w:ascii="Arial" w:cs="Arial" w:eastAsia="Arial" w:hAnsi="Arial"/>
          <w:sz w:val="15"/>
          <w:szCs w:val="15"/>
          <w:color w:val="auto"/>
        </w:rPr>
        <w:t>the transfer is by operation of law, (5) as specified in Section 276(7) of the SFA, or (6) as specified in Regulation 32 of the Securities and Futures (Offers of Investments) (Shares and Debentures) Regulations 2005 of Singapore (“Regulation 32”).</w:t>
      </w:r>
    </w:p>
    <w:p>
      <w:pPr>
        <w:spacing w:after="0" w:line="166"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Where our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Japan</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105" w:lineRule="exact"/>
        <w:rPr>
          <w:sz w:val="20"/>
          <w:szCs w:val="20"/>
          <w:color w:val="auto"/>
        </w:rPr>
      </w:pPr>
    </w:p>
    <w:p>
      <w:pPr>
        <w:ind w:left="1020" w:right="220" w:firstLine="460"/>
        <w:spacing w:after="0" w:line="237"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 our common stock should conduct their own due diligence on such shares. If you do not understand the contents of this prospectus, you should consult an authorized financial advisor.</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Switzerland</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Neither this document nor any other offering or marketing material relating to the offering, our company or our common stock has been or will be filed with or approved by any Swiss regulatory</w:t>
      </w:r>
    </w:p>
    <w:p>
      <w:pPr>
        <w:spacing w:after="0" w:line="110"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0180"/>
          </w:cols>
          <w:pgMar w:left="320" w:top="407" w:right="1399" w:bottom="1440" w:gutter="0" w:footer="0" w:header="0"/>
        </w:sectPr>
      </w:pPr>
    </w:p>
    <w:bookmarkStart w:id="233" w:name="page234"/>
    <w:bookmarkEnd w:id="23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69"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authority. In particular, this document will not be filed with, and the offer of common stock will not be supervised by, the Swiss Financial Market Supervisory Authority and the offer of common stock has not been and will not be authorized under the Swiss Federal Act on Collective Investment Schemes (“CISA”). The investor protection afforded to acquirers of interests in collective investment schemes under the CISA does not extend to acquirers of common stock.</w:t>
      </w:r>
    </w:p>
    <w:p>
      <w:pPr>
        <w:spacing w:after="0" w:line="116"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0180"/>
          </w:cols>
          <w:pgMar w:left="320" w:top="407" w:right="1399" w:bottom="1440" w:gutter="0" w:footer="0" w:header="0"/>
        </w:sectPr>
      </w:pPr>
    </w:p>
    <w:bookmarkStart w:id="234" w:name="page235"/>
    <w:bookmarkEnd w:id="23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VALIDITY OF COMMON STOCK</w:t>
      </w:r>
    </w:p>
    <w:p>
      <w:pPr>
        <w:spacing w:after="0" w:line="195" w:lineRule="exact"/>
        <w:rPr>
          <w:sz w:val="20"/>
          <w:szCs w:val="20"/>
          <w:color w:val="auto"/>
        </w:rPr>
      </w:pPr>
    </w:p>
    <w:p>
      <w:pPr>
        <w:ind w:left="1020" w:right="200" w:firstLine="460"/>
        <w:spacing w:after="0"/>
        <w:rPr>
          <w:sz w:val="20"/>
          <w:szCs w:val="20"/>
          <w:color w:val="auto"/>
        </w:rPr>
      </w:pPr>
      <w:r>
        <w:rPr>
          <w:rFonts w:ascii="Arial" w:cs="Arial" w:eastAsia="Arial" w:hAnsi="Arial"/>
          <w:sz w:val="15"/>
          <w:szCs w:val="15"/>
          <w:color w:val="auto"/>
        </w:rPr>
        <w:t>Wilson Sonsini Goodrich &amp; Rosati, P.C., Palo Alto, California, which has acted as our counsel in connection with this offering, will pass upon the validity of the shares of our common stock being offered by this prospectus. The validity of the shares of common stock offered by this prospectus will be passed upon for the underwriters by Sullivan &amp; Cromwell LLP, Palo Alto, California.</w:t>
      </w:r>
    </w:p>
    <w:p>
      <w:pPr>
        <w:spacing w:after="0" w:line="332"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EXPERTS</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consolidated financial statements as of December 31, 2019 and 2018 and for each of the three years in the period ended December 31, 2019, included in this prospectus have been audited by Deloitte &amp; Touche LLP, an independent registered public accounting firm, as stated in their report appearing herein. Such consolidated financial statements are included in reliance upon the report of such firm given upon their authority as experts in accounting and auditing.</w:t>
      </w:r>
    </w:p>
    <w:p>
      <w:pPr>
        <w:spacing w:after="0" w:line="334"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9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We have submitted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74"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As a result of this offering, we are subject to the information and reporting requirements of the Exchange Act and, in accordance with this law, will file periodic reports, proxy statements, and other information with the SEC. We also maintain a website at www.Upstart.com.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0220"/>
          </w:cols>
          <w:pgMar w:left="320" w:top="407" w:right="1359" w:bottom="1440" w:gutter="0" w:footer="0" w:header="0"/>
        </w:sectPr>
      </w:pPr>
    </w:p>
    <w:bookmarkStart w:id="235" w:name="page236"/>
    <w:bookmarkEnd w:id="235"/>
    <w:tbl>
      <w:tblPr>
        <w:tblLayout w:type="fixed"/>
        <w:tblInd w:w="0" w:type="dxa"/>
        <w:tblCellMar>
          <w:top w:w="0" w:type="dxa"/>
          <w:left w:w="0" w:type="dxa"/>
          <w:bottom w:w="0" w:type="dxa"/>
          <w:right w:w="0" w:type="dxa"/>
        </w:tblCellMar>
      </w:tblPr>
      <w:tr>
        <w:trPr>
          <w:trHeight w:val="193"/>
        </w:trPr>
        <w:tc>
          <w:tcPr>
            <w:tcW w:w="8520" w:type="dxa"/>
            <w:vAlign w:val="bottom"/>
          </w:tcPr>
          <w:p>
            <w:pPr>
              <w:spacing w:after="0"/>
              <w:rPr>
                <w:rFonts w:ascii="Arial" w:cs="Arial" w:eastAsia="Arial" w:hAnsi="Arial"/>
                <w:sz w:val="15"/>
                <w:szCs w:val="15"/>
                <w:b w:val="1"/>
                <w:bCs w:val="1"/>
                <w:u w:val="single" w:color="auto"/>
                <w:color w:val="0000EE"/>
              </w:rPr>
            </w:pPr>
            <w:hyperlink w:anchor="page10">
              <w:r>
                <w:rPr>
                  <w:rFonts w:ascii="Arial" w:cs="Arial" w:eastAsia="Arial" w:hAnsi="Arial"/>
                  <w:sz w:val="15"/>
                  <w:szCs w:val="15"/>
                  <w:b w:val="1"/>
                  <w:bCs w:val="1"/>
                  <w:u w:val="single" w:color="auto"/>
                  <w:color w:val="0000EE"/>
                </w:rPr>
                <w:t>Table of Contents</w:t>
              </w:r>
            </w:hyperlink>
          </w:p>
        </w:tc>
        <w:tc>
          <w:tcPr>
            <w:tcW w:w="1640" w:type="dxa"/>
            <w:vAlign w:val="bottom"/>
          </w:tcPr>
          <w:p>
            <w:pPr>
              <w:spacing w:after="0"/>
              <w:rPr>
                <w:sz w:val="16"/>
                <w:szCs w:val="16"/>
                <w:color w:val="auto"/>
              </w:rPr>
            </w:pPr>
          </w:p>
        </w:tc>
      </w:tr>
      <w:tr>
        <w:trPr>
          <w:trHeight w:val="428"/>
        </w:trPr>
        <w:tc>
          <w:tcPr>
            <w:tcW w:w="8520" w:type="dxa"/>
            <w:vAlign w:val="bottom"/>
          </w:tcPr>
          <w:p>
            <w:pPr>
              <w:jc w:val="center"/>
              <w:ind w:left="2645"/>
              <w:spacing w:after="0"/>
              <w:rPr>
                <w:sz w:val="20"/>
                <w:szCs w:val="20"/>
                <w:color w:val="auto"/>
              </w:rPr>
            </w:pPr>
            <w:r>
              <w:rPr>
                <w:rFonts w:ascii="Arial" w:cs="Arial" w:eastAsia="Arial" w:hAnsi="Arial"/>
                <w:sz w:val="15"/>
                <w:szCs w:val="15"/>
                <w:b w:val="1"/>
                <w:bCs w:val="1"/>
                <w:color w:val="auto"/>
              </w:rPr>
              <w:t>Upstart Holdings, Inc.</w:t>
            </w:r>
          </w:p>
        </w:tc>
        <w:tc>
          <w:tcPr>
            <w:tcW w:w="1640" w:type="dxa"/>
            <w:vAlign w:val="bottom"/>
          </w:tcPr>
          <w:p>
            <w:pPr>
              <w:spacing w:after="0"/>
              <w:rPr>
                <w:sz w:val="24"/>
                <w:szCs w:val="24"/>
                <w:color w:val="auto"/>
              </w:rPr>
            </w:pPr>
          </w:p>
        </w:tc>
      </w:tr>
      <w:tr>
        <w:trPr>
          <w:trHeight w:val="349"/>
        </w:trPr>
        <w:tc>
          <w:tcPr>
            <w:tcW w:w="8520" w:type="dxa"/>
            <w:vAlign w:val="bottom"/>
          </w:tcPr>
          <w:p>
            <w:pPr>
              <w:jc w:val="center"/>
              <w:ind w:left="2645"/>
              <w:spacing w:after="0"/>
              <w:rPr>
                <w:sz w:val="20"/>
                <w:szCs w:val="20"/>
                <w:color w:val="auto"/>
              </w:rPr>
            </w:pPr>
            <w:r>
              <w:rPr>
                <w:rFonts w:ascii="Arial" w:cs="Arial" w:eastAsia="Arial" w:hAnsi="Arial"/>
                <w:sz w:val="15"/>
                <w:szCs w:val="15"/>
                <w:b w:val="1"/>
                <w:bCs w:val="1"/>
                <w:color w:val="auto"/>
              </w:rPr>
              <w:t>Index to Consolidated Financial Statements</w:t>
            </w:r>
          </w:p>
        </w:tc>
        <w:tc>
          <w:tcPr>
            <w:tcW w:w="1640" w:type="dxa"/>
            <w:vAlign w:val="bottom"/>
          </w:tcPr>
          <w:p>
            <w:pPr>
              <w:spacing w:after="0"/>
              <w:rPr>
                <w:sz w:val="24"/>
                <w:szCs w:val="24"/>
                <w:color w:val="auto"/>
              </w:rPr>
            </w:pPr>
          </w:p>
        </w:tc>
      </w:tr>
      <w:tr>
        <w:trPr>
          <w:trHeight w:val="372"/>
        </w:trPr>
        <w:tc>
          <w:tcPr>
            <w:tcW w:w="8520" w:type="dxa"/>
            <w:vAlign w:val="bottom"/>
          </w:tcPr>
          <w:p>
            <w:pPr>
              <w:ind w:left="1020"/>
              <w:spacing w:after="0"/>
              <w:rPr>
                <w:rFonts w:ascii="Arial" w:cs="Arial" w:eastAsia="Arial" w:hAnsi="Arial"/>
                <w:sz w:val="15"/>
                <w:szCs w:val="15"/>
                <w:u w:val="single" w:color="auto"/>
                <w:color w:val="0000EE"/>
              </w:rPr>
            </w:pPr>
            <w:hyperlink w:anchor="page237">
              <w:r>
                <w:rPr>
                  <w:rFonts w:ascii="Arial" w:cs="Arial" w:eastAsia="Arial" w:hAnsi="Arial"/>
                  <w:sz w:val="15"/>
                  <w:szCs w:val="15"/>
                  <w:u w:val="single" w:color="auto"/>
                  <w:color w:val="0000EE"/>
                </w:rPr>
                <w:t>Report of Independent Registered Public Accounting Firm</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F-2</w:t>
            </w:r>
          </w:p>
        </w:tc>
      </w:tr>
      <w:tr>
        <w:trPr>
          <w:trHeight w:val="259"/>
        </w:trPr>
        <w:tc>
          <w:tcPr>
            <w:tcW w:w="8520" w:type="dxa"/>
            <w:vAlign w:val="bottom"/>
          </w:tcPr>
          <w:p>
            <w:pPr>
              <w:ind w:left="1020"/>
              <w:spacing w:after="0"/>
              <w:rPr>
                <w:sz w:val="20"/>
                <w:szCs w:val="20"/>
                <w:color w:val="auto"/>
              </w:rPr>
            </w:pPr>
            <w:r>
              <w:rPr>
                <w:rFonts w:ascii="Arial" w:cs="Arial" w:eastAsia="Arial" w:hAnsi="Arial"/>
                <w:sz w:val="15"/>
                <w:szCs w:val="15"/>
                <w:color w:val="auto"/>
              </w:rPr>
              <w:t>Consolidated Financial Statements:</w:t>
            </w:r>
          </w:p>
        </w:tc>
        <w:tc>
          <w:tcPr>
            <w:tcW w:w="1640" w:type="dxa"/>
            <w:vAlign w:val="bottom"/>
          </w:tcPr>
          <w:p>
            <w:pPr>
              <w:spacing w:after="0"/>
              <w:rPr>
                <w:sz w:val="22"/>
                <w:szCs w:val="22"/>
                <w:color w:val="auto"/>
              </w:rPr>
            </w:pP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38">
              <w:r>
                <w:rPr>
                  <w:rFonts w:ascii="Arial" w:cs="Arial" w:eastAsia="Arial" w:hAnsi="Arial"/>
                  <w:sz w:val="15"/>
                  <w:szCs w:val="15"/>
                  <w:u w:val="single" w:color="auto"/>
                  <w:color w:val="0000EE"/>
                </w:rPr>
                <w:t>Consolidated Balance Sheets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F-3</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0">
              <w:r>
                <w:rPr>
                  <w:rFonts w:ascii="Arial" w:cs="Arial" w:eastAsia="Arial" w:hAnsi="Arial"/>
                  <w:sz w:val="15"/>
                  <w:szCs w:val="15"/>
                  <w:u w:val="single" w:color="auto"/>
                  <w:color w:val="0000EE"/>
                </w:rPr>
                <w:t>Consolidated Statements of Operations and Comprehensive Income (loss)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F-5</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1">
              <w:r>
                <w:rPr>
                  <w:rFonts w:ascii="Arial" w:cs="Arial" w:eastAsia="Arial" w:hAnsi="Arial"/>
                  <w:sz w:val="15"/>
                  <w:szCs w:val="15"/>
                  <w:u w:val="single" w:color="auto"/>
                  <w:color w:val="0000EE"/>
                </w:rPr>
                <w:t>Consolidated Statements of Convertible Preferred Stock and Stockholders’ Deficit</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F-6</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3">
              <w:r>
                <w:rPr>
                  <w:rFonts w:ascii="Arial" w:cs="Arial" w:eastAsia="Arial" w:hAnsi="Arial"/>
                  <w:sz w:val="15"/>
                  <w:szCs w:val="15"/>
                  <w:u w:val="single" w:color="auto"/>
                  <w:color w:val="0000EE"/>
                </w:rPr>
                <w:t>Consolidated Statements of Cash Flows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F-8</w:t>
            </w:r>
          </w:p>
        </w:tc>
      </w:tr>
      <w:tr>
        <w:trPr>
          <w:trHeight w:val="259"/>
        </w:trPr>
        <w:tc>
          <w:tcPr>
            <w:tcW w:w="8520" w:type="dxa"/>
            <w:vAlign w:val="bottom"/>
          </w:tcPr>
          <w:p>
            <w:pPr>
              <w:ind w:left="1020"/>
              <w:spacing w:after="0"/>
              <w:rPr>
                <w:rFonts w:ascii="Arial" w:cs="Arial" w:eastAsia="Arial" w:hAnsi="Arial"/>
                <w:sz w:val="15"/>
                <w:szCs w:val="15"/>
                <w:u w:val="single" w:color="auto"/>
                <w:color w:val="0000EE"/>
              </w:rPr>
            </w:pPr>
            <w:hyperlink w:anchor="page246">
              <w:r>
                <w:rPr>
                  <w:rFonts w:ascii="Arial" w:cs="Arial" w:eastAsia="Arial" w:hAnsi="Arial"/>
                  <w:sz w:val="15"/>
                  <w:szCs w:val="15"/>
                  <w:u w:val="single" w:color="auto"/>
                  <w:color w:val="0000EE"/>
                </w:rPr>
                <w:t>Notes to Consolidated Financial Statements</w:t>
              </w:r>
            </w:hyperlink>
          </w:p>
        </w:tc>
        <w:tc>
          <w:tcPr>
            <w:tcW w:w="1640" w:type="dxa"/>
            <w:vAlign w:val="bottom"/>
          </w:tcPr>
          <w:p>
            <w:pPr>
              <w:jc w:val="right"/>
              <w:spacing w:after="0"/>
              <w:rPr>
                <w:sz w:val="20"/>
                <w:szCs w:val="20"/>
                <w:color w:val="auto"/>
              </w:rPr>
            </w:pPr>
            <w:r>
              <w:rPr>
                <w:rFonts w:ascii="Arial" w:cs="Arial" w:eastAsia="Arial" w:hAnsi="Arial"/>
                <w:sz w:val="15"/>
                <w:szCs w:val="15"/>
                <w:color w:val="auto"/>
              </w:rPr>
              <w:t>F-11</w:t>
            </w:r>
          </w:p>
        </w:tc>
      </w:tr>
      <w:tr>
        <w:trPr>
          <w:trHeight w:val="293"/>
        </w:trPr>
        <w:tc>
          <w:tcPr>
            <w:tcW w:w="8520" w:type="dxa"/>
            <w:vAlign w:val="bottom"/>
          </w:tcPr>
          <w:p>
            <w:pPr>
              <w:jc w:val="center"/>
              <w:ind w:left="2665"/>
              <w:spacing w:after="0"/>
              <w:rPr>
                <w:sz w:val="20"/>
                <w:szCs w:val="20"/>
                <w:color w:val="auto"/>
              </w:rPr>
            </w:pPr>
            <w:r>
              <w:rPr>
                <w:rFonts w:ascii="Arial" w:cs="Arial" w:eastAsia="Arial" w:hAnsi="Arial"/>
                <w:sz w:val="15"/>
                <w:szCs w:val="15"/>
                <w:color w:val="auto"/>
                <w:w w:val="97"/>
              </w:rPr>
              <w:t>F-1</w:t>
            </w:r>
          </w:p>
        </w:tc>
        <w:tc>
          <w:tcPr>
            <w:tcW w:w="1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160"/>
          </w:cols>
          <w:pgMar w:left="320" w:top="407" w:right="1419" w:bottom="1440" w:gutter="0" w:footer="0" w:header="0"/>
        </w:sect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p>
    <w:bookmarkStart w:id="236" w:name="page237"/>
    <w:bookmarkEnd w:id="23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30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95"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 the stockholders and the Board of Directors of Upstart Holdings, Inc.</w:t>
      </w:r>
    </w:p>
    <w:p>
      <w:pPr>
        <w:spacing w:after="0" w:line="249"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5" w:lineRule="exact"/>
        <w:rPr>
          <w:sz w:val="20"/>
          <w:szCs w:val="20"/>
          <w:color w:val="auto"/>
        </w:rPr>
      </w:pPr>
    </w:p>
    <w:p>
      <w:pPr>
        <w:ind w:left="1020" w:right="80"/>
        <w:spacing w:after="0" w:line="237" w:lineRule="auto"/>
        <w:rPr>
          <w:sz w:val="20"/>
          <w:szCs w:val="20"/>
          <w:color w:val="auto"/>
        </w:rPr>
      </w:pPr>
      <w:r>
        <w:rPr>
          <w:rFonts w:ascii="Arial" w:cs="Arial" w:eastAsia="Arial" w:hAnsi="Arial"/>
          <w:sz w:val="15"/>
          <w:szCs w:val="15"/>
          <w:color w:val="auto"/>
        </w:rPr>
        <w:t>We have audited the accompanying consolidated balance sheets of Upstart Holdings, Inc. and subsidiaries (the “Company”) as of December 31, 2019 and 2018, the related consolidated statements of operations and comprehensive income (loss), convertible preferred stock and stockholders’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auto"/>
        </w:rPr>
        <w:t>Basis for Opinion</w:t>
      </w:r>
    </w:p>
    <w:p>
      <w:pPr>
        <w:spacing w:after="0" w:line="105" w:lineRule="exact"/>
        <w:rPr>
          <w:sz w:val="20"/>
          <w:szCs w:val="20"/>
          <w:color w:val="auto"/>
        </w:rPr>
      </w:pPr>
    </w:p>
    <w:p>
      <w:pPr>
        <w:ind w:left="1020" w:right="180"/>
        <w:spacing w:after="0" w:line="238"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left="1020" w:right="60"/>
        <w:spacing w:after="0" w:line="238"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0"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 Deloitte &amp; Touche LLP</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San Francisco, CA</w:t>
      </w:r>
    </w:p>
    <w:p>
      <w:pPr>
        <w:ind w:left="1020"/>
        <w:spacing w:after="0"/>
        <w:rPr>
          <w:sz w:val="20"/>
          <w:szCs w:val="20"/>
          <w:color w:val="auto"/>
        </w:rPr>
      </w:pPr>
      <w:r>
        <w:rPr>
          <w:rFonts w:ascii="Arial" w:cs="Arial" w:eastAsia="Arial" w:hAnsi="Arial"/>
          <w:sz w:val="15"/>
          <w:szCs w:val="15"/>
          <w:color w:val="auto"/>
        </w:rPr>
        <w:t>March 3, 2020</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We have served as the Company’s auditor since 2015.</w:t>
      </w:r>
    </w:p>
    <w:p>
      <w:pPr>
        <w:spacing w:after="0" w:line="120"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0200"/>
          </w:cols>
          <w:pgMar w:left="320" w:top="407" w:right="1379" w:bottom="1440" w:gutter="0" w:footer="0" w:header="0"/>
        </w:sectPr>
      </w:pPr>
    </w:p>
    <w:bookmarkStart w:id="237" w:name="page238"/>
    <w:bookmarkEnd w:id="23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Balance Sheets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2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vMerge w:val="restart"/>
          </w:tcPr>
          <w:p>
            <w:pPr>
              <w:jc w:val="right"/>
              <w:ind w:right="500"/>
              <w:spacing w:after="0"/>
              <w:rPr>
                <w:sz w:val="20"/>
                <w:szCs w:val="20"/>
                <w:color w:val="auto"/>
              </w:rPr>
            </w:pPr>
            <w:r>
              <w:rPr>
                <w:rFonts w:ascii="Arial" w:cs="Arial" w:eastAsia="Arial" w:hAnsi="Arial"/>
                <w:sz w:val="12"/>
                <w:szCs w:val="12"/>
                <w:b w:val="1"/>
                <w:bCs w:val="1"/>
                <w:color w:val="auto"/>
              </w:rPr>
              <w:t>December 31,</w:t>
            </w:r>
          </w:p>
        </w:tc>
        <w:tc>
          <w:tcPr>
            <w:tcW w:w="9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Pro Forma</w:t>
            </w: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3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spacing w:after="0" w:line="136" w:lineRule="exact"/>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49"/>
        </w:trPr>
        <w:tc>
          <w:tcPr>
            <w:tcW w:w="2360" w:type="dxa"/>
            <w:vAlign w:val="bottom"/>
          </w:tcPr>
          <w:p>
            <w:pPr>
              <w:spacing w:after="0"/>
              <w:rPr>
                <w:sz w:val="4"/>
                <w:szCs w:val="4"/>
                <w:color w:val="auto"/>
              </w:rPr>
            </w:pPr>
          </w:p>
        </w:tc>
        <w:tc>
          <w:tcPr>
            <w:tcW w:w="33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3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i w:val="1"/>
                <w:iCs w:val="1"/>
                <w:color w:val="auto"/>
              </w:rPr>
              <w:t>(unaudited)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20"/>
              <w:spacing w:after="0"/>
              <w:rPr>
                <w:sz w:val="20"/>
                <w:szCs w:val="20"/>
                <w:color w:val="auto"/>
              </w:rPr>
            </w:pPr>
            <w:r>
              <w:rPr>
                <w:rFonts w:ascii="Arial" w:cs="Arial" w:eastAsia="Arial" w:hAnsi="Arial"/>
                <w:sz w:val="12"/>
                <w:szCs w:val="12"/>
                <w:i w:val="1"/>
                <w:iCs w:val="1"/>
                <w:color w:val="auto"/>
              </w:rPr>
              <w:t>(unaudited)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line="136" w:lineRule="exact"/>
              <w:rPr>
                <w:sz w:val="20"/>
                <w:szCs w:val="20"/>
                <w:color w:val="auto"/>
              </w:rPr>
            </w:pPr>
            <w:r>
              <w:rPr>
                <w:rFonts w:ascii="Arial" w:cs="Arial" w:eastAsia="Arial" w:hAnsi="Arial"/>
                <w:sz w:val="12"/>
                <w:szCs w:val="12"/>
                <w:color w:val="auto"/>
              </w:rPr>
              <w:t>Cash</w:t>
            </w:r>
          </w:p>
        </w:tc>
        <w:tc>
          <w:tcPr>
            <w:tcW w:w="332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73,038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44,389</w:t>
            </w: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53,234</w:t>
            </w:r>
          </w:p>
        </w:tc>
        <w:tc>
          <w:tcPr>
            <w:tcW w:w="18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53,240</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Restricted cash</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49,204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35,678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57,414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57,414</w:t>
            </w:r>
          </w:p>
        </w:tc>
        <w:tc>
          <w:tcPr>
            <w:tcW w:w="0" w:type="dxa"/>
            <w:vAlign w:val="bottom"/>
          </w:tcPr>
          <w:p>
            <w:pPr>
              <w:spacing w:after="0"/>
              <w:rPr>
                <w:sz w:val="1"/>
                <w:szCs w:val="1"/>
                <w:color w:val="auto"/>
              </w:rPr>
            </w:pPr>
          </w:p>
        </w:tc>
      </w:tr>
      <w:tr>
        <w:trPr>
          <w:trHeight w:val="135"/>
        </w:trPr>
        <w:tc>
          <w:tcPr>
            <w:tcW w:w="2360" w:type="dxa"/>
            <w:vAlign w:val="bottom"/>
          </w:tcPr>
          <w:p>
            <w:pPr>
              <w:spacing w:after="0" w:line="136" w:lineRule="exact"/>
              <w:rPr>
                <w:sz w:val="20"/>
                <w:szCs w:val="20"/>
                <w:color w:val="auto"/>
              </w:rPr>
            </w:pPr>
            <w:r>
              <w:rPr>
                <w:rFonts w:ascii="Arial" w:cs="Arial" w:eastAsia="Arial" w:hAnsi="Arial"/>
                <w:sz w:val="12"/>
                <w:szCs w:val="12"/>
                <w:color w:val="auto"/>
              </w:rPr>
              <w:t>Loans (at fair value)</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w w:val="96"/>
              </w:rPr>
              <w:t>502,666</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w w:val="96"/>
              </w:rPr>
              <w:t>232,305</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122,708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122,708</w:t>
            </w: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Notes receivable and residual certificates (at fair value)</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8,314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34,116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22,053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22,053</w:t>
            </w:r>
          </w:p>
        </w:tc>
        <w:tc>
          <w:tcPr>
            <w:tcW w:w="0" w:type="dxa"/>
            <w:vAlign w:val="bottom"/>
          </w:tcPr>
          <w:p>
            <w:pPr>
              <w:spacing w:after="0"/>
              <w:rPr>
                <w:sz w:val="1"/>
                <w:szCs w:val="1"/>
                <w:color w:val="auto"/>
              </w:rPr>
            </w:pPr>
          </w:p>
        </w:tc>
      </w:tr>
      <w:tr>
        <w:trPr>
          <w:trHeight w:val="135"/>
        </w:trPr>
        <w:tc>
          <w:tcPr>
            <w:tcW w:w="2360" w:type="dxa"/>
            <w:vAlign w:val="bottom"/>
          </w:tcPr>
          <w:p>
            <w:pPr>
              <w:spacing w:after="0" w:line="136" w:lineRule="exact"/>
              <w:rPr>
                <w:sz w:val="20"/>
                <w:szCs w:val="20"/>
                <w:color w:val="auto"/>
              </w:rPr>
            </w:pPr>
            <w:r>
              <w:rPr>
                <w:rFonts w:ascii="Arial" w:cs="Arial" w:eastAsia="Arial" w:hAnsi="Arial"/>
                <w:sz w:val="12"/>
                <w:szCs w:val="12"/>
                <w:color w:val="auto"/>
              </w:rPr>
              <w:t>Property, equipment, and software, net</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1,502</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6,030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9,060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9,060</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Operating lease right of use assets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16,190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13,904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13,904</w:t>
            </w:r>
          </w:p>
        </w:tc>
        <w:tc>
          <w:tcPr>
            <w:tcW w:w="0" w:type="dxa"/>
            <w:vAlign w:val="bottom"/>
          </w:tcPr>
          <w:p>
            <w:pPr>
              <w:spacing w:after="0"/>
              <w:rPr>
                <w:sz w:val="1"/>
                <w:szCs w:val="1"/>
                <w:color w:val="auto"/>
              </w:rPr>
            </w:pPr>
          </w:p>
        </w:tc>
      </w:tr>
      <w:tr>
        <w:trPr>
          <w:trHeight w:val="139"/>
        </w:trPr>
        <w:tc>
          <w:tcPr>
            <w:tcW w:w="5680" w:type="dxa"/>
            <w:vAlign w:val="bottom"/>
            <w:gridSpan w:val="2"/>
          </w:tcPr>
          <w:p>
            <w:pPr>
              <w:spacing w:after="0"/>
              <w:rPr>
                <w:sz w:val="20"/>
                <w:szCs w:val="20"/>
                <w:color w:val="auto"/>
              </w:rPr>
            </w:pPr>
            <w:r>
              <w:rPr>
                <w:rFonts w:ascii="Arial" w:cs="Arial" w:eastAsia="Arial" w:hAnsi="Arial"/>
                <w:sz w:val="12"/>
                <w:szCs w:val="12"/>
                <w:color w:val="auto"/>
              </w:rPr>
              <w:t>Other assets (includes $1,410, $4,725 and $6,558 at fair value as of December 31, 2018 and 2019,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68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and September 30, 2020 (unaudited), respectively)</w:t>
            </w:r>
          </w:p>
        </w:tc>
        <w:tc>
          <w:tcPr>
            <w:tcW w:w="8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rPr>
              <w:t>11,184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rPr>
              <w:t>24,754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31,431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31,431</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360" w:type="dxa"/>
            <w:vAlign w:val="bottom"/>
            <w:shd w:val="clear" w:color="auto" w:fill="CCEEFF"/>
          </w:tcPr>
          <w:p>
            <w:pPr>
              <w:ind w:left="480"/>
              <w:spacing w:after="0" w:line="169" w:lineRule="exact"/>
              <w:rPr>
                <w:sz w:val="20"/>
                <w:szCs w:val="20"/>
                <w:color w:val="auto"/>
              </w:rPr>
            </w:pPr>
            <w:r>
              <w:rPr>
                <w:rFonts w:ascii="Arial" w:cs="Arial" w:eastAsia="Arial" w:hAnsi="Arial"/>
                <w:sz w:val="12"/>
                <w:szCs w:val="12"/>
                <w:color w:val="auto"/>
              </w:rPr>
              <w:t>Total assets</w:t>
            </w:r>
            <w:r>
              <w:rPr>
                <w:rFonts w:ascii="Arial" w:cs="Arial" w:eastAsia="Arial" w:hAnsi="Arial"/>
                <w:sz w:val="19"/>
                <w:szCs w:val="19"/>
                <w:color w:val="auto"/>
                <w:vertAlign w:val="superscript"/>
              </w:rPr>
              <w:t>(a)</w:t>
            </w:r>
          </w:p>
        </w:tc>
        <w:tc>
          <w:tcPr>
            <w:tcW w:w="33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u w:val="single" w:color="auto"/>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645,908</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393,462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309,804</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309,810</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Liabilities, Convertible Preferred Stock, and Stockholders’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Liabilities:</w:t>
            </w:r>
          </w:p>
        </w:tc>
        <w:tc>
          <w:tcPr>
            <w:tcW w:w="3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240"/>
              <w:spacing w:after="0" w:line="136" w:lineRule="exact"/>
              <w:rPr>
                <w:sz w:val="20"/>
                <w:szCs w:val="20"/>
                <w:color w:val="auto"/>
              </w:rPr>
            </w:pPr>
            <w:r>
              <w:rPr>
                <w:rFonts w:ascii="Arial" w:cs="Arial" w:eastAsia="Arial" w:hAnsi="Arial"/>
                <w:sz w:val="12"/>
                <w:szCs w:val="12"/>
                <w:color w:val="auto"/>
              </w:rPr>
              <w:t>Accounts payable</w:t>
            </w:r>
          </w:p>
        </w:tc>
        <w:tc>
          <w:tcPr>
            <w:tcW w:w="3320" w:type="dxa"/>
            <w:vAlign w:val="bottom"/>
          </w:tcPr>
          <w:p>
            <w:pPr>
              <w:spacing w:after="0"/>
              <w:rPr>
                <w:sz w:val="11"/>
                <w:szCs w:val="11"/>
                <w:color w:val="auto"/>
              </w:rPr>
            </w:pP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2,923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6,559</w:t>
            </w:r>
          </w:p>
        </w:tc>
        <w:tc>
          <w:tcPr>
            <w:tcW w:w="80" w:type="dxa"/>
            <w:vAlign w:val="bottom"/>
          </w:tcPr>
          <w:p>
            <w:pPr>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6,049</w:t>
            </w:r>
          </w:p>
        </w:tc>
        <w:tc>
          <w:tcPr>
            <w:tcW w:w="180" w:type="dxa"/>
            <w:vAlign w:val="bottom"/>
            <w:gridSpan w:val="2"/>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6,049</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Payable to investors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21,154</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19,620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39,192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39,192</w:t>
            </w:r>
          </w:p>
        </w:tc>
        <w:tc>
          <w:tcPr>
            <w:tcW w:w="0" w:type="dxa"/>
            <w:vAlign w:val="bottom"/>
          </w:tcPr>
          <w:p>
            <w:pPr>
              <w:spacing w:after="0"/>
              <w:rPr>
                <w:sz w:val="1"/>
                <w:szCs w:val="1"/>
                <w:color w:val="auto"/>
              </w:rPr>
            </w:pPr>
          </w:p>
        </w:tc>
      </w:tr>
      <w:tr>
        <w:trPr>
          <w:trHeight w:val="135"/>
        </w:trPr>
        <w:tc>
          <w:tcPr>
            <w:tcW w:w="5680" w:type="dxa"/>
            <w:vAlign w:val="bottom"/>
            <w:gridSpan w:val="2"/>
          </w:tcPr>
          <w:p>
            <w:pPr>
              <w:ind w:left="240"/>
              <w:spacing w:after="0" w:line="136" w:lineRule="exact"/>
              <w:rPr>
                <w:sz w:val="20"/>
                <w:szCs w:val="20"/>
                <w:color w:val="auto"/>
              </w:rPr>
            </w:pPr>
            <w:r>
              <w:rPr>
                <w:rFonts w:ascii="Arial" w:cs="Arial" w:eastAsia="Arial" w:hAnsi="Arial"/>
                <w:sz w:val="12"/>
                <w:szCs w:val="12"/>
                <w:color w:val="auto"/>
              </w:rPr>
              <w:t>Notes payable (at fair value; includes $2,447 payable to related parties as of December 31, 2018)</w:t>
            </w: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53,174</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Borrowings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rPr>
              <w:t>74,983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2"/>
                <w:szCs w:val="12"/>
                <w:color w:val="auto"/>
                <w:w w:val="96"/>
              </w:rPr>
              <w:t>118,609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100,588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100,588</w:t>
            </w:r>
          </w:p>
        </w:tc>
        <w:tc>
          <w:tcPr>
            <w:tcW w:w="0" w:type="dxa"/>
            <w:vAlign w:val="bottom"/>
          </w:tcPr>
          <w:p>
            <w:pPr>
              <w:spacing w:after="0"/>
              <w:rPr>
                <w:sz w:val="1"/>
                <w:szCs w:val="1"/>
                <w:color w:val="auto"/>
              </w:rPr>
            </w:pPr>
          </w:p>
        </w:tc>
      </w:tr>
      <w:tr>
        <w:trPr>
          <w:trHeight w:val="139"/>
        </w:trPr>
        <w:tc>
          <w:tcPr>
            <w:tcW w:w="5680" w:type="dxa"/>
            <w:vAlign w:val="bottom"/>
            <w:gridSpan w:val="2"/>
          </w:tcPr>
          <w:p>
            <w:pPr>
              <w:ind w:left="240"/>
              <w:spacing w:after="0"/>
              <w:rPr>
                <w:sz w:val="20"/>
                <w:szCs w:val="20"/>
                <w:color w:val="auto"/>
              </w:rPr>
            </w:pPr>
            <w:r>
              <w:rPr>
                <w:rFonts w:ascii="Arial" w:cs="Arial" w:eastAsia="Arial" w:hAnsi="Arial"/>
                <w:sz w:val="12"/>
                <w:szCs w:val="12"/>
                <w:color w:val="auto"/>
              </w:rPr>
              <w:t>Payable to securitization note holders and residual certificate holders (includes $353,292 and</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80" w:type="dxa"/>
            <w:vAlign w:val="bottom"/>
            <w:gridSpan w:val="2"/>
          </w:tcPr>
          <w:p>
            <w:pPr>
              <w:ind w:left="360"/>
              <w:spacing w:after="0" w:line="136" w:lineRule="exact"/>
              <w:rPr>
                <w:sz w:val="20"/>
                <w:szCs w:val="20"/>
                <w:color w:val="auto"/>
              </w:rPr>
            </w:pPr>
            <w:r>
              <w:rPr>
                <w:rFonts w:ascii="Arial" w:cs="Arial" w:eastAsia="Arial" w:hAnsi="Arial"/>
                <w:sz w:val="12"/>
                <w:szCs w:val="12"/>
                <w:color w:val="auto"/>
              </w:rPr>
              <w:t>$89,672 at fair value, and $61,439 and $41,343 payable to related parties as of December 31,</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tcPr>
          <w:p>
            <w:pPr>
              <w:ind w:left="360"/>
              <w:spacing w:after="0" w:line="132" w:lineRule="exact"/>
              <w:rPr>
                <w:sz w:val="20"/>
                <w:szCs w:val="20"/>
                <w:color w:val="auto"/>
              </w:rPr>
            </w:pPr>
            <w:r>
              <w:rPr>
                <w:rFonts w:ascii="Arial" w:cs="Arial" w:eastAsia="Arial" w:hAnsi="Arial"/>
                <w:sz w:val="12"/>
                <w:szCs w:val="12"/>
                <w:color w:val="auto"/>
              </w:rPr>
              <w:t>2018 and 2019, respectively)</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2" w:lineRule="exact"/>
              <w:rPr>
                <w:sz w:val="20"/>
                <w:szCs w:val="20"/>
                <w:color w:val="auto"/>
              </w:rPr>
            </w:pPr>
            <w:r>
              <w:rPr>
                <w:rFonts w:ascii="Arial" w:cs="Arial" w:eastAsia="Arial" w:hAnsi="Arial"/>
                <w:sz w:val="12"/>
                <w:szCs w:val="12"/>
                <w:color w:val="auto"/>
                <w:w w:val="96"/>
              </w:rPr>
              <w:t>373,068</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2" w:lineRule="exact"/>
              <w:rPr>
                <w:sz w:val="20"/>
                <w:szCs w:val="20"/>
                <w:color w:val="auto"/>
              </w:rPr>
            </w:pPr>
            <w:r>
              <w:rPr>
                <w:rFonts w:ascii="Arial" w:cs="Arial" w:eastAsia="Arial" w:hAnsi="Arial"/>
                <w:sz w:val="12"/>
                <w:szCs w:val="12"/>
                <w:color w:val="auto"/>
              </w:rPr>
              <w:t>96,107</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5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Other liabilities (includes $11,086, $12,446, and $17,308 at fair value as of December 31, 2018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680" w:type="dxa"/>
            <w:vAlign w:val="bottom"/>
            <w:gridSpan w:val="2"/>
            <w:shd w:val="clear" w:color="auto" w:fill="CCEEFF"/>
          </w:tcPr>
          <w:p>
            <w:pPr>
              <w:ind w:left="360"/>
              <w:spacing w:after="0" w:line="132" w:lineRule="exact"/>
              <w:rPr>
                <w:sz w:val="20"/>
                <w:szCs w:val="20"/>
                <w:color w:val="auto"/>
              </w:rPr>
            </w:pPr>
            <w:r>
              <w:rPr>
                <w:rFonts w:ascii="Arial" w:cs="Arial" w:eastAsia="Arial" w:hAnsi="Arial"/>
                <w:sz w:val="12"/>
                <w:szCs w:val="12"/>
                <w:color w:val="auto"/>
              </w:rPr>
              <w:t>and 2019, and September 30, 2020 (unaudited), respectively)</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17,353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34,648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33,921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26,464</w:t>
            </w:r>
          </w:p>
        </w:tc>
        <w:tc>
          <w:tcPr>
            <w:tcW w:w="0" w:type="dxa"/>
            <w:vAlign w:val="bottom"/>
          </w:tcPr>
          <w:p>
            <w:pPr>
              <w:spacing w:after="0"/>
              <w:rPr>
                <w:sz w:val="1"/>
                <w:szCs w:val="1"/>
                <w:color w:val="auto"/>
              </w:rPr>
            </w:pPr>
          </w:p>
        </w:tc>
      </w:tr>
      <w:tr>
        <w:trPr>
          <w:trHeight w:val="135"/>
        </w:trPr>
        <w:tc>
          <w:tcPr>
            <w:tcW w:w="2360" w:type="dxa"/>
            <w:vAlign w:val="bottom"/>
          </w:tcPr>
          <w:p>
            <w:pPr>
              <w:ind w:left="240"/>
              <w:spacing w:after="0" w:line="136" w:lineRule="exact"/>
              <w:rPr>
                <w:sz w:val="20"/>
                <w:szCs w:val="20"/>
                <w:color w:val="auto"/>
              </w:rPr>
            </w:pPr>
            <w:r>
              <w:rPr>
                <w:rFonts w:ascii="Arial" w:cs="Arial" w:eastAsia="Arial" w:hAnsi="Arial"/>
                <w:sz w:val="12"/>
                <w:szCs w:val="12"/>
                <w:color w:val="auto"/>
              </w:rPr>
              <w:t>Operating lease liabilities</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17,061</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14,841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14,841</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ind w:left="480"/>
              <w:spacing w:after="0" w:line="136" w:lineRule="exact"/>
              <w:rPr>
                <w:sz w:val="20"/>
                <w:szCs w:val="20"/>
                <w:color w:val="auto"/>
              </w:rPr>
            </w:pPr>
            <w:r>
              <w:rPr>
                <w:rFonts w:ascii="Arial" w:cs="Arial" w:eastAsia="Arial" w:hAnsi="Arial"/>
                <w:sz w:val="10"/>
                <w:szCs w:val="10"/>
                <w:color w:val="auto"/>
              </w:rPr>
              <w:t>Total liabilities</w:t>
            </w:r>
            <w:r>
              <w:rPr>
                <w:rFonts w:ascii="Arial" w:cs="Arial" w:eastAsia="Arial" w:hAnsi="Arial"/>
                <w:sz w:val="15"/>
                <w:szCs w:val="15"/>
                <w:color w:val="auto"/>
                <w:vertAlign w:val="superscript"/>
              </w:rPr>
              <w:t>(a)</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542,655</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292,604</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194,591</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187,134</w:t>
            </w:r>
          </w:p>
        </w:tc>
        <w:tc>
          <w:tcPr>
            <w:tcW w:w="0" w:type="dxa"/>
            <w:vAlign w:val="bottom"/>
          </w:tcPr>
          <w:p>
            <w:pPr>
              <w:spacing w:after="0"/>
              <w:rPr>
                <w:sz w:val="1"/>
                <w:szCs w:val="1"/>
                <w:color w:val="auto"/>
              </w:rPr>
            </w:pPr>
          </w:p>
        </w:tc>
      </w:tr>
      <w:tr>
        <w:trPr>
          <w:trHeight w:val="151"/>
        </w:trPr>
        <w:tc>
          <w:tcPr>
            <w:tcW w:w="236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3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5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9"/>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Convertible preferred stock, $0.0001 par value; 53,927,657 shares authorized as of December 31,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2018 and 2019, and September 30, 2020 (unaudited), respectively; aggregate liquidation preference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of $162,757, $166,257, and $166,257 as of December 31, 2018 and 2019, and September 30, 2020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(unaudited), respectively; 46,882,877</w:t>
            </w:r>
          </w:p>
        </w:tc>
        <w:tc>
          <w:tcPr>
            <w:tcW w:w="332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shares issued and outstanding as of December 31,</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2018, and 47,349,577 shares issued and outstanding as of December 31, 2019, and September 30,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120"/>
              <w:spacing w:after="0" w:line="136" w:lineRule="exact"/>
              <w:rPr>
                <w:sz w:val="20"/>
                <w:szCs w:val="20"/>
                <w:color w:val="auto"/>
              </w:rPr>
            </w:pPr>
            <w:r>
              <w:rPr>
                <w:rFonts w:ascii="Arial" w:cs="Arial" w:eastAsia="Arial" w:hAnsi="Arial"/>
                <w:sz w:val="12"/>
                <w:szCs w:val="12"/>
                <w:color w:val="auto"/>
              </w:rPr>
              <w:t>2020 (unaudited); no shares outstanding as of September 30, 2020 (unaudited), pro forma</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CEEFF"/>
          </w:tcPr>
          <w:p>
            <w:pPr>
              <w:ind w:left="120"/>
              <w:spacing w:after="0" w:line="132" w:lineRule="exact"/>
              <w:rPr>
                <w:sz w:val="20"/>
                <w:szCs w:val="20"/>
                <w:color w:val="auto"/>
              </w:rPr>
            </w:pPr>
            <w:r>
              <w:rPr>
                <w:rFonts w:ascii="Arial" w:cs="Arial" w:eastAsia="Arial" w:hAnsi="Arial"/>
                <w:sz w:val="12"/>
                <w:szCs w:val="12"/>
                <w:color w:val="auto"/>
              </w:rPr>
              <w:t>(unaudited)</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w w:val="96"/>
              </w:rPr>
              <w:t>157,923</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w w:val="96"/>
              </w:rPr>
              <w:t>162,546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162,546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2"/>
        </w:trPr>
        <w:tc>
          <w:tcPr>
            <w:tcW w:w="2360" w:type="dxa"/>
            <w:vAlign w:val="bottom"/>
          </w:tcPr>
          <w:p>
            <w:pPr>
              <w:spacing w:after="0"/>
              <w:rPr>
                <w:sz w:val="20"/>
                <w:szCs w:val="20"/>
                <w:color w:val="auto"/>
              </w:rPr>
            </w:pPr>
            <w:r>
              <w:rPr>
                <w:rFonts w:ascii="Arial" w:cs="Arial" w:eastAsia="Arial" w:hAnsi="Arial"/>
                <w:sz w:val="12"/>
                <w:szCs w:val="12"/>
                <w:color w:val="auto"/>
              </w:rPr>
              <w:t>Stockholders’ deficit:</w:t>
            </w:r>
          </w:p>
        </w:tc>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Common stock, $0.0001 par value; 90,000,000 shares authorized as of December 31, 2018 and</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rPr>
              <w:t>2019, and September 30, 2020 (unaudited), respectively; 12,991,270, 14,561,398, and</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rPr>
              <w:t>15,044,707 shares issued and outstanding as of December 31, 2018 and 2019, and September</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shd w:val="clear" w:color="auto" w:fill="CCEEFF"/>
          </w:tcPr>
          <w:p>
            <w:pPr>
              <w:ind w:left="360"/>
              <w:spacing w:after="0" w:line="136" w:lineRule="exact"/>
              <w:rPr>
                <w:sz w:val="20"/>
                <w:szCs w:val="20"/>
                <w:color w:val="auto"/>
              </w:rPr>
            </w:pPr>
            <w:r>
              <w:rPr>
                <w:rFonts w:ascii="Arial" w:cs="Arial" w:eastAsia="Arial" w:hAnsi="Arial"/>
                <w:sz w:val="12"/>
                <w:szCs w:val="12"/>
                <w:color w:val="auto"/>
              </w:rPr>
              <w:t>30, 2020 (unaudited), respectively; 62,994,492 shares outstanding as of September 30, 2020</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60" w:type="dxa"/>
            <w:vAlign w:val="bottom"/>
            <w:shd w:val="clear" w:color="auto" w:fill="CCEEFF"/>
          </w:tcPr>
          <w:p>
            <w:pPr>
              <w:ind w:left="360"/>
              <w:spacing w:after="0" w:line="132" w:lineRule="exact"/>
              <w:rPr>
                <w:sz w:val="20"/>
                <w:szCs w:val="20"/>
                <w:color w:val="auto"/>
              </w:rPr>
            </w:pPr>
            <w:r>
              <w:rPr>
                <w:rFonts w:ascii="Arial" w:cs="Arial" w:eastAsia="Arial" w:hAnsi="Arial"/>
                <w:sz w:val="12"/>
                <w:szCs w:val="12"/>
                <w:color w:val="auto"/>
              </w:rPr>
              <w:t>(unaudited), pro forma (unaudited)</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1</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60"/>
              <w:spacing w:after="0" w:line="132" w:lineRule="exact"/>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2" w:lineRule="exact"/>
              <w:rPr>
                <w:sz w:val="20"/>
                <w:szCs w:val="20"/>
                <w:color w:val="auto"/>
              </w:rPr>
            </w:pPr>
            <w:r>
              <w:rPr>
                <w:rFonts w:ascii="Arial" w:cs="Arial" w:eastAsia="Arial" w:hAnsi="Arial"/>
                <w:sz w:val="12"/>
                <w:szCs w:val="12"/>
                <w:color w:val="auto"/>
              </w:rPr>
              <w:t>2</w:t>
            </w:r>
          </w:p>
        </w:tc>
        <w:tc>
          <w:tcPr>
            <w:tcW w:w="180" w:type="dxa"/>
            <w:vAlign w:val="bottom"/>
            <w:gridSpan w:val="2"/>
            <w:shd w:val="clear" w:color="auto" w:fill="CCEEFF"/>
          </w:tcPr>
          <w:p>
            <w:pPr>
              <w:ind w:left="100"/>
              <w:spacing w:after="0" w:line="132" w:lineRule="exact"/>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line="132" w:lineRule="exact"/>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35"/>
        </w:trPr>
        <w:tc>
          <w:tcPr>
            <w:tcW w:w="2360" w:type="dxa"/>
            <w:vAlign w:val="bottom"/>
          </w:tcPr>
          <w:p>
            <w:pPr>
              <w:ind w:left="240"/>
              <w:spacing w:after="0" w:line="136" w:lineRule="exact"/>
              <w:rPr>
                <w:sz w:val="20"/>
                <w:szCs w:val="20"/>
                <w:color w:val="auto"/>
              </w:rPr>
            </w:pPr>
            <w:r>
              <w:rPr>
                <w:rFonts w:ascii="Arial" w:cs="Arial" w:eastAsia="Arial" w:hAnsi="Arial"/>
                <w:sz w:val="12"/>
                <w:szCs w:val="12"/>
                <w:color w:val="auto"/>
              </w:rPr>
              <w:t>Additional paid-in capital</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8,406</w:t>
            </w:r>
          </w:p>
        </w:tc>
        <w:tc>
          <w:tcPr>
            <w:tcW w:w="60" w:type="dxa"/>
            <w:vAlign w:val="bottom"/>
          </w:tcPr>
          <w:p>
            <w:pPr>
              <w:spacing w:after="0"/>
              <w:rPr>
                <w:sz w:val="11"/>
                <w:szCs w:val="11"/>
                <w:color w:val="auto"/>
              </w:rPr>
            </w:pPr>
          </w:p>
        </w:tc>
        <w:tc>
          <w:tcPr>
            <w:tcW w:w="700" w:type="dxa"/>
            <w:vAlign w:val="bottom"/>
            <w:gridSpan w:val="2"/>
          </w:tcPr>
          <w:p>
            <w:pPr>
              <w:jc w:val="right"/>
              <w:ind w:right="260"/>
              <w:spacing w:after="0" w:line="136" w:lineRule="exact"/>
              <w:rPr>
                <w:sz w:val="20"/>
                <w:szCs w:val="20"/>
                <w:color w:val="auto"/>
              </w:rPr>
            </w:pPr>
            <w:r>
              <w:rPr>
                <w:rFonts w:ascii="Arial" w:cs="Arial" w:eastAsia="Arial" w:hAnsi="Arial"/>
                <w:sz w:val="12"/>
                <w:szCs w:val="12"/>
                <w:color w:val="auto"/>
              </w:rPr>
              <w:t>12,489</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22,914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192,919</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Accumulated deficit</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(75,078)</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(75,205)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(70,249)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(70,249)</w:t>
            </w:r>
          </w:p>
        </w:tc>
        <w:tc>
          <w:tcPr>
            <w:tcW w:w="0" w:type="dxa"/>
            <w:vAlign w:val="bottom"/>
          </w:tcPr>
          <w:p>
            <w:pPr>
              <w:spacing w:after="0"/>
              <w:rPr>
                <w:sz w:val="1"/>
                <w:szCs w:val="1"/>
                <w:color w:val="auto"/>
              </w:rPr>
            </w:pPr>
          </w:p>
        </w:tc>
      </w:tr>
      <w:tr>
        <w:trPr>
          <w:trHeight w:val="20"/>
        </w:trPr>
        <w:tc>
          <w:tcPr>
            <w:tcW w:w="56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680" w:type="dxa"/>
            <w:vAlign w:val="bottom"/>
            <w:gridSpan w:val="2"/>
          </w:tcPr>
          <w:p>
            <w:pPr>
              <w:ind w:left="480"/>
              <w:spacing w:after="0"/>
              <w:rPr>
                <w:sz w:val="20"/>
                <w:szCs w:val="20"/>
                <w:color w:val="auto"/>
              </w:rPr>
            </w:pPr>
            <w:r>
              <w:rPr>
                <w:rFonts w:ascii="Arial" w:cs="Arial" w:eastAsia="Arial" w:hAnsi="Arial"/>
                <w:sz w:val="12"/>
                <w:szCs w:val="12"/>
                <w:color w:val="auto"/>
              </w:rPr>
              <w:t>Total Upstart Holdings, Inc. stockholders’ (deficit) equity</w:t>
            </w: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(66,671)</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(62,714)</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(47,333)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122,676</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360" w:type="dxa"/>
            <w:vAlign w:val="bottom"/>
            <w:shd w:val="clear" w:color="auto" w:fill="CCEEFF"/>
          </w:tcPr>
          <w:p>
            <w:pPr>
              <w:ind w:left="240"/>
              <w:spacing w:after="0" w:line="136" w:lineRule="exact"/>
              <w:rPr>
                <w:sz w:val="20"/>
                <w:szCs w:val="20"/>
                <w:color w:val="auto"/>
              </w:rPr>
            </w:pPr>
            <w:r>
              <w:rPr>
                <w:rFonts w:ascii="Arial" w:cs="Arial" w:eastAsia="Arial" w:hAnsi="Arial"/>
                <w:sz w:val="12"/>
                <w:szCs w:val="12"/>
                <w:color w:val="auto"/>
              </w:rPr>
              <w:t>Noncontrolling interests</w:t>
            </w:r>
          </w:p>
        </w:tc>
        <w:tc>
          <w:tcPr>
            <w:tcW w:w="3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12,001</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1,026</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360" w:type="dxa"/>
            <w:vAlign w:val="bottom"/>
          </w:tcPr>
          <w:p>
            <w:pPr>
              <w:ind w:left="480"/>
              <w:spacing w:after="0"/>
              <w:rPr>
                <w:sz w:val="20"/>
                <w:szCs w:val="20"/>
                <w:color w:val="auto"/>
              </w:rPr>
            </w:pPr>
            <w:r>
              <w:rPr>
                <w:rFonts w:ascii="Arial" w:cs="Arial" w:eastAsia="Arial" w:hAnsi="Arial"/>
                <w:sz w:val="12"/>
                <w:szCs w:val="12"/>
                <w:color w:val="auto"/>
              </w:rPr>
              <w:t>Total stockholders’ (deficit) equity</w:t>
            </w:r>
          </w:p>
        </w:tc>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(54,670)</w:t>
            </w:r>
          </w:p>
        </w:tc>
        <w:tc>
          <w:tcPr>
            <w:tcW w:w="6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(61,688)</w:t>
            </w:r>
          </w:p>
        </w:tc>
        <w:tc>
          <w:tcPr>
            <w:tcW w:w="80" w:type="dxa"/>
            <w:vAlign w:val="bottom"/>
          </w:tcPr>
          <w:p>
            <w:pPr>
              <w:spacing w:after="0"/>
              <w:rPr>
                <w:sz w:val="11"/>
                <w:szCs w:val="1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(47,333)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122,676</w:t>
            </w:r>
          </w:p>
        </w:tc>
        <w:tc>
          <w:tcPr>
            <w:tcW w:w="0" w:type="dxa"/>
            <w:vAlign w:val="bottom"/>
          </w:tcPr>
          <w:p>
            <w:pPr>
              <w:spacing w:after="0"/>
              <w:rPr>
                <w:sz w:val="1"/>
                <w:szCs w:val="1"/>
                <w:color w:val="auto"/>
              </w:rPr>
            </w:pPr>
          </w:p>
        </w:tc>
      </w:tr>
      <w:tr>
        <w:trPr>
          <w:trHeight w:val="23"/>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680" w:type="dxa"/>
            <w:vAlign w:val="bottom"/>
            <w:gridSpan w:val="2"/>
            <w:shd w:val="clear" w:color="auto" w:fill="CCEEFF"/>
          </w:tcPr>
          <w:p>
            <w:pPr>
              <w:ind w:left="480"/>
              <w:spacing w:after="0" w:line="136" w:lineRule="exact"/>
              <w:rPr>
                <w:sz w:val="20"/>
                <w:szCs w:val="20"/>
                <w:color w:val="auto"/>
              </w:rPr>
            </w:pPr>
            <w:r>
              <w:rPr>
                <w:rFonts w:ascii="Arial" w:cs="Arial" w:eastAsia="Arial" w:hAnsi="Arial"/>
                <w:sz w:val="12"/>
                <w:szCs w:val="12"/>
                <w:color w:val="auto"/>
              </w:rPr>
              <w:t>Total liabilities, convertible preferred stock, and stockholders’ (deficit) equity</w:t>
            </w: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u w:val="single" w:color="auto"/>
                <w:color w:val="auto"/>
                <w:w w:val="89"/>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645,908</w:t>
            </w: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393,462</w:t>
            </w: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89"/>
              </w:rPr>
              <w:t>$</w:t>
            </w:r>
          </w:p>
        </w:tc>
        <w:tc>
          <w:tcPr>
            <w:tcW w:w="9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2"/>
                <w:szCs w:val="12"/>
                <w:color w:val="auto"/>
              </w:rPr>
              <w:t>309,804</w:t>
            </w:r>
          </w:p>
        </w:tc>
        <w:tc>
          <w:tcPr>
            <w:tcW w:w="1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2"/>
                <w:szCs w:val="12"/>
                <w:color w:val="auto"/>
              </w:rPr>
              <w:t>309,810</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0220"/>
          </w:cols>
          <w:pgMar w:left="320" w:top="407" w:right="1359" w:bottom="1440" w:gutter="0" w:footer="0" w:header="0"/>
        </w:sectPr>
      </w:pPr>
    </w:p>
    <w:bookmarkStart w:id="238" w:name="page239"/>
    <w:bookmarkEnd w:id="23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Balance Sheets</w:t>
      </w:r>
    </w:p>
    <w:p>
      <w:pPr>
        <w:spacing w:after="0" w:line="177"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210185</wp:posOffset>
            </wp:positionV>
            <wp:extent cx="643890" cy="698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355" w:lineRule="exact"/>
        <w:rPr>
          <w:sz w:val="20"/>
          <w:szCs w:val="20"/>
          <w:color w:val="auto"/>
        </w:rPr>
      </w:pPr>
    </w:p>
    <w:p>
      <w:pPr>
        <w:ind w:left="1480" w:right="20" w:hanging="453"/>
        <w:spacing w:after="0" w:line="238" w:lineRule="auto"/>
        <w:tabs>
          <w:tab w:leader="none" w:pos="148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The following table presents information on assets and liabilities related to variable interest entities (“VIEs”) that are consolidated by Upstart Holdings, Inc. as of December 31, 2018 and 2019, and September 30, 2020.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183" w:lineRule="exact"/>
        <w:rPr>
          <w:sz w:val="20"/>
          <w:szCs w:val="20"/>
          <w:color w:val="auto"/>
        </w:rPr>
      </w:pPr>
    </w:p>
    <w:tbl>
      <w:tblPr>
        <w:tblLayout w:type="fixed"/>
        <w:tblInd w:w="1480" w:type="dxa"/>
        <w:tblCellMar>
          <w:top w:w="0" w:type="dxa"/>
          <w:left w:w="0" w:type="dxa"/>
          <w:bottom w:w="0" w:type="dxa"/>
          <w:right w:w="0" w:type="dxa"/>
        </w:tblCellMar>
      </w:tblPr>
      <w:tr>
        <w:trPr>
          <w:trHeight w:val="145"/>
        </w:trPr>
        <w:tc>
          <w:tcPr>
            <w:tcW w:w="5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right"/>
              <w:ind w:right="580"/>
              <w:spacing w:after="0"/>
              <w:rPr>
                <w:sz w:val="20"/>
                <w:szCs w:val="20"/>
                <w:color w:val="auto"/>
              </w:rPr>
            </w:pPr>
            <w:r>
              <w:rPr>
                <w:rFonts w:ascii="Arial" w:cs="Arial" w:eastAsia="Arial" w:hAnsi="Arial"/>
                <w:sz w:val="12"/>
                <w:szCs w:val="12"/>
                <w:b w:val="1"/>
                <w:bCs w:val="1"/>
                <w:color w:val="auto"/>
              </w:rPr>
              <w:t>December 31,</w:t>
            </w:r>
          </w:p>
        </w:tc>
        <w:tc>
          <w:tcPr>
            <w:tcW w:w="22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9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top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60"/>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2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2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Restricted cash</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32,225</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13,839</w:t>
            </w: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16,017</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Loans (at fair value)</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w w:val="96"/>
              </w:rPr>
              <w:t>501,959</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w w:val="96"/>
              </w:rPr>
              <w:t>231,109</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121,761</w:t>
            </w:r>
          </w:p>
        </w:tc>
        <w:tc>
          <w:tcPr>
            <w:tcW w:w="4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Notes receivable and residual certificates (at fair value)</w:t>
            </w: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8,291</w:t>
            </w:r>
          </w:p>
        </w:tc>
        <w:tc>
          <w:tcPr>
            <w:tcW w:w="5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30,266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19,820</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assets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2,854</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453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25</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5940" w:type="dxa"/>
            <w:vAlign w:val="bottom"/>
          </w:tcPr>
          <w:p>
            <w:pPr>
              <w:ind w:left="240"/>
              <w:spacing w:after="0"/>
              <w:rPr>
                <w:sz w:val="20"/>
                <w:szCs w:val="20"/>
                <w:color w:val="auto"/>
              </w:rPr>
            </w:pPr>
            <w:r>
              <w:rPr>
                <w:rFonts w:ascii="Arial" w:cs="Arial" w:eastAsia="Arial" w:hAnsi="Arial"/>
                <w:sz w:val="12"/>
                <w:szCs w:val="12"/>
                <w:color w:val="auto"/>
              </w:rPr>
              <w:t>Total assets</w:t>
            </w:r>
          </w:p>
        </w:tc>
        <w:tc>
          <w:tcPr>
            <w:tcW w:w="80" w:type="dxa"/>
            <w:vAlign w:val="bottom"/>
          </w:tcPr>
          <w:p>
            <w:pPr>
              <w:jc w:val="right"/>
              <w:spacing w:after="0"/>
              <w:rPr>
                <w:sz w:val="20"/>
                <w:szCs w:val="20"/>
                <w:color w:val="auto"/>
              </w:rPr>
            </w:pPr>
            <w:r>
              <w:rPr>
                <w:rFonts w:ascii="Arial" w:cs="Arial" w:eastAsia="Arial" w:hAnsi="Arial"/>
                <w:sz w:val="12"/>
                <w:szCs w:val="12"/>
                <w:u w:val="single" w:color="auto"/>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545,329</w:t>
            </w: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275,667</w:t>
            </w:r>
          </w:p>
        </w:tc>
        <w:tc>
          <w:tcPr>
            <w:tcW w:w="300" w:type="dxa"/>
            <w:vAlign w:val="bottom"/>
            <w:gridSpan w:val="2"/>
          </w:tcPr>
          <w:p>
            <w:pPr>
              <w:ind w:left="2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157,623</w:t>
            </w: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
        </w:trPr>
        <w:tc>
          <w:tcPr>
            <w:tcW w:w="59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b w:val="1"/>
                <w:bCs w:val="1"/>
                <w:color w:val="auto"/>
              </w:rPr>
              <w:t>Liabilities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Accounts payable</w:t>
            </w:r>
          </w:p>
        </w:tc>
        <w:tc>
          <w:tcPr>
            <w:tcW w:w="8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12</w:t>
            </w: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60</w:t>
            </w:r>
          </w:p>
        </w:tc>
        <w:tc>
          <w:tcPr>
            <w:tcW w:w="300" w:type="dxa"/>
            <w:vAlign w:val="bottom"/>
            <w:gridSpan w:val="2"/>
          </w:tcPr>
          <w:p>
            <w:pPr>
              <w:ind w:left="220"/>
              <w:spacing w:after="0" w:line="136" w:lineRule="exact"/>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130</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Payable to investors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4,382</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5940" w:type="dxa"/>
            <w:vAlign w:val="bottom"/>
          </w:tcPr>
          <w:p>
            <w:pPr>
              <w:spacing w:after="0" w:line="136" w:lineRule="exact"/>
              <w:rPr>
                <w:sz w:val="20"/>
                <w:szCs w:val="20"/>
                <w:color w:val="auto"/>
              </w:rPr>
            </w:pPr>
            <w:r>
              <w:rPr>
                <w:rFonts w:ascii="Arial" w:cs="Arial" w:eastAsia="Arial" w:hAnsi="Arial"/>
                <w:sz w:val="12"/>
                <w:szCs w:val="12"/>
                <w:color w:val="auto"/>
              </w:rPr>
              <w:t>Notes payable (at fair value)</w:t>
            </w:r>
          </w:p>
        </w:tc>
        <w:tc>
          <w:tcPr>
            <w:tcW w:w="80" w:type="dxa"/>
            <w:vAlign w:val="bottom"/>
          </w:tcPr>
          <w:p>
            <w:pPr>
              <w:spacing w:after="0"/>
              <w:rPr>
                <w:sz w:val="11"/>
                <w:szCs w:val="11"/>
                <w:color w:val="auto"/>
              </w:rPr>
            </w:pPr>
          </w:p>
        </w:tc>
        <w:tc>
          <w:tcPr>
            <w:tcW w:w="440" w:type="dxa"/>
            <w:vAlign w:val="bottom"/>
          </w:tcPr>
          <w:p>
            <w:pPr>
              <w:jc w:val="right"/>
              <w:spacing w:after="0" w:line="136" w:lineRule="exact"/>
              <w:rPr>
                <w:sz w:val="20"/>
                <w:szCs w:val="20"/>
                <w:color w:val="auto"/>
              </w:rPr>
            </w:pPr>
            <w:r>
              <w:rPr>
                <w:rFonts w:ascii="Arial" w:cs="Arial" w:eastAsia="Arial" w:hAnsi="Arial"/>
                <w:sz w:val="12"/>
                <w:szCs w:val="12"/>
                <w:color w:val="auto"/>
              </w:rPr>
              <w:t>53,174</w:t>
            </w:r>
          </w:p>
        </w:tc>
        <w:tc>
          <w:tcPr>
            <w:tcW w:w="520" w:type="dxa"/>
            <w:vAlign w:val="bottom"/>
          </w:tcPr>
          <w:p>
            <w:pPr>
              <w:spacing w:after="0"/>
              <w:rPr>
                <w:sz w:val="11"/>
                <w:szCs w:val="11"/>
                <w:color w:val="auto"/>
              </w:rPr>
            </w:pPr>
          </w:p>
        </w:tc>
        <w:tc>
          <w:tcPr>
            <w:tcW w:w="68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Borrowings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53,968</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96,037</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79,611</w:t>
            </w:r>
          </w:p>
        </w:tc>
      </w:tr>
      <w:tr>
        <w:trPr>
          <w:trHeight w:val="139"/>
        </w:trPr>
        <w:tc>
          <w:tcPr>
            <w:tcW w:w="5940" w:type="dxa"/>
            <w:vAlign w:val="bottom"/>
          </w:tcPr>
          <w:p>
            <w:pPr>
              <w:spacing w:after="0"/>
              <w:rPr>
                <w:sz w:val="20"/>
                <w:szCs w:val="20"/>
                <w:color w:val="auto"/>
              </w:rPr>
            </w:pPr>
            <w:r>
              <w:rPr>
                <w:rFonts w:ascii="Arial" w:cs="Arial" w:eastAsia="Arial" w:hAnsi="Arial"/>
                <w:sz w:val="12"/>
                <w:szCs w:val="12"/>
                <w:color w:val="auto"/>
              </w:rPr>
              <w:t>Payable to securitization note holders and residual certificate holders (includes $353,292 and $89,672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5940" w:type="dxa"/>
            <w:vAlign w:val="bottom"/>
          </w:tcPr>
          <w:p>
            <w:pPr>
              <w:ind w:left="120"/>
              <w:spacing w:after="0" w:line="136" w:lineRule="exact"/>
              <w:rPr>
                <w:sz w:val="20"/>
                <w:szCs w:val="20"/>
                <w:color w:val="auto"/>
              </w:rPr>
            </w:pPr>
            <w:r>
              <w:rPr>
                <w:rFonts w:ascii="Arial" w:cs="Arial" w:eastAsia="Arial" w:hAnsi="Arial"/>
                <w:sz w:val="12"/>
                <w:szCs w:val="12"/>
                <w:color w:val="auto"/>
              </w:rPr>
              <w:t>at fair value, and $61,439 and $41,343 to related parties as of December 31, 2018 and 2019,</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1"/>
        </w:trPr>
        <w:tc>
          <w:tcPr>
            <w:tcW w:w="5940" w:type="dxa"/>
            <w:vAlign w:val="bottom"/>
          </w:tcPr>
          <w:p>
            <w:pPr>
              <w:ind w:left="120"/>
              <w:spacing w:after="0" w:line="132" w:lineRule="exact"/>
              <w:rPr>
                <w:sz w:val="20"/>
                <w:szCs w:val="20"/>
                <w:color w:val="auto"/>
              </w:rPr>
            </w:pPr>
            <w:r>
              <w:rPr>
                <w:rFonts w:ascii="Arial" w:cs="Arial" w:eastAsia="Arial" w:hAnsi="Arial"/>
                <w:sz w:val="12"/>
                <w:szCs w:val="12"/>
                <w:color w:val="auto"/>
              </w:rPr>
              <w:t>respectively)</w:t>
            </w:r>
          </w:p>
        </w:tc>
        <w:tc>
          <w:tcPr>
            <w:tcW w:w="80" w:type="dxa"/>
            <w:vAlign w:val="bottom"/>
          </w:tcPr>
          <w:p>
            <w:pPr>
              <w:spacing w:after="0"/>
              <w:rPr>
                <w:sz w:val="11"/>
                <w:szCs w:val="11"/>
                <w:color w:val="auto"/>
              </w:rPr>
            </w:pPr>
          </w:p>
        </w:tc>
        <w:tc>
          <w:tcPr>
            <w:tcW w:w="440" w:type="dxa"/>
            <w:vAlign w:val="bottom"/>
          </w:tcPr>
          <w:p>
            <w:pPr>
              <w:jc w:val="right"/>
              <w:spacing w:after="0" w:line="132" w:lineRule="exact"/>
              <w:rPr>
                <w:sz w:val="20"/>
                <w:szCs w:val="20"/>
                <w:color w:val="auto"/>
              </w:rPr>
            </w:pPr>
            <w:r>
              <w:rPr>
                <w:rFonts w:ascii="Arial" w:cs="Arial" w:eastAsia="Arial" w:hAnsi="Arial"/>
                <w:sz w:val="12"/>
                <w:szCs w:val="12"/>
                <w:color w:val="auto"/>
                <w:w w:val="96"/>
              </w:rPr>
              <w:t>373,068</w:t>
            </w:r>
          </w:p>
        </w:tc>
        <w:tc>
          <w:tcPr>
            <w:tcW w:w="520" w:type="dxa"/>
            <w:vAlign w:val="bottom"/>
          </w:tcPr>
          <w:p>
            <w:pPr>
              <w:spacing w:after="0"/>
              <w:rPr>
                <w:sz w:val="11"/>
                <w:szCs w:val="11"/>
                <w:color w:val="auto"/>
              </w:rPr>
            </w:pPr>
          </w:p>
        </w:tc>
        <w:tc>
          <w:tcPr>
            <w:tcW w:w="680" w:type="dxa"/>
            <w:vAlign w:val="bottom"/>
            <w:gridSpan w:val="2"/>
          </w:tcPr>
          <w:p>
            <w:pPr>
              <w:jc w:val="right"/>
              <w:ind w:right="240"/>
              <w:spacing w:after="0" w:line="132" w:lineRule="exact"/>
              <w:rPr>
                <w:sz w:val="20"/>
                <w:szCs w:val="20"/>
                <w:color w:val="auto"/>
              </w:rPr>
            </w:pPr>
            <w:r>
              <w:rPr>
                <w:rFonts w:ascii="Arial" w:cs="Arial" w:eastAsia="Arial" w:hAnsi="Arial"/>
                <w:sz w:val="12"/>
                <w:szCs w:val="12"/>
                <w:color w:val="auto"/>
              </w:rPr>
              <w:t>96,107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r>
      <w:tr>
        <w:trPr>
          <w:trHeight w:val="135"/>
        </w:trPr>
        <w:tc>
          <w:tcPr>
            <w:tcW w:w="59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Other liabilities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1,611</w:t>
            </w:r>
          </w:p>
        </w:tc>
        <w:tc>
          <w:tcPr>
            <w:tcW w:w="520" w:type="dxa"/>
            <w:vAlign w:val="bottom"/>
            <w:tcBorders>
              <w:right w:val="single" w:sz="8" w:color="CCEEFF"/>
            </w:tcBorders>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1,103</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2"/>
                <w:szCs w:val="12"/>
                <w:color w:val="auto"/>
              </w:rPr>
              <w:t>33</w:t>
            </w:r>
          </w:p>
        </w:tc>
      </w:tr>
      <w:tr>
        <w:trPr>
          <w:trHeight w:val="20"/>
        </w:trPr>
        <w:tc>
          <w:tcPr>
            <w:tcW w:w="5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8"/>
        </w:trPr>
        <w:tc>
          <w:tcPr>
            <w:tcW w:w="5940" w:type="dxa"/>
            <w:vAlign w:val="bottom"/>
          </w:tcPr>
          <w:p>
            <w:pPr>
              <w:ind w:left="240"/>
              <w:spacing w:after="0"/>
              <w:rPr>
                <w:sz w:val="20"/>
                <w:szCs w:val="20"/>
                <w:color w:val="auto"/>
              </w:rPr>
            </w:pPr>
            <w:r>
              <w:rPr>
                <w:rFonts w:ascii="Arial" w:cs="Arial" w:eastAsia="Arial" w:hAnsi="Arial"/>
                <w:sz w:val="12"/>
                <w:szCs w:val="12"/>
                <w:color w:val="auto"/>
              </w:rPr>
              <w:t>Total liabilities</w:t>
            </w:r>
          </w:p>
        </w:tc>
        <w:tc>
          <w:tcPr>
            <w:tcW w:w="80" w:type="dxa"/>
            <w:vAlign w:val="bottom"/>
          </w:tcPr>
          <w:p>
            <w:pPr>
              <w:jc w:val="right"/>
              <w:spacing w:after="0"/>
              <w:rPr>
                <w:sz w:val="20"/>
                <w:szCs w:val="20"/>
                <w:color w:val="auto"/>
              </w:rPr>
            </w:pPr>
            <w:r>
              <w:rPr>
                <w:rFonts w:ascii="Arial" w:cs="Arial" w:eastAsia="Arial" w:hAnsi="Arial"/>
                <w:sz w:val="12"/>
                <w:szCs w:val="12"/>
                <w:u w:val="single" w:color="auto"/>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486,215</w:t>
            </w:r>
          </w:p>
        </w:tc>
        <w:tc>
          <w:tcPr>
            <w:tcW w:w="52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w w:val="96"/>
              </w:rPr>
              <w:t>193,307</w:t>
            </w:r>
          </w:p>
        </w:tc>
        <w:tc>
          <w:tcPr>
            <w:tcW w:w="300" w:type="dxa"/>
            <w:vAlign w:val="bottom"/>
            <w:gridSpan w:val="2"/>
          </w:tcPr>
          <w:p>
            <w:pPr>
              <w:ind w:left="2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jc w:val="right"/>
              <w:ind w:right="40"/>
              <w:spacing w:after="0"/>
              <w:rPr>
                <w:sz w:val="20"/>
                <w:szCs w:val="20"/>
                <w:color w:val="auto"/>
              </w:rPr>
            </w:pPr>
            <w:r>
              <w:rPr>
                <w:rFonts w:ascii="Arial" w:cs="Arial" w:eastAsia="Arial" w:hAnsi="Arial"/>
                <w:sz w:val="12"/>
                <w:szCs w:val="12"/>
                <w:color w:val="auto"/>
              </w:rPr>
              <w:t>79,774</w:t>
            </w:r>
          </w:p>
        </w:tc>
      </w:tr>
      <w:tr>
        <w:trPr>
          <w:trHeight w:val="20"/>
        </w:trPr>
        <w:tc>
          <w:tcPr>
            <w:tcW w:w="5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0220"/>
          </w:cols>
          <w:pgMar w:left="320" w:top="407" w:right="1359" w:bottom="1440" w:gutter="0" w:footer="0" w:header="0"/>
        </w:sectPr>
      </w:pPr>
    </w:p>
    <w:bookmarkStart w:id="239" w:name="page240"/>
    <w:bookmarkEnd w:id="23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54"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Operations and Comprehensive Income (Loss)</w:t>
      </w:r>
    </w:p>
    <w:p>
      <w:pPr>
        <w:spacing w:after="0" w:line="143"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8"/>
          </w:tcPr>
          <w:p>
            <w:pPr>
              <w:jc w:val="right"/>
              <w:ind w:right="20"/>
              <w:spacing w:after="0"/>
              <w:rPr>
                <w:sz w:val="20"/>
                <w:szCs w:val="20"/>
                <w:color w:val="auto"/>
              </w:rPr>
            </w:pPr>
            <w:r>
              <w:rPr>
                <w:rFonts w:ascii="Arial" w:cs="Arial" w:eastAsia="Arial" w:hAnsi="Arial"/>
                <w:sz w:val="12"/>
                <w:szCs w:val="12"/>
                <w:b w:val="1"/>
                <w:bCs w:val="1"/>
                <w:color w:val="auto"/>
              </w:rPr>
              <w:t>Year Ended December 31,</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6"/>
          </w:tcPr>
          <w:p>
            <w:pPr>
              <w:jc w:val="right"/>
              <w:ind w:right="5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7"/>
              <w:spacing w:after="0" w:line="126" w:lineRule="exact"/>
              <w:rPr>
                <w:sz w:val="20"/>
                <w:szCs w:val="20"/>
                <w:color w:val="auto"/>
              </w:rPr>
            </w:pPr>
            <w:r>
              <w:rPr>
                <w:rFonts w:ascii="Arial" w:cs="Arial" w:eastAsia="Arial" w:hAnsi="Arial"/>
                <w:sz w:val="12"/>
                <w:szCs w:val="12"/>
                <w:b w:val="1"/>
                <w:bCs w:val="1"/>
                <w:color w:val="auto"/>
              </w:rPr>
              <w:t>2017</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76"/>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6"/>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7"/>
              <w:spacing w:after="0" w:line="126" w:lineRule="exact"/>
              <w:rPr>
                <w:sz w:val="20"/>
                <w:szCs w:val="20"/>
                <w:color w:val="auto"/>
              </w:rPr>
            </w:pPr>
            <w:r>
              <w:rPr>
                <w:rFonts w:ascii="Arial" w:cs="Arial" w:eastAsia="Arial" w:hAnsi="Arial"/>
                <w:sz w:val="12"/>
                <w:szCs w:val="12"/>
                <w:b w:val="1"/>
                <w:bCs w:val="1"/>
                <w:color w:val="auto"/>
              </w:rPr>
              <w:t>2019</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56"/>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Revenue:</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60"/>
              <w:spacing w:after="0" w:line="136" w:lineRule="exact"/>
              <w:rPr>
                <w:sz w:val="20"/>
                <w:szCs w:val="20"/>
                <w:color w:val="auto"/>
              </w:rPr>
            </w:pPr>
            <w:r>
              <w:rPr>
                <w:rFonts w:ascii="Arial" w:cs="Arial" w:eastAsia="Arial" w:hAnsi="Arial"/>
                <w:sz w:val="13"/>
                <w:szCs w:val="13"/>
                <w:color w:val="auto"/>
              </w:rPr>
              <w:t>Revenue from fees, net</w:t>
            </w: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51,161</w:t>
            </w:r>
          </w:p>
        </w:tc>
        <w:tc>
          <w:tcPr>
            <w:tcW w:w="220" w:type="dxa"/>
            <w:vAlign w:val="bottom"/>
            <w:gridSpan w:val="2"/>
          </w:tcPr>
          <w:p>
            <w:pPr>
              <w:jc w:val="right"/>
              <w:ind w:right="20"/>
              <w:spacing w:after="0" w:line="136"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88,482</w:t>
            </w:r>
          </w:p>
        </w:tc>
        <w:tc>
          <w:tcPr>
            <w:tcW w:w="2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159,847</w:t>
            </w:r>
          </w:p>
        </w:tc>
        <w:tc>
          <w:tcPr>
            <w:tcW w:w="80" w:type="dxa"/>
            <w:vAlign w:val="bottom"/>
          </w:tcPr>
          <w:p>
            <w:pPr>
              <w:jc w:val="right"/>
              <w:spacing w:after="0" w:line="136"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98,699</w:t>
            </w:r>
          </w:p>
        </w:tc>
        <w:tc>
          <w:tcPr>
            <w:tcW w:w="22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144,179</w:t>
            </w:r>
          </w:p>
        </w:tc>
        <w:tc>
          <w:tcPr>
            <w:tcW w:w="0" w:type="dxa"/>
            <w:vAlign w:val="bottom"/>
          </w:tcPr>
          <w:p>
            <w:pPr>
              <w:spacing w:after="0"/>
              <w:rPr>
                <w:sz w:val="1"/>
                <w:szCs w:val="1"/>
                <w:color w:val="auto"/>
              </w:rPr>
            </w:pPr>
          </w:p>
        </w:tc>
      </w:tr>
      <w:tr>
        <w:trPr>
          <w:trHeight w:val="132"/>
        </w:trPr>
        <w:tc>
          <w:tcPr>
            <w:tcW w:w="4280" w:type="dxa"/>
            <w:vAlign w:val="bottom"/>
            <w:shd w:val="clear" w:color="auto" w:fill="CCEEFF"/>
          </w:tcPr>
          <w:p>
            <w:pPr>
              <w:ind w:left="260"/>
              <w:spacing w:after="0" w:line="133" w:lineRule="exact"/>
              <w:rPr>
                <w:sz w:val="20"/>
                <w:szCs w:val="20"/>
                <w:color w:val="auto"/>
              </w:rPr>
            </w:pPr>
            <w:r>
              <w:rPr>
                <w:rFonts w:ascii="Arial" w:cs="Arial" w:eastAsia="Arial" w:hAnsi="Arial"/>
                <w:sz w:val="13"/>
                <w:szCs w:val="13"/>
                <w:color w:val="auto"/>
              </w:rPr>
              <w:t>Interest income and fair value adjustments, net (includes $573,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$2,452, $2,963, $2,260, and $1,014 of related parties expense</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and $0, ($4,031), $7,400, $5,597 and $4,238 of related parties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fair value adjustments for the years ended December 31, 2017,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380"/>
              <w:spacing w:after="0" w:line="136" w:lineRule="exact"/>
              <w:rPr>
                <w:sz w:val="20"/>
                <w:szCs w:val="20"/>
                <w:color w:val="auto"/>
              </w:rPr>
            </w:pPr>
            <w:r>
              <w:rPr>
                <w:rFonts w:ascii="Arial" w:cs="Arial" w:eastAsia="Arial" w:hAnsi="Arial"/>
                <w:sz w:val="13"/>
                <w:szCs w:val="13"/>
                <w:color w:val="auto"/>
              </w:rPr>
              <w:t>2018 and 2019, and nine months ended September 30, 2019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380"/>
              <w:spacing w:after="0" w:line="138" w:lineRule="exact"/>
              <w:rPr>
                <w:sz w:val="20"/>
                <w:szCs w:val="20"/>
                <w:color w:val="auto"/>
              </w:rPr>
            </w:pPr>
            <w:r>
              <w:rPr>
                <w:rFonts w:ascii="Arial" w:cs="Arial" w:eastAsia="Arial" w:hAnsi="Arial"/>
                <w:sz w:val="13"/>
                <w:szCs w:val="13"/>
                <w:color w:val="auto"/>
              </w:rPr>
              <w:t>(unaudited), and 2020 (unaudited), respectively)</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6,128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10,831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4,342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2,918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2,527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280" w:type="dxa"/>
            <w:vAlign w:val="bottom"/>
          </w:tcPr>
          <w:p>
            <w:pPr>
              <w:ind w:left="520"/>
              <w:spacing w:after="0" w:line="138" w:lineRule="exact"/>
              <w:rPr>
                <w:sz w:val="20"/>
                <w:szCs w:val="20"/>
                <w:color w:val="auto"/>
              </w:rPr>
            </w:pPr>
            <w:r>
              <w:rPr>
                <w:rFonts w:ascii="Arial" w:cs="Arial" w:eastAsia="Arial" w:hAnsi="Arial"/>
                <w:sz w:val="13"/>
                <w:szCs w:val="13"/>
                <w:color w:val="auto"/>
              </w:rPr>
              <w:t>Total revenue</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57,289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99,313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164,189</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101,617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146,706</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Operating expenses:</w:t>
            </w: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60"/>
              <w:spacing w:after="0" w:line="136"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33,838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63,633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93,175</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61,236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65,113</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60"/>
              <w:spacing w:after="0" w:line="136" w:lineRule="exact"/>
              <w:rPr>
                <w:sz w:val="20"/>
                <w:szCs w:val="20"/>
                <w:color w:val="auto"/>
              </w:rPr>
            </w:pPr>
            <w:r>
              <w:rPr>
                <w:rFonts w:ascii="Arial" w:cs="Arial" w:eastAsia="Arial" w:hAnsi="Arial"/>
                <w:sz w:val="13"/>
                <w:szCs w:val="13"/>
                <w:color w:val="auto"/>
              </w:rPr>
              <w:t>Customer operations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10,232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15,416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24,947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16,593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24,792</w:t>
            </w:r>
          </w:p>
        </w:tc>
        <w:tc>
          <w:tcPr>
            <w:tcW w:w="0" w:type="dxa"/>
            <w:vAlign w:val="bottom"/>
          </w:tcPr>
          <w:p>
            <w:pPr>
              <w:spacing w:after="0"/>
              <w:rPr>
                <w:sz w:val="1"/>
                <w:szCs w:val="1"/>
                <w:color w:val="auto"/>
              </w:rPr>
            </w:pPr>
          </w:p>
        </w:tc>
      </w:tr>
      <w:tr>
        <w:trPr>
          <w:trHeight w:val="135"/>
        </w:trPr>
        <w:tc>
          <w:tcPr>
            <w:tcW w:w="4280" w:type="dxa"/>
            <w:vAlign w:val="bottom"/>
          </w:tcPr>
          <w:p>
            <w:pPr>
              <w:ind w:left="260"/>
              <w:spacing w:after="0" w:line="136" w:lineRule="exact"/>
              <w:rPr>
                <w:sz w:val="20"/>
                <w:szCs w:val="20"/>
                <w:color w:val="auto"/>
              </w:rPr>
            </w:pPr>
            <w:r>
              <w:rPr>
                <w:rFonts w:ascii="Arial" w:cs="Arial" w:eastAsia="Arial" w:hAnsi="Arial"/>
                <w:sz w:val="13"/>
                <w:szCs w:val="13"/>
                <w:color w:val="auto"/>
              </w:rPr>
              <w:t>Engineering and product development</w:t>
            </w:r>
          </w:p>
        </w:tc>
        <w:tc>
          <w:tcPr>
            <w:tcW w:w="80" w:type="dxa"/>
            <w:vAlign w:val="bottom"/>
          </w:tcPr>
          <w:p>
            <w:pPr>
              <w:spacing w:after="0"/>
              <w:rPr>
                <w:sz w:val="11"/>
                <w:szCs w:val="11"/>
                <w:color w:val="auto"/>
              </w:rPr>
            </w:pPr>
          </w:p>
        </w:tc>
        <w:tc>
          <w:tcPr>
            <w:tcW w:w="640" w:type="dxa"/>
            <w:vAlign w:val="bottom"/>
          </w:tcPr>
          <w:p>
            <w:pPr>
              <w:jc w:val="right"/>
              <w:spacing w:after="0" w:line="136" w:lineRule="exact"/>
              <w:rPr>
                <w:sz w:val="20"/>
                <w:szCs w:val="20"/>
                <w:color w:val="auto"/>
              </w:rPr>
            </w:pPr>
            <w:r>
              <w:rPr>
                <w:rFonts w:ascii="Arial" w:cs="Arial" w:eastAsia="Arial" w:hAnsi="Arial"/>
                <w:sz w:val="13"/>
                <w:szCs w:val="13"/>
                <w:color w:val="auto"/>
              </w:rPr>
              <w:t>5,324</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8,415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18,777</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11,480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24,651</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60"/>
              <w:spacing w:after="0" w:line="136" w:lineRule="exact"/>
              <w:rPr>
                <w:sz w:val="20"/>
                <w:szCs w:val="20"/>
                <w:color w:val="auto"/>
              </w:rPr>
            </w:pPr>
            <w:r>
              <w:rPr>
                <w:rFonts w:ascii="Arial" w:cs="Arial" w:eastAsia="Arial" w:hAnsi="Arial"/>
                <w:sz w:val="13"/>
                <w:szCs w:val="13"/>
                <w:color w:val="auto"/>
              </w:rPr>
              <w:t>General, administrative, and other</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15,431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19,820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31,865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20,399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30,778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80" w:type="dxa"/>
            <w:vAlign w:val="bottom"/>
          </w:tcPr>
          <w:p>
            <w:pPr>
              <w:ind w:left="520"/>
              <w:spacing w:after="0" w:line="138" w:lineRule="exact"/>
              <w:rPr>
                <w:sz w:val="20"/>
                <w:szCs w:val="20"/>
                <w:color w:val="auto"/>
              </w:rPr>
            </w:pPr>
            <w:r>
              <w:rPr>
                <w:rFonts w:ascii="Arial" w:cs="Arial" w:eastAsia="Arial" w:hAnsi="Arial"/>
                <w:sz w:val="13"/>
                <w:szCs w:val="13"/>
                <w:color w:val="auto"/>
              </w:rPr>
              <w:t>Total operating expenses</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64,825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107,284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rPr>
              <w:t>168,764</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rPr>
              <w:t>109,708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145,334</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(Loss) income from operations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(7,536)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(7,971)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(4,575)</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(8,091)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1,372</w:t>
            </w:r>
          </w:p>
        </w:tc>
        <w:tc>
          <w:tcPr>
            <w:tcW w:w="0" w:type="dxa"/>
            <w:vAlign w:val="bottom"/>
          </w:tcPr>
          <w:p>
            <w:pPr>
              <w:spacing w:after="0"/>
              <w:rPr>
                <w:sz w:val="1"/>
                <w:szCs w:val="1"/>
                <w:color w:val="auto"/>
              </w:rPr>
            </w:pPr>
          </w:p>
        </w:tc>
      </w:tr>
      <w:tr>
        <w:trPr>
          <w:trHeight w:val="135"/>
        </w:trPr>
        <w:tc>
          <w:tcPr>
            <w:tcW w:w="4280" w:type="dxa"/>
            <w:vAlign w:val="bottom"/>
          </w:tcPr>
          <w:p>
            <w:pPr>
              <w:spacing w:after="0" w:line="136" w:lineRule="exact"/>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330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60"/>
              <w:spacing w:after="0" w:line="136" w:lineRule="exact"/>
              <w:rPr>
                <w:sz w:val="20"/>
                <w:szCs w:val="20"/>
                <w:color w:val="auto"/>
              </w:rPr>
            </w:pPr>
            <w:r>
              <w:rPr>
                <w:rFonts w:ascii="Arial" w:cs="Arial" w:eastAsia="Arial" w:hAnsi="Arial"/>
                <w:sz w:val="13"/>
                <w:szCs w:val="13"/>
                <w:color w:val="auto"/>
              </w:rPr>
              <w:t>487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300"/>
              <w:spacing w:after="0" w:line="136" w:lineRule="exact"/>
              <w:rPr>
                <w:sz w:val="20"/>
                <w:szCs w:val="20"/>
                <w:color w:val="auto"/>
              </w:rPr>
            </w:pPr>
            <w:r>
              <w:rPr>
                <w:rFonts w:ascii="Arial" w:cs="Arial" w:eastAsia="Arial" w:hAnsi="Arial"/>
                <w:sz w:val="13"/>
                <w:szCs w:val="13"/>
                <w:color w:val="auto"/>
              </w:rPr>
              <w:t>1,036</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6" w:lineRule="exact"/>
              <w:rPr>
                <w:sz w:val="20"/>
                <w:szCs w:val="20"/>
                <w:color w:val="auto"/>
              </w:rPr>
            </w:pPr>
            <w:r>
              <w:rPr>
                <w:rFonts w:ascii="Arial" w:cs="Arial" w:eastAsia="Arial" w:hAnsi="Arial"/>
                <w:sz w:val="13"/>
                <w:szCs w:val="13"/>
                <w:color w:val="auto"/>
              </w:rPr>
              <w:t>832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6" w:lineRule="exact"/>
              <w:rPr>
                <w:sz w:val="20"/>
                <w:szCs w:val="20"/>
                <w:color w:val="auto"/>
              </w:rPr>
            </w:pPr>
            <w:r>
              <w:rPr>
                <w:rFonts w:ascii="Arial" w:cs="Arial" w:eastAsia="Arial" w:hAnsi="Arial"/>
                <w:sz w:val="13"/>
                <w:szCs w:val="13"/>
                <w:color w:val="auto"/>
              </w:rPr>
              <w:t>5,497</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Expense on warrants and convertible notes, net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(1,649)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(3,734)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(1,407)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(2,626)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(2,317)</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3"/>
                <w:szCs w:val="13"/>
                <w:color w:val="auto"/>
              </w:rPr>
              <w:t>Net (loss) income before income taxes</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(8,855)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(11,218)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(4,946)</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4,552</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Provision for income taxes</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6"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280" w:type="dxa"/>
            <w:vAlign w:val="bottom"/>
          </w:tcPr>
          <w:p>
            <w:pPr>
              <w:spacing w:after="0" w:line="138" w:lineRule="exact"/>
              <w:rPr>
                <w:sz w:val="20"/>
                <w:szCs w:val="20"/>
                <w:color w:val="auto"/>
              </w:rPr>
            </w:pPr>
            <w:r>
              <w:rPr>
                <w:rFonts w:ascii="Arial" w:cs="Arial" w:eastAsia="Arial" w:hAnsi="Arial"/>
                <w:sz w:val="13"/>
                <w:szCs w:val="13"/>
                <w:color w:val="auto"/>
              </w:rPr>
              <w:t>Net (loss) income before attribution to noncontrolling interests</w:t>
            </w: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(8,861)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(11,218)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(5,020)</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(9,885)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4,552</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Net (loss) income attributable to noncontrolling interests</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(1,144)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1,101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6" w:lineRule="exact"/>
              <w:rPr>
                <w:sz w:val="20"/>
                <w:szCs w:val="20"/>
                <w:color w:val="auto"/>
              </w:rPr>
            </w:pPr>
            <w:r>
              <w:rPr>
                <w:rFonts w:ascii="Arial" w:cs="Arial" w:eastAsia="Arial" w:hAnsi="Arial"/>
                <w:sz w:val="13"/>
                <w:szCs w:val="13"/>
                <w:color w:val="auto"/>
              </w:rPr>
              <w:t>(4,554)</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(3,368)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6" w:lineRule="exact"/>
              <w:rPr>
                <w:sz w:val="20"/>
                <w:szCs w:val="20"/>
                <w:color w:val="auto"/>
              </w:rPr>
            </w:pPr>
            <w:r>
              <w:rPr>
                <w:rFonts w:ascii="Arial" w:cs="Arial" w:eastAsia="Arial" w:hAnsi="Arial"/>
                <w:sz w:val="13"/>
                <w:szCs w:val="13"/>
                <w:color w:val="auto"/>
              </w:rPr>
              <w:t>(404)</w:t>
            </w:r>
          </w:p>
        </w:tc>
        <w:tc>
          <w:tcPr>
            <w:tcW w:w="0" w:type="dxa"/>
            <w:vAlign w:val="bottom"/>
          </w:tcPr>
          <w:p>
            <w:pPr>
              <w:spacing w:after="0"/>
              <w:rPr>
                <w:sz w:val="1"/>
                <w:szCs w:val="1"/>
                <w:color w:val="auto"/>
              </w:rPr>
            </w:pP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(loss) income attributable to Upstart Holdings, Inc. common</w:t>
            </w: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tcPr>
          <w:p>
            <w:pPr>
              <w:ind w:left="140"/>
              <w:spacing w:after="0" w:line="138" w:lineRule="exact"/>
              <w:rPr>
                <w:sz w:val="20"/>
                <w:szCs w:val="20"/>
                <w:color w:val="auto"/>
              </w:rPr>
            </w:pPr>
            <w:r>
              <w:rPr>
                <w:rFonts w:ascii="Arial" w:cs="Arial" w:eastAsia="Arial" w:hAnsi="Arial"/>
                <w:sz w:val="13"/>
                <w:szCs w:val="13"/>
                <w:color w:val="auto"/>
              </w:rPr>
              <w:t>stockholders</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(7,717)</w:t>
            </w:r>
          </w:p>
        </w:tc>
        <w:tc>
          <w:tcPr>
            <w:tcW w:w="220" w:type="dxa"/>
            <w:vAlign w:val="bottom"/>
            <w:gridSpan w:val="2"/>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(12,319)</w:t>
            </w:r>
          </w:p>
        </w:tc>
        <w:tc>
          <w:tcPr>
            <w:tcW w:w="2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(466)</w:t>
            </w:r>
          </w:p>
        </w:tc>
        <w:tc>
          <w:tcPr>
            <w:tcW w:w="80" w:type="dxa"/>
            <w:vAlign w:val="bottom"/>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40"/>
              <w:spacing w:after="0" w:line="138" w:lineRule="exact"/>
              <w:rPr>
                <w:sz w:val="20"/>
                <w:szCs w:val="20"/>
                <w:color w:val="auto"/>
              </w:rPr>
            </w:pPr>
            <w:r>
              <w:rPr>
                <w:rFonts w:ascii="Arial" w:cs="Arial" w:eastAsia="Arial" w:hAnsi="Arial"/>
                <w:sz w:val="13"/>
                <w:szCs w:val="13"/>
                <w:color w:val="auto"/>
              </w:rPr>
              <w:t>(6,517)</w:t>
            </w:r>
          </w:p>
        </w:tc>
        <w:tc>
          <w:tcPr>
            <w:tcW w:w="22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4,956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Net (loss) income per common share attributable to Upstart Holdings,</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Inc. stockholders, basic and diluted</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(0.56)</w:t>
            </w:r>
          </w:p>
        </w:tc>
        <w:tc>
          <w:tcPr>
            <w:tcW w:w="22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(0.87)</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(0.03)</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(0.46)</w:t>
            </w: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outstanding used in computing net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40"/>
              <w:spacing w:after="0" w:line="136" w:lineRule="exact"/>
              <w:rPr>
                <w:sz w:val="20"/>
                <w:szCs w:val="20"/>
                <w:color w:val="auto"/>
              </w:rPr>
            </w:pPr>
            <w:r>
              <w:rPr>
                <w:rFonts w:ascii="Arial" w:cs="Arial" w:eastAsia="Arial" w:hAnsi="Arial"/>
                <w:sz w:val="13"/>
                <w:szCs w:val="13"/>
                <w:color w:val="auto"/>
              </w:rPr>
              <w:t>loss per share attributable to Upstart Holdings, Inc.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tcPr>
          <w:p>
            <w:pPr>
              <w:ind w:left="140"/>
              <w:spacing w:after="0" w:line="138" w:lineRule="exact"/>
              <w:rPr>
                <w:sz w:val="20"/>
                <w:szCs w:val="20"/>
                <w:color w:val="auto"/>
              </w:rPr>
            </w:pPr>
            <w:r>
              <w:rPr>
                <w:rFonts w:ascii="Arial" w:cs="Arial" w:eastAsia="Arial" w:hAnsi="Arial"/>
                <w:sz w:val="13"/>
                <w:szCs w:val="13"/>
                <w:color w:val="auto"/>
              </w:rPr>
              <w:t>stockholders, basic and diluted</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w w:val="95"/>
              </w:rPr>
              <w:t>13,873,810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w w:val="95"/>
              </w:rPr>
              <w:t>14,128,183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w w:val="95"/>
              </w:rPr>
              <w:t>14,335,611</w:t>
            </w:r>
          </w:p>
        </w:tc>
        <w:tc>
          <w:tcPr>
            <w:tcW w:w="80" w:type="dxa"/>
            <w:vAlign w:val="bottom"/>
          </w:tcPr>
          <w:p>
            <w:pPr>
              <w:spacing w:after="0"/>
              <w:rPr>
                <w:sz w:val="12"/>
                <w:szCs w:val="12"/>
                <w:color w:val="auto"/>
              </w:rPr>
            </w:pPr>
          </w:p>
        </w:tc>
        <w:tc>
          <w:tcPr>
            <w:tcW w:w="820" w:type="dxa"/>
            <w:vAlign w:val="bottom"/>
            <w:gridSpan w:val="2"/>
          </w:tcPr>
          <w:p>
            <w:pPr>
              <w:jc w:val="right"/>
              <w:ind w:right="180"/>
              <w:spacing w:after="0" w:line="138" w:lineRule="exact"/>
              <w:rPr>
                <w:sz w:val="20"/>
                <w:szCs w:val="20"/>
                <w:color w:val="auto"/>
              </w:rPr>
            </w:pPr>
            <w:r>
              <w:rPr>
                <w:rFonts w:ascii="Arial" w:cs="Arial" w:eastAsia="Arial" w:hAnsi="Arial"/>
                <w:sz w:val="13"/>
                <w:szCs w:val="13"/>
                <w:color w:val="auto"/>
                <w:w w:val="95"/>
              </w:rPr>
              <w:t>14,313,262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14,663,623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 attributable to Upstart Holdings, Inc.</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basic (unaudited)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0.06</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3"/>
                <w:szCs w:val="13"/>
                <w:color w:val="auto"/>
              </w:rPr>
              <w:t>Weighted-average number of shares used to compute pro forma net</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40"/>
              <w:spacing w:after="0" w:line="136" w:lineRule="exact"/>
              <w:rPr>
                <w:sz w:val="20"/>
                <w:szCs w:val="20"/>
                <w:color w:val="auto"/>
              </w:rPr>
            </w:pPr>
            <w:r>
              <w:rPr>
                <w:rFonts w:ascii="Arial" w:cs="Arial" w:eastAsia="Arial" w:hAnsi="Arial"/>
                <w:sz w:val="13"/>
                <w:szCs w:val="13"/>
                <w:color w:val="auto"/>
              </w:rPr>
              <w:t>income per share attributable to Upstart Holdings, Inc.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280" w:type="dxa"/>
            <w:vAlign w:val="bottom"/>
          </w:tcPr>
          <w:p>
            <w:pPr>
              <w:ind w:left="140"/>
              <w:spacing w:after="0" w:line="138" w:lineRule="exact"/>
              <w:rPr>
                <w:sz w:val="20"/>
                <w:szCs w:val="20"/>
                <w:color w:val="auto"/>
              </w:rPr>
            </w:pPr>
            <w:r>
              <w:rPr>
                <w:rFonts w:ascii="Arial" w:cs="Arial" w:eastAsia="Arial" w:hAnsi="Arial"/>
                <w:sz w:val="13"/>
                <w:szCs w:val="13"/>
                <w:color w:val="auto"/>
              </w:rPr>
              <w:t>stockholders, basic (unaudited)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3"/>
                <w:szCs w:val="13"/>
                <w:color w:val="auto"/>
                <w:w w:val="95"/>
              </w:rPr>
              <w:t>62,249,893</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w w:val="95"/>
              </w:rPr>
              <w:t>62,613,408</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28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Pro forma net income per share attributable to Upstart Holdings Inc.</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4280" w:type="dxa"/>
            <w:vAlign w:val="bottom"/>
            <w:shd w:val="clear" w:color="auto" w:fill="CCEEFF"/>
          </w:tcPr>
          <w:p>
            <w:pPr>
              <w:ind w:left="140"/>
              <w:spacing w:after="0" w:line="138" w:lineRule="exact"/>
              <w:rPr>
                <w:sz w:val="20"/>
                <w:szCs w:val="20"/>
                <w:color w:val="auto"/>
              </w:rPr>
            </w:pPr>
            <w:r>
              <w:rPr>
                <w:rFonts w:ascii="Arial" w:cs="Arial" w:eastAsia="Arial" w:hAnsi="Arial"/>
                <w:sz w:val="13"/>
                <w:szCs w:val="13"/>
                <w:color w:val="auto"/>
              </w:rPr>
              <w:t>common stockholders, diluted (unaudited)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3"/>
                <w:szCs w:val="13"/>
                <w:color w:val="auto"/>
              </w:rPr>
              <w:t>0.05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0.09</w:t>
            </w:r>
          </w:p>
        </w:tc>
        <w:tc>
          <w:tcPr>
            <w:tcW w:w="0" w:type="dxa"/>
            <w:vAlign w:val="bottom"/>
          </w:tcPr>
          <w:p>
            <w:pPr>
              <w:spacing w:after="0"/>
              <w:rPr>
                <w:sz w:val="1"/>
                <w:szCs w:val="1"/>
                <w:color w:val="auto"/>
              </w:rPr>
            </w:pPr>
          </w:p>
        </w:tc>
      </w:tr>
      <w:tr>
        <w:trPr>
          <w:trHeight w:val="132"/>
        </w:trPr>
        <w:tc>
          <w:tcPr>
            <w:tcW w:w="4280" w:type="dxa"/>
            <w:vAlign w:val="bottom"/>
          </w:tcPr>
          <w:p>
            <w:pPr>
              <w:spacing w:after="0" w:line="133" w:lineRule="exact"/>
              <w:rPr>
                <w:sz w:val="20"/>
                <w:szCs w:val="20"/>
                <w:color w:val="auto"/>
              </w:rPr>
            </w:pPr>
            <w:r>
              <w:rPr>
                <w:rFonts w:ascii="Arial" w:cs="Arial" w:eastAsia="Arial" w:hAnsi="Arial"/>
                <w:sz w:val="13"/>
                <w:szCs w:val="13"/>
                <w:color w:val="auto"/>
              </w:rPr>
              <w:t>Weighted-average number of shares used to compute pro forma net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40"/>
              <w:spacing w:after="0" w:line="136" w:lineRule="exact"/>
              <w:rPr>
                <w:sz w:val="20"/>
                <w:szCs w:val="20"/>
                <w:color w:val="auto"/>
              </w:rPr>
            </w:pPr>
            <w:r>
              <w:rPr>
                <w:rFonts w:ascii="Arial" w:cs="Arial" w:eastAsia="Arial" w:hAnsi="Arial"/>
                <w:sz w:val="13"/>
                <w:szCs w:val="13"/>
                <w:color w:val="auto"/>
              </w:rPr>
              <w:t>income per share attributable to Upstart Holdings Inc. common</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280" w:type="dxa"/>
            <w:vAlign w:val="bottom"/>
          </w:tcPr>
          <w:p>
            <w:pPr>
              <w:ind w:left="140"/>
              <w:spacing w:after="0"/>
              <w:rPr>
                <w:sz w:val="20"/>
                <w:szCs w:val="20"/>
                <w:color w:val="auto"/>
              </w:rPr>
            </w:pPr>
            <w:r>
              <w:rPr>
                <w:rFonts w:ascii="Arial" w:cs="Arial" w:eastAsia="Arial" w:hAnsi="Arial"/>
                <w:sz w:val="13"/>
                <w:szCs w:val="13"/>
                <w:color w:val="auto"/>
              </w:rPr>
              <w:t>stockholders, diluted (unaudited)</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w w:val="95"/>
              </w:rPr>
              <w:t>71,497,924</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w w:val="95"/>
              </w:rPr>
              <w:t>71,733,580</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0220"/>
          </w:cols>
          <w:pgMar w:left="320" w:top="407" w:right="1359" w:bottom="1440" w:gutter="0" w:footer="0" w:header="0"/>
        </w:sectPr>
      </w:pPr>
    </w:p>
    <w:bookmarkStart w:id="240" w:name="page241"/>
    <w:bookmarkEnd w:id="24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(In thousands, except share amounts)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220" w:type="dxa"/>
            <w:vAlign w:val="bottom"/>
          </w:tcPr>
          <w:p>
            <w:pPr>
              <w:spacing w:after="0"/>
              <w:rPr>
                <w:sz w:val="10"/>
                <w:szCs w:val="10"/>
                <w:color w:val="auto"/>
              </w:rPr>
            </w:pPr>
          </w:p>
        </w:tc>
        <w:tc>
          <w:tcPr>
            <w:tcW w:w="1540" w:type="dxa"/>
            <w:vAlign w:val="bottom"/>
            <w:tcBorders>
              <w:right w:val="single" w:sz="8" w:color="auto"/>
            </w:tcBorders>
            <w:gridSpan w:val="6"/>
            <w:vMerge w:val="restart"/>
          </w:tcPr>
          <w:p>
            <w:pPr>
              <w:jc w:val="right"/>
              <w:ind w:right="540"/>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7"/>
              </w:rPr>
              <w:t>Total Upstart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220" w:type="dxa"/>
            <w:vAlign w:val="bottom"/>
          </w:tcPr>
          <w:p>
            <w:pPr>
              <w:spacing w:after="0"/>
              <w:rPr>
                <w:sz w:val="4"/>
                <w:szCs w:val="4"/>
                <w:color w:val="auto"/>
              </w:rPr>
            </w:pPr>
          </w:p>
        </w:tc>
        <w:tc>
          <w:tcPr>
            <w:tcW w:w="1540" w:type="dxa"/>
            <w:vAlign w:val="bottom"/>
            <w:tcBorders>
              <w:right w:val="single" w:sz="8" w:color="auto"/>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restart"/>
          </w:tcPr>
          <w:p>
            <w:pPr>
              <w:ind w:left="20"/>
              <w:spacing w:after="0" w:line="113"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rPr>
              <w:t>Holdings, Inc.</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right"/>
              <w:ind w:right="320"/>
              <w:spacing w:after="0" w:line="113"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6"/>
        </w:trPr>
        <w:tc>
          <w:tcPr>
            <w:tcW w:w="2220" w:type="dxa"/>
            <w:vAlign w:val="bottom"/>
          </w:tcPr>
          <w:p>
            <w:pPr>
              <w:spacing w:after="0"/>
              <w:rPr>
                <w:sz w:val="4"/>
                <w:szCs w:val="4"/>
                <w:color w:val="auto"/>
              </w:rPr>
            </w:pPr>
          </w:p>
        </w:tc>
        <w:tc>
          <w:tcPr>
            <w:tcW w:w="1440" w:type="dxa"/>
            <w:vAlign w:val="bottom"/>
            <w:gridSpan w:val="5"/>
            <w:vMerge w:val="restart"/>
          </w:tcPr>
          <w:p>
            <w:pPr>
              <w:jc w:val="right"/>
              <w:ind w:right="273"/>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Borders>
              <w:right w:val="single" w:sz="8" w:color="auto"/>
            </w:tcBorders>
            <w:vMerge w:val="restart"/>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gridSpan w:val="4"/>
            <w:vMerge w:val="restart"/>
          </w:tcPr>
          <w:p>
            <w:pPr>
              <w:ind w:left="240"/>
              <w:spacing w:after="0"/>
              <w:rPr>
                <w:sz w:val="20"/>
                <w:szCs w:val="20"/>
                <w:color w:val="auto"/>
              </w:rPr>
            </w:pPr>
            <w:r>
              <w:rPr>
                <w:rFonts w:ascii="Arial" w:cs="Arial" w:eastAsia="Arial" w:hAnsi="Arial"/>
                <w:sz w:val="11"/>
                <w:szCs w:val="11"/>
                <w:b w:val="1"/>
                <w:bCs w:val="1"/>
                <w:color w:val="auto"/>
                <w:w w:val="99"/>
              </w:rPr>
              <w:t>Common Stock</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220" w:type="dxa"/>
            <w:vAlign w:val="bottom"/>
          </w:tcPr>
          <w:p>
            <w:pPr>
              <w:spacing w:after="0"/>
              <w:rPr>
                <w:sz w:val="8"/>
                <w:szCs w:val="8"/>
                <w:color w:val="auto"/>
              </w:rPr>
            </w:pPr>
          </w:p>
        </w:tc>
        <w:tc>
          <w:tcPr>
            <w:tcW w:w="1440" w:type="dxa"/>
            <w:vAlign w:val="bottom"/>
            <w:tcBorders>
              <w:bottom w:val="single" w:sz="8" w:color="auto"/>
            </w:tcBorders>
            <w:gridSpan w:val="5"/>
            <w:vMerge w:val="continue"/>
          </w:tcPr>
          <w:p>
            <w:pPr>
              <w:spacing w:after="0"/>
              <w:rPr>
                <w:sz w:val="8"/>
                <w:szCs w:val="8"/>
                <w:color w:val="auto"/>
              </w:rPr>
            </w:pPr>
          </w:p>
        </w:tc>
        <w:tc>
          <w:tcPr>
            <w:tcW w:w="10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00"/>
              <w:spacing w:after="0" w:line="93" w:lineRule="exact"/>
              <w:rPr>
                <w:sz w:val="20"/>
                <w:szCs w:val="20"/>
                <w:color w:val="auto"/>
              </w:rPr>
            </w:pPr>
            <w:r>
              <w:rPr>
                <w:rFonts w:ascii="Arial" w:cs="Arial" w:eastAsia="Arial" w:hAnsi="Arial"/>
                <w:sz w:val="9"/>
                <w:szCs w:val="9"/>
                <w:b w:val="1"/>
                <w:bCs w:val="1"/>
                <w:color w:val="auto"/>
              </w:rPr>
              <w:t>Paid-in</w:t>
            </w:r>
          </w:p>
        </w:tc>
        <w:tc>
          <w:tcPr>
            <w:tcW w:w="7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80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60" w:type="dxa"/>
            <w:vAlign w:val="bottom"/>
          </w:tcPr>
          <w:p>
            <w:pPr>
              <w:spacing w:after="0"/>
              <w:rPr>
                <w:sz w:val="8"/>
                <w:szCs w:val="8"/>
                <w:color w:val="auto"/>
              </w:rPr>
            </w:pPr>
          </w:p>
        </w:tc>
        <w:tc>
          <w:tcPr>
            <w:tcW w:w="8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Noncontrolling</w:t>
            </w:r>
          </w:p>
        </w:tc>
        <w:tc>
          <w:tcPr>
            <w:tcW w:w="60" w:type="dxa"/>
            <w:vAlign w:val="bottom"/>
          </w:tcPr>
          <w:p>
            <w:pPr>
              <w:spacing w:after="0"/>
              <w:rPr>
                <w:sz w:val="8"/>
                <w:szCs w:val="8"/>
                <w:color w:val="auto"/>
              </w:rPr>
            </w:pPr>
          </w:p>
        </w:tc>
        <w:tc>
          <w:tcPr>
            <w:tcW w:w="78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30"/>
        </w:trPr>
        <w:tc>
          <w:tcPr>
            <w:tcW w:w="22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Interests</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as of December 31, 2016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35,137,187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87,756</w:t>
            </w: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12,480,195</w:t>
            </w:r>
          </w:p>
        </w:tc>
        <w:tc>
          <w:tcPr>
            <w:tcW w:w="26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4,564</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(55,042)</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(50,477)</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(50,477)</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Series C-1 convertible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preferred stock</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307,825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1,112</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common stock</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warrants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272,010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142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1,290</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1,290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1,290</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Contributions of interests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16,689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16,689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(2,238)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(2,238)</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(7,717)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(7,717)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(1,144)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(8,861)</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as of December 31, 2017</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35,445,012</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88,868</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12,752,205</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6,038</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(62,759)</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(56,720)</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13,307</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(43,413)</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Series C-1 convertible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upon conversion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of convertible promissory notes</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5,871,382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21,210</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Series D convertible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costs of $2,255</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5,566,483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47,845</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239,065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323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323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323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2,045</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2,045</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2,045</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Contributions of interests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9,166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9,166</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(11,573)</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(11,573)</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 income</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(12,319)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(12,319)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1,101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(11,218)</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December 31, 2018</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46,882,877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157,923</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12,991,270</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8,406</w:t>
            </w: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(75,078)</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(66,671)</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12,001</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(54,670)</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Series D convertible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costs of $8</w:t>
            </w:r>
          </w:p>
        </w:tc>
        <w:tc>
          <w:tcPr>
            <w:tcW w:w="720" w:type="dxa"/>
            <w:vAlign w:val="bottom"/>
          </w:tcPr>
          <w:p>
            <w:pPr>
              <w:jc w:val="right"/>
              <w:spacing w:after="0" w:line="156" w:lineRule="exact"/>
              <w:rPr>
                <w:sz w:val="20"/>
                <w:szCs w:val="20"/>
                <w:color w:val="auto"/>
              </w:rPr>
            </w:pPr>
            <w:r>
              <w:rPr>
                <w:rFonts w:ascii="Arial" w:cs="Arial" w:eastAsia="Arial" w:hAnsi="Arial"/>
                <w:sz w:val="14"/>
                <w:szCs w:val="14"/>
                <w:color w:val="auto"/>
              </w:rPr>
              <w:t>444,428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3,992</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Series B convertible</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upon exercise of</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convertible preferred stock</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warrants</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300,103</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Repurchase and retirement of</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tcPr>
          <w:p>
            <w:pPr>
              <w:ind w:left="140"/>
              <w:spacing w:after="0" w:line="158" w:lineRule="exact"/>
              <w:rPr>
                <w:sz w:val="20"/>
                <w:szCs w:val="20"/>
                <w:color w:val="auto"/>
              </w:rPr>
            </w:pPr>
            <w:r>
              <w:rPr>
                <w:rFonts w:ascii="Arial" w:cs="Arial" w:eastAsia="Arial" w:hAnsi="Arial"/>
                <w:sz w:val="14"/>
                <w:szCs w:val="14"/>
                <w:color w:val="auto"/>
              </w:rPr>
              <w:t>Series C convertible preferred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(277,831)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60"/>
              <w:spacing w:after="0" w:line="156" w:lineRule="exact"/>
              <w:rPr>
                <w:sz w:val="20"/>
                <w:szCs w:val="20"/>
                <w:color w:val="auto"/>
              </w:rPr>
            </w:pPr>
            <w:r>
              <w:rPr>
                <w:rFonts w:ascii="Arial" w:cs="Arial" w:eastAsia="Arial" w:hAnsi="Arial"/>
                <w:sz w:val="14"/>
                <w:szCs w:val="14"/>
                <w:color w:val="auto"/>
              </w:rPr>
              <w:t>(1,000)</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339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339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339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99"/>
              </w:rPr>
              <w:t>Exercise of common stock warrants</w:t>
            </w: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1,297,884</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exercise of stock options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272,244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277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278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278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expense</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3,806</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3,806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3,806</w:t>
            </w:r>
          </w:p>
        </w:tc>
        <w:tc>
          <w:tcPr>
            <w:tcW w:w="0" w:type="dxa"/>
            <w:vAlign w:val="bottom"/>
          </w:tcPr>
          <w:p>
            <w:pPr>
              <w:spacing w:after="0"/>
              <w:rPr>
                <w:sz w:val="1"/>
                <w:szCs w:val="1"/>
                <w:color w:val="auto"/>
              </w:rPr>
            </w:pPr>
          </w:p>
        </w:tc>
      </w:tr>
      <w:tr>
        <w:trPr>
          <w:trHeight w:val="159"/>
        </w:trPr>
        <w:tc>
          <w:tcPr>
            <w:tcW w:w="2220" w:type="dxa"/>
            <w:vAlign w:val="bottom"/>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6" w:lineRule="exact"/>
              <w:rPr>
                <w:sz w:val="20"/>
                <w:szCs w:val="20"/>
                <w:color w:val="auto"/>
              </w:rPr>
            </w:pPr>
            <w:r>
              <w:rPr>
                <w:rFonts w:ascii="Arial" w:cs="Arial" w:eastAsia="Arial" w:hAnsi="Arial"/>
                <w:sz w:val="14"/>
                <w:szCs w:val="14"/>
                <w:color w:val="auto"/>
              </w:rPr>
              <w:t>(4,960)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(4,960)</w:t>
            </w:r>
          </w:p>
        </w:tc>
        <w:tc>
          <w:tcPr>
            <w:tcW w:w="0" w:type="dxa"/>
            <w:vAlign w:val="bottom"/>
          </w:tcPr>
          <w:p>
            <w:pPr>
              <w:spacing w:after="0"/>
              <w:rPr>
                <w:sz w:val="1"/>
                <w:szCs w:val="1"/>
                <w:color w:val="auto"/>
              </w:rPr>
            </w:pPr>
          </w:p>
        </w:tc>
      </w:tr>
      <w:tr>
        <w:trPr>
          <w:trHeight w:val="159"/>
        </w:trPr>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Deconsolidation of interests in</w:t>
            </w: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w:t>
            </w:r>
          </w:p>
        </w:tc>
        <w:tc>
          <w:tcPr>
            <w:tcW w:w="8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(1,461)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(1,461)</w:t>
            </w:r>
          </w:p>
        </w:tc>
        <w:tc>
          <w:tcPr>
            <w:tcW w:w="0" w:type="dxa"/>
            <w:vAlign w:val="bottom"/>
          </w:tcPr>
          <w:p>
            <w:pPr>
              <w:spacing w:after="0"/>
              <w:rPr>
                <w:sz w:val="1"/>
                <w:szCs w:val="1"/>
                <w:color w:val="auto"/>
              </w:rPr>
            </w:pPr>
          </w:p>
        </w:tc>
      </w:tr>
      <w:tr>
        <w:trPr>
          <w:trHeight w:val="158"/>
        </w:trPr>
        <w:tc>
          <w:tcPr>
            <w:tcW w:w="2220" w:type="dxa"/>
            <w:vAlign w:val="bottom"/>
          </w:tcPr>
          <w:p>
            <w:pPr>
              <w:spacing w:after="0" w:line="158" w:lineRule="exact"/>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right w:val="single" w:sz="8" w:color="auto"/>
            </w:tcBorders>
            <w:gridSpan w:val="2"/>
          </w:tcPr>
          <w:p>
            <w:pPr>
              <w:jc w:val="right"/>
              <w:ind w:right="10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(466)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(4,554)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(5,020)</w:t>
            </w:r>
          </w:p>
        </w:tc>
        <w:tc>
          <w:tcPr>
            <w:tcW w:w="0" w:type="dxa"/>
            <w:vAlign w:val="bottom"/>
          </w:tcPr>
          <w:p>
            <w:pPr>
              <w:spacing w:after="0"/>
              <w:rPr>
                <w:sz w:val="1"/>
                <w:szCs w:val="1"/>
                <w:color w:val="auto"/>
              </w:rPr>
            </w:pPr>
          </w:p>
        </w:tc>
      </w:tr>
      <w:tr>
        <w:trPr>
          <w:trHeight w:val="23"/>
        </w:trPr>
        <w:tc>
          <w:tcPr>
            <w:tcW w:w="2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2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 as of December 31, 2019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47,349,577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162,546</w:t>
            </w: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14,561,398</w:t>
            </w:r>
          </w:p>
        </w:tc>
        <w:tc>
          <w:tcPr>
            <w:tcW w:w="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7"/>
              </w:rPr>
              <w:t>12,489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(75,205)</w:t>
            </w:r>
          </w:p>
        </w:tc>
        <w:tc>
          <w:tcPr>
            <w:tcW w:w="20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(62,714)</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1,026</w:t>
            </w:r>
          </w:p>
        </w:tc>
        <w:tc>
          <w:tcPr>
            <w:tcW w:w="180" w:type="dxa"/>
            <w:vAlign w:val="bottom"/>
            <w:gridSpan w:val="2"/>
            <w:shd w:val="clear" w:color="auto" w:fill="CCEEFF"/>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0220"/>
          </w:cols>
          <w:pgMar w:left="320" w:top="407" w:right="1359" w:bottom="1440" w:gutter="0" w:footer="0" w:header="0"/>
        </w:sectPr>
      </w:pPr>
    </w:p>
    <w:bookmarkStart w:id="241" w:name="page242"/>
    <w:bookmarkEnd w:id="24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Convertible Preferred Stock and Stockholders’ Deficit—(Continued)</w:t>
      </w:r>
    </w:p>
    <w:p>
      <w:pPr>
        <w:spacing w:after="0" w:line="177"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(In thousands, except share amounts)</w:t>
      </w:r>
    </w:p>
    <w:p>
      <w:pPr>
        <w:spacing w:after="0" w:line="390"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480" w:type="dxa"/>
            <w:vAlign w:val="bottom"/>
            <w:tcBorders>
              <w:right w:val="single" w:sz="8" w:color="auto"/>
            </w:tcBorders>
            <w:gridSpan w:val="3"/>
            <w:vMerge w:val="restart"/>
          </w:tcPr>
          <w:p>
            <w:pPr>
              <w:jc w:val="right"/>
              <w:ind w:right="414"/>
              <w:spacing w:after="0"/>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7"/>
              </w:rPr>
              <w:t>Total Upstart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280" w:type="dxa"/>
            <w:vAlign w:val="bottom"/>
          </w:tcPr>
          <w:p>
            <w:pPr>
              <w:spacing w:after="0"/>
              <w:rPr>
                <w:sz w:val="4"/>
                <w:szCs w:val="4"/>
                <w:color w:val="auto"/>
              </w:rPr>
            </w:pPr>
          </w:p>
        </w:tc>
        <w:tc>
          <w:tcPr>
            <w:tcW w:w="1480" w:type="dxa"/>
            <w:vAlign w:val="bottom"/>
            <w:tcBorders>
              <w:right w:val="single" w:sz="8" w:color="auto"/>
            </w:tcBorders>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restart"/>
          </w:tcPr>
          <w:p>
            <w:pPr>
              <w:ind w:left="20"/>
              <w:spacing w:after="0" w:line="113" w:lineRule="exact"/>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restart"/>
          </w:tcPr>
          <w:p>
            <w:pPr>
              <w:spacing w:after="0" w:line="113" w:lineRule="exact"/>
              <w:rPr>
                <w:sz w:val="20"/>
                <w:szCs w:val="20"/>
                <w:color w:val="auto"/>
              </w:rPr>
            </w:pPr>
            <w:r>
              <w:rPr>
                <w:rFonts w:ascii="Arial" w:cs="Arial" w:eastAsia="Arial" w:hAnsi="Arial"/>
                <w:sz w:val="11"/>
                <w:szCs w:val="11"/>
                <w:b w:val="1"/>
                <w:bCs w:val="1"/>
                <w:color w:val="auto"/>
              </w:rPr>
              <w:t>Holdings, Inc.</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right"/>
              <w:ind w:right="320"/>
              <w:spacing w:after="0" w:line="113"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56"/>
        </w:trPr>
        <w:tc>
          <w:tcPr>
            <w:tcW w:w="2280" w:type="dxa"/>
            <w:vAlign w:val="bottom"/>
          </w:tcPr>
          <w:p>
            <w:pPr>
              <w:spacing w:after="0"/>
              <w:rPr>
                <w:sz w:val="4"/>
                <w:szCs w:val="4"/>
                <w:color w:val="auto"/>
              </w:rPr>
            </w:pPr>
          </w:p>
        </w:tc>
        <w:tc>
          <w:tcPr>
            <w:tcW w:w="1480" w:type="dxa"/>
            <w:vAlign w:val="bottom"/>
            <w:tcBorders>
              <w:right w:val="single" w:sz="8" w:color="auto"/>
            </w:tcBorders>
            <w:gridSpan w:val="3"/>
            <w:vMerge w:val="restart"/>
          </w:tcPr>
          <w:p>
            <w:pPr>
              <w:jc w:val="right"/>
              <w:ind w:right="314"/>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4"/>
                <w:szCs w:val="4"/>
                <w:color w:val="auto"/>
              </w:rPr>
            </w:pPr>
          </w:p>
        </w:tc>
        <w:tc>
          <w:tcPr>
            <w:tcW w:w="1040" w:type="dxa"/>
            <w:vAlign w:val="bottom"/>
            <w:gridSpan w:val="4"/>
            <w:vMerge w:val="restart"/>
          </w:tcPr>
          <w:p>
            <w:pPr>
              <w:ind w:left="240"/>
              <w:spacing w:after="0"/>
              <w:rPr>
                <w:sz w:val="20"/>
                <w:szCs w:val="20"/>
                <w:color w:val="auto"/>
              </w:rPr>
            </w:pPr>
            <w:r>
              <w:rPr>
                <w:rFonts w:ascii="Arial" w:cs="Arial" w:eastAsia="Arial" w:hAnsi="Arial"/>
                <w:sz w:val="11"/>
                <w:szCs w:val="11"/>
                <w:b w:val="1"/>
                <w:bCs w:val="1"/>
                <w:color w:val="auto"/>
                <w:w w:val="96"/>
              </w:rPr>
              <w:t>Common Stock</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280" w:type="dxa"/>
            <w:vAlign w:val="bottom"/>
          </w:tcPr>
          <w:p>
            <w:pPr>
              <w:spacing w:after="0"/>
              <w:rPr>
                <w:sz w:val="8"/>
                <w:szCs w:val="8"/>
                <w:color w:val="auto"/>
              </w:rPr>
            </w:pPr>
          </w:p>
        </w:tc>
        <w:tc>
          <w:tcPr>
            <w:tcW w:w="1480" w:type="dxa"/>
            <w:vAlign w:val="bottom"/>
            <w:tcBorders>
              <w:bottom w:val="single" w:sz="8" w:color="auto"/>
              <w:right w:val="single" w:sz="8" w:color="auto"/>
            </w:tcBorders>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ind w:left="20"/>
              <w:spacing w:after="0" w:line="93" w:lineRule="exact"/>
              <w:rPr>
                <w:sz w:val="20"/>
                <w:szCs w:val="20"/>
                <w:color w:val="auto"/>
              </w:rPr>
            </w:pPr>
            <w:r>
              <w:rPr>
                <w:rFonts w:ascii="Arial" w:cs="Arial" w:eastAsia="Arial" w:hAnsi="Arial"/>
                <w:sz w:val="9"/>
                <w:szCs w:val="9"/>
                <w:b w:val="1"/>
                <w:bCs w:val="1"/>
                <w:color w:val="auto"/>
              </w:rPr>
              <w:t>Paid-in</w:t>
            </w:r>
          </w:p>
        </w:tc>
        <w:tc>
          <w:tcPr>
            <w:tcW w:w="7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8"/>
                <w:szCs w:val="8"/>
                <w:color w:val="auto"/>
              </w:rPr>
            </w:pPr>
          </w:p>
        </w:tc>
        <w:tc>
          <w:tcPr>
            <w:tcW w:w="80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60" w:type="dxa"/>
            <w:vAlign w:val="bottom"/>
          </w:tcPr>
          <w:p>
            <w:pPr>
              <w:spacing w:after="0"/>
              <w:rPr>
                <w:sz w:val="8"/>
                <w:szCs w:val="8"/>
                <w:color w:val="auto"/>
              </w:rPr>
            </w:pPr>
          </w:p>
        </w:tc>
        <w:tc>
          <w:tcPr>
            <w:tcW w:w="86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Noncontrolling</w:t>
            </w:r>
          </w:p>
        </w:tc>
        <w:tc>
          <w:tcPr>
            <w:tcW w:w="60" w:type="dxa"/>
            <w:vAlign w:val="bottom"/>
          </w:tcPr>
          <w:p>
            <w:pPr>
              <w:spacing w:after="0"/>
              <w:rPr>
                <w:sz w:val="8"/>
                <w:szCs w:val="8"/>
                <w:color w:val="auto"/>
              </w:rPr>
            </w:pPr>
          </w:p>
        </w:tc>
        <w:tc>
          <w:tcPr>
            <w:tcW w:w="780" w:type="dxa"/>
            <w:vAlign w:val="bottom"/>
            <w:gridSpan w:val="3"/>
          </w:tcPr>
          <w:p>
            <w:pPr>
              <w:spacing w:after="0" w:line="93" w:lineRule="exact"/>
              <w:rPr>
                <w:sz w:val="20"/>
                <w:szCs w:val="20"/>
                <w:color w:val="auto"/>
              </w:rPr>
            </w:pPr>
            <w:r>
              <w:rPr>
                <w:rFonts w:ascii="Arial" w:cs="Arial" w:eastAsia="Arial" w:hAnsi="Arial"/>
                <w:sz w:val="9"/>
                <w:szCs w:val="9"/>
                <w:b w:val="1"/>
                <w:bCs w:val="1"/>
                <w:color w:val="auto"/>
              </w:rPr>
              <w:t>Stockholders’</w:t>
            </w:r>
          </w:p>
        </w:tc>
        <w:tc>
          <w:tcPr>
            <w:tcW w:w="0" w:type="dxa"/>
            <w:vAlign w:val="bottom"/>
          </w:tcPr>
          <w:p>
            <w:pPr>
              <w:spacing w:after="0"/>
              <w:rPr>
                <w:sz w:val="1"/>
                <w:szCs w:val="1"/>
                <w:color w:val="auto"/>
              </w:rPr>
            </w:pPr>
          </w:p>
        </w:tc>
      </w:tr>
      <w:tr>
        <w:trPr>
          <w:trHeight w:val="130"/>
        </w:trPr>
        <w:tc>
          <w:tcPr>
            <w:tcW w:w="228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660" w:type="dxa"/>
            <w:vAlign w:val="bottom"/>
            <w:tcBorders>
              <w:bottom w:val="single" w:sz="8" w:color="auto"/>
              <w:right w:val="single" w:sz="8" w:color="auto"/>
            </w:tcBorders>
          </w:tcPr>
          <w:p>
            <w:pPr>
              <w:jc w:val="right"/>
              <w:ind w:right="94"/>
              <w:spacing w:after="0"/>
              <w:rPr>
                <w:sz w:val="20"/>
                <w:szCs w:val="20"/>
                <w:color w:val="auto"/>
              </w:rPr>
            </w:pPr>
            <w:r>
              <w:rPr>
                <w:rFonts w:ascii="Arial" w:cs="Arial" w:eastAsia="Arial" w:hAnsi="Arial"/>
                <w:sz w:val="11"/>
                <w:szCs w:val="11"/>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Capital</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1"/>
                <w:szCs w:val="11"/>
                <w:b w:val="1"/>
                <w:bCs w:val="1"/>
                <w:color w:val="auto"/>
              </w:rPr>
              <w:t>Deficit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Interest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as of December 31, 2018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46,882,877</w:t>
            </w:r>
          </w:p>
        </w:tc>
        <w:tc>
          <w:tcPr>
            <w:tcW w:w="740" w:type="dxa"/>
            <w:vAlign w:val="bottom"/>
            <w:tcBorders>
              <w:right w:val="single" w:sz="8" w:color="auto"/>
            </w:tcBorders>
            <w:gridSpan w:val="2"/>
            <w:shd w:val="clear" w:color="auto" w:fill="CCEEFF"/>
          </w:tcPr>
          <w:p>
            <w:pPr>
              <w:jc w:val="right"/>
              <w:ind w:right="14"/>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157,923</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12,991,270</w:t>
            </w:r>
          </w:p>
        </w:tc>
        <w:tc>
          <w:tcPr>
            <w:tcW w:w="24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8,406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(75,078)</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(66,671)</w:t>
            </w:r>
          </w:p>
        </w:tc>
        <w:tc>
          <w:tcPr>
            <w:tcW w:w="2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(54,670)</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Issuance of Series D convertible</w:t>
            </w: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Borders>
              <w:top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40"/>
              <w:spacing w:after="0" w:line="158" w:lineRule="exact"/>
              <w:rPr>
                <w:sz w:val="20"/>
                <w:szCs w:val="20"/>
                <w:color w:val="auto"/>
              </w:rPr>
            </w:pPr>
            <w:r>
              <w:rPr>
                <w:rFonts w:ascii="Arial" w:cs="Arial" w:eastAsia="Arial" w:hAnsi="Arial"/>
                <w:sz w:val="14"/>
                <w:szCs w:val="14"/>
                <w:color w:val="auto"/>
              </w:rPr>
              <w:t>preferred stock, net of issuance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costs of $8 (unaudited)</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444,428</w:t>
            </w:r>
          </w:p>
        </w:tc>
        <w:tc>
          <w:tcPr>
            <w:tcW w:w="740" w:type="dxa"/>
            <w:vAlign w:val="bottom"/>
            <w:tcBorders>
              <w:right w:val="single" w:sz="8" w:color="auto"/>
            </w:tcBorders>
            <w:gridSpan w:val="2"/>
          </w:tcPr>
          <w:p>
            <w:pPr>
              <w:jc w:val="right"/>
              <w:ind w:right="14"/>
              <w:spacing w:after="0" w:line="156" w:lineRule="exact"/>
              <w:rPr>
                <w:sz w:val="20"/>
                <w:szCs w:val="20"/>
                <w:color w:val="auto"/>
              </w:rPr>
            </w:pPr>
            <w:r>
              <w:rPr>
                <w:rFonts w:ascii="Arial" w:cs="Arial" w:eastAsia="Arial" w:hAnsi="Arial"/>
                <w:sz w:val="14"/>
                <w:szCs w:val="14"/>
                <w:color w:val="auto"/>
              </w:rPr>
              <w:t>3,992</w:t>
            </w:r>
          </w:p>
        </w:tc>
        <w:tc>
          <w:tcPr>
            <w:tcW w:w="60" w:type="dxa"/>
            <w:vAlign w:val="bottom"/>
          </w:tcPr>
          <w:p>
            <w:pPr>
              <w:spacing w:after="0"/>
              <w:rPr>
                <w:sz w:val="13"/>
                <w:szCs w:val="13"/>
                <w:color w:val="auto"/>
              </w:rPr>
            </w:pPr>
          </w:p>
        </w:tc>
        <w:tc>
          <w:tcPr>
            <w:tcW w:w="80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Series B convertible</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preferred stock upon exercise of</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convertible preferred stock</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warrants (unaudited)</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300,103</w:t>
            </w:r>
          </w:p>
        </w:tc>
        <w:tc>
          <w:tcPr>
            <w:tcW w:w="740" w:type="dxa"/>
            <w:vAlign w:val="bottom"/>
            <w:tcBorders>
              <w:right w:val="single" w:sz="8" w:color="auto"/>
            </w:tcBorders>
            <w:gridSpan w:val="2"/>
            <w:shd w:val="clear" w:color="auto" w:fill="CCEEFF"/>
          </w:tcPr>
          <w:p>
            <w:pPr>
              <w:jc w:val="right"/>
              <w:ind w:right="14"/>
              <w:spacing w:after="0" w:line="156" w:lineRule="exact"/>
              <w:rPr>
                <w:sz w:val="20"/>
                <w:szCs w:val="20"/>
                <w:color w:val="auto"/>
              </w:rPr>
            </w:pPr>
            <w:r>
              <w:rPr>
                <w:rFonts w:ascii="Arial" w:cs="Arial" w:eastAsia="Arial" w:hAnsi="Arial"/>
                <w:sz w:val="14"/>
                <w:szCs w:val="14"/>
                <w:color w:val="auto"/>
              </w:rPr>
              <w:t>1,631</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40"/>
              <w:spacing w:after="0" w:line="158" w:lineRule="exact"/>
              <w:rPr>
                <w:sz w:val="20"/>
                <w:szCs w:val="20"/>
                <w:color w:val="auto"/>
              </w:rPr>
            </w:pPr>
            <w:r>
              <w:rPr>
                <w:rFonts w:ascii="Arial" w:cs="Arial" w:eastAsia="Arial" w:hAnsi="Arial"/>
                <w:sz w:val="14"/>
                <w:szCs w:val="14"/>
                <w:color w:val="auto"/>
              </w:rPr>
              <w:t>exercise of stock options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54,777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Exercise of common stock warrants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1,297,884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280" w:type="dxa"/>
            <w:vAlign w:val="bottom"/>
          </w:tcPr>
          <w:p>
            <w:pPr>
              <w:spacing w:after="0" w:line="159" w:lineRule="exact"/>
              <w:rPr>
                <w:sz w:val="20"/>
                <w:szCs w:val="20"/>
                <w:color w:val="auto"/>
              </w:rPr>
            </w:pPr>
            <w:r>
              <w:rPr>
                <w:rFonts w:ascii="Arial" w:cs="Arial" w:eastAsia="Arial" w:hAnsi="Arial"/>
                <w:sz w:val="14"/>
                <w:szCs w:val="14"/>
                <w:color w:val="auto"/>
              </w:rPr>
              <w:t>Stock-based compensation expense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2,204</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2,204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2,204</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to interests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 (unaudited)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(4,321)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(4,321)</w:t>
            </w:r>
          </w:p>
        </w:tc>
        <w:tc>
          <w:tcPr>
            <w:tcW w:w="0" w:type="dxa"/>
            <w:vAlign w:val="bottom"/>
          </w:tcPr>
          <w:p>
            <w:pPr>
              <w:spacing w:after="0"/>
              <w:rPr>
                <w:sz w:val="1"/>
                <w:szCs w:val="1"/>
                <w:color w:val="auto"/>
              </w:rPr>
            </w:pPr>
          </w:p>
        </w:tc>
      </w:tr>
      <w:tr>
        <w:trPr>
          <w:trHeight w:val="160"/>
        </w:trPr>
        <w:tc>
          <w:tcPr>
            <w:tcW w:w="2280" w:type="dxa"/>
            <w:vAlign w:val="bottom"/>
          </w:tcPr>
          <w:p>
            <w:pPr>
              <w:spacing w:after="0" w:line="158" w:lineRule="exact"/>
              <w:rPr>
                <w:sz w:val="20"/>
                <w:szCs w:val="20"/>
                <w:color w:val="auto"/>
              </w:rPr>
            </w:pPr>
            <w:r>
              <w:rPr>
                <w:rFonts w:ascii="Arial" w:cs="Arial" w:eastAsia="Arial" w:hAnsi="Arial"/>
                <w:sz w:val="14"/>
                <w:szCs w:val="14"/>
                <w:color w:val="auto"/>
              </w:rPr>
              <w:t>Net loss (unaudited)</w:t>
            </w:r>
          </w:p>
        </w:tc>
        <w:tc>
          <w:tcPr>
            <w:tcW w:w="740" w:type="dxa"/>
            <w:vAlign w:val="bottom"/>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8" w:lineRule="exact"/>
              <w:rPr>
                <w:sz w:val="20"/>
                <w:szCs w:val="20"/>
                <w:color w:val="auto"/>
              </w:rPr>
            </w:pPr>
            <w:r>
              <w:rPr>
                <w:rFonts w:ascii="Arial" w:cs="Arial" w:eastAsia="Arial" w:hAnsi="Arial"/>
                <w:sz w:val="14"/>
                <w:szCs w:val="14"/>
                <w:color w:val="auto"/>
              </w:rPr>
              <w:t>—  —</w:t>
            </w:r>
          </w:p>
        </w:tc>
        <w:tc>
          <w:tcPr>
            <w:tcW w:w="60" w:type="dxa"/>
            <w:vAlign w:val="bottom"/>
          </w:tcPr>
          <w:p>
            <w:pPr>
              <w:spacing w:after="0"/>
              <w:rPr>
                <w:sz w:val="13"/>
                <w:szCs w:val="13"/>
                <w:color w:val="auto"/>
              </w:rPr>
            </w:pPr>
          </w:p>
        </w:tc>
        <w:tc>
          <w:tcPr>
            <w:tcW w:w="800" w:type="dxa"/>
            <w:vAlign w:val="bottom"/>
            <w:gridSpan w:val="2"/>
          </w:tcPr>
          <w:p>
            <w:pPr>
              <w:ind w:left="5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(6,517)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(6,517)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(3,368)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(9,885)</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Balance as of September 30, 2019</w:t>
            </w: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top w:val="single" w:sz="8" w:color="auto"/>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47,627,408</w:t>
            </w:r>
          </w:p>
        </w:tc>
        <w:tc>
          <w:tcPr>
            <w:tcW w:w="740" w:type="dxa"/>
            <w:vAlign w:val="bottom"/>
            <w:tcBorders>
              <w:right w:val="single" w:sz="8" w:color="auto"/>
            </w:tcBorders>
            <w:gridSpan w:val="2"/>
            <w:shd w:val="clear" w:color="auto" w:fill="CCEEFF"/>
          </w:tcPr>
          <w:p>
            <w:pPr>
              <w:jc w:val="right"/>
              <w:ind w:right="14"/>
              <w:spacing w:after="0" w:line="156" w:lineRule="exact"/>
              <w:rPr>
                <w:sz w:val="20"/>
                <w:szCs w:val="20"/>
                <w:color w:val="auto"/>
              </w:rPr>
            </w:pPr>
            <w:r>
              <w:rPr>
                <w:rFonts w:ascii="Arial" w:cs="Arial" w:eastAsia="Arial" w:hAnsi="Arial"/>
                <w:sz w:val="14"/>
                <w:szCs w:val="14"/>
                <w:color w:val="auto"/>
              </w:rPr>
              <w:t>$163,546</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14,343,931</w:t>
            </w:r>
          </w:p>
        </w:tc>
        <w:tc>
          <w:tcPr>
            <w:tcW w:w="24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76"/>
              </w:rPr>
              <w:t>1</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7"/>
              </w:rPr>
              <w:t>10,722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(81,595)</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(70,872)</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4,312</w:t>
            </w:r>
          </w:p>
        </w:tc>
        <w:tc>
          <w:tcPr>
            <w:tcW w:w="18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(66,560)</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Arial" w:cs="Arial" w:eastAsia="Arial" w:hAnsi="Arial"/>
                <w:sz w:val="14"/>
                <w:szCs w:val="14"/>
                <w:color w:val="auto"/>
              </w:rPr>
              <w:t>Balance as of December 31, 2019</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47,349,577</w:t>
            </w:r>
          </w:p>
        </w:tc>
        <w:tc>
          <w:tcPr>
            <w:tcW w:w="740" w:type="dxa"/>
            <w:vAlign w:val="bottom"/>
            <w:tcBorders>
              <w:right w:val="single" w:sz="8" w:color="auto"/>
            </w:tcBorders>
            <w:gridSpan w:val="2"/>
          </w:tcPr>
          <w:p>
            <w:pPr>
              <w:jc w:val="right"/>
              <w:ind w:right="14"/>
              <w:spacing w:after="0" w:line="158" w:lineRule="exact"/>
              <w:rPr>
                <w:sz w:val="20"/>
                <w:szCs w:val="20"/>
                <w:color w:val="auto"/>
              </w:rPr>
            </w:pPr>
            <w:r>
              <w:rPr>
                <w:rFonts w:ascii="Arial" w:cs="Arial" w:eastAsia="Arial" w:hAnsi="Arial"/>
                <w:sz w:val="14"/>
                <w:szCs w:val="14"/>
                <w:color w:val="auto"/>
              </w:rPr>
              <w:t>$162,546</w:t>
            </w:r>
          </w:p>
        </w:tc>
        <w:tc>
          <w:tcPr>
            <w:tcW w:w="60" w:type="dxa"/>
            <w:vAlign w:val="bottom"/>
          </w:tcPr>
          <w:p>
            <w:pPr>
              <w:spacing w:after="0"/>
              <w:rPr>
                <w:sz w:val="13"/>
                <w:szCs w:val="13"/>
                <w:color w:val="auto"/>
              </w:rPr>
            </w:pPr>
          </w:p>
        </w:tc>
        <w:tc>
          <w:tcPr>
            <w:tcW w:w="8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14,561,398</w:t>
            </w:r>
          </w:p>
        </w:tc>
        <w:tc>
          <w:tcPr>
            <w:tcW w:w="24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ind w:left="140"/>
              <w:spacing w:after="0" w:line="158" w:lineRule="exact"/>
              <w:rPr>
                <w:sz w:val="20"/>
                <w:szCs w:val="20"/>
                <w:color w:val="auto"/>
              </w:rPr>
            </w:pPr>
            <w:r>
              <w:rPr>
                <w:rFonts w:ascii="Arial" w:cs="Arial" w:eastAsia="Arial" w:hAnsi="Arial"/>
                <w:sz w:val="14"/>
                <w:szCs w:val="14"/>
                <w:color w:val="auto"/>
                <w:w w:val="76"/>
              </w:rPr>
              <w:t>2</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w w:val="97"/>
              </w:rPr>
              <w:t>12,489</w:t>
            </w:r>
          </w:p>
        </w:tc>
        <w:tc>
          <w:tcPr>
            <w:tcW w:w="120" w:type="dxa"/>
            <w:vAlign w:val="bottom"/>
          </w:tcPr>
          <w:p>
            <w:pPr>
              <w:spacing w:after="0"/>
              <w:rPr>
                <w:sz w:val="13"/>
                <w:szCs w:val="13"/>
                <w:color w:val="auto"/>
              </w:rPr>
            </w:pP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(75,205)</w:t>
            </w:r>
          </w:p>
        </w:tc>
        <w:tc>
          <w:tcPr>
            <w:tcW w:w="20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(62,714)</w:t>
            </w:r>
          </w:p>
        </w:tc>
        <w:tc>
          <w:tcPr>
            <w:tcW w:w="20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1,026</w:t>
            </w:r>
          </w:p>
        </w:tc>
        <w:tc>
          <w:tcPr>
            <w:tcW w:w="180" w:type="dxa"/>
            <w:vAlign w:val="bottom"/>
            <w:gridSpan w:val="2"/>
          </w:tcPr>
          <w:p>
            <w:pPr>
              <w:ind w:left="60"/>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(61,688)</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of common stock upon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color w:val="auto"/>
              </w:rPr>
              <w:t>exercise of stock options</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200,559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tcPr>
          <w:p>
            <w:pPr>
              <w:spacing w:after="0" w:line="159" w:lineRule="exact"/>
              <w:rPr>
                <w:sz w:val="20"/>
                <w:szCs w:val="20"/>
                <w:color w:val="auto"/>
              </w:rPr>
            </w:pPr>
            <w:r>
              <w:rPr>
                <w:rFonts w:ascii="Arial" w:cs="Arial" w:eastAsia="Arial" w:hAnsi="Arial"/>
                <w:sz w:val="14"/>
                <w:szCs w:val="14"/>
                <w:color w:val="auto"/>
              </w:rPr>
              <w:t>Issuance of common stock in</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280" w:type="dxa"/>
            <w:vAlign w:val="bottom"/>
          </w:tcPr>
          <w:p>
            <w:pPr>
              <w:ind w:left="140"/>
              <w:spacing w:after="0" w:line="158" w:lineRule="exact"/>
              <w:rPr>
                <w:sz w:val="20"/>
                <w:szCs w:val="20"/>
                <w:color w:val="auto"/>
              </w:rPr>
            </w:pPr>
            <w:r>
              <w:rPr>
                <w:rFonts w:ascii="Arial" w:cs="Arial" w:eastAsia="Arial" w:hAnsi="Arial"/>
                <w:sz w:val="14"/>
                <w:szCs w:val="14"/>
                <w:color w:val="auto"/>
              </w:rPr>
              <w:t>connection with an incentive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4"/>
                <w:szCs w:val="14"/>
                <w:color w:val="auto"/>
              </w:rPr>
              <w:t>agreement (unaudited)</w:t>
            </w:r>
          </w:p>
        </w:tc>
        <w:tc>
          <w:tcPr>
            <w:tcW w:w="740" w:type="dxa"/>
            <w:vAlign w:val="bottom"/>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282,750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120"/>
              <w:spacing w:after="0" w:line="156" w:lineRule="exact"/>
              <w:rPr>
                <w:sz w:val="20"/>
                <w:szCs w:val="20"/>
                <w:color w:val="auto"/>
              </w:rPr>
            </w:pPr>
            <w:r>
              <w:rPr>
                <w:rFonts w:ascii="Arial" w:cs="Arial" w:eastAsia="Arial" w:hAnsi="Arial"/>
                <w:sz w:val="14"/>
                <w:szCs w:val="14"/>
                <w:color w:val="auto"/>
              </w:rPr>
              <w:t>1,696</w:t>
            </w: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1,696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Stock-based compensation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120"/>
              <w:spacing w:after="0" w:line="156" w:lineRule="exact"/>
              <w:rPr>
                <w:sz w:val="20"/>
                <w:szCs w:val="20"/>
                <w:color w:val="auto"/>
              </w:rPr>
            </w:pPr>
            <w:r>
              <w:rPr>
                <w:rFonts w:ascii="Arial" w:cs="Arial" w:eastAsia="Arial" w:hAnsi="Arial"/>
                <w:sz w:val="14"/>
                <w:szCs w:val="14"/>
                <w:color w:val="auto"/>
              </w:rPr>
              <w:t>7,432</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7,432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7,432</w:t>
            </w:r>
          </w:p>
        </w:tc>
        <w:tc>
          <w:tcPr>
            <w:tcW w:w="0" w:type="dxa"/>
            <w:vAlign w:val="bottom"/>
          </w:tcPr>
          <w:p>
            <w:pPr>
              <w:spacing w:after="0"/>
              <w:rPr>
                <w:sz w:val="1"/>
                <w:szCs w:val="1"/>
                <w:color w:val="auto"/>
              </w:rPr>
            </w:pPr>
          </w:p>
        </w:tc>
      </w:tr>
      <w:tr>
        <w:trPr>
          <w:trHeight w:val="158"/>
        </w:trPr>
        <w:tc>
          <w:tcPr>
            <w:tcW w:w="2280" w:type="dxa"/>
            <w:vAlign w:val="bottom"/>
          </w:tcPr>
          <w:p>
            <w:pPr>
              <w:spacing w:after="0" w:line="158" w:lineRule="exact"/>
              <w:rPr>
                <w:sz w:val="20"/>
                <w:szCs w:val="20"/>
                <w:color w:val="auto"/>
              </w:rPr>
            </w:pPr>
            <w:r>
              <w:rPr>
                <w:rFonts w:ascii="Arial" w:cs="Arial" w:eastAsia="Arial" w:hAnsi="Arial"/>
                <w:sz w:val="14"/>
                <w:szCs w:val="14"/>
                <w:color w:val="auto"/>
                <w:w w:val="99"/>
              </w:rPr>
              <w:t>Incentive share expense (unaudited)</w:t>
            </w:r>
          </w:p>
        </w:tc>
        <w:tc>
          <w:tcPr>
            <w:tcW w:w="740" w:type="dxa"/>
            <w:vAlign w:val="bottom"/>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rPr>
              <w:t>787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Return of capital on interest in</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consolidated VIEs (unaudited)</w:t>
            </w:r>
          </w:p>
        </w:tc>
        <w:tc>
          <w:tcPr>
            <w:tcW w:w="740" w:type="dxa"/>
            <w:vAlign w:val="bottom"/>
            <w:shd w:val="clear" w:color="auto" w:fill="CCEEFF"/>
          </w:tcPr>
          <w:p>
            <w:pPr>
              <w:jc w:val="right"/>
              <w:ind w:right="15"/>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tcBorders>
              <w:right w:val="single" w:sz="8" w:color="auto"/>
            </w:tcBorders>
            <w:shd w:val="clear" w:color="auto" w:fill="CCEEFF"/>
          </w:tcPr>
          <w:p>
            <w:pPr>
              <w:jc w:val="right"/>
              <w:ind w:right="94"/>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ind w:left="52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24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(622)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60"/>
        </w:trPr>
        <w:tc>
          <w:tcPr>
            <w:tcW w:w="2280" w:type="dxa"/>
            <w:vAlign w:val="bottom"/>
          </w:tcPr>
          <w:p>
            <w:pPr>
              <w:spacing w:after="0" w:line="158" w:lineRule="exact"/>
              <w:rPr>
                <w:sz w:val="20"/>
                <w:szCs w:val="20"/>
                <w:color w:val="auto"/>
              </w:rPr>
            </w:pPr>
            <w:r>
              <w:rPr>
                <w:rFonts w:ascii="Arial" w:cs="Arial" w:eastAsia="Arial" w:hAnsi="Arial"/>
                <w:sz w:val="14"/>
                <w:szCs w:val="14"/>
                <w:color w:val="auto"/>
              </w:rPr>
              <w:t>Net (loss) income (unaudited)</w:t>
            </w:r>
          </w:p>
        </w:tc>
        <w:tc>
          <w:tcPr>
            <w:tcW w:w="740" w:type="dxa"/>
            <w:vAlign w:val="bottom"/>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tcBorders>
              <w:right w:val="single" w:sz="8" w:color="auto"/>
            </w:tcBorders>
          </w:tcPr>
          <w:p>
            <w:pPr>
              <w:jc w:val="right"/>
              <w:ind w:right="94"/>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0" w:type="dxa"/>
            <w:vAlign w:val="bottom"/>
            <w:gridSpan w:val="2"/>
          </w:tcPr>
          <w:p>
            <w:pPr>
              <w:ind w:left="5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24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4,956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4,956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(404)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4,552</w:t>
            </w:r>
          </w:p>
        </w:tc>
        <w:tc>
          <w:tcPr>
            <w:tcW w:w="0" w:type="dxa"/>
            <w:vAlign w:val="bottom"/>
          </w:tcPr>
          <w:p>
            <w:pPr>
              <w:spacing w:after="0"/>
              <w:rPr>
                <w:sz w:val="1"/>
                <w:szCs w:val="1"/>
                <w:color w:val="auto"/>
              </w:rPr>
            </w:pPr>
          </w:p>
        </w:tc>
      </w:tr>
      <w:tr>
        <w:trPr>
          <w:trHeight w:val="159"/>
        </w:trPr>
        <w:tc>
          <w:tcPr>
            <w:tcW w:w="22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Balance as of September 30, 2020</w:t>
            </w:r>
          </w:p>
        </w:tc>
        <w:tc>
          <w:tcPr>
            <w:tcW w:w="74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tcBorders>
              <w:top w:val="single" w:sz="8" w:color="auto"/>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(unaudited)</w:t>
            </w: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47,349,577</w:t>
            </w:r>
          </w:p>
        </w:tc>
        <w:tc>
          <w:tcPr>
            <w:tcW w:w="740" w:type="dxa"/>
            <w:vAlign w:val="bottom"/>
            <w:tcBorders>
              <w:right w:val="single" w:sz="8" w:color="auto"/>
            </w:tcBorders>
            <w:gridSpan w:val="2"/>
            <w:shd w:val="clear" w:color="auto" w:fill="CCEEFF"/>
          </w:tcPr>
          <w:p>
            <w:pPr>
              <w:jc w:val="right"/>
              <w:ind w:right="14"/>
              <w:spacing w:after="0" w:line="156"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162,546</w:t>
            </w:r>
          </w:p>
        </w:tc>
        <w:tc>
          <w:tcPr>
            <w:tcW w:w="6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15,044,707</w:t>
            </w:r>
          </w:p>
        </w:tc>
        <w:tc>
          <w:tcPr>
            <w:tcW w:w="24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w w:val="76"/>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7"/>
              </w:rPr>
              <w:t>22,914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(70,249)</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6" w:lineRule="exact"/>
              <w:rPr>
                <w:sz w:val="20"/>
                <w:szCs w:val="20"/>
                <w:color w:val="auto"/>
              </w:rPr>
            </w:pPr>
            <w:r>
              <w:rPr>
                <w:rFonts w:ascii="Arial" w:cs="Arial" w:eastAsia="Arial" w:hAnsi="Arial"/>
                <w:sz w:val="14"/>
                <w:szCs w:val="14"/>
                <w:color w:val="auto"/>
              </w:rPr>
              <w:t>(47,333)</w:t>
            </w:r>
          </w:p>
        </w:tc>
        <w:tc>
          <w:tcPr>
            <w:tcW w:w="20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60"/>
              <w:spacing w:after="0" w:line="156"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(47,333)</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0220"/>
          </w:cols>
          <w:pgMar w:left="320" w:top="407" w:right="1359" w:bottom="1440" w:gutter="0" w:footer="0" w:header="0"/>
        </w:sectPr>
      </w:pPr>
    </w:p>
    <w:bookmarkStart w:id="242" w:name="page243"/>
    <w:bookmarkEnd w:id="24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right"/>
              <w:ind w:right="44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w w:val="99"/>
              </w:rPr>
              <w:t>Year Ended December 31,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2017</w:t>
            </w:r>
          </w:p>
        </w:tc>
        <w:tc>
          <w:tcPr>
            <w:tcW w:w="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72"/>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53"/>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54"/>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17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3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i w:val="1"/>
                <w:iCs w:val="1"/>
                <w:color w:val="auto"/>
                <w:w w:val="94"/>
              </w:rPr>
              <w:t>(unaudited)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8"/>
        </w:trPr>
        <w:tc>
          <w:tcPr>
            <w:tcW w:w="39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3920" w:type="dxa"/>
            <w:vAlign w:val="bottom"/>
          </w:tcPr>
          <w:p>
            <w:pPr>
              <w:ind w:left="280"/>
              <w:spacing w:after="0" w:line="159" w:lineRule="exact"/>
              <w:rPr>
                <w:sz w:val="20"/>
                <w:szCs w:val="20"/>
                <w:color w:val="auto"/>
              </w:rPr>
            </w:pPr>
            <w:r>
              <w:rPr>
                <w:rFonts w:ascii="Arial" w:cs="Arial" w:eastAsia="Arial" w:hAnsi="Arial"/>
                <w:sz w:val="14"/>
                <w:szCs w:val="14"/>
                <w:color w:val="auto"/>
              </w:rPr>
              <w:t>Net (loss) income before attribution to noncontrolling</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420"/>
              <w:spacing w:after="0" w:line="156" w:lineRule="exact"/>
              <w:rPr>
                <w:sz w:val="20"/>
                <w:szCs w:val="20"/>
                <w:color w:val="auto"/>
              </w:rPr>
            </w:pPr>
            <w:r>
              <w:rPr>
                <w:rFonts w:ascii="Arial" w:cs="Arial" w:eastAsia="Arial" w:hAnsi="Arial"/>
                <w:sz w:val="14"/>
                <w:szCs w:val="14"/>
                <w:color w:val="auto"/>
              </w:rPr>
              <w:t>interests</w:t>
            </w:r>
          </w:p>
        </w:tc>
        <w:tc>
          <w:tcPr>
            <w:tcW w:w="82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  (8,861)</w:t>
            </w:r>
          </w:p>
        </w:tc>
        <w:tc>
          <w:tcPr>
            <w:tcW w:w="1260" w:type="dxa"/>
            <w:vAlign w:val="bottom"/>
            <w:gridSpan w:val="3"/>
          </w:tcPr>
          <w:p>
            <w:pPr>
              <w:jc w:val="right"/>
              <w:ind w:right="160"/>
              <w:spacing w:after="0" w:line="156" w:lineRule="exact"/>
              <w:rPr>
                <w:sz w:val="20"/>
                <w:szCs w:val="20"/>
                <w:color w:val="auto"/>
              </w:rPr>
            </w:pPr>
            <w:r>
              <w:rPr>
                <w:rFonts w:ascii="Arial" w:cs="Arial" w:eastAsia="Arial" w:hAnsi="Arial"/>
                <w:sz w:val="14"/>
                <w:szCs w:val="14"/>
                <w:color w:val="auto"/>
              </w:rPr>
              <w:t>$   (11,218)</w:t>
            </w:r>
          </w:p>
        </w:tc>
        <w:tc>
          <w:tcPr>
            <w:tcW w:w="26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(5,020)</w:t>
            </w:r>
          </w:p>
        </w:tc>
        <w:tc>
          <w:tcPr>
            <w:tcW w:w="240" w:type="dxa"/>
            <w:vAlign w:val="bottom"/>
            <w:gridSpan w:val="2"/>
          </w:tcPr>
          <w:p>
            <w:pPr>
              <w:jc w:val="right"/>
              <w:ind w:right="20"/>
              <w:spacing w:after="0" w:line="156"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(9,885)</w:t>
            </w:r>
          </w:p>
        </w:tc>
        <w:tc>
          <w:tcPr>
            <w:tcW w:w="24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4,552</w:t>
            </w:r>
          </w:p>
        </w:tc>
      </w:tr>
      <w:tr>
        <w:trPr>
          <w:trHeight w:val="159"/>
        </w:trPr>
        <w:tc>
          <w:tcPr>
            <w:tcW w:w="392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Adjustments to reconcile net (loss) income to net cash</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(used in) provided by operating activities: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3920" w:type="dxa"/>
            <w:vAlign w:val="bottom"/>
          </w:tcPr>
          <w:p>
            <w:pPr>
              <w:ind w:left="540"/>
              <w:spacing w:after="0" w:line="159" w:lineRule="exact"/>
              <w:rPr>
                <w:sz w:val="20"/>
                <w:szCs w:val="20"/>
                <w:color w:val="auto"/>
              </w:rPr>
            </w:pPr>
            <w:r>
              <w:rPr>
                <w:rFonts w:ascii="Arial" w:cs="Arial" w:eastAsia="Arial" w:hAnsi="Arial"/>
                <w:sz w:val="14"/>
                <w:szCs w:val="14"/>
                <w:color w:val="auto"/>
              </w:rPr>
              <w:t>Change in fair value of financial instruments (includes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$0, $4,031, ($7,400), ($5,597) and ($4,238) from</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related parties for the years ended December 31,</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2017, 2018 and 2019, and nine months ended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3920" w:type="dxa"/>
            <w:vAlign w:val="bottom"/>
          </w:tcPr>
          <w:p>
            <w:pPr>
              <w:ind w:left="680"/>
              <w:spacing w:after="0" w:line="158" w:lineRule="exact"/>
              <w:rPr>
                <w:sz w:val="20"/>
                <w:szCs w:val="20"/>
                <w:color w:val="auto"/>
              </w:rPr>
            </w:pPr>
            <w:r>
              <w:rPr>
                <w:rFonts w:ascii="Arial" w:cs="Arial" w:eastAsia="Arial" w:hAnsi="Arial"/>
                <w:sz w:val="14"/>
                <w:szCs w:val="14"/>
                <w:color w:val="auto"/>
              </w:rPr>
              <w:t>September 30, 2019 (unaudited), and 2020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680"/>
              <w:spacing w:after="0" w:line="156" w:lineRule="exact"/>
              <w:rPr>
                <w:sz w:val="20"/>
                <w:szCs w:val="20"/>
                <w:color w:val="auto"/>
              </w:rPr>
            </w:pPr>
            <w:r>
              <w:rPr>
                <w:rFonts w:ascii="Arial" w:cs="Arial" w:eastAsia="Arial" w:hAnsi="Arial"/>
                <w:sz w:val="14"/>
                <w:szCs w:val="14"/>
                <w:color w:val="auto"/>
              </w:rPr>
              <w:t>(unaudited), respectively)</w:t>
            </w:r>
          </w:p>
        </w:tc>
        <w:tc>
          <w:tcPr>
            <w:tcW w:w="820" w:type="dxa"/>
            <w:vAlign w:val="bottom"/>
            <w:gridSpan w:val="3"/>
          </w:tcPr>
          <w:p>
            <w:pPr>
              <w:jc w:val="right"/>
              <w:spacing w:after="0" w:line="156" w:lineRule="exact"/>
              <w:rPr>
                <w:sz w:val="20"/>
                <w:szCs w:val="20"/>
                <w:color w:val="auto"/>
              </w:rPr>
            </w:pPr>
            <w:r>
              <w:rPr>
                <w:rFonts w:ascii="Arial" w:cs="Arial" w:eastAsia="Arial" w:hAnsi="Arial"/>
                <w:sz w:val="14"/>
                <w:szCs w:val="14"/>
                <w:color w:val="auto"/>
              </w:rPr>
              <w:t>(5,201)</w:t>
            </w:r>
          </w:p>
        </w:tc>
        <w:tc>
          <w:tcPr>
            <w:tcW w:w="10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42,282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34,716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29,608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18,801</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Stock-based compensation</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1,290</w:t>
            </w:r>
          </w:p>
        </w:tc>
        <w:tc>
          <w:tcPr>
            <w:tcW w:w="12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2,045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3,806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2,204</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7,102</w:t>
            </w:r>
          </w:p>
        </w:tc>
      </w:tr>
      <w:tr>
        <w:trPr>
          <w:trHeight w:val="159"/>
        </w:trPr>
        <w:tc>
          <w:tcPr>
            <w:tcW w:w="3920" w:type="dxa"/>
            <w:vAlign w:val="bottom"/>
          </w:tcPr>
          <w:p>
            <w:pPr>
              <w:ind w:left="540"/>
              <w:spacing w:after="0" w:line="159" w:lineRule="exact"/>
              <w:rPr>
                <w:sz w:val="20"/>
                <w:szCs w:val="20"/>
                <w:color w:val="auto"/>
              </w:rPr>
            </w:pPr>
            <w:r>
              <w:rPr>
                <w:rFonts w:ascii="Arial" w:cs="Arial" w:eastAsia="Arial" w:hAnsi="Arial"/>
                <w:sz w:val="14"/>
                <w:szCs w:val="14"/>
                <w:color w:val="auto"/>
              </w:rPr>
              <w:t>Loss (gain) on loan servicing arrangements and sale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3920" w:type="dxa"/>
            <w:vAlign w:val="bottom"/>
          </w:tcPr>
          <w:p>
            <w:pPr>
              <w:ind w:left="680"/>
              <w:spacing w:after="0"/>
              <w:rPr>
                <w:sz w:val="20"/>
                <w:szCs w:val="20"/>
                <w:color w:val="auto"/>
              </w:rPr>
            </w:pPr>
            <w:r>
              <w:rPr>
                <w:rFonts w:ascii="Arial" w:cs="Arial" w:eastAsia="Arial" w:hAnsi="Arial"/>
                <w:sz w:val="14"/>
                <w:szCs w:val="14"/>
                <w:color w:val="auto"/>
              </w:rPr>
              <w:t>of noncontrolling interests, net</w:t>
            </w:r>
          </w:p>
        </w:tc>
        <w:tc>
          <w:tcPr>
            <w:tcW w:w="820" w:type="dxa"/>
            <w:vAlign w:val="bottom"/>
            <w:gridSpan w:val="3"/>
          </w:tcPr>
          <w:p>
            <w:pPr>
              <w:jc w:val="right"/>
              <w:ind w:right="40"/>
              <w:spacing w:after="0"/>
              <w:rPr>
                <w:sz w:val="20"/>
                <w:szCs w:val="20"/>
                <w:color w:val="auto"/>
              </w:rPr>
            </w:pPr>
            <w:r>
              <w:rPr>
                <w:rFonts w:ascii="Arial" w:cs="Arial" w:eastAsia="Arial" w:hAnsi="Arial"/>
                <w:sz w:val="14"/>
                <w:szCs w:val="14"/>
                <w:color w:val="auto"/>
              </w:rPr>
              <w:t>1,515</w:t>
            </w:r>
          </w:p>
        </w:tc>
        <w:tc>
          <w:tcPr>
            <w:tcW w:w="1260" w:type="dxa"/>
            <w:vAlign w:val="bottom"/>
            <w:gridSpan w:val="3"/>
          </w:tcPr>
          <w:p>
            <w:pPr>
              <w:jc w:val="right"/>
              <w:ind w:right="200"/>
              <w:spacing w:after="0"/>
              <w:rPr>
                <w:sz w:val="20"/>
                <w:szCs w:val="20"/>
                <w:color w:val="auto"/>
              </w:rPr>
            </w:pPr>
            <w:r>
              <w:rPr>
                <w:rFonts w:ascii="Arial" w:cs="Arial" w:eastAsia="Arial" w:hAnsi="Arial"/>
                <w:sz w:val="14"/>
                <w:szCs w:val="14"/>
                <w:color w:val="auto"/>
              </w:rPr>
              <w:t>2,169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1,274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(1,747)</w:t>
            </w:r>
          </w:p>
        </w:tc>
      </w:tr>
      <w:tr>
        <w:trPr>
          <w:trHeight w:val="158"/>
        </w:trPr>
        <w:tc>
          <w:tcPr>
            <w:tcW w:w="3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Depreciation and amortization</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93</w:t>
            </w:r>
          </w:p>
        </w:tc>
        <w:tc>
          <w:tcPr>
            <w:tcW w:w="12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314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1,631</w:t>
            </w:r>
          </w:p>
        </w:tc>
      </w:tr>
      <w:tr>
        <w:trPr>
          <w:trHeight w:val="158"/>
        </w:trPr>
        <w:tc>
          <w:tcPr>
            <w:tcW w:w="3920" w:type="dxa"/>
            <w:vAlign w:val="bottom"/>
          </w:tcPr>
          <w:p>
            <w:pPr>
              <w:ind w:left="540"/>
              <w:spacing w:after="0" w:line="158" w:lineRule="exact"/>
              <w:rPr>
                <w:sz w:val="20"/>
                <w:szCs w:val="20"/>
                <w:color w:val="auto"/>
              </w:rPr>
            </w:pPr>
            <w:r>
              <w:rPr>
                <w:rFonts w:ascii="Arial" w:cs="Arial" w:eastAsia="Arial" w:hAnsi="Arial"/>
                <w:sz w:val="14"/>
                <w:szCs w:val="14"/>
                <w:color w:val="auto"/>
              </w:rPr>
              <w:t>Incentive share expense</w:t>
            </w: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786</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540"/>
              <w:spacing w:after="0" w:line="158" w:lineRule="exact"/>
              <w:rPr>
                <w:sz w:val="20"/>
                <w:szCs w:val="20"/>
                <w:color w:val="auto"/>
              </w:rPr>
            </w:pPr>
            <w:r>
              <w:rPr>
                <w:rFonts w:ascii="Arial" w:cs="Arial" w:eastAsia="Arial" w:hAnsi="Arial"/>
                <w:sz w:val="14"/>
                <w:szCs w:val="14"/>
                <w:color w:val="auto"/>
              </w:rPr>
              <w:t>Noncash interest expense</w:t>
            </w:r>
          </w:p>
        </w:tc>
        <w:tc>
          <w:tcPr>
            <w:tcW w:w="82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42</w:t>
            </w:r>
          </w:p>
        </w:tc>
        <w:tc>
          <w:tcPr>
            <w:tcW w:w="12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3"/>
                <w:szCs w:val="13"/>
                <w:color w:val="auto"/>
              </w:rPr>
            </w:pPr>
          </w:p>
        </w:tc>
      </w:tr>
      <w:tr>
        <w:trPr>
          <w:trHeight w:val="159"/>
        </w:trPr>
        <w:tc>
          <w:tcPr>
            <w:tcW w:w="3920" w:type="dxa"/>
            <w:vAlign w:val="bottom"/>
          </w:tcPr>
          <w:p>
            <w:pPr>
              <w:ind w:left="540"/>
              <w:spacing w:after="0" w:line="159" w:lineRule="exact"/>
              <w:rPr>
                <w:sz w:val="20"/>
                <w:szCs w:val="20"/>
                <w:color w:val="auto"/>
              </w:rPr>
            </w:pPr>
            <w:r>
              <w:rPr>
                <w:rFonts w:ascii="Arial" w:cs="Arial" w:eastAsia="Arial" w:hAnsi="Arial"/>
                <w:sz w:val="14"/>
                <w:szCs w:val="14"/>
                <w:color w:val="auto"/>
              </w:rPr>
              <w:t>Gain on repurchased and retired convertible preferred</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680"/>
              <w:spacing w:after="0" w:line="156" w:lineRule="exact"/>
              <w:rPr>
                <w:sz w:val="20"/>
                <w:szCs w:val="20"/>
                <w:color w:val="auto"/>
              </w:rPr>
            </w:pPr>
            <w:r>
              <w:rPr>
                <w:rFonts w:ascii="Arial" w:cs="Arial" w:eastAsia="Arial" w:hAnsi="Arial"/>
                <w:sz w:val="14"/>
                <w:szCs w:val="14"/>
                <w:color w:val="auto"/>
              </w:rPr>
              <w:t>stock warrants</w:t>
            </w: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6" w:lineRule="exact"/>
              <w:rPr>
                <w:sz w:val="20"/>
                <w:szCs w:val="20"/>
                <w:color w:val="auto"/>
              </w:rPr>
            </w:pPr>
            <w:r>
              <w:rPr>
                <w:rFonts w:ascii="Arial" w:cs="Arial" w:eastAsia="Arial" w:hAnsi="Arial"/>
                <w:sz w:val="14"/>
                <w:szCs w:val="14"/>
                <w:color w:val="auto"/>
              </w:rPr>
              <w:t>(3,657)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3920" w:type="dxa"/>
            <w:vAlign w:val="bottom"/>
            <w:shd w:val="clear" w:color="auto" w:fill="CCEEFF"/>
          </w:tcPr>
          <w:p>
            <w:pPr>
              <w:ind w:left="540"/>
              <w:spacing w:after="0" w:line="159" w:lineRule="exact"/>
              <w:rPr>
                <w:sz w:val="20"/>
                <w:szCs w:val="20"/>
                <w:color w:val="auto"/>
              </w:rPr>
            </w:pPr>
            <w:r>
              <w:rPr>
                <w:rFonts w:ascii="Arial" w:cs="Arial" w:eastAsia="Arial" w:hAnsi="Arial"/>
                <w:sz w:val="14"/>
                <w:szCs w:val="14"/>
                <w:color w:val="auto"/>
              </w:rPr>
              <w:t>Accrued interest on convertible notes (includes $208</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3920" w:type="dxa"/>
            <w:vAlign w:val="bottom"/>
            <w:shd w:val="clear" w:color="auto" w:fill="CCEEFF"/>
          </w:tcPr>
          <w:p>
            <w:pPr>
              <w:ind w:left="680"/>
              <w:spacing w:after="0" w:line="158" w:lineRule="exact"/>
              <w:rPr>
                <w:sz w:val="20"/>
                <w:szCs w:val="20"/>
                <w:color w:val="auto"/>
              </w:rPr>
            </w:pPr>
            <w:r>
              <w:rPr>
                <w:rFonts w:ascii="Arial" w:cs="Arial" w:eastAsia="Arial" w:hAnsi="Arial"/>
                <w:sz w:val="14"/>
                <w:szCs w:val="14"/>
                <w:color w:val="auto"/>
              </w:rPr>
              <w:t>and $397 payable to related parties for the years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680"/>
              <w:spacing w:after="0" w:line="156" w:lineRule="exact"/>
              <w:rPr>
                <w:sz w:val="20"/>
                <w:szCs w:val="20"/>
                <w:color w:val="auto"/>
              </w:rPr>
            </w:pPr>
            <w:r>
              <w:rPr>
                <w:rFonts w:ascii="Arial" w:cs="Arial" w:eastAsia="Arial" w:hAnsi="Arial"/>
                <w:sz w:val="14"/>
                <w:szCs w:val="14"/>
                <w:color w:val="auto"/>
              </w:rPr>
              <w:t>ended December 31, 2017 and 2018, respectively)</w:t>
            </w:r>
          </w:p>
        </w:tc>
        <w:tc>
          <w:tcPr>
            <w:tcW w:w="820" w:type="dxa"/>
            <w:vAlign w:val="bottom"/>
            <w:gridSpan w:val="3"/>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416</w:t>
            </w:r>
          </w:p>
        </w:tc>
        <w:tc>
          <w:tcPr>
            <w:tcW w:w="1260" w:type="dxa"/>
            <w:vAlign w:val="bottom"/>
            <w:gridSpan w:val="3"/>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794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3920" w:type="dxa"/>
            <w:vAlign w:val="bottom"/>
          </w:tcPr>
          <w:p>
            <w:pPr>
              <w:ind w:left="540"/>
              <w:spacing w:after="0" w:line="158" w:lineRule="exact"/>
              <w:rPr>
                <w:sz w:val="20"/>
                <w:szCs w:val="20"/>
                <w:color w:val="auto"/>
              </w:rPr>
            </w:pPr>
            <w:r>
              <w:rPr>
                <w:rFonts w:ascii="Arial" w:cs="Arial" w:eastAsia="Arial" w:hAnsi="Arial"/>
                <w:sz w:val="14"/>
                <w:szCs w:val="14"/>
                <w:color w:val="auto"/>
              </w:rPr>
              <w:t>Net changes in operating assets and liabilities: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3920" w:type="dxa"/>
            <w:vAlign w:val="bottom"/>
            <w:shd w:val="clear" w:color="auto" w:fill="CCEEFF"/>
          </w:tcPr>
          <w:p>
            <w:pPr>
              <w:ind w:left="820"/>
              <w:spacing w:after="0" w:line="159" w:lineRule="exact"/>
              <w:rPr>
                <w:sz w:val="20"/>
                <w:szCs w:val="20"/>
                <w:color w:val="auto"/>
              </w:rPr>
            </w:pPr>
            <w:r>
              <w:rPr>
                <w:rFonts w:ascii="Arial" w:cs="Arial" w:eastAsia="Arial" w:hAnsi="Arial"/>
                <w:sz w:val="14"/>
                <w:szCs w:val="14"/>
                <w:color w:val="auto"/>
              </w:rPr>
              <w:t>Purchase of loans for immediate resale to</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960"/>
              <w:spacing w:after="0" w:line="156" w:lineRule="exact"/>
              <w:rPr>
                <w:sz w:val="20"/>
                <w:szCs w:val="20"/>
                <w:color w:val="auto"/>
              </w:rPr>
            </w:pPr>
            <w:r>
              <w:rPr>
                <w:rFonts w:ascii="Arial" w:cs="Arial" w:eastAsia="Arial" w:hAnsi="Arial"/>
                <w:sz w:val="14"/>
                <w:szCs w:val="14"/>
                <w:color w:val="auto"/>
              </w:rPr>
              <w:t>investors</w:t>
            </w:r>
          </w:p>
        </w:tc>
        <w:tc>
          <w:tcPr>
            <w:tcW w:w="82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4"/>
                <w:szCs w:val="14"/>
                <w:color w:val="auto"/>
              </w:rPr>
              <w:t>(580,438)</w:t>
            </w:r>
          </w:p>
        </w:tc>
        <w:tc>
          <w:tcPr>
            <w:tcW w:w="1260" w:type="dxa"/>
            <w:vAlign w:val="bottom"/>
            <w:gridSpan w:val="3"/>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(1,115,049)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w w:val="92"/>
              </w:rPr>
              <w:t>(1,779,180)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w w:val="94"/>
              </w:rPr>
              <w:t>(1,069,413)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w w:val="94"/>
              </w:rPr>
              <w:t>(1,554,705)</w:t>
            </w:r>
          </w:p>
        </w:tc>
      </w:tr>
      <w:tr>
        <w:trPr>
          <w:trHeight w:val="159"/>
        </w:trPr>
        <w:tc>
          <w:tcPr>
            <w:tcW w:w="3920" w:type="dxa"/>
            <w:vAlign w:val="bottom"/>
          </w:tcPr>
          <w:p>
            <w:pPr>
              <w:ind w:left="820"/>
              <w:spacing w:after="0" w:line="159" w:lineRule="exact"/>
              <w:rPr>
                <w:sz w:val="20"/>
                <w:szCs w:val="20"/>
                <w:color w:val="auto"/>
              </w:rPr>
            </w:pPr>
            <w:r>
              <w:rPr>
                <w:rFonts w:ascii="Arial" w:cs="Arial" w:eastAsia="Arial" w:hAnsi="Arial"/>
                <w:sz w:val="14"/>
                <w:szCs w:val="14"/>
                <w:color w:val="auto"/>
              </w:rPr>
              <w:t>Proceeds from immediate resale of loans to</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960"/>
              <w:spacing w:after="0" w:line="156" w:lineRule="exact"/>
              <w:rPr>
                <w:sz w:val="20"/>
                <w:szCs w:val="20"/>
                <w:color w:val="auto"/>
              </w:rPr>
            </w:pPr>
            <w:r>
              <w:rPr>
                <w:rFonts w:ascii="Arial" w:cs="Arial" w:eastAsia="Arial" w:hAnsi="Arial"/>
                <w:sz w:val="14"/>
                <w:szCs w:val="14"/>
                <w:color w:val="auto"/>
              </w:rPr>
              <w:t>investors</w:t>
            </w:r>
          </w:p>
        </w:tc>
        <w:tc>
          <w:tcPr>
            <w:tcW w:w="78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580,438</w:t>
            </w:r>
          </w:p>
        </w:tc>
        <w:tc>
          <w:tcPr>
            <w:tcW w:w="40" w:type="dxa"/>
            <w:vAlign w:val="bottom"/>
          </w:tcPr>
          <w:p>
            <w:pPr>
              <w:spacing w:after="0"/>
              <w:rPr>
                <w:sz w:val="13"/>
                <w:szCs w:val="13"/>
                <w:color w:val="auto"/>
              </w:rPr>
            </w:pPr>
          </w:p>
        </w:tc>
        <w:tc>
          <w:tcPr>
            <w:tcW w:w="1260" w:type="dxa"/>
            <w:vAlign w:val="bottom"/>
            <w:gridSpan w:val="3"/>
          </w:tcPr>
          <w:p>
            <w:pPr>
              <w:jc w:val="right"/>
              <w:ind w:right="200"/>
              <w:spacing w:after="0" w:line="156" w:lineRule="exact"/>
              <w:rPr>
                <w:sz w:val="20"/>
                <w:szCs w:val="20"/>
                <w:color w:val="auto"/>
              </w:rPr>
            </w:pPr>
            <w:r>
              <w:rPr>
                <w:rFonts w:ascii="Arial" w:cs="Arial" w:eastAsia="Arial" w:hAnsi="Arial"/>
                <w:sz w:val="14"/>
                <w:szCs w:val="14"/>
                <w:color w:val="auto"/>
              </w:rPr>
              <w:t>1,115,049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w w:val="99"/>
              </w:rPr>
              <w:t>1,779,180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w w:val="99"/>
              </w:rPr>
              <w:t>1,069,413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1,554,705</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Purchase of loans held-for-sale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(109,113)</w:t>
            </w:r>
          </w:p>
        </w:tc>
      </w:tr>
      <w:tr>
        <w:trPr>
          <w:trHeight w:val="159"/>
        </w:trPr>
        <w:tc>
          <w:tcPr>
            <w:tcW w:w="3920" w:type="dxa"/>
            <w:vAlign w:val="bottom"/>
          </w:tcPr>
          <w:p>
            <w:pPr>
              <w:ind w:left="820"/>
              <w:spacing w:after="0" w:line="159" w:lineRule="exact"/>
              <w:rPr>
                <w:sz w:val="20"/>
                <w:szCs w:val="20"/>
                <w:color w:val="auto"/>
              </w:rPr>
            </w:pPr>
            <w:r>
              <w:rPr>
                <w:rFonts w:ascii="Arial" w:cs="Arial" w:eastAsia="Arial" w:hAnsi="Arial"/>
                <w:sz w:val="14"/>
                <w:szCs w:val="14"/>
                <w:color w:val="auto"/>
              </w:rPr>
              <w:t>Principal payments received for loans held for</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920" w:type="dxa"/>
            <w:vAlign w:val="bottom"/>
          </w:tcPr>
          <w:p>
            <w:pPr>
              <w:ind w:left="960"/>
              <w:spacing w:after="0" w:line="156" w:lineRule="exact"/>
              <w:rPr>
                <w:sz w:val="20"/>
                <w:szCs w:val="20"/>
                <w:color w:val="auto"/>
              </w:rPr>
            </w:pPr>
            <w:r>
              <w:rPr>
                <w:rFonts w:ascii="Arial" w:cs="Arial" w:eastAsia="Arial" w:hAnsi="Arial"/>
                <w:sz w:val="14"/>
                <w:szCs w:val="14"/>
                <w:color w:val="auto"/>
              </w:rPr>
              <w:t>sale</w:t>
            </w:r>
          </w:p>
        </w:tc>
        <w:tc>
          <w:tcPr>
            <w:tcW w:w="160" w:type="dxa"/>
            <w:vAlign w:val="bottom"/>
          </w:tcPr>
          <w:p>
            <w:pPr>
              <w:spacing w:after="0"/>
              <w:rPr>
                <w:sz w:val="13"/>
                <w:szCs w:val="13"/>
                <w:color w:val="auto"/>
              </w:rPr>
            </w:pPr>
          </w:p>
        </w:tc>
        <w:tc>
          <w:tcPr>
            <w:tcW w:w="660" w:type="dxa"/>
            <w:vAlign w:val="bottom"/>
            <w:gridSpan w:val="2"/>
          </w:tcPr>
          <w:p>
            <w:pPr>
              <w:jc w:val="right"/>
              <w:ind w:right="40"/>
              <w:spacing w:after="0" w:line="156"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6" w:lineRule="exact"/>
              <w:rPr>
                <w:sz w:val="20"/>
                <w:szCs w:val="20"/>
                <w:color w:val="auto"/>
              </w:rPr>
            </w:pPr>
            <w:r>
              <w:rPr>
                <w:rFonts w:ascii="Arial" w:cs="Arial" w:eastAsia="Arial" w:hAnsi="Arial"/>
                <w:sz w:val="14"/>
                <w:szCs w:val="14"/>
                <w:color w:val="auto"/>
              </w:rPr>
              <w:t>15,237</w:t>
            </w:r>
          </w:p>
        </w:tc>
        <w:tc>
          <w:tcPr>
            <w:tcW w:w="80" w:type="dxa"/>
            <w:vAlign w:val="bottom"/>
          </w:tcPr>
          <w:p>
            <w:pPr>
              <w:spacing w:after="0"/>
              <w:rPr>
                <w:sz w:val="13"/>
                <w:szCs w:val="13"/>
                <w:color w:val="auto"/>
              </w:rPr>
            </w:pP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proceeds from sale of loans held for sale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6,813</w:t>
            </w:r>
          </w:p>
        </w:tc>
      </w:tr>
      <w:tr>
        <w:trPr>
          <w:trHeight w:val="158"/>
        </w:trPr>
        <w:tc>
          <w:tcPr>
            <w:tcW w:w="3920" w:type="dxa"/>
            <w:vAlign w:val="bottom"/>
          </w:tcPr>
          <w:p>
            <w:pPr>
              <w:ind w:left="820"/>
              <w:spacing w:after="0" w:line="158" w:lineRule="exact"/>
              <w:rPr>
                <w:sz w:val="20"/>
                <w:szCs w:val="20"/>
                <w:color w:val="auto"/>
              </w:rPr>
            </w:pPr>
            <w:r>
              <w:rPr>
                <w:rFonts w:ascii="Arial" w:cs="Arial" w:eastAsia="Arial" w:hAnsi="Arial"/>
                <w:sz w:val="14"/>
                <w:szCs w:val="14"/>
                <w:color w:val="auto"/>
              </w:rPr>
              <w:t>Other assets</w:t>
            </w:r>
          </w:p>
        </w:tc>
        <w:tc>
          <w:tcPr>
            <w:tcW w:w="820" w:type="dxa"/>
            <w:vAlign w:val="bottom"/>
            <w:gridSpan w:val="3"/>
          </w:tcPr>
          <w:p>
            <w:pPr>
              <w:jc w:val="right"/>
              <w:spacing w:after="0" w:line="158" w:lineRule="exact"/>
              <w:rPr>
                <w:sz w:val="20"/>
                <w:szCs w:val="20"/>
                <w:color w:val="auto"/>
              </w:rPr>
            </w:pPr>
            <w:r>
              <w:rPr>
                <w:rFonts w:ascii="Arial" w:cs="Arial" w:eastAsia="Arial" w:hAnsi="Arial"/>
                <w:sz w:val="14"/>
                <w:szCs w:val="14"/>
                <w:color w:val="auto"/>
              </w:rPr>
              <w:t>(4,147)</w:t>
            </w:r>
          </w:p>
        </w:tc>
        <w:tc>
          <w:tcPr>
            <w:tcW w:w="126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(3,001)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(11,957)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(8,499)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(4,843)</w:t>
            </w: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Operating lease liability and right-of-use asset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871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755</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3"/>
                <w:szCs w:val="13"/>
                <w:color w:val="auto"/>
              </w:rPr>
            </w:pPr>
          </w:p>
        </w:tc>
      </w:tr>
      <w:tr>
        <w:trPr>
          <w:trHeight w:val="158"/>
        </w:trPr>
        <w:tc>
          <w:tcPr>
            <w:tcW w:w="3920" w:type="dxa"/>
            <w:vAlign w:val="bottom"/>
          </w:tcPr>
          <w:p>
            <w:pPr>
              <w:ind w:left="820"/>
              <w:spacing w:after="0" w:line="158" w:lineRule="exact"/>
              <w:rPr>
                <w:sz w:val="20"/>
                <w:szCs w:val="20"/>
                <w:color w:val="auto"/>
              </w:rPr>
            </w:pPr>
            <w:r>
              <w:rPr>
                <w:rFonts w:ascii="Arial" w:cs="Arial" w:eastAsia="Arial" w:hAnsi="Arial"/>
                <w:sz w:val="14"/>
                <w:szCs w:val="14"/>
                <w:color w:val="auto"/>
              </w:rPr>
              <w:t>Accounts payable</w:t>
            </w:r>
          </w:p>
        </w:tc>
        <w:tc>
          <w:tcPr>
            <w:tcW w:w="82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946</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1,118</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3,613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(1,509)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(592)</w:t>
            </w:r>
          </w:p>
        </w:tc>
      </w:tr>
      <w:tr>
        <w:trPr>
          <w:trHeight w:val="158"/>
        </w:trPr>
        <w:tc>
          <w:tcPr>
            <w:tcW w:w="392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Payable to investors</w:t>
            </w: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23,525</w:t>
            </w:r>
          </w:p>
        </w:tc>
        <w:tc>
          <w:tcPr>
            <w:tcW w:w="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14,100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(14,875)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(5,221)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13,137</w:t>
            </w:r>
          </w:p>
        </w:tc>
        <w:tc>
          <w:tcPr>
            <w:tcW w:w="80" w:type="dxa"/>
            <w:vAlign w:val="bottom"/>
            <w:shd w:val="clear" w:color="auto" w:fill="CCEEFF"/>
          </w:tcPr>
          <w:p>
            <w:pPr>
              <w:spacing w:after="0"/>
              <w:rPr>
                <w:sz w:val="13"/>
                <w:szCs w:val="13"/>
                <w:color w:val="auto"/>
              </w:rPr>
            </w:pPr>
          </w:p>
        </w:tc>
      </w:tr>
      <w:tr>
        <w:trPr>
          <w:trHeight w:val="160"/>
        </w:trPr>
        <w:tc>
          <w:tcPr>
            <w:tcW w:w="3920" w:type="dxa"/>
            <w:vAlign w:val="bottom"/>
          </w:tcPr>
          <w:p>
            <w:pPr>
              <w:ind w:left="820"/>
              <w:spacing w:after="0" w:line="158" w:lineRule="exact"/>
              <w:rPr>
                <w:sz w:val="20"/>
                <w:szCs w:val="20"/>
                <w:color w:val="auto"/>
              </w:rPr>
            </w:pPr>
            <w:r>
              <w:rPr>
                <w:rFonts w:ascii="Arial" w:cs="Arial" w:eastAsia="Arial" w:hAnsi="Arial"/>
                <w:sz w:val="14"/>
                <w:szCs w:val="14"/>
                <w:color w:val="auto"/>
              </w:rPr>
              <w:t>Other liabilities</w:t>
            </w:r>
          </w:p>
        </w:tc>
        <w:tc>
          <w:tcPr>
            <w:tcW w:w="82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739</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1,716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22,381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11,945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(4,701)</w:t>
            </w:r>
          </w:p>
        </w:tc>
      </w:tr>
      <w:tr>
        <w:trPr>
          <w:trHeight w:val="159"/>
        </w:trPr>
        <w:tc>
          <w:tcPr>
            <w:tcW w:w="3920" w:type="dxa"/>
            <w:vAlign w:val="bottom"/>
            <w:shd w:val="clear" w:color="auto" w:fill="CCEEFF"/>
          </w:tcPr>
          <w:p>
            <w:pPr>
              <w:ind w:left="1080"/>
              <w:spacing w:after="0" w:line="159" w:lineRule="exact"/>
              <w:rPr>
                <w:sz w:val="20"/>
                <w:szCs w:val="20"/>
                <w:color w:val="auto"/>
              </w:rPr>
            </w:pPr>
            <w:r>
              <w:rPr>
                <w:rFonts w:ascii="Arial" w:cs="Arial" w:eastAsia="Arial" w:hAnsi="Arial"/>
                <w:sz w:val="14"/>
                <w:szCs w:val="14"/>
                <w:color w:val="auto"/>
              </w:rPr>
              <w:t>Net cash (used in) provided by operating</w:t>
            </w:r>
          </w:p>
        </w:tc>
        <w:tc>
          <w:tcPr>
            <w:tcW w:w="160" w:type="dxa"/>
            <w:vAlign w:val="bottom"/>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3920" w:type="dxa"/>
            <w:vAlign w:val="bottom"/>
            <w:shd w:val="clear" w:color="auto" w:fill="CCEEFF"/>
          </w:tcPr>
          <w:p>
            <w:pPr>
              <w:ind w:left="1220"/>
              <w:spacing w:after="0" w:line="156" w:lineRule="exact"/>
              <w:rPr>
                <w:sz w:val="20"/>
                <w:szCs w:val="20"/>
                <w:color w:val="auto"/>
              </w:rPr>
            </w:pPr>
            <w:r>
              <w:rPr>
                <w:rFonts w:ascii="Arial" w:cs="Arial" w:eastAsia="Arial" w:hAnsi="Arial"/>
                <w:sz w:val="14"/>
                <w:szCs w:val="14"/>
                <w:color w:val="auto"/>
              </w:rPr>
              <w:t>activities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10,357</w:t>
            </w: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50,338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31,582</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21,027</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(52,817)</w:t>
            </w: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0220"/>
          </w:cols>
          <w:pgMar w:left="320" w:top="407" w:right="1359" w:bottom="1440" w:gutter="0" w:footer="0" w:header="0"/>
        </w:sectPr>
      </w:pPr>
    </w:p>
    <w:bookmarkStart w:id="243" w:name="page244"/>
    <w:bookmarkEnd w:id="24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Flows—(Continued)</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5"/>
          </w:tcPr>
          <w:p>
            <w:pPr>
              <w:jc w:val="right"/>
              <w:ind w:right="40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4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gridSpan w:val="6"/>
          </w:tcPr>
          <w:p>
            <w:pPr>
              <w:jc w:val="right"/>
              <w:ind w:right="1020"/>
              <w:spacing w:after="0"/>
              <w:rPr>
                <w:sz w:val="20"/>
                <w:szCs w:val="20"/>
                <w:color w:val="auto"/>
              </w:rPr>
            </w:pPr>
            <w:r>
              <w:rPr>
                <w:rFonts w:ascii="Arial" w:cs="Arial" w:eastAsia="Arial" w:hAnsi="Arial"/>
                <w:sz w:val="12"/>
                <w:szCs w:val="12"/>
                <w:b w:val="1"/>
                <w:bCs w:val="1"/>
                <w:color w:val="auto"/>
              </w:rPr>
              <w:t>Year Ended December 31,</w:t>
            </w:r>
          </w:p>
        </w:tc>
        <w:tc>
          <w:tcPr>
            <w:tcW w:w="1840" w:type="dxa"/>
            <w:vAlign w:val="bottom"/>
            <w:gridSpan w:val="5"/>
          </w:tcPr>
          <w:p>
            <w:pPr>
              <w:jc w:val="right"/>
              <w:ind w:right="56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Borders>
              <w:top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2018</w:t>
            </w:r>
          </w:p>
        </w:tc>
        <w:tc>
          <w:tcPr>
            <w:tcW w:w="4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0"/>
                <w:szCs w:val="10"/>
                <w:color w:val="auto"/>
              </w:rPr>
            </w:pPr>
          </w:p>
        </w:tc>
        <w:tc>
          <w:tcPr>
            <w:tcW w:w="660" w:type="dxa"/>
            <w:vAlign w:val="bottom"/>
            <w:tcBorders>
              <w:top w:val="single" w:sz="8" w:color="auto"/>
            </w:tcBorders>
          </w:tcPr>
          <w:p>
            <w:pPr>
              <w:jc w:val="right"/>
              <w:ind w:right="114"/>
              <w:spacing w:after="0" w:line="126" w:lineRule="exact"/>
              <w:rPr>
                <w:sz w:val="20"/>
                <w:szCs w:val="20"/>
                <w:color w:val="auto"/>
              </w:rPr>
            </w:pPr>
            <w:r>
              <w:rPr>
                <w:rFonts w:ascii="Arial" w:cs="Arial" w:eastAsia="Arial" w:hAnsi="Arial"/>
                <w:sz w:val="12"/>
                <w:szCs w:val="12"/>
                <w:b w:val="1"/>
                <w:bCs w:val="1"/>
                <w:color w:val="auto"/>
              </w:rPr>
              <w:t>2019</w:t>
            </w: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13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50"/>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7"/>
              </w:rPr>
              <w:t>(unaudited)</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3"/>
                <w:szCs w:val="13"/>
                <w:color w:val="auto"/>
              </w:rPr>
            </w:pPr>
          </w:p>
        </w:tc>
      </w:tr>
      <w:tr>
        <w:trPr>
          <w:trHeight w:val="67"/>
        </w:trPr>
        <w:tc>
          <w:tcPr>
            <w:tcW w:w="40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158"/>
        </w:trPr>
        <w:tc>
          <w:tcPr>
            <w:tcW w:w="40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9"/>
        </w:trPr>
        <w:tc>
          <w:tcPr>
            <w:tcW w:w="4080" w:type="dxa"/>
            <w:vAlign w:val="bottom"/>
          </w:tcPr>
          <w:p>
            <w:pPr>
              <w:ind w:left="280"/>
              <w:spacing w:after="0" w:line="159" w:lineRule="exact"/>
              <w:rPr>
                <w:sz w:val="20"/>
                <w:szCs w:val="20"/>
                <w:color w:val="auto"/>
              </w:rPr>
            </w:pPr>
            <w:r>
              <w:rPr>
                <w:rFonts w:ascii="Arial" w:cs="Arial" w:eastAsia="Arial" w:hAnsi="Arial"/>
                <w:sz w:val="14"/>
                <w:szCs w:val="14"/>
                <w:color w:val="auto"/>
              </w:rPr>
              <w:t>Principal payments received for loans held by consolidated</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080" w:type="dxa"/>
            <w:vAlign w:val="bottom"/>
          </w:tcPr>
          <w:p>
            <w:pPr>
              <w:ind w:left="420"/>
              <w:spacing w:after="0" w:line="156" w:lineRule="exact"/>
              <w:rPr>
                <w:sz w:val="20"/>
                <w:szCs w:val="20"/>
                <w:color w:val="auto"/>
              </w:rPr>
            </w:pPr>
            <w:r>
              <w:rPr>
                <w:rFonts w:ascii="Arial" w:cs="Arial" w:eastAsia="Arial" w:hAnsi="Arial"/>
                <w:sz w:val="14"/>
                <w:szCs w:val="14"/>
                <w:color w:val="auto"/>
              </w:rPr>
              <w:t>securitizations</w:t>
            </w:r>
          </w:p>
        </w:tc>
        <w:tc>
          <w:tcPr>
            <w:tcW w:w="80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  49,556</w:t>
            </w:r>
          </w:p>
        </w:tc>
        <w:tc>
          <w:tcPr>
            <w:tcW w:w="42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w w:val="96"/>
              </w:rPr>
              <w:t>$ 199,325</w:t>
            </w:r>
          </w:p>
        </w:tc>
        <w:tc>
          <w:tcPr>
            <w:tcW w:w="400" w:type="dxa"/>
            <w:vAlign w:val="bottom"/>
          </w:tcPr>
          <w:p>
            <w:pPr>
              <w:spacing w:after="0"/>
              <w:rPr>
                <w:sz w:val="13"/>
                <w:szCs w:val="13"/>
                <w:color w:val="auto"/>
              </w:rPr>
            </w:pPr>
          </w:p>
        </w:tc>
        <w:tc>
          <w:tcPr>
            <w:tcW w:w="620" w:type="dxa"/>
            <w:vAlign w:val="bottom"/>
          </w:tcPr>
          <w:p>
            <w:pPr>
              <w:jc w:val="right"/>
              <w:spacing w:after="0" w:line="156" w:lineRule="exact"/>
              <w:rPr>
                <w:sz w:val="20"/>
                <w:szCs w:val="20"/>
                <w:color w:val="auto"/>
              </w:rPr>
            </w:pPr>
            <w:r>
              <w:rPr>
                <w:rFonts w:ascii="Arial" w:cs="Arial" w:eastAsia="Arial" w:hAnsi="Arial"/>
                <w:sz w:val="14"/>
                <w:szCs w:val="14"/>
                <w:color w:val="auto"/>
                <w:w w:val="96"/>
              </w:rPr>
              <w:t>$ 158,921</w:t>
            </w:r>
          </w:p>
        </w:tc>
        <w:tc>
          <w:tcPr>
            <w:tcW w:w="420" w:type="dxa"/>
            <w:vAlign w:val="bottom"/>
          </w:tcPr>
          <w:p>
            <w:pPr>
              <w:spacing w:after="0"/>
              <w:rPr>
                <w:sz w:val="13"/>
                <w:szCs w:val="13"/>
                <w:color w:val="auto"/>
              </w:rPr>
            </w:pPr>
          </w:p>
        </w:tc>
        <w:tc>
          <w:tcPr>
            <w:tcW w:w="9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w w:val="96"/>
              </w:rPr>
              <w:t>$  130,103</w:t>
            </w:r>
          </w:p>
        </w:tc>
        <w:tc>
          <w:tcPr>
            <w:tcW w:w="860" w:type="dxa"/>
            <w:vAlign w:val="bottom"/>
            <w:gridSpan w:val="2"/>
          </w:tcPr>
          <w:p>
            <w:pPr>
              <w:jc w:val="right"/>
              <w:spacing w:after="0" w:line="156" w:lineRule="exact"/>
              <w:rPr>
                <w:sz w:val="20"/>
                <w:szCs w:val="20"/>
                <w:color w:val="auto"/>
              </w:rPr>
            </w:pPr>
            <w:r>
              <w:rPr>
                <w:rFonts w:ascii="Arial" w:cs="Arial" w:eastAsia="Arial" w:hAnsi="Arial"/>
                <w:sz w:val="14"/>
                <w:szCs w:val="14"/>
                <w:color w:val="auto"/>
              </w:rPr>
              <w:t>$   24,018</w:t>
            </w:r>
          </w:p>
        </w:tc>
        <w:tc>
          <w:tcPr>
            <w:tcW w:w="80" w:type="dxa"/>
            <w:vAlign w:val="bottom"/>
          </w:tcPr>
          <w:p>
            <w:pPr>
              <w:spacing w:after="0"/>
              <w:rPr>
                <w:sz w:val="13"/>
                <w:szCs w:val="13"/>
                <w:color w:val="auto"/>
              </w:rPr>
            </w:pP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Net proceeds from sale of loans held-for-investment</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45,084</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45,698</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100,678</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64,182</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88,136</w:t>
            </w:r>
          </w:p>
        </w:tc>
        <w:tc>
          <w:tcPr>
            <w:tcW w:w="80" w:type="dxa"/>
            <w:vAlign w:val="bottom"/>
            <w:shd w:val="clear" w:color="auto" w:fill="CCEEFF"/>
          </w:tcPr>
          <w:p>
            <w:pPr>
              <w:spacing w:after="0"/>
              <w:rPr>
                <w:sz w:val="13"/>
                <w:szCs w:val="13"/>
                <w:color w:val="auto"/>
              </w:rPr>
            </w:pP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Principal payments received for loans held-for-investment</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26,660</w:t>
            </w:r>
          </w:p>
        </w:tc>
        <w:tc>
          <w:tcPr>
            <w:tcW w:w="4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38,678</w:t>
            </w:r>
          </w:p>
        </w:tc>
        <w:tc>
          <w:tcPr>
            <w:tcW w:w="4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48,124</w:t>
            </w:r>
          </w:p>
        </w:tc>
        <w:tc>
          <w:tcPr>
            <w:tcW w:w="4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40,792</w:t>
            </w:r>
          </w:p>
        </w:tc>
        <w:tc>
          <w:tcPr>
            <w:tcW w:w="8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12,277</w:t>
            </w:r>
          </w:p>
        </w:tc>
        <w:tc>
          <w:tcPr>
            <w:tcW w:w="80" w:type="dxa"/>
            <w:vAlign w:val="bottom"/>
          </w:tcPr>
          <w:p>
            <w:pPr>
              <w:spacing w:after="0"/>
              <w:rPr>
                <w:sz w:val="13"/>
                <w:szCs w:val="13"/>
                <w:color w:val="auto"/>
              </w:rPr>
            </w:pP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Principal payments received for notes receivable and</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repayments of residual certificates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4"/>
                <w:szCs w:val="14"/>
                <w:color w:val="auto"/>
              </w:rPr>
              <w:t>1,229</w:t>
            </w: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8,760</w:t>
            </w:r>
          </w:p>
        </w:tc>
        <w:tc>
          <w:tcPr>
            <w:tcW w:w="90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5,050</w:t>
            </w:r>
          </w:p>
        </w:tc>
        <w:tc>
          <w:tcPr>
            <w:tcW w:w="86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11,306</w:t>
            </w:r>
          </w:p>
        </w:tc>
        <w:tc>
          <w:tcPr>
            <w:tcW w:w="80" w:type="dxa"/>
            <w:vAlign w:val="bottom"/>
            <w:shd w:val="clear" w:color="auto" w:fill="CCEEFF"/>
          </w:tcPr>
          <w:p>
            <w:pPr>
              <w:spacing w:after="0"/>
              <w:rPr>
                <w:sz w:val="13"/>
                <w:szCs w:val="13"/>
                <w:color w:val="auto"/>
              </w:rPr>
            </w:pP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Purchase of loans held-for-investment</w:t>
            </w:r>
          </w:p>
        </w:tc>
        <w:tc>
          <w:tcPr>
            <w:tcW w:w="1220" w:type="dxa"/>
            <w:vAlign w:val="bottom"/>
            <w:gridSpan w:val="3"/>
          </w:tcPr>
          <w:p>
            <w:pPr>
              <w:jc w:val="right"/>
              <w:ind w:right="380"/>
              <w:spacing w:after="0" w:line="158" w:lineRule="exact"/>
              <w:rPr>
                <w:sz w:val="20"/>
                <w:szCs w:val="20"/>
                <w:color w:val="auto"/>
              </w:rPr>
            </w:pPr>
            <w:r>
              <w:rPr>
                <w:rFonts w:ascii="Arial" w:cs="Arial" w:eastAsia="Arial" w:hAnsi="Arial"/>
                <w:sz w:val="14"/>
                <w:szCs w:val="14"/>
                <w:color w:val="auto"/>
              </w:rPr>
              <w:t>(102,541)</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(169,442)</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(265,286)</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(185,340)</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(3,774)</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Purchase of notes receivable and residual certificates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(485)</w:t>
            </w: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Purchase of property and equipment</w:t>
            </w: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(148)</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(4,004)</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(253)</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(1,282)</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Capitalized software costs</w:t>
            </w:r>
          </w:p>
        </w:tc>
        <w:tc>
          <w:tcPr>
            <w:tcW w:w="1220" w:type="dxa"/>
            <w:vAlign w:val="bottom"/>
            <w:gridSpan w:val="3"/>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(773)</w:t>
            </w:r>
          </w:p>
        </w:tc>
        <w:tc>
          <w:tcPr>
            <w:tcW w:w="102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(896)</w:t>
            </w:r>
          </w:p>
        </w:tc>
        <w:tc>
          <w:tcPr>
            <w:tcW w:w="104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(1,275)</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(1,014)</w:t>
            </w:r>
          </w:p>
        </w:tc>
        <w:tc>
          <w:tcPr>
            <w:tcW w:w="94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(2,967)</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Purchase of loans held by consolidated securitizations</w:t>
            </w:r>
          </w:p>
        </w:tc>
        <w:tc>
          <w:tcPr>
            <w:tcW w:w="180" w:type="dxa"/>
            <w:vAlign w:val="bottom"/>
          </w:tcPr>
          <w:p>
            <w:pPr>
              <w:spacing w:after="0"/>
              <w:rPr>
                <w:sz w:val="13"/>
                <w:szCs w:val="13"/>
                <w:color w:val="auto"/>
              </w:rPr>
            </w:pPr>
          </w:p>
        </w:tc>
        <w:tc>
          <w:tcPr>
            <w:tcW w:w="10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(411,407)</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(251,681)</w:t>
            </w: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23"/>
        </w:trPr>
        <w:tc>
          <w:tcPr>
            <w:tcW w:w="4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08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cash (used in) provided by investing activities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(393,421)</w:t>
            </w:r>
          </w:p>
        </w:tc>
        <w:tc>
          <w:tcPr>
            <w:tcW w:w="102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(137,237)</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45,433</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53,520</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127,710</w:t>
            </w:r>
          </w:p>
        </w:tc>
        <w:tc>
          <w:tcPr>
            <w:tcW w:w="80" w:type="dxa"/>
            <w:vAlign w:val="bottom"/>
            <w:shd w:val="clear" w:color="auto" w:fill="CCEEFF"/>
          </w:tcPr>
          <w:p>
            <w:pPr>
              <w:spacing w:after="0"/>
              <w:rPr>
                <w:sz w:val="13"/>
                <w:szCs w:val="13"/>
                <w:color w:val="auto"/>
              </w:rPr>
            </w:pPr>
          </w:p>
        </w:tc>
      </w:tr>
      <w:tr>
        <w:trPr>
          <w:trHeight w:val="250"/>
        </w:trPr>
        <w:tc>
          <w:tcPr>
            <w:tcW w:w="408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Payments made on securitization notes and certificates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(includes $0, $7,607, $3,262, $2,265 and $1,034 paid to</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related parties for the years ended December 31, 2017,</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08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2018 and 2019, and nine months ended September 30,</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2019 (unaudited), and 2020 (unaudited), respectively)</w:t>
            </w:r>
          </w:p>
        </w:tc>
        <w:tc>
          <w:tcPr>
            <w:tcW w:w="1220" w:type="dxa"/>
            <w:vAlign w:val="bottom"/>
            <w:gridSpan w:val="3"/>
            <w:shd w:val="clear" w:color="auto" w:fill="CCEEFF"/>
          </w:tcPr>
          <w:p>
            <w:pPr>
              <w:jc w:val="right"/>
              <w:ind w:right="380"/>
              <w:spacing w:after="0" w:line="156" w:lineRule="exact"/>
              <w:rPr>
                <w:sz w:val="20"/>
                <w:szCs w:val="20"/>
                <w:color w:val="auto"/>
              </w:rPr>
            </w:pPr>
            <w:r>
              <w:rPr>
                <w:rFonts w:ascii="Arial" w:cs="Arial" w:eastAsia="Arial" w:hAnsi="Arial"/>
                <w:sz w:val="14"/>
                <w:szCs w:val="14"/>
                <w:color w:val="auto"/>
              </w:rPr>
              <w:t>(49,262)</w:t>
            </w:r>
          </w:p>
        </w:tc>
        <w:tc>
          <w:tcPr>
            <w:tcW w:w="102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(226,775)</w:t>
            </w:r>
          </w:p>
        </w:tc>
        <w:tc>
          <w:tcPr>
            <w:tcW w:w="104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(176,742)</w:t>
            </w:r>
          </w:p>
        </w:tc>
        <w:tc>
          <w:tcPr>
            <w:tcW w:w="900" w:type="dxa"/>
            <w:vAlign w:val="bottom"/>
            <w:gridSpan w:val="2"/>
            <w:shd w:val="clear" w:color="auto" w:fill="CCEEFF"/>
          </w:tcPr>
          <w:p>
            <w:pPr>
              <w:jc w:val="right"/>
              <w:ind w:right="180"/>
              <w:spacing w:after="0" w:line="156" w:lineRule="exact"/>
              <w:rPr>
                <w:sz w:val="20"/>
                <w:szCs w:val="20"/>
                <w:color w:val="auto"/>
              </w:rPr>
            </w:pPr>
            <w:r>
              <w:rPr>
                <w:rFonts w:ascii="Arial" w:cs="Arial" w:eastAsia="Arial" w:hAnsi="Arial"/>
                <w:sz w:val="14"/>
                <w:szCs w:val="14"/>
                <w:color w:val="auto"/>
              </w:rPr>
              <w:t>(144,956)</w:t>
            </w:r>
          </w:p>
        </w:tc>
        <w:tc>
          <w:tcPr>
            <w:tcW w:w="940" w:type="dxa"/>
            <w:vAlign w:val="bottom"/>
            <w:gridSpan w:val="3"/>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(26,126)</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Repayments of borrowings</w:t>
            </w:r>
          </w:p>
        </w:tc>
        <w:tc>
          <w:tcPr>
            <w:tcW w:w="1220" w:type="dxa"/>
            <w:vAlign w:val="bottom"/>
            <w:gridSpan w:val="3"/>
          </w:tcPr>
          <w:p>
            <w:pPr>
              <w:jc w:val="right"/>
              <w:ind w:right="380"/>
              <w:spacing w:after="0" w:line="158" w:lineRule="exact"/>
              <w:rPr>
                <w:sz w:val="20"/>
                <w:szCs w:val="20"/>
                <w:color w:val="auto"/>
              </w:rPr>
            </w:pPr>
            <w:r>
              <w:rPr>
                <w:rFonts w:ascii="Arial" w:cs="Arial" w:eastAsia="Arial" w:hAnsi="Arial"/>
                <w:sz w:val="14"/>
                <w:szCs w:val="14"/>
                <w:color w:val="auto"/>
              </w:rPr>
              <w:t>(111,139)</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(92,954)</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(109,939)</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(78,036)</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(99,835)</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Repayments of notes payable</w:t>
            </w:r>
          </w:p>
        </w:tc>
        <w:tc>
          <w:tcPr>
            <w:tcW w:w="1220" w:type="dxa"/>
            <w:vAlign w:val="bottom"/>
            <w:gridSpan w:val="3"/>
            <w:shd w:val="clear" w:color="auto" w:fill="CCEEFF"/>
          </w:tcPr>
          <w:p>
            <w:pPr>
              <w:jc w:val="right"/>
              <w:ind w:right="380"/>
              <w:spacing w:after="0" w:line="158" w:lineRule="exact"/>
              <w:rPr>
                <w:sz w:val="20"/>
                <w:szCs w:val="20"/>
                <w:color w:val="auto"/>
              </w:rPr>
            </w:pPr>
            <w:r>
              <w:rPr>
                <w:rFonts w:ascii="Arial" w:cs="Arial" w:eastAsia="Arial" w:hAnsi="Arial"/>
                <w:sz w:val="14"/>
                <w:szCs w:val="14"/>
                <w:color w:val="auto"/>
              </w:rPr>
              <w:t>(13,634)</w:t>
            </w:r>
          </w:p>
        </w:tc>
        <w:tc>
          <w:tcPr>
            <w:tcW w:w="102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(21,468)</w:t>
            </w:r>
          </w:p>
        </w:tc>
        <w:tc>
          <w:tcPr>
            <w:tcW w:w="104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(22,637)</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(22,637)</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Distributions made to noncontrolling interests</w:t>
            </w:r>
          </w:p>
        </w:tc>
        <w:tc>
          <w:tcPr>
            <w:tcW w:w="1220" w:type="dxa"/>
            <w:vAlign w:val="bottom"/>
            <w:gridSpan w:val="3"/>
          </w:tcPr>
          <w:p>
            <w:pPr>
              <w:jc w:val="right"/>
              <w:ind w:right="380"/>
              <w:spacing w:after="0" w:line="158" w:lineRule="exact"/>
              <w:rPr>
                <w:sz w:val="20"/>
                <w:szCs w:val="20"/>
                <w:color w:val="auto"/>
              </w:rPr>
            </w:pPr>
            <w:r>
              <w:rPr>
                <w:rFonts w:ascii="Arial" w:cs="Arial" w:eastAsia="Arial" w:hAnsi="Arial"/>
                <w:sz w:val="14"/>
                <w:szCs w:val="14"/>
                <w:color w:val="auto"/>
              </w:rPr>
              <w:t>(2,238)</w:t>
            </w: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(11,238)</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(4,960)</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(4,321)</w:t>
            </w:r>
          </w:p>
        </w:tc>
        <w:tc>
          <w:tcPr>
            <w:tcW w:w="94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(622)</w:t>
            </w: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Repurchase and retirement of convertible preferred stock</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warrants</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00"/>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(1,426)</w:t>
            </w:r>
          </w:p>
        </w:tc>
        <w:tc>
          <w:tcPr>
            <w:tcW w:w="90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Repurchase and retirement of convertible preferred stock</w:t>
            </w: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(661)</w:t>
            </w: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borrowings</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118,780</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144,048</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153,491</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110,830</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81,761</w:t>
            </w:r>
          </w:p>
        </w:tc>
        <w:tc>
          <w:tcPr>
            <w:tcW w:w="80" w:type="dxa"/>
            <w:vAlign w:val="bottom"/>
            <w:shd w:val="clear" w:color="auto" w:fill="CCEEFF"/>
          </w:tcPr>
          <w:p>
            <w:pPr>
              <w:spacing w:after="0"/>
              <w:rPr>
                <w:sz w:val="13"/>
                <w:szCs w:val="13"/>
                <w:color w:val="auto"/>
              </w:rPr>
            </w:pPr>
          </w:p>
        </w:tc>
      </w:tr>
      <w:tr>
        <w:trPr>
          <w:trHeight w:val="158"/>
        </w:trPr>
        <w:tc>
          <w:tcPr>
            <w:tcW w:w="4080" w:type="dxa"/>
            <w:vAlign w:val="bottom"/>
          </w:tcPr>
          <w:p>
            <w:pPr>
              <w:ind w:left="280"/>
              <w:spacing w:after="0" w:line="158" w:lineRule="exact"/>
              <w:rPr>
                <w:sz w:val="20"/>
                <w:szCs w:val="20"/>
                <w:color w:val="auto"/>
              </w:rPr>
            </w:pPr>
            <w:r>
              <w:rPr>
                <w:rFonts w:ascii="Arial" w:cs="Arial" w:eastAsia="Arial" w:hAnsi="Arial"/>
                <w:sz w:val="14"/>
                <w:szCs w:val="14"/>
                <w:color w:val="auto"/>
              </w:rPr>
              <w:t>Proceeds from issuance of notes payable</w:t>
            </w:r>
          </w:p>
        </w:tc>
        <w:tc>
          <w:tcPr>
            <w:tcW w:w="8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31,399</w:t>
            </w:r>
          </w:p>
        </w:tc>
        <w:tc>
          <w:tcPr>
            <w:tcW w:w="4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42,537</w:t>
            </w:r>
          </w:p>
        </w:tc>
        <w:tc>
          <w:tcPr>
            <w:tcW w:w="40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39,863</w:t>
            </w:r>
          </w:p>
        </w:tc>
        <w:tc>
          <w:tcPr>
            <w:tcW w:w="420" w:type="dxa"/>
            <w:vAlign w:val="bottom"/>
          </w:tcPr>
          <w:p>
            <w:pPr>
              <w:spacing w:after="0"/>
              <w:rPr>
                <w:sz w:val="13"/>
                <w:szCs w:val="13"/>
                <w:color w:val="auto"/>
              </w:rPr>
            </w:pPr>
          </w:p>
        </w:tc>
        <w:tc>
          <w:tcPr>
            <w:tcW w:w="90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39,863</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9"/>
        </w:trPr>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Proceeds from issuance of convertible preferred stock, net of</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08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issuance costs</w:t>
            </w:r>
          </w:p>
        </w:tc>
        <w:tc>
          <w:tcPr>
            <w:tcW w:w="1220" w:type="dxa"/>
            <w:vAlign w:val="bottom"/>
            <w:gridSpan w:val="3"/>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1,112</w:t>
            </w:r>
          </w:p>
        </w:tc>
        <w:tc>
          <w:tcPr>
            <w:tcW w:w="6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49,925</w:t>
            </w:r>
          </w:p>
        </w:tc>
        <w:tc>
          <w:tcPr>
            <w:tcW w:w="4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6" w:lineRule="exact"/>
              <w:rPr>
                <w:sz w:val="20"/>
                <w:szCs w:val="20"/>
                <w:color w:val="auto"/>
              </w:rPr>
            </w:pPr>
            <w:r>
              <w:rPr>
                <w:rFonts w:ascii="Arial" w:cs="Arial" w:eastAsia="Arial" w:hAnsi="Arial"/>
                <w:sz w:val="14"/>
                <w:szCs w:val="14"/>
                <w:color w:val="auto"/>
              </w:rPr>
              <w:t>1,912</w:t>
            </w:r>
          </w:p>
        </w:tc>
        <w:tc>
          <w:tcPr>
            <w:tcW w:w="900" w:type="dxa"/>
            <w:vAlign w:val="bottom"/>
            <w:gridSpan w:val="2"/>
            <w:shd w:val="clear" w:color="auto" w:fill="CCEEFF"/>
          </w:tcPr>
          <w:p>
            <w:pPr>
              <w:jc w:val="right"/>
              <w:ind w:right="240"/>
              <w:spacing w:after="0" w:line="156" w:lineRule="exact"/>
              <w:rPr>
                <w:sz w:val="20"/>
                <w:szCs w:val="20"/>
                <w:color w:val="auto"/>
              </w:rPr>
            </w:pPr>
            <w:r>
              <w:rPr>
                <w:rFonts w:ascii="Arial" w:cs="Arial" w:eastAsia="Arial" w:hAnsi="Arial"/>
                <w:sz w:val="14"/>
                <w:szCs w:val="14"/>
                <w:color w:val="auto"/>
              </w:rPr>
              <w:t>1,912</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4080" w:type="dxa"/>
            <w:vAlign w:val="bottom"/>
          </w:tcPr>
          <w:p>
            <w:pPr>
              <w:ind w:left="280"/>
              <w:spacing w:after="0" w:line="159" w:lineRule="exact"/>
              <w:rPr>
                <w:sz w:val="20"/>
                <w:szCs w:val="20"/>
                <w:color w:val="auto"/>
              </w:rPr>
            </w:pPr>
            <w:r>
              <w:rPr>
                <w:rFonts w:ascii="Arial" w:cs="Arial" w:eastAsia="Arial" w:hAnsi="Arial"/>
                <w:sz w:val="14"/>
                <w:szCs w:val="14"/>
                <w:color w:val="auto"/>
              </w:rPr>
              <w:t>Proceeds from exercise of convertible preferred stock</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080" w:type="dxa"/>
            <w:vAlign w:val="bottom"/>
          </w:tcPr>
          <w:p>
            <w:pPr>
              <w:ind w:left="420"/>
              <w:spacing w:after="0" w:line="156" w:lineRule="exact"/>
              <w:rPr>
                <w:sz w:val="20"/>
                <w:szCs w:val="20"/>
                <w:color w:val="auto"/>
              </w:rPr>
            </w:pPr>
            <w:r>
              <w:rPr>
                <w:rFonts w:ascii="Arial" w:cs="Arial" w:eastAsia="Arial" w:hAnsi="Arial"/>
                <w:sz w:val="14"/>
                <w:szCs w:val="14"/>
                <w:color w:val="auto"/>
              </w:rPr>
              <w:t>warrants</w:t>
            </w:r>
          </w:p>
        </w:tc>
        <w:tc>
          <w:tcPr>
            <w:tcW w:w="180" w:type="dxa"/>
            <w:vAlign w:val="bottom"/>
          </w:tcPr>
          <w:p>
            <w:pPr>
              <w:spacing w:after="0"/>
              <w:rPr>
                <w:sz w:val="13"/>
                <w:szCs w:val="13"/>
                <w:color w:val="auto"/>
              </w:rPr>
            </w:pPr>
          </w:p>
        </w:tc>
        <w:tc>
          <w:tcPr>
            <w:tcW w:w="104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56"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6" w:lineRule="exact"/>
              <w:rPr>
                <w:sz w:val="20"/>
                <w:szCs w:val="20"/>
                <w:color w:val="auto"/>
              </w:rPr>
            </w:pPr>
            <w:r>
              <w:rPr>
                <w:rFonts w:ascii="Arial" w:cs="Arial" w:eastAsia="Arial" w:hAnsi="Arial"/>
                <w:sz w:val="14"/>
                <w:szCs w:val="14"/>
                <w:color w:val="auto"/>
              </w:rPr>
              <w:t>1,631</w:t>
            </w:r>
          </w:p>
        </w:tc>
        <w:tc>
          <w:tcPr>
            <w:tcW w:w="900" w:type="dxa"/>
            <w:vAlign w:val="bottom"/>
            <w:gridSpan w:val="2"/>
          </w:tcPr>
          <w:p>
            <w:pPr>
              <w:jc w:val="right"/>
              <w:ind w:right="240"/>
              <w:spacing w:after="0" w:line="156"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3"/>
                <w:szCs w:val="13"/>
                <w:color w:val="auto"/>
              </w:rPr>
            </w:pPr>
          </w:p>
        </w:tc>
        <w:tc>
          <w:tcPr>
            <w:tcW w:w="76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40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Proceeds from exercise of stock options</w:t>
            </w:r>
          </w:p>
        </w:tc>
        <w:tc>
          <w:tcPr>
            <w:tcW w:w="8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142</w:t>
            </w:r>
          </w:p>
        </w:tc>
        <w:tc>
          <w:tcPr>
            <w:tcW w:w="4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323</w:t>
            </w:r>
          </w:p>
        </w:tc>
        <w:tc>
          <w:tcPr>
            <w:tcW w:w="4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278</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112</w:t>
            </w:r>
          </w:p>
        </w:tc>
        <w:tc>
          <w:tcPr>
            <w:tcW w:w="8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3"/>
                <w:szCs w:val="13"/>
                <w:color w:val="auto"/>
              </w:rPr>
            </w:pPr>
          </w:p>
        </w:tc>
      </w:tr>
    </w:tbl>
    <w:p>
      <w:pPr>
        <w:spacing w:after="0" w:line="123" w:lineRule="exact"/>
        <w:rPr>
          <w:sz w:val="20"/>
          <w:szCs w:val="20"/>
          <w:color w:val="auto"/>
        </w:rPr>
      </w:pPr>
    </w:p>
    <w:p>
      <w:pPr>
        <w:ind w:left="5520"/>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0220"/>
          </w:cols>
          <w:pgMar w:left="320" w:top="407" w:right="1359" w:bottom="1440" w:gutter="0" w:footer="0" w:header="0"/>
        </w:sectPr>
      </w:pPr>
    </w:p>
    <w:bookmarkStart w:id="244" w:name="page245"/>
    <w:bookmarkEnd w:id="24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Consolidated Statements of Cash Flows—(Continued)</w:t>
      </w:r>
    </w:p>
    <w:p>
      <w:pPr>
        <w:spacing w:after="0" w:line="177"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(In thousands)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9"/>
          </w:tcPr>
          <w:p>
            <w:pPr>
              <w:jc w:val="right"/>
              <w:ind w:right="820"/>
              <w:spacing w:after="0"/>
              <w:rPr>
                <w:sz w:val="20"/>
                <w:szCs w:val="20"/>
                <w:color w:val="auto"/>
              </w:rPr>
            </w:pPr>
            <w:r>
              <w:rPr>
                <w:rFonts w:ascii="Arial" w:cs="Arial" w:eastAsia="Arial" w:hAnsi="Arial"/>
                <w:sz w:val="12"/>
                <w:szCs w:val="12"/>
                <w:b w:val="1"/>
                <w:bCs w:val="1"/>
                <w:color w:val="auto"/>
              </w:rPr>
              <w:t>Year Ended December 31,</w:t>
            </w:r>
          </w:p>
        </w:tc>
        <w:tc>
          <w:tcPr>
            <w:tcW w:w="120" w:type="dxa"/>
            <w:vAlign w:val="bottom"/>
          </w:tcPr>
          <w:p>
            <w:pPr>
              <w:spacing w:after="0"/>
              <w:rPr>
                <w:sz w:val="12"/>
                <w:szCs w:val="12"/>
                <w:color w:val="auto"/>
              </w:rPr>
            </w:pPr>
          </w:p>
        </w:tc>
        <w:tc>
          <w:tcPr>
            <w:tcW w:w="1640" w:type="dxa"/>
            <w:vAlign w:val="bottom"/>
            <w:gridSpan w:val="6"/>
          </w:tcPr>
          <w:p>
            <w:pPr>
              <w:jc w:val="right"/>
              <w:ind w:right="52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93"/>
              <w:spacing w:after="0" w:line="126" w:lineRule="exact"/>
              <w:rPr>
                <w:sz w:val="20"/>
                <w:szCs w:val="20"/>
                <w:color w:val="auto"/>
              </w:rPr>
            </w:pPr>
            <w:r>
              <w:rPr>
                <w:rFonts w:ascii="Arial" w:cs="Arial" w:eastAsia="Arial" w:hAnsi="Arial"/>
                <w:sz w:val="12"/>
                <w:szCs w:val="12"/>
                <w:b w:val="1"/>
                <w:bCs w:val="1"/>
                <w:color w:val="auto"/>
              </w:rPr>
              <w:t>2018</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3"/>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34"/>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4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2"/>
          </w:tcPr>
          <w:p>
            <w:pP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9"/>
        </w:trPr>
        <w:tc>
          <w:tcPr>
            <w:tcW w:w="45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Proceeds from issuance of securitization notes and certificates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560" w:type="dxa"/>
            <w:vAlign w:val="bottom"/>
            <w:shd w:val="clear" w:color="auto" w:fill="CCEEFF"/>
          </w:tcPr>
          <w:p>
            <w:pPr>
              <w:ind w:left="420"/>
              <w:spacing w:after="0" w:line="158" w:lineRule="exact"/>
              <w:rPr>
                <w:sz w:val="20"/>
                <w:szCs w:val="20"/>
                <w:color w:val="auto"/>
              </w:rPr>
            </w:pPr>
            <w:r>
              <w:rPr>
                <w:rFonts w:ascii="Arial" w:cs="Arial" w:eastAsia="Arial" w:hAnsi="Arial"/>
                <w:sz w:val="14"/>
                <w:szCs w:val="14"/>
                <w:color w:val="auto"/>
              </w:rPr>
              <w:t>(includes $9,750 and $54,839 from related parties for the years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ended December 31, 2017 and 2018, respectively)</w:t>
            </w: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400,866</w:t>
            </w:r>
          </w:p>
        </w:tc>
        <w:tc>
          <w:tcPr>
            <w:tcW w:w="1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242,454</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40"/>
              <w:spacing w:after="0" w:line="156"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8"/>
        </w:trPr>
        <w:tc>
          <w:tcPr>
            <w:tcW w:w="4560" w:type="dxa"/>
            <w:vAlign w:val="bottom"/>
          </w:tcPr>
          <w:p>
            <w:pPr>
              <w:ind w:left="280"/>
              <w:spacing w:after="0" w:line="158" w:lineRule="exact"/>
              <w:rPr>
                <w:sz w:val="20"/>
                <w:szCs w:val="20"/>
                <w:color w:val="auto"/>
              </w:rPr>
            </w:pPr>
            <w:r>
              <w:rPr>
                <w:rFonts w:ascii="Arial" w:cs="Arial" w:eastAsia="Arial" w:hAnsi="Arial"/>
                <w:sz w:val="14"/>
                <w:szCs w:val="14"/>
                <w:color w:val="auto"/>
              </w:rPr>
              <w:t>Proceeds from sale of noncontrolling interests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16,689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8,914</w:t>
            </w:r>
          </w:p>
        </w:tc>
        <w:tc>
          <w:tcPr>
            <w:tcW w:w="80" w:type="dxa"/>
            <w:vAlign w:val="bottom"/>
          </w:tcPr>
          <w:p>
            <w:pPr>
              <w:spacing w:after="0"/>
              <w:rPr>
                <w:sz w:val="13"/>
                <w:szCs w:val="13"/>
                <w:color w:val="auto"/>
              </w:rPr>
            </w:pPr>
          </w:p>
        </w:tc>
        <w:tc>
          <w:tcPr>
            <w:tcW w:w="90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Proceeds from issuance of convertible notes (includes $10,000 from</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related parties for the year ended December 31, 2017)</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4560" w:type="dxa"/>
            <w:vAlign w:val="bottom"/>
          </w:tcPr>
          <w:p>
            <w:pPr>
              <w:ind w:left="82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412,715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135,766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(119,190)</w:t>
            </w:r>
          </w:p>
        </w:tc>
        <w:tc>
          <w:tcPr>
            <w:tcW w:w="120" w:type="dxa"/>
            <w:vAlign w:val="bottom"/>
          </w:tcPr>
          <w:p>
            <w:pPr>
              <w:spacing w:after="0"/>
              <w:rPr>
                <w:sz w:val="13"/>
                <w:szCs w:val="1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(96,733)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(44,312)</w:t>
            </w:r>
          </w:p>
        </w:tc>
      </w:tr>
      <w:tr>
        <w:trPr>
          <w:trHeight w:val="23"/>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560" w:type="dxa"/>
            <w:vAlign w:val="bottom"/>
            <w:shd w:val="clear" w:color="auto" w:fill="CCEEFF"/>
          </w:tcPr>
          <w:p>
            <w:pPr>
              <w:ind w:left="820"/>
              <w:spacing w:after="0" w:line="158" w:lineRule="exact"/>
              <w:rPr>
                <w:sz w:val="20"/>
                <w:szCs w:val="20"/>
                <w:color w:val="auto"/>
              </w:rPr>
            </w:pPr>
            <w:r>
              <w:rPr>
                <w:rFonts w:ascii="Arial" w:cs="Arial" w:eastAsia="Arial" w:hAnsi="Arial"/>
                <w:sz w:val="14"/>
                <w:szCs w:val="14"/>
                <w:color w:val="auto"/>
              </w:rPr>
              <w:t>Net increase (decrease) in cash and restricted cash</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29,651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48,867</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(42,175)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(22,186)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30,581</w:t>
            </w:r>
          </w:p>
        </w:tc>
        <w:tc>
          <w:tcPr>
            <w:tcW w:w="80" w:type="dxa"/>
            <w:vAlign w:val="bottom"/>
            <w:shd w:val="clear" w:color="auto" w:fill="CCEEFF"/>
          </w:tcPr>
          <w:p>
            <w:pPr>
              <w:spacing w:after="0"/>
              <w:rPr>
                <w:sz w:val="13"/>
                <w:szCs w:val="13"/>
                <w:color w:val="auto"/>
              </w:rPr>
            </w:pPr>
          </w:p>
        </w:tc>
      </w:tr>
      <w:tr>
        <w:trPr>
          <w:trHeight w:val="248"/>
        </w:trPr>
        <w:tc>
          <w:tcPr>
            <w:tcW w:w="4560" w:type="dxa"/>
            <w:vAlign w:val="bottom"/>
          </w:tcPr>
          <w:p>
            <w:pPr>
              <w:spacing w:after="0"/>
              <w:rPr>
                <w:sz w:val="20"/>
                <w:szCs w:val="20"/>
                <w:color w:val="auto"/>
              </w:rPr>
            </w:pPr>
            <w:r>
              <w:rPr>
                <w:rFonts w:ascii="Arial" w:cs="Arial" w:eastAsia="Arial" w:hAnsi="Arial"/>
                <w:sz w:val="14"/>
                <w:szCs w:val="14"/>
                <w:b w:val="1"/>
                <w:bCs w:val="1"/>
                <w:color w:val="auto"/>
              </w:rPr>
              <w:t>Cash and restricted cash</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Beginning of period</w:t>
            </w: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43,724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73,375</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122,242</w:t>
            </w:r>
          </w:p>
        </w:tc>
        <w:tc>
          <w:tcPr>
            <w:tcW w:w="3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122,242</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80,067</w:t>
            </w:r>
          </w:p>
        </w:tc>
        <w:tc>
          <w:tcPr>
            <w:tcW w:w="80" w:type="dxa"/>
            <w:vAlign w:val="bottom"/>
            <w:shd w:val="clear" w:color="auto" w:fill="CCEEFF"/>
          </w:tcPr>
          <w:p>
            <w:pPr>
              <w:spacing w:after="0"/>
              <w:rPr>
                <w:sz w:val="13"/>
                <w:szCs w:val="13"/>
                <w:color w:val="auto"/>
              </w:rPr>
            </w:pPr>
          </w:p>
        </w:tc>
      </w:tr>
      <w:tr>
        <w:trPr>
          <w:trHeight w:val="160"/>
        </w:trPr>
        <w:tc>
          <w:tcPr>
            <w:tcW w:w="4560" w:type="dxa"/>
            <w:vAlign w:val="bottom"/>
          </w:tcPr>
          <w:p>
            <w:pPr>
              <w:spacing w:after="0"/>
              <w:rPr>
                <w:sz w:val="20"/>
                <w:szCs w:val="20"/>
                <w:color w:val="auto"/>
              </w:rPr>
            </w:pPr>
            <w:r>
              <w:rPr>
                <w:rFonts w:ascii="Arial" w:cs="Arial" w:eastAsia="Arial" w:hAnsi="Arial"/>
                <w:sz w:val="14"/>
                <w:szCs w:val="14"/>
                <w:color w:val="auto"/>
              </w:rPr>
              <w:t>End of period</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73,375</w:t>
            </w:r>
          </w:p>
        </w:tc>
        <w:tc>
          <w:tcPr>
            <w:tcW w:w="1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122,242</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80,067</w:t>
            </w:r>
          </w:p>
        </w:tc>
        <w:tc>
          <w:tcPr>
            <w:tcW w:w="3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100,056</w:t>
            </w:r>
          </w:p>
        </w:tc>
        <w:tc>
          <w:tcPr>
            <w:tcW w:w="28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110,648</w:t>
            </w:r>
          </w:p>
        </w:tc>
        <w:tc>
          <w:tcPr>
            <w:tcW w:w="80" w:type="dxa"/>
            <w:vAlign w:val="bottom"/>
          </w:tcPr>
          <w:p>
            <w:pPr>
              <w:spacing w:after="0"/>
              <w:rPr>
                <w:sz w:val="13"/>
                <w:szCs w:val="13"/>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5"/>
        </w:trPr>
        <w:tc>
          <w:tcPr>
            <w:tcW w:w="4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560" w:type="dxa"/>
            <w:vAlign w:val="bottom"/>
          </w:tcPr>
          <w:p>
            <w:pPr>
              <w:spacing w:after="0" w:line="158" w:lineRule="exact"/>
              <w:rPr>
                <w:sz w:val="20"/>
                <w:szCs w:val="20"/>
                <w:color w:val="auto"/>
              </w:rPr>
            </w:pPr>
            <w:r>
              <w:rPr>
                <w:rFonts w:ascii="Arial" w:cs="Arial" w:eastAsia="Arial" w:hAnsi="Arial"/>
                <w:sz w:val="14"/>
                <w:szCs w:val="14"/>
                <w:color w:val="auto"/>
              </w:rPr>
              <w:t>Cash paid for interest</w:t>
            </w: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9,603</w:t>
            </w:r>
          </w:p>
        </w:tc>
        <w:tc>
          <w:tcPr>
            <w:tcW w:w="2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26,676</w:t>
            </w:r>
          </w:p>
        </w:tc>
        <w:tc>
          <w:tcPr>
            <w:tcW w:w="30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26,871</w:t>
            </w:r>
          </w:p>
        </w:tc>
        <w:tc>
          <w:tcPr>
            <w:tcW w:w="360" w:type="dxa"/>
            <w:vAlign w:val="bottom"/>
          </w:tcPr>
          <w:p>
            <w:pPr>
              <w:spacing w:after="0"/>
              <w:rPr>
                <w:sz w:val="13"/>
                <w:szCs w:val="13"/>
                <w:color w:val="auto"/>
              </w:rPr>
            </w:pPr>
          </w:p>
        </w:tc>
        <w:tc>
          <w:tcPr>
            <w:tcW w:w="120" w:type="dxa"/>
            <w:vAlign w:val="bottom"/>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22,512</w:t>
            </w:r>
          </w:p>
        </w:tc>
        <w:tc>
          <w:tcPr>
            <w:tcW w:w="280" w:type="dxa"/>
            <w:vAlign w:val="bottom"/>
            <w:gridSpan w:val="2"/>
          </w:tcPr>
          <w:p>
            <w:pPr>
              <w:ind w:left="140"/>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6,954</w:t>
            </w: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8" w:lineRule="exact"/>
              <w:rPr>
                <w:sz w:val="20"/>
                <w:szCs w:val="20"/>
                <w:color w:val="auto"/>
              </w:rPr>
            </w:pPr>
            <w:r>
              <w:rPr>
                <w:rFonts w:ascii="Arial" w:cs="Arial" w:eastAsia="Arial" w:hAnsi="Arial"/>
                <w:sz w:val="14"/>
                <w:szCs w:val="14"/>
                <w:color w:val="auto"/>
              </w:rPr>
              <w:t>1,905</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1,275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3,101</w:t>
            </w:r>
          </w:p>
        </w:tc>
      </w:tr>
      <w:tr>
        <w:trPr>
          <w:trHeight w:val="248"/>
        </w:trPr>
        <w:tc>
          <w:tcPr>
            <w:tcW w:w="456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operating activities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right-of-use assets capitalized</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16,190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17,084</w:t>
            </w:r>
          </w:p>
        </w:tc>
        <w:tc>
          <w:tcPr>
            <w:tcW w:w="28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3"/>
                <w:szCs w:val="13"/>
                <w:color w:val="auto"/>
              </w:rPr>
            </w:pPr>
          </w:p>
        </w:tc>
      </w:tr>
      <w:tr>
        <w:trPr>
          <w:trHeight w:val="233"/>
        </w:trPr>
        <w:tc>
          <w:tcPr>
            <w:tcW w:w="4560" w:type="dxa"/>
            <w:vAlign w:val="bottom"/>
          </w:tcPr>
          <w:p>
            <w:pPr>
              <w:spacing w:after="0"/>
              <w:rPr>
                <w:sz w:val="20"/>
                <w:szCs w:val="20"/>
                <w:color w:val="auto"/>
              </w:rPr>
            </w:pPr>
            <w:r>
              <w:rPr>
                <w:rFonts w:ascii="Arial" w:cs="Arial" w:eastAsia="Arial" w:hAnsi="Arial"/>
                <w:sz w:val="14"/>
                <w:szCs w:val="14"/>
                <w:b w:val="1"/>
                <w:bCs w:val="1"/>
                <w:color w:val="auto"/>
              </w:rPr>
              <w:t>Supplemental disclosures of non-cash investing and financing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2"/>
        </w:trPr>
        <w:tc>
          <w:tcPr>
            <w:tcW w:w="4560" w:type="dxa"/>
            <w:vAlign w:val="bottom"/>
          </w:tcPr>
          <w:p>
            <w:pPr>
              <w:ind w:left="140"/>
              <w:spacing w:after="0"/>
              <w:rPr>
                <w:sz w:val="20"/>
                <w:szCs w:val="20"/>
                <w:color w:val="auto"/>
              </w:rPr>
            </w:pPr>
            <w:r>
              <w:rPr>
                <w:rFonts w:ascii="Arial" w:cs="Arial" w:eastAsia="Arial" w:hAnsi="Arial"/>
                <w:sz w:val="14"/>
                <w:szCs w:val="14"/>
                <w:b w:val="1"/>
                <w:bCs w:val="1"/>
                <w:color w:val="auto"/>
              </w:rPr>
              <w:t>activities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Derecognition of loans held-for-investment in consolidated VIE</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154,864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72,757</w:t>
            </w:r>
          </w:p>
        </w:tc>
        <w:tc>
          <w:tcPr>
            <w:tcW w:w="28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57,222</w:t>
            </w:r>
          </w:p>
        </w:tc>
        <w:tc>
          <w:tcPr>
            <w:tcW w:w="80" w:type="dxa"/>
            <w:vAlign w:val="bottom"/>
            <w:shd w:val="clear" w:color="auto" w:fill="CCEEFF"/>
          </w:tcPr>
          <w:p>
            <w:pPr>
              <w:spacing w:after="0"/>
              <w:rPr>
                <w:sz w:val="13"/>
                <w:szCs w:val="13"/>
                <w:color w:val="auto"/>
              </w:rPr>
            </w:pPr>
          </w:p>
        </w:tc>
      </w:tr>
      <w:tr>
        <w:trPr>
          <w:trHeight w:val="159"/>
        </w:trPr>
        <w:tc>
          <w:tcPr>
            <w:tcW w:w="4560" w:type="dxa"/>
            <w:vAlign w:val="bottom"/>
          </w:tcPr>
          <w:p>
            <w:pPr>
              <w:spacing w:after="0" w:line="159" w:lineRule="exact"/>
              <w:rPr>
                <w:sz w:val="20"/>
                <w:szCs w:val="20"/>
                <w:color w:val="auto"/>
              </w:rPr>
            </w:pPr>
            <w:r>
              <w:rPr>
                <w:rFonts w:ascii="Arial" w:cs="Arial" w:eastAsia="Arial" w:hAnsi="Arial"/>
                <w:sz w:val="14"/>
                <w:szCs w:val="14"/>
                <w:color w:val="auto"/>
              </w:rPr>
              <w:t>Derecognition of payable to securitization note holders and residual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560" w:type="dxa"/>
            <w:vAlign w:val="bottom"/>
          </w:tcPr>
          <w:p>
            <w:pPr>
              <w:ind w:left="140"/>
              <w:spacing w:after="0" w:line="156" w:lineRule="exact"/>
              <w:rPr>
                <w:sz w:val="20"/>
                <w:szCs w:val="20"/>
                <w:color w:val="auto"/>
              </w:rPr>
            </w:pPr>
            <w:r>
              <w:rPr>
                <w:rFonts w:ascii="Arial" w:cs="Arial" w:eastAsia="Arial" w:hAnsi="Arial"/>
                <w:sz w:val="14"/>
                <w:szCs w:val="14"/>
                <w:color w:val="auto"/>
              </w:rPr>
              <w:t>certificate holders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4"/>
                <w:szCs w:val="14"/>
                <w:color w:val="auto"/>
              </w:rPr>
              <w:t>80,825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6" w:lineRule="exact"/>
              <w:rPr>
                <w:sz w:val="20"/>
                <w:szCs w:val="20"/>
                <w:color w:val="auto"/>
              </w:rPr>
            </w:pPr>
            <w:r>
              <w:rPr>
                <w:rFonts w:ascii="Arial" w:cs="Arial" w:eastAsia="Arial" w:hAnsi="Arial"/>
                <w:sz w:val="14"/>
                <w:szCs w:val="14"/>
                <w:color w:val="auto"/>
              </w:rPr>
              <w:t>58,017</w:t>
            </w:r>
          </w:p>
        </w:tc>
        <w:tc>
          <w:tcPr>
            <w:tcW w:w="80" w:type="dxa"/>
            <w:vAlign w:val="bottom"/>
          </w:tcPr>
          <w:p>
            <w:pPr>
              <w:spacing w:after="0"/>
              <w:rPr>
                <w:sz w:val="13"/>
                <w:szCs w:val="13"/>
                <w:color w:val="auto"/>
              </w:rPr>
            </w:pPr>
          </w:p>
        </w:tc>
      </w:tr>
      <w:tr>
        <w:trPr>
          <w:trHeight w:val="158"/>
        </w:trPr>
        <w:tc>
          <w:tcPr>
            <w:tcW w:w="4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Derecognition of notes payable held in consolidated VIE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69,419</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69,419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4560" w:type="dxa"/>
            <w:vAlign w:val="bottom"/>
          </w:tcPr>
          <w:p>
            <w:pPr>
              <w:spacing w:after="0" w:line="158" w:lineRule="exact"/>
              <w:rPr>
                <w:sz w:val="20"/>
                <w:szCs w:val="20"/>
                <w:color w:val="auto"/>
              </w:rPr>
            </w:pPr>
            <w:r>
              <w:rPr>
                <w:rFonts w:ascii="Arial" w:cs="Arial" w:eastAsia="Arial" w:hAnsi="Arial"/>
                <w:sz w:val="14"/>
                <w:szCs w:val="14"/>
                <w:color w:val="auto"/>
              </w:rPr>
              <w:t>Securities retained under consolidated securitization transactions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9,501</w:t>
            </w:r>
          </w:p>
        </w:tc>
        <w:tc>
          <w:tcPr>
            <w:tcW w:w="8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31,160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31,160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Transfer of notes receivable and residual certificate on deconsolidation of</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VIE</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3,699</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3,339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tcPr>
          <w:p>
            <w:pPr>
              <w:spacing w:after="0" w:line="159" w:lineRule="exact"/>
              <w:rPr>
                <w:sz w:val="20"/>
                <w:szCs w:val="20"/>
                <w:color w:val="auto"/>
              </w:rPr>
            </w:pPr>
            <w:r>
              <w:rPr>
                <w:rFonts w:ascii="Arial" w:cs="Arial" w:eastAsia="Arial" w:hAnsi="Arial"/>
                <w:sz w:val="14"/>
                <w:szCs w:val="14"/>
                <w:color w:val="auto"/>
              </w:rPr>
              <w:t>Conversion of notes as part of issuance of convertible preferred stock</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8"/>
        </w:trPr>
        <w:tc>
          <w:tcPr>
            <w:tcW w:w="4560" w:type="dxa"/>
            <w:vAlign w:val="bottom"/>
          </w:tcPr>
          <w:p>
            <w:pPr>
              <w:ind w:left="140"/>
              <w:spacing w:after="0" w:line="158" w:lineRule="exact"/>
              <w:rPr>
                <w:sz w:val="20"/>
                <w:szCs w:val="20"/>
                <w:color w:val="auto"/>
              </w:rPr>
            </w:pPr>
            <w:r>
              <w:rPr>
                <w:rFonts w:ascii="Arial" w:cs="Arial" w:eastAsia="Arial" w:hAnsi="Arial"/>
                <w:sz w:val="14"/>
                <w:szCs w:val="14"/>
                <w:color w:val="auto"/>
                <w:w w:val="99"/>
              </w:rPr>
              <w:t>(includes $10,605 from related parties for the year ended 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560" w:type="dxa"/>
            <w:vAlign w:val="bottom"/>
          </w:tcPr>
          <w:p>
            <w:pPr>
              <w:ind w:left="140"/>
              <w:spacing w:after="0" w:line="156"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21,210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40" w:type="dxa"/>
            <w:vAlign w:val="bottom"/>
            <w:gridSpan w:val="2"/>
          </w:tcPr>
          <w:p>
            <w:pPr>
              <w:jc w:val="right"/>
              <w:ind w:right="200"/>
              <w:spacing w:after="0" w:line="156"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rPr>
              <w:t>—</w:t>
            </w:r>
          </w:p>
        </w:tc>
      </w:tr>
      <w:tr>
        <w:trPr>
          <w:trHeight w:val="159"/>
        </w:trPr>
        <w:tc>
          <w:tcPr>
            <w:tcW w:w="45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Accrued convertible preferred stock issuance costs included in other</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456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liabilities</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2,080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6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4560" w:type="dxa"/>
            <w:vAlign w:val="bottom"/>
          </w:tcPr>
          <w:p>
            <w:pPr>
              <w:spacing w:after="0"/>
              <w:rPr>
                <w:sz w:val="20"/>
                <w:szCs w:val="20"/>
                <w:color w:val="auto"/>
              </w:rPr>
            </w:pPr>
            <w:r>
              <w:rPr>
                <w:rFonts w:ascii="Arial" w:cs="Arial" w:eastAsia="Arial" w:hAnsi="Arial"/>
                <w:sz w:val="14"/>
                <w:szCs w:val="14"/>
                <w:color w:val="auto"/>
              </w:rPr>
              <w:t>Capitalized stock-based compensation expense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330</w:t>
            </w:r>
          </w:p>
        </w:tc>
        <w:tc>
          <w:tcPr>
            <w:tcW w:w="80" w:type="dxa"/>
            <w:vAlign w:val="bottom"/>
          </w:tcPr>
          <w:p>
            <w:pPr>
              <w:spacing w:after="0"/>
              <w:rPr>
                <w:sz w:val="14"/>
                <w:szCs w:val="14"/>
                <w:color w:val="auto"/>
              </w:rPr>
            </w:pPr>
          </w:p>
        </w:tc>
      </w:tr>
    </w:tbl>
    <w:p>
      <w:pPr>
        <w:spacing w:after="0" w:line="173"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20" w:lineRule="exact"/>
        <w:rPr>
          <w:sz w:val="20"/>
          <w:szCs w:val="20"/>
          <w:color w:val="auto"/>
        </w:rPr>
      </w:pPr>
    </w:p>
    <w:p>
      <w:pPr>
        <w:jc w:val="center"/>
        <w:ind w:right="-1019"/>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0220"/>
          </w:cols>
          <w:pgMar w:left="320" w:top="407" w:right="1359" w:bottom="1440" w:gutter="0" w:footer="0" w:header="0"/>
        </w:sectPr>
      </w:pPr>
    </w:p>
    <w:bookmarkStart w:id="245" w:name="page246"/>
    <w:bookmarkEnd w:id="24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77" w:lineRule="exact"/>
        <w:rPr>
          <w:sz w:val="20"/>
          <w:szCs w:val="20"/>
          <w:color w:val="auto"/>
        </w:rPr>
      </w:pPr>
    </w:p>
    <w:p>
      <w:pPr>
        <w:ind w:left="1480" w:right="4660" w:hanging="453"/>
        <w:spacing w:after="0" w:line="373" w:lineRule="auto"/>
        <w:tabs>
          <w:tab w:leader="none" w:pos="1187" w:val="left"/>
        </w:tabs>
        <w:numPr>
          <w:ilvl w:val="0"/>
          <w:numId w:val="13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Description of Business and Significant Accounting Policies Description of Business</w:t>
      </w:r>
    </w:p>
    <w:p>
      <w:pPr>
        <w:ind w:left="1020" w:right="40" w:firstLine="460"/>
        <w:spacing w:after="0" w:line="238" w:lineRule="auto"/>
        <w:rPr>
          <w:sz w:val="20"/>
          <w:szCs w:val="20"/>
          <w:color w:val="auto"/>
        </w:rPr>
      </w:pPr>
      <w:r>
        <w:rPr>
          <w:rFonts w:ascii="Arial" w:cs="Arial" w:eastAsia="Arial" w:hAnsi="Arial"/>
          <w:sz w:val="15"/>
          <w:szCs w:val="15"/>
          <w:color w:val="auto"/>
        </w:rPr>
        <w:t>Upstart Holdings, Inc. and its subsidiaries (together “Upstart,” or the “Company”) apply modern data science and technology to the process of originating consumer credit. The Company helps bank partners originate credit by providing them with a proprietary, cloud-based, artificial intelligence lending platform. As the Company’s technology continues to improve and additional banks adopt the Upstart platform, consumers benefit from improved access to affordable and frictionless credit.</w:t>
      </w:r>
    </w:p>
    <w:p>
      <w:pPr>
        <w:spacing w:after="0" w:line="172"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Upstart Network, Inc. was incorporated in Delaware in 2012. Pursuant to a restructuring, Upstart Holdings, Inc. was incorporated in December 2013 and became the holding company of Upstart Network, Inc. The Company currently operates in the United States and is headquartered in San Mateo, California and Columbus, Ohio. The Company’s fiscal year ends on December 31.</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Basis of Presentation and Consolidation</w:t>
      </w:r>
    </w:p>
    <w:p>
      <w:pPr>
        <w:spacing w:after="0" w:line="105" w:lineRule="exact"/>
        <w:rPr>
          <w:sz w:val="20"/>
          <w:szCs w:val="20"/>
          <w:color w:val="auto"/>
        </w:rPr>
      </w:pPr>
    </w:p>
    <w:p>
      <w:pPr>
        <w:ind w:left="1020" w:right="460" w:firstLine="460"/>
        <w:spacing w:after="0" w:line="238" w:lineRule="auto"/>
        <w:rPr>
          <w:sz w:val="20"/>
          <w:szCs w:val="20"/>
          <w:color w:val="auto"/>
        </w:rPr>
      </w:pPr>
      <w:r>
        <w:rPr>
          <w:rFonts w:ascii="Arial" w:cs="Arial" w:eastAsia="Arial" w:hAnsi="Arial"/>
          <w:sz w:val="15"/>
          <w:szCs w:val="15"/>
          <w:color w:val="auto"/>
        </w:rPr>
        <w:t>The accompanying consolidated financial statements have been prepared in conformity with accounting principles generally accepted in the United States of America (“GAAP”) and include the accounts of the Company, its wholly-owned subsidiaries, and consolidated variable interest entities (“VIEs”). All intercompany accounts and transactions have been eliminated. The Company’s functional and reporting currency is the U.S. dollar.</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The preparation of consolidated financial statements in conformity with GAAP requires that management make estimates and assumptions that affect the reported amounts of assets and liabilities and disclosure of contingent assets and liabilities at the date of the consolidated financial statements and the reported amounts of revenues and expenses during the reporting periods.</w:t>
      </w:r>
    </w:p>
    <w:p>
      <w:pPr>
        <w:spacing w:after="0" w:line="170"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Significant estimates and assumptions made in the accompanying consolidated financial statements, which Management believes are critical in understanding and evaluating the Company’s reported financial results include: (i) fair value determinations; (ii) stock-based compensation; (iii) consolidation of VIEs; and (iv) provision for income taxes, net of valuation allowance for deferred tax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Interim Financial Statements</w:t>
      </w:r>
    </w:p>
    <w:p>
      <w:pPr>
        <w:spacing w:after="0" w:line="105" w:lineRule="exact"/>
        <w:rPr>
          <w:sz w:val="20"/>
          <w:szCs w:val="20"/>
          <w:color w:val="auto"/>
        </w:rPr>
      </w:pPr>
    </w:p>
    <w:p>
      <w:pPr>
        <w:ind w:left="1020" w:right="580" w:firstLine="460"/>
        <w:spacing w:after="0" w:line="238" w:lineRule="auto"/>
        <w:rPr>
          <w:sz w:val="20"/>
          <w:szCs w:val="20"/>
          <w:color w:val="auto"/>
        </w:rPr>
      </w:pPr>
      <w:r>
        <w:rPr>
          <w:rFonts w:ascii="Arial" w:cs="Arial" w:eastAsia="Arial" w:hAnsi="Arial"/>
          <w:sz w:val="15"/>
          <w:szCs w:val="15"/>
          <w:color w:val="auto"/>
        </w:rPr>
        <w:t>The accompanying interim consolidated balance sheets as of September 30, 2020, the interim consolidated statements of operations and comprehensive income (loss) for the nine months ended September 30, 2019 and 2020, the interim consolidated statements of convertible preferred stock and stockholders’ deficit for the nine months ended September 30, 2020, the interim consolidated statements of cash flows for the nine months ended September 30, 2019 and 2020 and related note information are unaudited.</w:t>
      </w:r>
    </w:p>
    <w:p>
      <w:pPr>
        <w:spacing w:after="0" w:line="170"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The unaudited interim financial statements have been prepared on the same basis as the annual consolidated financial statements and in the Company’s opinion, reflect all adjustments that are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0160"/>
          </w:cols>
          <w:pgMar w:left="320" w:top="407" w:right="1419" w:bottom="1440" w:gutter="0" w:footer="0" w:header="0"/>
        </w:sectPr>
      </w:pPr>
    </w:p>
    <w:bookmarkStart w:id="246" w:name="page247"/>
    <w:bookmarkEnd w:id="24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spacing w:after="0" w:line="238" w:lineRule="auto"/>
        <w:rPr>
          <w:sz w:val="20"/>
          <w:szCs w:val="20"/>
          <w:color w:val="auto"/>
        </w:rPr>
      </w:pPr>
      <w:r>
        <w:rPr>
          <w:rFonts w:ascii="Arial" w:cs="Arial" w:eastAsia="Arial" w:hAnsi="Arial"/>
          <w:sz w:val="15"/>
          <w:szCs w:val="15"/>
          <w:color w:val="auto"/>
        </w:rPr>
        <w:t>necessary to present fairly the Company’s consolidated balance sheet as of September 30, 2020, and the related statements of operations and the comprehensive income (loss), the statements of convertible preferred stock and stockholders’ deficit, and the cash flow statements for the nine months ended September 30, 2019 and 2020. The financial data and the other information disclosed in these notes to the consolidated financial statements related to these nine-month periods are unaudited.</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results of the nine months ended September 30, 2020 are not necessarily indicative of the results to be expected for the year ending December 31, 2020 or for any other future periods.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Balance Sheet Information</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unaudited pro forma balance sheet information as of September 30, 2020 is presented as though all of the Company’s outstanding shares of convertible preferred stock have been converted into shares of common stock upon the completion of an initial public offering (“IPO”) of the Company’s common stock. In addition, the pro forma balance sheet information assumes the reclassification of the convertible preferred stock warrant liability to additional paid-in capital upon the exercise of the convertible preferred stock warrant prior to the completion of the IPO, and the subsequent automatic conversion of preferred stock shares into common stock upon the completion of the IPO. The unaudited pro forma balance sheet information does not assume any proceeds from the IPO.</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Variable Interest Entities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ownership, or other monetary interests in the entity. The Company consolidates a VIE when it is deemed to be the primary beneficiary. The Company determines it is the primary beneficiary if it has the power to direct activities that most significantly impact the VIE’s economic performance and has the obligation to absorb losses or the right to receive benefits of the VIE that could be potentially significant to the VIE. The Company assesses whether or not it is the primary beneficiary of a VIE on an ongoing basis.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Noncontrolling Interests</w:t>
      </w:r>
    </w:p>
    <w:p>
      <w:pPr>
        <w:spacing w:after="0" w:line="105"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Noncontrolling interests represent a portion of the equity of consolidated VIEs that are not held by the Company. These interests are recognized as a result of the admission of non-voting members into consolidated majority-owned affiliates (“MOAs”), which were formed in conjunction with the 2017-1, 2017-2, and 2018-1 securitizations for the purpose of holding subordinated certificates in sponsored securitizations for risk retention purposes. See “</w:t>
      </w:r>
      <w:r>
        <w:rPr>
          <w:rFonts w:ascii="Arial" w:cs="Arial" w:eastAsia="Arial" w:hAnsi="Arial"/>
          <w:sz w:val="15"/>
          <w:szCs w:val="15"/>
          <w:i w:val="1"/>
          <w:iCs w:val="1"/>
          <w:color w:val="auto"/>
        </w:rPr>
        <w:t>Note 3. Securitizations and Variable Interest Entities</w:t>
      </w:r>
      <w:r>
        <w:rPr>
          <w:rFonts w:ascii="Arial" w:cs="Arial" w:eastAsia="Arial" w:hAnsi="Arial"/>
          <w:sz w:val="15"/>
          <w:szCs w:val="15"/>
          <w:color w:val="auto"/>
        </w:rPr>
        <w:t>” for details. Earnings and losses associated with these VIEs, are allocated to noncontrolling interests proportionally to their ownership interests in these entities in the period they are incurred. Cash distributions to holders of noncontrolling interests are made in the period following the allocation of earnings and losses. Noncontrolling interests and associated income or losses for each year presented are disclosed as separate line items on the consolidated balance sheets and consolidated statements of operations and comprehensive income (loss), respectively.</w:t>
      </w:r>
    </w:p>
    <w:p>
      <w:pPr>
        <w:spacing w:after="0" w:line="11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0200"/>
          </w:cols>
          <w:pgMar w:left="320" w:top="407" w:right="1379" w:bottom="1440" w:gutter="0" w:footer="0" w:header="0"/>
        </w:sectPr>
      </w:pPr>
    </w:p>
    <w:bookmarkStart w:id="247" w:name="page248"/>
    <w:bookmarkEnd w:id="24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Cash and Restricted Cash</w:t>
      </w:r>
    </w:p>
    <w:p>
      <w:pPr>
        <w:spacing w:after="0" w:line="105" w:lineRule="exact"/>
        <w:rPr>
          <w:sz w:val="20"/>
          <w:szCs w:val="20"/>
          <w:color w:val="auto"/>
        </w:rPr>
      </w:pPr>
    </w:p>
    <w:p>
      <w:pPr>
        <w:jc w:val="both"/>
        <w:ind w:left="1020" w:right="280" w:firstLine="460"/>
        <w:spacing w:after="0"/>
        <w:rPr>
          <w:sz w:val="20"/>
          <w:szCs w:val="20"/>
          <w:color w:val="auto"/>
        </w:rPr>
      </w:pPr>
      <w:r>
        <w:rPr>
          <w:rFonts w:ascii="Arial" w:cs="Arial" w:eastAsia="Arial" w:hAnsi="Arial"/>
          <w:sz w:val="15"/>
          <w:szCs w:val="15"/>
          <w:color w:val="auto"/>
        </w:rPr>
        <w:t>Cash consists of bank deposits held in business checking and interest-bearing deposit accounts. As of December 31, 2018 and 2019, and September 30, 2020 (unaudited), the Company did not have any cash equivalent balances, defined as highly liquid financial instruments purchased with original maturities of three months or less.</w:t>
      </w:r>
    </w:p>
    <w:p>
      <w:pPr>
        <w:spacing w:after="0" w:line="170"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Restricted cash primarily consists of bank deposits that are: (i) received from borrowers for interest and applied to loans as part of loan servicing, but not yet distributed to investors; (ii) received from investors as collateral for financing of loan purchases on the Upstart platform but not yet invested in issued loans; and (iii) collateral for a letter of credit the Company is required to maintain under its operating lease agreement.</w:t>
      </w:r>
    </w:p>
    <w:p>
      <w:pPr>
        <w:spacing w:after="0" w:line="172"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 provides a reconciliation of cash and restricted cash reported within the consolidated balance sheets that sum to the total of the same amounts shown in the consolidated statements of cash flows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4"/>
          </w:tcPr>
          <w:p>
            <w:pPr>
              <w:ind w:left="200"/>
              <w:spacing w:after="0"/>
              <w:rPr>
                <w:sz w:val="20"/>
                <w:szCs w:val="20"/>
                <w:color w:val="auto"/>
              </w:rPr>
            </w:pPr>
            <w:r>
              <w:rPr>
                <w:rFonts w:ascii="Arial" w:cs="Arial" w:eastAsia="Arial" w:hAnsi="Arial"/>
                <w:sz w:val="12"/>
                <w:szCs w:val="12"/>
                <w:b w:val="1"/>
                <w:bCs w:val="1"/>
                <w:color w:val="auto"/>
              </w:rPr>
              <w:t>December 31,</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8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2017</w:t>
            </w: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320" w:type="dxa"/>
            <w:vAlign w:val="bottom"/>
            <w:tcBorders>
              <w:top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5"/>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5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Cash</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$42,020</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73,038</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$44,389</w:t>
            </w:r>
          </w:p>
        </w:tc>
        <w:tc>
          <w:tcPr>
            <w:tcW w:w="40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53,234</w:t>
            </w:r>
          </w:p>
        </w:tc>
        <w:tc>
          <w:tcPr>
            <w:tcW w:w="40" w:type="dxa"/>
            <w:vAlign w:val="bottom"/>
            <w:shd w:val="clear" w:color="auto" w:fill="CCEEFF"/>
          </w:tcPr>
          <w:p>
            <w:pPr>
              <w:spacing w:after="0"/>
              <w:rPr>
                <w:sz w:val="13"/>
                <w:szCs w:val="13"/>
                <w:color w:val="auto"/>
              </w:rPr>
            </w:pPr>
          </w:p>
        </w:tc>
      </w:tr>
      <w:tr>
        <w:trPr>
          <w:trHeight w:val="160"/>
        </w:trPr>
        <w:tc>
          <w:tcPr>
            <w:tcW w:w="5820" w:type="dxa"/>
            <w:vAlign w:val="bottom"/>
          </w:tcPr>
          <w:p>
            <w:pPr>
              <w:ind w:left="280"/>
              <w:spacing w:after="0" w:line="158" w:lineRule="exact"/>
              <w:rPr>
                <w:sz w:val="20"/>
                <w:szCs w:val="20"/>
                <w:color w:val="auto"/>
              </w:rPr>
            </w:pPr>
            <w:r>
              <w:rPr>
                <w:rFonts w:ascii="Arial" w:cs="Arial" w:eastAsia="Arial" w:hAnsi="Arial"/>
                <w:sz w:val="14"/>
                <w:szCs w:val="14"/>
                <w:color w:val="auto"/>
              </w:rPr>
              <w:t>Restricted cash</w:t>
            </w: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31,355</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49,204</w:t>
            </w:r>
          </w:p>
        </w:tc>
        <w:tc>
          <w:tcPr>
            <w:tcW w:w="3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35,678</w:t>
            </w:r>
          </w:p>
        </w:tc>
        <w:tc>
          <w:tcPr>
            <w:tcW w:w="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57,414</w:t>
            </w:r>
          </w:p>
        </w:tc>
        <w:tc>
          <w:tcPr>
            <w:tcW w:w="40" w:type="dxa"/>
            <w:vAlign w:val="bottom"/>
          </w:tcPr>
          <w:p>
            <w:pPr>
              <w:spacing w:after="0"/>
              <w:rPr>
                <w:sz w:val="13"/>
                <w:szCs w:val="13"/>
                <w:color w:val="auto"/>
              </w:rPr>
            </w:pPr>
          </w:p>
        </w:tc>
      </w:tr>
      <w:tr>
        <w:trPr>
          <w:trHeight w:val="158"/>
        </w:trPr>
        <w:tc>
          <w:tcPr>
            <w:tcW w:w="5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cash and restricted cash</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73,375</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122,242</w:t>
            </w:r>
          </w:p>
        </w:tc>
        <w:tc>
          <w:tcPr>
            <w:tcW w:w="3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80,067</w:t>
            </w:r>
          </w:p>
        </w:tc>
        <w:tc>
          <w:tcPr>
            <w:tcW w:w="40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110,648</w:t>
            </w:r>
          </w:p>
        </w:tc>
        <w:tc>
          <w:tcPr>
            <w:tcW w:w="40" w:type="dxa"/>
            <w:vAlign w:val="bottom"/>
            <w:shd w:val="clear" w:color="auto" w:fill="CCEEFF"/>
          </w:tcPr>
          <w:p>
            <w:pPr>
              <w:spacing w:after="0"/>
              <w:rPr>
                <w:sz w:val="13"/>
                <w:szCs w:val="13"/>
                <w:color w:val="auto"/>
              </w:rPr>
            </w:pPr>
          </w:p>
        </w:tc>
      </w:tr>
      <w:tr>
        <w:trPr>
          <w:trHeight w:val="20"/>
        </w:trPr>
        <w:tc>
          <w:tcPr>
            <w:tcW w:w="5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Financial Instruments not Measured at Fair Value</w:t>
      </w:r>
    </w:p>
    <w:p>
      <w:pPr>
        <w:spacing w:after="0" w:line="105"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Company’s financial instruments not measured at fair value consist primarily of cash, restricted cash, and other assets (excluding certain financial instruments, which are measured at fair value), accounts payable, payable to investors, and other liabilities (excluding certain financial instruments, including loan servicing assets and liabilities, common stock warrant liabilities and convertible preferred stock warrant liabilities, which are measured at fair value). The carrying values of these financial instruments are considered to be representative of their respective fair values due to their short-term nature.</w:t>
      </w:r>
    </w:p>
    <w:p>
      <w:pPr>
        <w:spacing w:after="0" w:line="170" w:lineRule="exact"/>
        <w:rPr>
          <w:sz w:val="20"/>
          <w:szCs w:val="20"/>
          <w:color w:val="auto"/>
        </w:rPr>
      </w:pPr>
    </w:p>
    <w:p>
      <w:pPr>
        <w:ind w:left="1020" w:right="120" w:firstLine="460"/>
        <w:spacing w:after="0" w:line="237" w:lineRule="auto"/>
        <w:rPr>
          <w:sz w:val="20"/>
          <w:szCs w:val="20"/>
          <w:color w:val="auto"/>
        </w:rPr>
      </w:pPr>
      <w:r>
        <w:rPr>
          <w:rFonts w:ascii="Arial" w:cs="Arial" w:eastAsia="Arial" w:hAnsi="Arial"/>
          <w:sz w:val="15"/>
          <w:szCs w:val="15"/>
          <w:color w:val="auto"/>
        </w:rPr>
        <w:t>Similarly, distributions payable to investors in securitization transactions, included in payable to securitization note holders and residual certificates holders in the Company’s consolidated balance sheets, are settled monthly as part of the waterfall payments and are not carried at fair value. Payable to investors includes amounts of loan repayments not yet distributed to investors, as well as amounts received from investors but not yet invested directly in whole loans or notes payable. Borrowings are presented at par, net of debt issuance costs and amortized over the contractual term, with accrued interest included as part of accounts payable on the consolidated balance sheets. The carrying value of borrowings approximates the fair value due to their relatively short maturities.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Measurement</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Assets and liabilities recorded at fair value on a recurring basis on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0220"/>
          </w:cols>
          <w:pgMar w:left="320" w:top="407" w:right="1359" w:bottom="1440" w:gutter="0" w:footer="0" w:header="0"/>
        </w:sectPr>
      </w:pPr>
    </w:p>
    <w:bookmarkStart w:id="248" w:name="page249"/>
    <w:bookmarkEnd w:id="24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spacing w:after="0" w:line="238" w:lineRule="auto"/>
        <w:rPr>
          <w:sz w:val="20"/>
          <w:szCs w:val="20"/>
          <w:color w:val="auto"/>
        </w:rPr>
      </w:pPr>
      <w:r>
        <w:rPr>
          <w:rFonts w:ascii="Arial" w:cs="Arial" w:eastAsia="Arial" w:hAnsi="Arial"/>
          <w:sz w:val="15"/>
          <w:szCs w:val="15"/>
          <w:color w:val="auto"/>
        </w:rPr>
        <w:t>asset or liability in an orderly transaction between market participants on the measurement date. The price used to measure fair value is not adjusted for transaction costs. The principal market is the market in which the Company would sell or transfer the asset with the greatest volume and level of activity for the asset. In determining the principal market for an asset or liability, it is assumed that the Company has access to the market as of the measurement date. If no market for the asset exists, or if the Company does not have access to the principal market, a hypothetical market is used.</w:t>
      </w:r>
    </w:p>
    <w:p>
      <w:pPr>
        <w:spacing w:after="0" w:line="170"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authoritative guidance on fair value measurements establishes a three-tier fair value hierarchy for disclosure of fair value measurements as follows:</w:t>
      </w:r>
    </w:p>
    <w:p>
      <w:pPr>
        <w:spacing w:after="0" w:line="166" w:lineRule="exact"/>
        <w:rPr>
          <w:sz w:val="20"/>
          <w:szCs w:val="20"/>
          <w:color w:val="auto"/>
        </w:rPr>
      </w:pPr>
    </w:p>
    <w:p>
      <w:pPr>
        <w:ind w:left="1580"/>
        <w:spacing w:after="0"/>
        <w:rPr>
          <w:sz w:val="20"/>
          <w:szCs w:val="20"/>
          <w:color w:val="auto"/>
        </w:rPr>
      </w:pPr>
      <w:r>
        <w:rPr>
          <w:rFonts w:ascii="Arial" w:cs="Arial" w:eastAsia="Arial" w:hAnsi="Arial"/>
          <w:sz w:val="15"/>
          <w:szCs w:val="15"/>
          <w:color w:val="auto"/>
        </w:rPr>
        <w:t>Level 1—Unadjusted quoted market prices in active markets for identical assets or liabilities;</w:t>
      </w:r>
    </w:p>
    <w:p>
      <w:pPr>
        <w:spacing w:after="0" w:line="87" w:lineRule="exact"/>
        <w:rPr>
          <w:sz w:val="20"/>
          <w:szCs w:val="20"/>
          <w:color w:val="auto"/>
        </w:rPr>
      </w:pPr>
    </w:p>
    <w:p>
      <w:pPr>
        <w:ind w:left="1300" w:right="100" w:firstLine="268"/>
        <w:spacing w:after="0"/>
        <w:rPr>
          <w:sz w:val="20"/>
          <w:szCs w:val="20"/>
          <w:color w:val="auto"/>
        </w:rPr>
      </w:pPr>
      <w:r>
        <w:rPr>
          <w:rFonts w:ascii="Arial" w:cs="Arial" w:eastAsia="Arial" w:hAnsi="Arial"/>
          <w:sz w:val="15"/>
          <w:szCs w:val="15"/>
          <w:color w:val="auto"/>
        </w:rPr>
        <w:t>Level 2— 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80" w:lineRule="exact"/>
        <w:rPr>
          <w:sz w:val="20"/>
          <w:szCs w:val="20"/>
          <w:color w:val="auto"/>
        </w:rPr>
      </w:pPr>
    </w:p>
    <w:p>
      <w:pPr>
        <w:ind w:left="1300" w:right="340" w:firstLine="268"/>
        <w:spacing w:after="0" w:line="245" w:lineRule="auto"/>
        <w:rPr>
          <w:sz w:val="20"/>
          <w:szCs w:val="20"/>
          <w:color w:val="auto"/>
        </w:rPr>
      </w:pPr>
      <w:r>
        <w:rPr>
          <w:rFonts w:ascii="Arial" w:cs="Arial" w:eastAsia="Arial" w:hAnsi="Arial"/>
          <w:sz w:val="15"/>
          <w:szCs w:val="15"/>
          <w:color w:val="auto"/>
        </w:rPr>
        <w:t>Level 3— Unobservable inputs that are supported by little or no market activity and that are significant to the fair value of the assets or liabilities.</w:t>
      </w:r>
    </w:p>
    <w:p>
      <w:pPr>
        <w:spacing w:after="0" w:line="166"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Assets and liabilities measured at fair value on a recurring basis include loans, notes receivable and residual certificates, notes payable, payable to securitization note holders and residual certificate holders, other assets, common stock warrant liabilities, convertible preferred stock warrant liabilities, loan servicing assets and liabilities, and other liabilities. When developing fair value measurements, the Company maximizes the use of observable inputs and minimizes the use of unobservable inputs. However, for certain instruments, the Company must utilize unobservable inputs in determining fair value due to the lack of observable inputs in the market,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Transfer of Financial Assets</w:t>
      </w:r>
    </w:p>
    <w:p>
      <w:pPr>
        <w:spacing w:after="0" w:line="105"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Upstart-powered loans originated by bank partners are either retained by the bank partners, purchased by the Company for immediate resale to institutional investors under loan sale agreements, or purchased and held by the Company. Loans retained and held on the Company’s consolidated balance sheets are classified as either held-for-investment or held-for-sale, and loans purchased for immediate resale to third-party investors are classified as held-for-sale. Immediate loan resales to institutional investors are accounted for as transfers of financial assets when the Company surrenders control of these loan assets. These sales typically occur shortly after the origination of the loans by the bank partner and the Company’s subsequent acquisition of the loans from the originating bank partner. Loans sold to institutional investors are derecognized from the Company’s consolidated balance sheets at the time of sale in accordance with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The Company records an asset or a liability at fair value for its estimated post-sale servicing obligations. The Company also records liabilities at fair value for contingent obligations to repurchase loans that do not conform to the representations and warranties made to the loan purchaser at the time of sale. The net liability is included in other liabilities on the Company’s consolidated balance sheets.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0140"/>
          </w:cols>
          <w:pgMar w:left="320" w:top="407" w:right="1439" w:bottom="1440" w:gutter="0" w:footer="0" w:header="0"/>
        </w:sectPr>
      </w:pPr>
    </w:p>
    <w:bookmarkStart w:id="249" w:name="page250"/>
    <w:bookmarkEnd w:id="24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480" w:firstLine="460"/>
        <w:spacing w:after="0" w:line="245" w:lineRule="auto"/>
        <w:rPr>
          <w:sz w:val="20"/>
          <w:szCs w:val="20"/>
          <w:color w:val="auto"/>
        </w:rPr>
      </w:pPr>
      <w:r>
        <w:rPr>
          <w:rFonts w:ascii="Arial" w:cs="Arial" w:eastAsia="Arial" w:hAnsi="Arial"/>
          <w:sz w:val="15"/>
          <w:szCs w:val="15"/>
          <w:color w:val="auto"/>
        </w:rPr>
        <w:t>The Company retains certain loans purchased from originating bank partners upon completion of the required holding period primarily for product development purposes. Refer to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for further details.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 Servicing Assets and Liabilities</w:t>
      </w:r>
    </w:p>
    <w:p>
      <w:pPr>
        <w:spacing w:after="0" w:line="105" w:lineRule="exact"/>
        <w:rPr>
          <w:sz w:val="20"/>
          <w:szCs w:val="20"/>
          <w:color w:val="auto"/>
        </w:rPr>
      </w:pPr>
    </w:p>
    <w:p>
      <w:pPr>
        <w:ind w:left="1020" w:right="220" w:firstLine="460"/>
        <w:spacing w:after="0" w:line="238" w:lineRule="auto"/>
        <w:rPr>
          <w:sz w:val="20"/>
          <w:szCs w:val="20"/>
          <w:color w:val="auto"/>
        </w:rPr>
      </w:pPr>
      <w:r>
        <w:rPr>
          <w:rFonts w:ascii="Arial" w:cs="Arial" w:eastAsia="Arial" w:hAnsi="Arial"/>
          <w:sz w:val="15"/>
          <w:szCs w:val="15"/>
          <w:color w:val="auto"/>
        </w:rPr>
        <w:t>Loan servicing assets and liabilities are recognized at fair value when the Company transfers loans, which qualify as sales under Topic 860 with servicing rights retained or when the Company enters into servicing agreements with bank partners who retain Upstart-powered loans. A loan servicing asset or liability exists depending on whether the revenue from servicing is expected to more than adequately compensate the Company for carrying out its servicing obligations.</w:t>
      </w:r>
    </w:p>
    <w:p>
      <w:pPr>
        <w:spacing w:after="0" w:line="172" w:lineRule="exact"/>
        <w:rPr>
          <w:sz w:val="20"/>
          <w:szCs w:val="20"/>
          <w:color w:val="auto"/>
        </w:rPr>
      </w:pPr>
    </w:p>
    <w:p>
      <w:pPr>
        <w:ind w:left="1020" w:right="420" w:firstLine="460"/>
        <w:spacing w:after="0"/>
        <w:rPr>
          <w:sz w:val="20"/>
          <w:szCs w:val="20"/>
          <w:color w:val="auto"/>
        </w:rPr>
      </w:pPr>
      <w:r>
        <w:rPr>
          <w:rFonts w:ascii="Arial" w:cs="Arial" w:eastAsia="Arial" w:hAnsi="Arial"/>
          <w:sz w:val="15"/>
          <w:szCs w:val="15"/>
          <w:color w:val="auto"/>
        </w:rPr>
        <w:t>Loan servicing assets and liabilities are recorded in other assets and other liabilities, respectively, in the consolidated balance sheets, with changes in fair value recorded in servicing revenue, net, which is part of revenue from fees, net in the consolidated statements of operations and comprehensive income (loss) in the periods presented.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105"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Property, equipment, and software are stated at cost less accumulated depreciation and amortization. Depreciation and amortization are recognized using the straight-line method over the estimated useful lives of the assets, which are generally three years for internally developed software, computer equipment, and furniture and fixtures. Leasehold improvements are depreciated over the shorter of the remaining lease term or the estimated useful life.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Internally developed software is capitalized upon completion of the preliminary project stage, when it becomes probable that the project will be completed, and the software will be used as intended. Capitalized costs primarily consist of salaries and payroll related costs for employees directly involved in development efforts. Costs related to the preliminary project stage and activities occurring after the implementation of the software are expensed as incurred. Costs incurred for software upgrades are capitalized if they result in additional functionalities or substantial enhancements.</w:t>
      </w:r>
    </w:p>
    <w:p>
      <w:pPr>
        <w:spacing w:after="0" w:line="170"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The Company evaluates its long-lived assets for potential impairment when events or changes in circumstances indicate that the carrying amount of the assets may not be recoverable. When such an event occurs, the Company determines whether there has been an impairment by comparing the anticipated undiscounted future net cash flows to the related asset group’s carrying value. If an asset group is considered impaired, it is written down to its fair value, which is determined based on discounted cash flows or appraised values, depending on the nature of the assets. There were no impairments of long-lived assets as of December 31, 2018 and 2019, and September 30, 2020 (unaudited).</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Leases</w:t>
      </w:r>
    </w:p>
    <w:p>
      <w:pPr>
        <w:spacing w:after="0" w:line="89" w:lineRule="exact"/>
        <w:rPr>
          <w:sz w:val="20"/>
          <w:szCs w:val="20"/>
          <w:color w:val="auto"/>
        </w:rPr>
      </w:pPr>
    </w:p>
    <w:p>
      <w:pPr>
        <w:ind w:left="1020" w:right="160" w:firstLine="460"/>
        <w:spacing w:after="0" w:line="251" w:lineRule="auto"/>
        <w:rPr>
          <w:sz w:val="20"/>
          <w:szCs w:val="20"/>
          <w:color w:val="auto"/>
        </w:rPr>
      </w:pPr>
      <w:r>
        <w:rPr>
          <w:rFonts w:ascii="Arial" w:cs="Arial" w:eastAsia="Arial" w:hAnsi="Arial"/>
          <w:sz w:val="15"/>
          <w:szCs w:val="15"/>
          <w:color w:val="auto"/>
        </w:rPr>
        <w:t xml:space="preserve">As of January 1, 2019, the Company adopted Accounting Standards Update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Periods subsequent to the adoption date are presented and disclosed in accordance with Topic 842,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while comparative periods continue to be presented and disclosed in accordance with legacy guidance in Topic 840, </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0220"/>
          </w:cols>
          <w:pgMar w:left="320" w:top="407" w:right="1359" w:bottom="1440" w:gutter="0" w:footer="0" w:header="0"/>
        </w:sectPr>
      </w:pPr>
    </w:p>
    <w:bookmarkStart w:id="250" w:name="page251"/>
    <w:bookmarkEnd w:id="25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The Company determines if an arrangement is or contains a lease at inception. Operating leases are recorded on the consolidated balance sheet with right-of-use assets representing the right to use the underlying asset and lease liabilities representing the obligation to make lease payments. Right-of-use assets (“ROU”) and lease liabilities are recognized at lease commencement primarily based on the present value of lease payments over the lease term, and as necessary, at modification. The operating lease ROU assets also include any initial direct costs, lease payments made prior to lease commencement, and lease incentives received. Variable lease payments are expensed as incurred and are not included within the ROU asset and lease liability calculation. Variable lease payments primarily include reimbursements of costs incurred by lessors for common area maintenance and utilities. The Company’s lease terms are the noncancelable period including any rent-free periods provided by the lessor and may include options to extend or terminate the lease when it is reasonably certain that it will exercise that option. At lease inception, and in subsequent periods as necessary, the Company estimates the lease term based on its assessment of extension and termination options that are reasonably certain to be exercised. Lease costs for lease payments are recognized on a straight-line basis over the lease term. As the rate implicit on the Company’s leases is not readily determinable, the Company uses its secured incremental borrowing rate to determine the present value of lease payments. The incremental borrowing rate is the rate of interest that the Company would have to pay to borrow an amount equal to the lease payments on a collateralized basis over a similar term and in a similar economic environment. As of December 31, 2019 and September 30, 2020 (unaudited), the Company did not have any material finance leases.</w:t>
      </w:r>
    </w:p>
    <w:p>
      <w:pPr>
        <w:spacing w:after="0" w:line="171"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Company has elected not to separate lease and non-lease components for any leases within its existing classes of assets and, as a result, accounts for any lease and non-lease components as a single lease component. The Company does not have any material leases with a term of 12 months or less.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Warrant Liabilities</w:t>
      </w:r>
    </w:p>
    <w:p>
      <w:pPr>
        <w:spacing w:after="0" w:line="105"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The Company issued common stock warrants in connection with loan agreements executed during the year ended December 31, 2018. These common stock warrants are exercisable at any time and have a repurchase option in the event of a qualified sale of the Company. Upon a qualified sale of the Company, the common stock warrant holder has the option to require the Company to repurchase the warrant in its entirety for a predetermined price based on the time that has elapsed between the issuance of the warrant and the date of acquisition. The warrants are contingently subject to repurchase at the option of the holder and are therefore, classified as liabilities and reported in other liabilities on the consolidated balance sheet at their estimated fair value. The warrants are subject to re-measurement at each balance sheet date and the change in fair value, if any, is recognized as expense on warrants and convertible notes, net in the consolidated statements of operations. The Company will continue to adjust the liability for changes in fair value until the repurchase, exercise or expiration of the warrants.</w:t>
      </w:r>
    </w:p>
    <w:p>
      <w:pPr>
        <w:spacing w:after="0" w:line="24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 Warrant Liabilities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 issued convertible preferred stock warrants to institutional investors that are exercisable at any time. Such warrants are recorded within other liabilities on the consolidated balance sheets at their estimated fair value because the shares underlying the warrants may obligate the Company to transfer assets to the holders at a future date under certain circumstances such as a deemed liquidation event. The fair value of the convertible preferred stock warrant liabilities is estimated using the Black-Scholes option-pricing model and the change in fair value, if any, is included in expense on warrants and convertible notes, net in the consolidated statements of operations and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0200"/>
          </w:cols>
          <w:pgMar w:left="320" w:top="407" w:right="1379" w:bottom="1440" w:gutter="0" w:footer="0" w:header="0"/>
        </w:sectPr>
      </w:pPr>
    </w:p>
    <w:bookmarkStart w:id="251" w:name="page252"/>
    <w:bookmarkEnd w:id="25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comprehensive income (loss). The Company will continue to remeasure these warrants until the earlier of the (i) expiration; (ii) exercise; or</w:t>
      </w:r>
    </w:p>
    <w:p>
      <w:pPr>
        <w:ind w:left="1020" w:right="320" w:firstLine="7"/>
        <w:spacing w:after="0" w:line="245" w:lineRule="auto"/>
        <w:tabs>
          <w:tab w:leader="none" w:pos="126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consummation of an IPO, at which time all convertible preferred stock warrants will be net exercised into common stock. Upon exercise, the related convertible preferred stock warrant liability will be reclassified to additional paid-in capital.</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 xml:space="preserve">The Company’s revenue consists of two components: revenue from fees, net and interest income and fair value adjustments, net. The revenue from fees, net line item on the consolidated statements of operations is primarily comprised of platform and referral fees, net, which are recognized based on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The Company adopted Topic 606 as of January 1, 2019, using the modified retrospective method for all contracts that were not complete as of the date of adoption. The adoption of Topic 606 did not have a material impact on the Company’s consolidated balance sheets, consolidated statements of operations and comprehensive income (loss) and consolidated statements of cash flows as of the adoption date.</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Topic 606 outlines a single comprehensive model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 Refer to “</w:t>
      </w:r>
      <w:r>
        <w:rPr>
          <w:rFonts w:ascii="Arial" w:cs="Arial" w:eastAsia="Arial" w:hAnsi="Arial"/>
          <w:sz w:val="15"/>
          <w:szCs w:val="15"/>
          <w:i w:val="1"/>
          <w:iCs w:val="1"/>
          <w:color w:val="auto"/>
        </w:rPr>
        <w:t>Note 2. Revenue</w:t>
      </w:r>
      <w:r>
        <w:rPr>
          <w:rFonts w:ascii="Arial" w:cs="Arial" w:eastAsia="Arial" w:hAnsi="Arial"/>
          <w:sz w:val="15"/>
          <w:szCs w:val="15"/>
          <w:color w:val="auto"/>
        </w:rPr>
        <w:t>” for further details.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Operating Expenses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Sales and marketing</w:t>
      </w:r>
    </w:p>
    <w:p>
      <w:pPr>
        <w:spacing w:after="0" w:line="103"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Sales and marketing expenses primarily consist of costs incurred across various advertising channels, including expenses for partnerships with third-parties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for related teams. These costs are recognized in the period incurred.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Customer operations</w:t>
      </w:r>
    </w:p>
    <w:p>
      <w:pPr>
        <w:spacing w:after="0" w:line="103"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Customer operations expenses include payroll and other personnel-related expenses, including stock-based compensation expense, for personnel engaged in onboarding, loan servicing, customer support and other related operational teams. These costs also include costs of third-party collection agencies and other systems and tools the Company uses as part of information verification, fraud detection, and payment processing activities. These costs are recognized in the period incurred.</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Engineering and product development</w:t>
      </w:r>
    </w:p>
    <w:p>
      <w:pPr>
        <w:spacing w:after="0" w:line="103"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Engineering and product development expenses primarily consist of payroll and other employee-related expenses, including stock-based compensation expenses, for the engineering and product development teams as well the costs of systems and tools used by these teams. These costs are recognized in the period incurred.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0200"/>
          </w:cols>
          <w:pgMar w:left="320" w:top="407" w:right="1379" w:bottom="1440" w:gutter="0" w:footer="0" w:header="0"/>
        </w:sectPr>
      </w:pPr>
    </w:p>
    <w:bookmarkStart w:id="252" w:name="page253"/>
    <w:bookmarkEnd w:id="25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General, administrative, and other</w:t>
      </w:r>
    </w:p>
    <w:p>
      <w:pPr>
        <w:spacing w:after="0" w:line="103"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General, administrative, and other expenses consist primarily of payroll and other employee-related expenses, including stock-based compensation expense for legal and compliance, finance and accounting, human resources and facilities teams, as well as depreciation and amortization of property, equipment and software, professional services fees, facilities and travel expenses. These costs are recognized in the period incurred.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Company issues stock options to employees and nonemployees, including directors and third-party service providers, which are initially measured at fair value at the date of grant using the Black-Scholes option-pricing model. Expenses associated with the stock options are recognized based on their respective grant-date fair values. Forfeitures of stock options are estimated at the time of grant and revised, as necessary, in subsequent periods if actual forfeitures differ from initial estimates. Stock-based compensation expense is recorded net of estimated forfeitures, such that the expense is recorded only for those stock options that are expected to vest.</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Income</w:t>
      </w:r>
    </w:p>
    <w:p>
      <w:pPr>
        <w:spacing w:after="0" w:line="105"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In the years ended December 31, 2017, 2018, and 2019, other income primarily consists of dividend income earned by the Company on its unrestricted cash balance. It is recognized in the period earned. In the years ended December 31, 2017 and 2018, other income also included amounts recognized by the Company in relation to a sublease agreement for an office space, which expired in the year ended December 31, 2018.</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Unaudited</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April 2020, the Company received a forgivable loan under the Paycheck Protection Program (“PPP”), totaling $5.3 million with a stated annual interest rate of 1%. All loan payments are deferred for six months if not forgiven under the provisions of the Coronavirus Aid, Relief, and Economic Security Act (the “CARES Act”). The loan and accrued interest are forgivable for borrowers who use the loan proceeds for eligible expenses during a twenty-four week period following the borrower’s receipt of the loan and maintain payroll and employee headcount. The Company has used the full proceeds of the loan for eligible expenses within the required period. The Company has determined that forgiveness of the loan under the CARES Act is reasonably assured and has recorded the full amount of proceeds as other income in the consolidated statement of operations and comprehensive income (loss).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Income Taxes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w:t>
      </w:r>
    </w:p>
    <w:p>
      <w:pPr>
        <w:spacing w:after="0" w:line="170" w:lineRule="exact"/>
        <w:rPr>
          <w:sz w:val="20"/>
          <w:szCs w:val="20"/>
          <w:color w:val="auto"/>
        </w:rPr>
      </w:pPr>
    </w:p>
    <w:p>
      <w:pPr>
        <w:ind w:left="1020" w:right="420" w:firstLine="460"/>
        <w:spacing w:after="0" w:line="245" w:lineRule="auto"/>
        <w:rPr>
          <w:sz w:val="20"/>
          <w:szCs w:val="20"/>
          <w:color w:val="auto"/>
        </w:rPr>
      </w:pPr>
      <w:r>
        <w:rPr>
          <w:rFonts w:ascii="Arial" w:cs="Arial" w:eastAsia="Arial" w:hAnsi="Arial"/>
          <w:sz w:val="15"/>
          <w:szCs w:val="15"/>
          <w:color w:val="auto"/>
        </w:rPr>
        <w:t>The effect on deferred tax assets and liabilities of a change in tax rates is recognized in income in the period that includes the enactment date. A valuation allowance may be established to reduce the</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0220"/>
          </w:cols>
          <w:pgMar w:left="320" w:top="407" w:right="1359" w:bottom="1440" w:gutter="0" w:footer="0" w:header="0"/>
        </w:sectPr>
      </w:pPr>
    </w:p>
    <w:bookmarkStart w:id="253" w:name="page254"/>
    <w:bookmarkEnd w:id="25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20"/>
        <w:spacing w:after="0"/>
        <w:rPr>
          <w:sz w:val="20"/>
          <w:szCs w:val="20"/>
          <w:color w:val="auto"/>
        </w:rPr>
      </w:pPr>
      <w:r>
        <w:rPr>
          <w:rFonts w:ascii="Arial" w:cs="Arial" w:eastAsia="Arial" w:hAnsi="Arial"/>
          <w:sz w:val="15"/>
          <w:szCs w:val="15"/>
          <w:color w:val="auto"/>
        </w:rPr>
        <w:t>deferred tax asset to the level at which it is “more likely than not” that the tax asset or benefits will be realized. Realization of tax benefits of deductible temporary differences and operating loss carryforwards depends on having sufficient taxable income of an appropriate character within the carryback or carryforward periods.</w:t>
      </w:r>
    </w:p>
    <w:p>
      <w:pPr>
        <w:spacing w:after="0" w:line="170"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Company recognizes the effect of income tax positions only if those positions are more likely than not of being sustained upon review by the taxing authority. Recognized income tax positions are measured at the largest amount that is greater than 50% likely of being realized. Changes in recognition or measurement are reflected in the period in which the change in judgment occurs.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Net Loss Per Share Attributable to Common Stockholders of Upstart Holdings, Inc. Stockholders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The Company follows the two-class method when computing net loss per common share when shares are issued that meet the definition of participating securities. The two-class method determines net loss per common share for each class of common stock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entitles the holders of such shares to participate in dividends but does not contractually require the holders of such shares to participate in the Company’s losses. Accordingly, for the periods where the Company is in a net loss position, the Company does not allocate any net loss attributable to common stockholders to the convertible preferred stock.</w:t>
      </w:r>
    </w:p>
    <w:p>
      <w:pPr>
        <w:spacing w:after="0" w:line="170"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Diluted net loss per share is the amount of net loss available to each share of common stock outstanding during the reporting period, adjusted to include the effect of potentially dilutive common shares. For periods in which the Company reports net losses, basic and diluted net loss per share attributable to Upstart Holdings, Inc.’s common stockholders are the same because potentially dilutive common shares are not assumed to have been issued if their effect is anti-dilutive. Potentially dilutive common shares include incremental shares issued for convertible preferred stock, stock options, warrants to purchase convertible preferred stock and warrants to purchase common stock.</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Net Income per Share Attributable to Common Stockholders of Upstart Holdings, Inc.</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In contemplation of the IPO, the Company has presented the unaudited pro forma basic and diluted net income per share attributable to Upstart Holdings, Inc. common stockholders, which has been computed to give effect to the conversion of the convertible preferred stock, including additional preferred stock shares from the exercise of the preferred stock warrant prior to the completion of the IPO. In addition, the numerator in the pro forma basic and diluted net income per common share calculation has been adjusted to remove gains or losses resulting from the remeasurement of the convertible preferred stock warrant liability as the related convertible preferred stock warrant liability will be reclassified to additional paid-in capital upon exercise prior to the completion of the IPO. The unaudited pro forma net income per share attributable to Upstart Holdings, Inc. common stockholders does not include the shares to be sold in the IPO.</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0180"/>
          </w:cols>
          <w:pgMar w:left="320" w:top="407" w:right="1399" w:bottom="1440" w:gutter="0" w:footer="0" w:header="0"/>
        </w:sectPr>
      </w:pPr>
    </w:p>
    <w:bookmarkStart w:id="254" w:name="page255"/>
    <w:bookmarkEnd w:id="25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Comprehensive Income (Loss)</w:t>
      </w:r>
    </w:p>
    <w:p>
      <w:pPr>
        <w:spacing w:after="0" w:line="105" w:lineRule="exact"/>
        <w:rPr>
          <w:sz w:val="20"/>
          <w:szCs w:val="20"/>
          <w:color w:val="auto"/>
        </w:rPr>
      </w:pPr>
    </w:p>
    <w:p>
      <w:pPr>
        <w:ind w:left="1020" w:right="360" w:firstLine="460"/>
        <w:spacing w:after="0" w:line="238" w:lineRule="auto"/>
        <w:rPr>
          <w:sz w:val="20"/>
          <w:szCs w:val="20"/>
          <w:color w:val="auto"/>
        </w:rPr>
      </w:pPr>
      <w:r>
        <w:rPr>
          <w:rFonts w:ascii="Arial" w:cs="Arial" w:eastAsia="Arial" w:hAnsi="Arial"/>
          <w:sz w:val="15"/>
          <w:szCs w:val="15"/>
          <w:color w:val="auto"/>
        </w:rPr>
        <w:t>Comprehensive (loss) income represents all changes in equity of the Company during the periods presented, resulting from transactions with non-owner sources. The Company’s comprehensive (loss) income was equal to its net loss for the years ended December 31, 2017, 2018 and 2019, nine months ended September 30, 2019 (unaudited) and net income for the nine months ended September 30, 2020 (unaudited).</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05" w:lineRule="exact"/>
        <w:rPr>
          <w:sz w:val="20"/>
          <w:szCs w:val="20"/>
          <w:color w:val="auto"/>
        </w:rPr>
      </w:pPr>
    </w:p>
    <w:p>
      <w:pPr>
        <w:ind w:left="1020" w:right="100" w:firstLine="460"/>
        <w:spacing w:after="0" w:line="236"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principally of cash, restricted cash, and loans. The Company’s cash and restricted cash are held in financial institutions in the United States. From time to time, amounts on deposit may exceed federally insured limits. The Company is exposed to credit risk in the event of default by these financial institutions to the extent the amount recorded on the Company’s consolidated balance sheets exceeds the insured amounts by the Federal Deposit Insurance Corporation (“FDIC”). The Company reduces credit risk by placing its cash in high-credit-quality financial instruments that are managed by reputable institutions. The Company is further exposed to credit risks on loans held on our consolidated balance sheets from changes in economic conditions that may cause individual borrower default due to inability or unwillingness to meet their financial obligations. The Company manages credit risk on loans by leveraging its AI models to effectively evaluate a borrower’s credit worthiness and likelihood of default.</w:t>
      </w:r>
    </w:p>
    <w:p>
      <w:pPr>
        <w:spacing w:after="0" w:line="17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Significant customers are those which represent 10% or more of the Company’s total revenue for each respective period presented. For the years ended December 31, 2017, 2018 and 2019, and nine months ended September 30, 2019 (unaudited) and 2020 (unaudited), the Company had one two customers that comprised the following percentages of total revenue for each of the periods below:</w:t>
      </w:r>
    </w:p>
    <w:p>
      <w:pPr>
        <w:spacing w:after="0" w:line="180"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Years ended December 31</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800" w:type="dxa"/>
            <w:vAlign w:val="bottom"/>
          </w:tcPr>
          <w:p>
            <w:pPr>
              <w:spacing w:after="0"/>
              <w:rPr>
                <w:sz w:val="10"/>
                <w:szCs w:val="10"/>
                <w:color w:val="auto"/>
              </w:rPr>
            </w:pPr>
          </w:p>
        </w:tc>
        <w:tc>
          <w:tcPr>
            <w:tcW w:w="30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2018</w:t>
            </w: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2019</w:t>
            </w:r>
          </w:p>
        </w:tc>
        <w:tc>
          <w:tcPr>
            <w:tcW w:w="580" w:type="dxa"/>
            <w:vAlign w:val="bottom"/>
          </w:tcPr>
          <w:p>
            <w:pPr>
              <w:spacing w:after="0"/>
              <w:rPr>
                <w:sz w:val="10"/>
                <w:szCs w:val="10"/>
                <w:color w:val="auto"/>
              </w:rPr>
            </w:pPr>
          </w:p>
        </w:tc>
        <w:tc>
          <w:tcPr>
            <w:tcW w:w="1080" w:type="dxa"/>
            <w:vAlign w:val="bottom"/>
            <w:tcBorders>
              <w:top w:val="single" w:sz="8" w:color="auto"/>
              <w:bottom w:val="single" w:sz="8" w:color="auto"/>
            </w:tcBorders>
          </w:tcPr>
          <w:p>
            <w:pPr>
              <w:jc w:val="right"/>
              <w:ind w:right="695"/>
              <w:spacing w:after="0" w:line="126" w:lineRule="exact"/>
              <w:rPr>
                <w:sz w:val="20"/>
                <w:szCs w:val="20"/>
                <w:color w:val="auto"/>
              </w:rPr>
            </w:pPr>
            <w:r>
              <w:rPr>
                <w:rFonts w:ascii="Arial" w:cs="Arial" w:eastAsia="Arial" w:hAnsi="Arial"/>
                <w:sz w:val="12"/>
                <w:szCs w:val="12"/>
                <w:b w:val="1"/>
                <w:bCs w:val="1"/>
                <w:color w:val="auto"/>
              </w:rPr>
              <w:t>2019</w:t>
            </w:r>
          </w:p>
        </w:tc>
        <w:tc>
          <w:tcPr>
            <w:tcW w:w="380" w:type="dxa"/>
            <w:vAlign w:val="bottom"/>
            <w:tcBorders>
              <w:top w:val="single" w:sz="8" w:color="auto"/>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2020</w:t>
            </w:r>
          </w:p>
        </w:tc>
        <w:tc>
          <w:tcPr>
            <w:tcW w:w="180" w:type="dxa"/>
            <w:vAlign w:val="bottom"/>
          </w:tcPr>
          <w:p>
            <w:pPr>
              <w:spacing w:after="0"/>
              <w:rPr>
                <w:sz w:val="10"/>
                <w:szCs w:val="10"/>
                <w:color w:val="auto"/>
              </w:rPr>
            </w:pPr>
          </w:p>
        </w:tc>
      </w:tr>
      <w:tr>
        <w:trPr>
          <w:trHeight w:val="126"/>
        </w:trPr>
        <w:tc>
          <w:tcPr>
            <w:tcW w:w="4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Pr>
          <w:p>
            <w:pPr>
              <w:jc w:val="center"/>
              <w:ind w:left="315"/>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69"/>
        </w:trPr>
        <w:tc>
          <w:tcPr>
            <w:tcW w:w="480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Customer A</w:t>
            </w:r>
          </w:p>
        </w:tc>
        <w:tc>
          <w:tcPr>
            <w:tcW w:w="900" w:type="dxa"/>
            <w:vAlign w:val="bottom"/>
            <w:gridSpan w:val="2"/>
            <w:shd w:val="clear" w:color="auto" w:fill="CCEEFF"/>
          </w:tcPr>
          <w:p>
            <w:pPr>
              <w:jc w:val="right"/>
              <w:ind w:right="400"/>
              <w:spacing w:after="0" w:line="169" w:lineRule="exact"/>
              <w:rPr>
                <w:sz w:val="20"/>
                <w:szCs w:val="20"/>
                <w:color w:val="auto"/>
              </w:rPr>
            </w:pPr>
            <w:r>
              <w:rPr>
                <w:rFonts w:ascii="Arial" w:cs="Arial" w:eastAsia="Arial" w:hAnsi="Arial"/>
                <w:sz w:val="15"/>
                <w:szCs w:val="15"/>
                <w:color w:val="auto"/>
              </w:rPr>
              <w:t>83%</w:t>
            </w:r>
          </w:p>
        </w:tc>
        <w:tc>
          <w:tcPr>
            <w:tcW w:w="940" w:type="dxa"/>
            <w:vAlign w:val="bottom"/>
            <w:gridSpan w:val="2"/>
            <w:shd w:val="clear" w:color="auto" w:fill="CCEEFF"/>
          </w:tcPr>
          <w:p>
            <w:pPr>
              <w:jc w:val="right"/>
              <w:ind w:right="480"/>
              <w:spacing w:after="0" w:line="169" w:lineRule="exact"/>
              <w:rPr>
                <w:sz w:val="20"/>
                <w:szCs w:val="20"/>
                <w:color w:val="auto"/>
              </w:rPr>
            </w:pPr>
            <w:r>
              <w:rPr>
                <w:rFonts w:ascii="Arial" w:cs="Arial" w:eastAsia="Arial" w:hAnsi="Arial"/>
                <w:sz w:val="15"/>
                <w:szCs w:val="15"/>
                <w:color w:val="auto"/>
              </w:rPr>
              <w:t>81%</w:t>
            </w:r>
          </w:p>
        </w:tc>
        <w:tc>
          <w:tcPr>
            <w:tcW w:w="920" w:type="dxa"/>
            <w:vAlign w:val="bottom"/>
            <w:gridSpan w:val="2"/>
            <w:shd w:val="clear" w:color="auto" w:fill="CCEEFF"/>
          </w:tcPr>
          <w:p>
            <w:pPr>
              <w:jc w:val="right"/>
              <w:ind w:right="440"/>
              <w:spacing w:after="0" w:line="169" w:lineRule="exact"/>
              <w:rPr>
                <w:sz w:val="20"/>
                <w:szCs w:val="20"/>
                <w:color w:val="auto"/>
              </w:rPr>
            </w:pPr>
            <w:r>
              <w:rPr>
                <w:rFonts w:ascii="Arial" w:cs="Arial" w:eastAsia="Arial" w:hAnsi="Arial"/>
                <w:sz w:val="15"/>
                <w:szCs w:val="15"/>
                <w:color w:val="auto"/>
              </w:rPr>
              <w:t>80%</w:t>
            </w:r>
          </w:p>
        </w:tc>
        <w:tc>
          <w:tcPr>
            <w:tcW w:w="1080" w:type="dxa"/>
            <w:vAlign w:val="bottom"/>
            <w:shd w:val="clear" w:color="auto" w:fill="CCEEFF"/>
          </w:tcPr>
          <w:p>
            <w:pPr>
              <w:jc w:val="right"/>
              <w:ind w:right="495"/>
              <w:spacing w:after="0" w:line="169" w:lineRule="exact"/>
              <w:rPr>
                <w:sz w:val="20"/>
                <w:szCs w:val="20"/>
                <w:color w:val="auto"/>
              </w:rPr>
            </w:pPr>
            <w:r>
              <w:rPr>
                <w:rFonts w:ascii="Arial" w:cs="Arial" w:eastAsia="Arial" w:hAnsi="Arial"/>
                <w:sz w:val="15"/>
                <w:szCs w:val="15"/>
                <w:color w:val="auto"/>
              </w:rPr>
              <w:t>81%</w:t>
            </w:r>
          </w:p>
        </w:tc>
        <w:tc>
          <w:tcPr>
            <w:tcW w:w="56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65%</w:t>
            </w:r>
          </w:p>
        </w:tc>
      </w:tr>
      <w:tr>
        <w:trPr>
          <w:trHeight w:val="180"/>
        </w:trPr>
        <w:tc>
          <w:tcPr>
            <w:tcW w:w="4800" w:type="dxa"/>
            <w:vAlign w:val="bottom"/>
          </w:tcPr>
          <w:p>
            <w:pPr>
              <w:spacing w:after="0"/>
              <w:rPr>
                <w:sz w:val="20"/>
                <w:szCs w:val="20"/>
                <w:color w:val="auto"/>
              </w:rPr>
            </w:pPr>
            <w:r>
              <w:rPr>
                <w:rFonts w:ascii="Arial" w:cs="Arial" w:eastAsia="Arial" w:hAnsi="Arial"/>
                <w:sz w:val="15"/>
                <w:szCs w:val="15"/>
                <w:color w:val="auto"/>
              </w:rPr>
              <w:t>Customer B</w:t>
            </w:r>
          </w:p>
        </w:tc>
        <w:tc>
          <w:tcPr>
            <w:tcW w:w="900" w:type="dxa"/>
            <w:vAlign w:val="bottom"/>
            <w:gridSpan w:val="2"/>
          </w:tcPr>
          <w:p>
            <w:pPr>
              <w:jc w:val="right"/>
              <w:ind w:right="540"/>
              <w:spacing w:after="0"/>
              <w:rPr>
                <w:sz w:val="20"/>
                <w:szCs w:val="20"/>
                <w:color w:val="auto"/>
              </w:rPr>
            </w:pPr>
            <w:r>
              <w:rPr>
                <w:rFonts w:ascii="Arial" w:cs="Arial" w:eastAsia="Arial" w:hAnsi="Arial"/>
                <w:sz w:val="15"/>
                <w:szCs w:val="15"/>
                <w:color w:val="auto"/>
              </w:rPr>
              <w:t>*</w:t>
            </w:r>
          </w:p>
        </w:tc>
        <w:tc>
          <w:tcPr>
            <w:tcW w:w="940" w:type="dxa"/>
            <w:vAlign w:val="bottom"/>
            <w:gridSpan w:val="2"/>
          </w:tcPr>
          <w:p>
            <w:pPr>
              <w:jc w:val="right"/>
              <w:ind w:right="600"/>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580"/>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615"/>
              <w:spacing w:after="0"/>
              <w:rPr>
                <w:sz w:val="20"/>
                <w:szCs w:val="20"/>
                <w:color w:val="auto"/>
              </w:rPr>
            </w:pPr>
            <w:r>
              <w:rPr>
                <w:rFonts w:ascii="Arial" w:cs="Arial" w:eastAsia="Arial" w:hAnsi="Arial"/>
                <w:sz w:val="15"/>
                <w:szCs w:val="15"/>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5"/>
                <w:szCs w:val="15"/>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64770</wp:posOffset>
            </wp:positionV>
            <wp:extent cx="643890" cy="698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26" w:lineRule="exact"/>
        <w:rPr>
          <w:sz w:val="20"/>
          <w:szCs w:val="20"/>
          <w:color w:val="auto"/>
        </w:rPr>
      </w:pPr>
    </w:p>
    <w:p>
      <w:pPr>
        <w:ind w:left="1480" w:hanging="453"/>
        <w:spacing w:after="0"/>
        <w:tabs>
          <w:tab w:leader="none" w:pos="14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Less than 10%</w:t>
      </w:r>
    </w:p>
    <w:p>
      <w:pPr>
        <w:spacing w:after="0" w:line="177"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Company did not have a significant concentration of credit risk in its accounts receivable balance as of December 31, 2018 and 2019 and had one customer that comprised 49% of accounts receivable within other assets as of September 30, 2020 (unaudited).</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Segments</w:t>
      </w:r>
    </w:p>
    <w:p>
      <w:pPr>
        <w:spacing w:after="0" w:line="105" w:lineRule="exact"/>
        <w:rPr>
          <w:sz w:val="20"/>
          <w:szCs w:val="20"/>
          <w:color w:val="auto"/>
        </w:rPr>
      </w:pPr>
    </w:p>
    <w:p>
      <w:pPr>
        <w:ind w:left="1020" w:right="240" w:firstLine="460"/>
        <w:spacing w:after="0" w:line="280" w:lineRule="auto"/>
        <w:rPr>
          <w:sz w:val="20"/>
          <w:szCs w:val="20"/>
          <w:color w:val="auto"/>
        </w:rPr>
      </w:pPr>
      <w:r>
        <w:rPr>
          <w:rFonts w:ascii="Arial" w:cs="Arial" w:eastAsia="Arial" w:hAnsi="Arial"/>
          <w:sz w:val="14"/>
          <w:szCs w:val="14"/>
          <w:color w:val="auto"/>
        </w:rPr>
        <w:t>The Company has one reportable segment. The Company’s chief operating decision maker, the Chief Executive Officer, reviews financial information presented on a consolidated basis for purposes of allocating resources and evaluating financial performance.</w:t>
      </w:r>
    </w:p>
    <w:p>
      <w:pPr>
        <w:spacing w:after="0" w:line="21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Emerging Growth Company Status</w:t>
      </w:r>
    </w:p>
    <w:p>
      <w:pPr>
        <w:spacing w:after="0" w:line="105" w:lineRule="exact"/>
        <w:rPr>
          <w:sz w:val="20"/>
          <w:szCs w:val="20"/>
          <w:color w:val="auto"/>
        </w:rPr>
      </w:pPr>
    </w:p>
    <w:p>
      <w:pPr>
        <w:ind w:left="1020" w:right="220" w:firstLine="460"/>
        <w:spacing w:after="0" w:line="245"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Under the JOBS Act, emerging growth companies can delay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0220"/>
          </w:cols>
          <w:pgMar w:left="320" w:top="407" w:right="1359" w:bottom="1440" w:gutter="0" w:footer="0" w:header="0"/>
        </w:sectPr>
      </w:pPr>
    </w:p>
    <w:bookmarkStart w:id="255" w:name="page256"/>
    <w:bookmarkEnd w:id="25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9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spacing w:after="0" w:line="237" w:lineRule="auto"/>
        <w:rPr>
          <w:sz w:val="20"/>
          <w:szCs w:val="20"/>
          <w:color w:val="auto"/>
        </w:rPr>
      </w:pPr>
      <w:r>
        <w:rPr>
          <w:rFonts w:ascii="Arial" w:cs="Arial" w:eastAsia="Arial" w:hAnsi="Arial"/>
          <w:sz w:val="15"/>
          <w:szCs w:val="15"/>
          <w:color w:val="auto"/>
        </w:rPr>
        <w:t>adopting new or revised accounting standards issued subsequent to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 (ii) affirmatively and irrevocably opts out of the extended transition period provided in the JOBS Act. As a result, the consolidated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020" w:right="200" w:firstLine="460"/>
        <w:spacing w:after="0" w:line="238" w:lineRule="auto"/>
        <w:rPr>
          <w:sz w:val="20"/>
          <w:szCs w:val="20"/>
          <w:color w:val="auto"/>
        </w:rPr>
      </w:pPr>
      <w:r>
        <w:rPr>
          <w:rFonts w:ascii="Arial" w:cs="Arial" w:eastAsia="Arial" w:hAnsi="Arial"/>
          <w:sz w:val="15"/>
          <w:szCs w:val="15"/>
          <w:color w:val="auto"/>
        </w:rPr>
        <w:t xml:space="preserve">The JOBS Act does not preclude an emerging growth company from early adopting new or revised accounting standards. The Company early adopted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effective January 1, 2019. The Company expects to use the extended transition period for any other new or revised accounting standards during the period which the Company remains an emerging growth company.</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Adopted Accounting Pronouncements</w:t>
      </w:r>
    </w:p>
    <w:p>
      <w:pPr>
        <w:spacing w:after="0" w:line="179" w:lineRule="exact"/>
        <w:rPr>
          <w:sz w:val="20"/>
          <w:szCs w:val="20"/>
          <w:color w:val="auto"/>
        </w:rPr>
      </w:pPr>
    </w:p>
    <w:p>
      <w:pPr>
        <w:ind w:left="1020" w:firstLine="460"/>
        <w:spacing w:after="0" w:line="239" w:lineRule="auto"/>
        <w:rPr>
          <w:sz w:val="20"/>
          <w:szCs w:val="20"/>
          <w:color w:val="auto"/>
        </w:rPr>
      </w:pPr>
      <w:r>
        <w:rPr>
          <w:rFonts w:ascii="Arial" w:cs="Arial" w:eastAsia="Arial" w:hAnsi="Arial"/>
          <w:sz w:val="15"/>
          <w:szCs w:val="15"/>
          <w:color w:val="auto"/>
        </w:rPr>
        <w:t xml:space="preserve">ASU 2014 -09,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Under the standard, revenue from contracts with customers is recognized when a customer obtains control of promised goods or services in an amount that reflects the consideration the entity expects to receive in exchange for those goods or services. The Financial Accounting Standards Board (“FASB”) subsequently issued several amendments, including ASU 2016-08 - </w:t>
      </w:r>
      <w:r>
        <w:rPr>
          <w:rFonts w:ascii="Arial" w:cs="Arial" w:eastAsia="Arial" w:hAnsi="Arial"/>
          <w:sz w:val="15"/>
          <w:szCs w:val="15"/>
          <w:i w:val="1"/>
          <w:iCs w:val="1"/>
          <w:color w:val="auto"/>
        </w:rPr>
        <w:t>Principal versus Agent Considerations</w:t>
      </w:r>
      <w:r>
        <w:rPr>
          <w:rFonts w:ascii="Arial" w:cs="Arial" w:eastAsia="Arial" w:hAnsi="Arial"/>
          <w:sz w:val="15"/>
          <w:szCs w:val="15"/>
          <w:color w:val="auto"/>
        </w:rPr>
        <w:t xml:space="preserve">, ASU 2016-10 - </w:t>
      </w:r>
      <w:r>
        <w:rPr>
          <w:rFonts w:ascii="Arial" w:cs="Arial" w:eastAsia="Arial" w:hAnsi="Arial"/>
          <w:sz w:val="15"/>
          <w:szCs w:val="15"/>
          <w:i w:val="1"/>
          <w:iCs w:val="1"/>
          <w:color w:val="auto"/>
        </w:rPr>
        <w:t>Identifying Performance Obligations and</w:t>
      </w:r>
      <w:r>
        <w:rPr>
          <w:rFonts w:ascii="Arial" w:cs="Arial" w:eastAsia="Arial" w:hAnsi="Arial"/>
          <w:sz w:val="15"/>
          <w:szCs w:val="15"/>
          <w:color w:val="auto"/>
        </w:rPr>
        <w:t xml:space="preserve"> </w:t>
      </w:r>
      <w:r>
        <w:rPr>
          <w:rFonts w:ascii="Arial" w:cs="Arial" w:eastAsia="Arial" w:hAnsi="Arial"/>
          <w:sz w:val="15"/>
          <w:szCs w:val="15"/>
          <w:i w:val="1"/>
          <w:iCs w:val="1"/>
          <w:color w:val="auto"/>
        </w:rPr>
        <w:t>Licensing</w:t>
      </w:r>
      <w:r>
        <w:rPr>
          <w:rFonts w:ascii="Arial" w:cs="Arial" w:eastAsia="Arial" w:hAnsi="Arial"/>
          <w:sz w:val="15"/>
          <w:szCs w:val="15"/>
          <w:color w:val="auto"/>
        </w:rPr>
        <w:t>, and ASU 2016-12 -</w:t>
      </w:r>
      <w:r>
        <w:rPr>
          <w:rFonts w:ascii="Arial" w:cs="Arial" w:eastAsia="Arial" w:hAnsi="Arial"/>
          <w:sz w:val="15"/>
          <w:szCs w:val="15"/>
          <w:i w:val="1"/>
          <w:iCs w:val="1"/>
          <w:color w:val="auto"/>
        </w:rPr>
        <w:t xml:space="preserve"> Narrow-Scope Improvements and Practical Expedients</w:t>
      </w:r>
      <w:r>
        <w:rPr>
          <w:rFonts w:ascii="Arial" w:cs="Arial" w:eastAsia="Arial" w:hAnsi="Arial"/>
          <w:sz w:val="15"/>
          <w:szCs w:val="15"/>
          <w:color w:val="auto"/>
        </w:rPr>
        <w:t>. These amendments all have the same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date and transition requirements as Topic 606. Income that was historically recognized under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xml:space="preserve"> and Topic 310, </w:t>
      </w:r>
      <w:r>
        <w:rPr>
          <w:rFonts w:ascii="Arial" w:cs="Arial" w:eastAsia="Arial" w:hAnsi="Arial"/>
          <w:sz w:val="15"/>
          <w:szCs w:val="15"/>
          <w:i w:val="1"/>
          <w:iCs w:val="1"/>
          <w:color w:val="auto"/>
        </w:rPr>
        <w:t>Receivables</w:t>
      </w:r>
      <w:r>
        <w:rPr>
          <w:rFonts w:ascii="Arial" w:cs="Arial" w:eastAsia="Arial" w:hAnsi="Arial"/>
          <w:sz w:val="15"/>
          <w:szCs w:val="15"/>
          <w:color w:val="auto"/>
        </w:rPr>
        <w:t xml:space="preserve"> is excluded from the scope of the standard; as such, the Company has concluded that its accounting for interest income and fair value adjustments, net and income from servicing fees will not change under the standard.</w:t>
      </w:r>
    </w:p>
    <w:p>
      <w:pPr>
        <w:spacing w:after="0" w:line="174"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adopted Topic 606 on January 1, 2019 using the modified retrospective method for all contracts that were not complete as of the date of adoption. The Company did not have modifications of contracts that were not complete as of the effective date. Results for reporting periods beginning after January 1, 2019 are presented under Topic 606, while comparative information has not been restated and continues to be reported under the accounting standards in effect for those periods.</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adoption of Topic 606 did not change (1) the timing and pattern of revenue recognition for revenue streams in the scope of Topic 606, which includes platform and referral fees, net within revenue from fees, net, or (2) the presentation of revenue as gross versus net. The Company did not have any material balances of contract assets, contract liabilities, and deferred contract costs prior to or after the adoption of Topic 606. Therefore, the adoption of Topic 606 did not have a material impact on the Company’s consolidated balance sheets, consolidated statements of operations and comprehensive income (loss) and consolidated statements of cash flows as of the adoption date or for the year ended December 31, 2019. The Company has included the disclosures required by Topic 606 in “</w:t>
      </w:r>
      <w:r>
        <w:rPr>
          <w:rFonts w:ascii="Arial" w:cs="Arial" w:eastAsia="Arial" w:hAnsi="Arial"/>
          <w:sz w:val="15"/>
          <w:szCs w:val="15"/>
          <w:i w:val="1"/>
          <w:iCs w:val="1"/>
          <w:color w:val="auto"/>
        </w:rPr>
        <w:t>Note 2</w:t>
      </w:r>
      <w:r>
        <w:rPr>
          <w:rFonts w:ascii="Arial" w:cs="Arial" w:eastAsia="Arial" w:hAnsi="Arial"/>
          <w:sz w:val="15"/>
          <w:szCs w:val="15"/>
          <w:color w:val="auto"/>
        </w:rPr>
        <w:t xml:space="preserve">. </w:t>
      </w:r>
      <w:r>
        <w:rPr>
          <w:rFonts w:ascii="Arial" w:cs="Arial" w:eastAsia="Arial" w:hAnsi="Arial"/>
          <w:sz w:val="15"/>
          <w:szCs w:val="15"/>
          <w:i w:val="1"/>
          <w:iCs w:val="1"/>
          <w:color w:val="auto"/>
        </w:rPr>
        <w:t>Revenue.”</w:t>
      </w:r>
    </w:p>
    <w:p>
      <w:pPr>
        <w:spacing w:after="0" w:line="15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 xml:space="preserve">ASU 2016-01, </w:t>
      </w:r>
      <w:r>
        <w:rPr>
          <w:rFonts w:ascii="Arial" w:cs="Arial" w:eastAsia="Arial" w:hAnsi="Arial"/>
          <w:sz w:val="15"/>
          <w:szCs w:val="15"/>
          <w:i w:val="1"/>
          <w:iCs w:val="1"/>
          <w:color w:val="auto"/>
        </w:rPr>
        <w:t>Financial Instruments – Overall (Subtopic 825-10): Recognition and Measurement of Financial Assets and Financial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5"/>
          <w:szCs w:val="15"/>
          <w:i w:val="1"/>
          <w:iCs w:val="1"/>
          <w:color w:val="auto"/>
        </w:rPr>
        <w:t xml:space="preserve">Liabilities: </w:t>
      </w:r>
      <w:r>
        <w:rPr>
          <w:rFonts w:ascii="Arial" w:cs="Arial" w:eastAsia="Arial" w:hAnsi="Arial"/>
          <w:sz w:val="15"/>
          <w:szCs w:val="15"/>
          <w:color w:val="auto"/>
        </w:rPr>
        <w:t>This standard, which amends the accounting for equity</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0140"/>
          </w:cols>
          <w:pgMar w:left="320" w:top="407" w:right="1439" w:bottom="1440" w:gutter="0" w:footer="0" w:header="0"/>
        </w:sectPr>
      </w:pPr>
    </w:p>
    <w:bookmarkStart w:id="256" w:name="page257"/>
    <w:bookmarkEnd w:id="25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60"/>
        <w:spacing w:after="0" w:line="237" w:lineRule="auto"/>
        <w:rPr>
          <w:sz w:val="20"/>
          <w:szCs w:val="20"/>
          <w:color w:val="auto"/>
        </w:rPr>
      </w:pPr>
      <w:r>
        <w:rPr>
          <w:rFonts w:ascii="Arial" w:cs="Arial" w:eastAsia="Arial" w:hAnsi="Arial"/>
          <w:sz w:val="15"/>
          <w:szCs w:val="15"/>
          <w:color w:val="auto"/>
        </w:rPr>
        <w:t>investments, changes disclosure requirements related to instruments at amortized cost and fair value, and clarifies how entities should evaluate deferred tax assets for securities classified as available for sale. The guidance also requires an entity to present separately in other comprehensive income the portion of the total change in fair value of a liability resulting from a change in the instrument-specific credit risk when the entity has elected to measure the liability under the fair value option. The Company adopted ASU 2016-01 on January 1, 2019. The adoption did not impact the Company’s consolidated balance sheets, consolidated statements of operations and comprehensive income (loss) and consolidated statements of cash flows. The Company has included the disclosures required by ASU 2016-01 in “</w:t>
      </w:r>
      <w:r>
        <w:rPr>
          <w:rFonts w:ascii="Arial" w:cs="Arial" w:eastAsia="Arial" w:hAnsi="Arial"/>
          <w:sz w:val="15"/>
          <w:szCs w:val="15"/>
          <w:i w:val="1"/>
          <w:iCs w:val="1"/>
          <w:color w:val="auto"/>
        </w:rPr>
        <w:t>Note 4. Fair Value Measurement.”</w:t>
      </w:r>
    </w:p>
    <w:p>
      <w:pPr>
        <w:spacing w:after="0" w:line="155" w:lineRule="exact"/>
        <w:rPr>
          <w:sz w:val="20"/>
          <w:szCs w:val="20"/>
          <w:color w:val="auto"/>
        </w:rPr>
      </w:pPr>
    </w:p>
    <w:p>
      <w:pPr>
        <w:ind w:left="1020" w:right="140" w:firstLine="460"/>
        <w:spacing w:after="0" w:line="239" w:lineRule="auto"/>
        <w:rPr>
          <w:sz w:val="20"/>
          <w:szCs w:val="20"/>
          <w:color w:val="auto"/>
        </w:rPr>
      </w:pPr>
      <w:r>
        <w:rPr>
          <w:rFonts w:ascii="Arial" w:cs="Arial" w:eastAsia="Arial" w:hAnsi="Arial"/>
          <w:sz w:val="15"/>
          <w:szCs w:val="15"/>
          <w:color w:val="auto"/>
        </w:rPr>
        <w:t xml:space="preserve">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This standard requires lessees to record on their balance sheets a lease liability for the obligation to make lease payments and a ROU asset for the right to use the underlying asset for the lease term. The Company adopted Topic 842 as of January 1, 2019 and has elected not to restate comparative periods presented in the consolidated financial statements. The new standard allows for several transition-related practical expedients. The Company elected the package of practical expedients permitted, which among other things, permits entities to not reassess: (i) whether any expired or existing contracts are or contain leases,</w:t>
      </w:r>
    </w:p>
    <w:p>
      <w:pPr>
        <w:spacing w:after="0" w:line="2" w:lineRule="exact"/>
        <w:rPr>
          <w:sz w:val="20"/>
          <w:szCs w:val="20"/>
          <w:color w:val="auto"/>
        </w:rPr>
      </w:pPr>
    </w:p>
    <w:p>
      <w:pPr>
        <w:ind w:left="1020" w:right="360" w:firstLine="7"/>
        <w:spacing w:after="0" w:line="245" w:lineRule="auto"/>
        <w:tabs>
          <w:tab w:leader="none" w:pos="1228" w:val="left"/>
        </w:tabs>
        <w:numPr>
          <w:ilvl w:val="0"/>
          <w:numId w:val="138"/>
        </w:numPr>
        <w:rPr>
          <w:rFonts w:ascii="Arial" w:cs="Arial" w:eastAsia="Arial" w:hAnsi="Arial"/>
          <w:sz w:val="15"/>
          <w:szCs w:val="15"/>
          <w:color w:val="auto"/>
        </w:rPr>
      </w:pPr>
      <w:r>
        <w:rPr>
          <w:rFonts w:ascii="Arial" w:cs="Arial" w:eastAsia="Arial" w:hAnsi="Arial"/>
          <w:sz w:val="15"/>
          <w:szCs w:val="15"/>
          <w:color w:val="auto"/>
        </w:rPr>
        <w:t>lease classification for any expired or existing leases and, (iii) initial direct costs for any existing leases. At the time of adoption, all leases within the Company’s portfolio are classified as operating leases.</w:t>
      </w:r>
    </w:p>
    <w:p>
      <w:pPr>
        <w:spacing w:after="0" w:line="166"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Adoption of Topic 842 had an impact on the Company’s consolidated balance sheets but did not have an impact on the Company’s consolidated statements of operations and comprehensive income (loss) or consolidated statements of cash flows. The most significant impact was the recognition of ROU assets and lease liabilities of $1.0 million and $1.0 million as of January 1, 2019, respectively, with no cumulative effect in retained earnings. The operating lease expenses are included in general and administrative expense in the Company’s consolidated statements of operations and comprehensive income (loss). The Company included the disclosures required by ASU 2016-02 in “</w:t>
      </w:r>
      <w:r>
        <w:rPr>
          <w:rFonts w:ascii="Arial" w:cs="Arial" w:eastAsia="Arial" w:hAnsi="Arial"/>
          <w:sz w:val="15"/>
          <w:szCs w:val="15"/>
          <w:i w:val="1"/>
          <w:iCs w:val="1"/>
          <w:color w:val="auto"/>
        </w:rPr>
        <w:t>Note 12. Leases</w:t>
      </w:r>
      <w:r>
        <w:rPr>
          <w:rFonts w:ascii="Arial" w:cs="Arial" w:eastAsia="Arial" w:hAnsi="Arial"/>
          <w:sz w:val="15"/>
          <w:szCs w:val="15"/>
          <w:color w:val="auto"/>
        </w:rPr>
        <w:t>.”</w:t>
      </w:r>
    </w:p>
    <w:p>
      <w:pPr>
        <w:spacing w:after="0" w:line="156" w:lineRule="exact"/>
        <w:rPr>
          <w:sz w:val="20"/>
          <w:szCs w:val="20"/>
          <w:color w:val="auto"/>
        </w:rPr>
      </w:pPr>
    </w:p>
    <w:p>
      <w:pPr>
        <w:ind w:left="1020" w:right="100" w:firstLine="460"/>
        <w:spacing w:after="0" w:line="251" w:lineRule="auto"/>
        <w:rPr>
          <w:sz w:val="20"/>
          <w:szCs w:val="20"/>
          <w:color w:val="auto"/>
        </w:rPr>
      </w:pPr>
      <w:r>
        <w:rPr>
          <w:rFonts w:ascii="Arial" w:cs="Arial" w:eastAsia="Arial" w:hAnsi="Arial"/>
          <w:sz w:val="15"/>
          <w:szCs w:val="15"/>
          <w:color w:val="auto"/>
        </w:rPr>
        <w:t xml:space="preserve">ASU 2017-09, </w:t>
      </w:r>
      <w:r>
        <w:rPr>
          <w:rFonts w:ascii="Arial" w:cs="Arial" w:eastAsia="Arial" w:hAnsi="Arial"/>
          <w:sz w:val="15"/>
          <w:szCs w:val="15"/>
          <w:i w:val="1"/>
          <w:iCs w:val="1"/>
          <w:color w:val="auto"/>
        </w:rPr>
        <w:t>Compensation – Stock Compensation (Topic 718): Scope of Modification Accounting</w:t>
      </w:r>
      <w:r>
        <w:rPr>
          <w:rFonts w:ascii="Arial" w:cs="Arial" w:eastAsia="Arial" w:hAnsi="Arial"/>
          <w:sz w:val="15"/>
          <w:szCs w:val="15"/>
          <w:color w:val="auto"/>
        </w:rPr>
        <w:t>, which clarifies when to account for a change to the terms or conditions of a share-based payment award as a modification. The Company prospectively adopted ASU 2017-09 on January 1, 2019. The effect of the adoption on the consolidated financial statements was not material.</w:t>
      </w:r>
    </w:p>
    <w:p>
      <w:pPr>
        <w:spacing w:after="0" w:line="146" w:lineRule="exact"/>
        <w:rPr>
          <w:sz w:val="20"/>
          <w:szCs w:val="20"/>
          <w:color w:val="auto"/>
        </w:rPr>
      </w:pPr>
    </w:p>
    <w:p>
      <w:pPr>
        <w:ind w:left="1020" w:right="160" w:firstLine="460"/>
        <w:spacing w:after="0" w:line="246" w:lineRule="auto"/>
        <w:rPr>
          <w:sz w:val="20"/>
          <w:szCs w:val="20"/>
          <w:color w:val="auto"/>
        </w:rPr>
      </w:pPr>
      <w:r>
        <w:rPr>
          <w:rFonts w:ascii="Arial" w:cs="Arial" w:eastAsia="Arial" w:hAnsi="Arial"/>
          <w:sz w:val="15"/>
          <w:szCs w:val="15"/>
          <w:color w:val="auto"/>
        </w:rPr>
        <w:t xml:space="preserve">ASU 2018-07, </w:t>
      </w:r>
      <w:r>
        <w:rPr>
          <w:rFonts w:ascii="Arial" w:cs="Arial" w:eastAsia="Arial" w:hAnsi="Arial"/>
          <w:sz w:val="15"/>
          <w:szCs w:val="15"/>
          <w:i w:val="1"/>
          <w:iCs w:val="1"/>
          <w:color w:val="auto"/>
        </w:rPr>
        <w:t>Compensation – Stock Compensation (Topic 718): Improvements to Nonemployee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w:t>
      </w:r>
      <w:r>
        <w:rPr>
          <w:rFonts w:ascii="Arial" w:cs="Arial" w:eastAsia="Arial" w:hAnsi="Arial"/>
          <w:sz w:val="15"/>
          <w:szCs w:val="15"/>
          <w:color w:val="auto"/>
        </w:rPr>
        <w:t>simplifies the accounting for share-based payments to nonemployees by aligning it with the accounting for share-based</w:t>
      </w:r>
      <w:r>
        <w:rPr>
          <w:rFonts w:ascii="Arial" w:cs="Arial" w:eastAsia="Arial" w:hAnsi="Arial"/>
          <w:sz w:val="15"/>
          <w:szCs w:val="15"/>
          <w:i w:val="1"/>
          <w:iCs w:val="1"/>
          <w:color w:val="auto"/>
        </w:rPr>
        <w:t xml:space="preserve"> </w:t>
      </w:r>
      <w:r>
        <w:rPr>
          <w:rFonts w:ascii="Arial" w:cs="Arial" w:eastAsia="Arial" w:hAnsi="Arial"/>
          <w:sz w:val="15"/>
          <w:szCs w:val="15"/>
          <w:color w:val="auto"/>
        </w:rPr>
        <w:t>payments to employees, with certain exceptions. The Company adopted ASU 2018-07 as of January 1, 2019. The effect of the adoption on the consolidated financial statements was not material.</w:t>
      </w:r>
    </w:p>
    <w:p>
      <w:pPr>
        <w:spacing w:after="0" w:line="149" w:lineRule="exact"/>
        <w:rPr>
          <w:sz w:val="20"/>
          <w:szCs w:val="20"/>
          <w:color w:val="auto"/>
        </w:rPr>
      </w:pPr>
    </w:p>
    <w:p>
      <w:pPr>
        <w:ind w:left="1020" w:firstLine="460"/>
        <w:spacing w:after="0" w:line="241" w:lineRule="auto"/>
        <w:rPr>
          <w:sz w:val="20"/>
          <w:szCs w:val="20"/>
          <w:color w:val="auto"/>
        </w:rPr>
      </w:pPr>
      <w:r>
        <w:rPr>
          <w:rFonts w:ascii="Arial" w:cs="Arial" w:eastAsia="Arial" w:hAnsi="Arial"/>
          <w:sz w:val="15"/>
          <w:szCs w:val="15"/>
          <w:color w:val="auto"/>
        </w:rPr>
        <w:t xml:space="preserve">ASU 2018-13, Fair Value Measurement (Topic 820): </w:t>
      </w:r>
      <w:r>
        <w:rPr>
          <w:rFonts w:ascii="Arial" w:cs="Arial" w:eastAsia="Arial" w:hAnsi="Arial"/>
          <w:sz w:val="15"/>
          <w:szCs w:val="15"/>
          <w:i w:val="1"/>
          <w:iCs w:val="1"/>
          <w:color w:val="auto"/>
        </w:rPr>
        <w:t>Disclosure Framework – Changes to the Disclosure Requirements for Fair</w:t>
      </w:r>
      <w:r>
        <w:rPr>
          <w:rFonts w:ascii="Arial" w:cs="Arial" w:eastAsia="Arial" w:hAnsi="Arial"/>
          <w:sz w:val="15"/>
          <w:szCs w:val="15"/>
          <w:color w:val="auto"/>
        </w:rPr>
        <w:t xml:space="preserve"> </w:t>
      </w:r>
      <w:r>
        <w:rPr>
          <w:rFonts w:ascii="Arial" w:cs="Arial" w:eastAsia="Arial" w:hAnsi="Arial"/>
          <w:sz w:val="15"/>
          <w:szCs w:val="15"/>
          <w:i w:val="1"/>
          <w:iCs w:val="1"/>
          <w:color w:val="auto"/>
        </w:rPr>
        <w:t>Value Measurement</w:t>
      </w:r>
      <w:r>
        <w:rPr>
          <w:rFonts w:ascii="Arial" w:cs="Arial" w:eastAsia="Arial" w:hAnsi="Arial"/>
          <w:sz w:val="15"/>
          <w:szCs w:val="15"/>
          <w:color w:val="auto"/>
        </w:rPr>
        <w:t>, modifies the disclosure requirements for fair value measurements by removing, modifying, or adding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disclosures. The ASU eliminates disclosures such as the amount of and reasons for transfers between Level 1 and Level 2 of the fair value hierarchy and valuation processes for Level 3 fair value measurements. The ASU also adds new disclosure requirements for Level 3 measurements. The company adopted ASU 2018-13 on January 1, 2020. The effect of the adoption did not have a material impact on the Company’s related disclosures.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0200"/>
          </w:cols>
          <w:pgMar w:left="320" w:top="407" w:right="1379" w:bottom="1440" w:gutter="0" w:footer="0" w:header="0"/>
        </w:sectPr>
      </w:pPr>
    </w:p>
    <w:bookmarkStart w:id="257" w:name="page258"/>
    <w:bookmarkEnd w:id="25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Recently Issued Accounting Pronouncements</w:t>
      </w:r>
    </w:p>
    <w:p>
      <w:pPr>
        <w:spacing w:after="0" w:line="89"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 xml:space="preserve">In June 2016, the FASB amended guidance related to impairment of financial instruments as part of ASU 2016-13, </w:t>
      </w:r>
      <w:r>
        <w:rPr>
          <w:rFonts w:ascii="Arial" w:cs="Arial" w:eastAsia="Arial" w:hAnsi="Arial"/>
          <w:sz w:val="15"/>
          <w:szCs w:val="15"/>
          <w:i w:val="1"/>
          <w:iCs w:val="1"/>
          <w:color w:val="auto"/>
        </w:rPr>
        <w:t>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Instruments – Credit Losses (Topic 326): Measurement of Credit Losses on Financial Instruments</w:t>
      </w:r>
      <w:r>
        <w:rPr>
          <w:rFonts w:ascii="Arial" w:cs="Arial" w:eastAsia="Arial" w:hAnsi="Arial"/>
          <w:sz w:val="15"/>
          <w:szCs w:val="15"/>
          <w:color w:val="auto"/>
        </w:rPr>
        <w:t>, which will be effective January 1, 2023</w:t>
      </w:r>
      <w:r>
        <w:rPr>
          <w:rFonts w:ascii="Arial" w:cs="Arial" w:eastAsia="Arial" w:hAnsi="Arial"/>
          <w:sz w:val="15"/>
          <w:szCs w:val="15"/>
          <w:i w:val="1"/>
          <w:iCs w:val="1"/>
          <w:color w:val="auto"/>
        </w:rPr>
        <w:t xml:space="preserve"> </w:t>
      </w:r>
      <w:r>
        <w:rPr>
          <w:rFonts w:ascii="Arial" w:cs="Arial" w:eastAsia="Arial" w:hAnsi="Arial"/>
          <w:sz w:val="15"/>
          <w:szCs w:val="15"/>
          <w:color w:val="auto"/>
        </w:rPr>
        <w:t>for emerging growth companies that have adopted the private company relief. The guidance replaces the incurred loss impairment methodology with an expected credit loss model for which a company recognizes an allowance based on the estimate of expected credit loss. The Company accounts for its loans at fair value through net income, which is outside the scope of Topic 326. For available for sale debt securities, the guidance will require recognition of expected credit losses by recognizing an allowance for credit losses when the fair value of the security is below amortized cost and the recognition of this allowance is limited to the difference between the security’s amortized cost basis and fair value. The Company is evaluating the impact this ASU will have on its consolidated balance sheets, consolidated statements of operations and comprehensive income (loss) and consolidated statements of cash flows. The Company plans to adopt Topic 326 effective as of January 1, 2023.</w:t>
      </w:r>
    </w:p>
    <w:p>
      <w:pPr>
        <w:spacing w:after="0" w:line="160"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 – Goodwill and Other – Internal-Use Software –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which requires</w:t>
      </w:r>
      <w:r>
        <w:rPr>
          <w:rFonts w:ascii="Arial" w:cs="Arial" w:eastAsia="Arial" w:hAnsi="Arial"/>
          <w:sz w:val="15"/>
          <w:szCs w:val="15"/>
          <w:i w:val="1"/>
          <w:iCs w:val="1"/>
          <w:color w:val="auto"/>
        </w:rPr>
        <w:t xml:space="preserve"> </w:t>
      </w:r>
      <w:r>
        <w:rPr>
          <w:rFonts w:ascii="Arial" w:cs="Arial" w:eastAsia="Arial" w:hAnsi="Arial"/>
          <w:sz w:val="15"/>
          <w:szCs w:val="15"/>
          <w:color w:val="auto"/>
        </w:rPr>
        <w:t>a customer in a hosting arrangement that is a service contract to follow the internal-use software guidance in Topic 350-40 to determine which implementation costs to capitalize as assets or expense as incurred. The standard is effective January 1, 2021 for emerging growth companies that have adopted the private company relief. The amendments in this ASU can be applied either retrospectively or prospectively to all implementation costs after the date of adoption. The Company is evaluating the impact this ASU will have on its consolidated financial statements. The Company plans to adopt the ASU 2018-15 effective as of January 1, 2021.</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2. Revenue</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Revenue from fees,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Company disaggregates revenue from fees by type of service for the periods presented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gridSpan w:val="7"/>
          </w:tcPr>
          <w:p>
            <w:pPr>
              <w:jc w:val="right"/>
              <w:ind w:right="280"/>
              <w:spacing w:after="0"/>
              <w:rPr>
                <w:sz w:val="20"/>
                <w:szCs w:val="20"/>
                <w:color w:val="auto"/>
              </w:rPr>
            </w:pPr>
            <w:r>
              <w:rPr>
                <w:rFonts w:ascii="Arial" w:cs="Arial" w:eastAsia="Arial" w:hAnsi="Arial"/>
                <w:sz w:val="12"/>
                <w:szCs w:val="12"/>
                <w:b w:val="1"/>
                <w:bCs w:val="1"/>
                <w:color w:val="auto"/>
              </w:rPr>
              <w:t>Years ended December 31,</w:t>
            </w:r>
          </w:p>
        </w:tc>
        <w:tc>
          <w:tcPr>
            <w:tcW w:w="220" w:type="dxa"/>
            <w:vAlign w:val="bottom"/>
          </w:tcPr>
          <w:p>
            <w:pPr>
              <w:spacing w:after="0"/>
              <w:rPr>
                <w:sz w:val="12"/>
                <w:szCs w:val="12"/>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Borders>
              <w:top w:val="single" w:sz="8" w:color="auto"/>
            </w:tcBorders>
          </w:tcPr>
          <w:p>
            <w:pPr>
              <w:jc w:val="right"/>
              <w:ind w:right="57"/>
              <w:spacing w:after="0" w:line="126"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0"/>
                <w:szCs w:val="10"/>
                <w:color w:val="auto"/>
              </w:rPr>
            </w:pPr>
          </w:p>
        </w:tc>
        <w:tc>
          <w:tcPr>
            <w:tcW w:w="520" w:type="dxa"/>
            <w:vAlign w:val="bottom"/>
            <w:tcBorders>
              <w:top w:val="single" w:sz="8" w:color="auto"/>
            </w:tcBorders>
          </w:tcPr>
          <w:p>
            <w:pPr>
              <w:jc w:val="right"/>
              <w:ind w:right="58"/>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49"/>
        </w:trPr>
        <w:tc>
          <w:tcPr>
            <w:tcW w:w="552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color w:val="auto"/>
              </w:rPr>
              <w:t>Revenue from fees, net:</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rPr>
              <w:t>(unaudited)</w:t>
            </w:r>
          </w:p>
        </w:tc>
        <w:tc>
          <w:tcPr>
            <w:tcW w:w="60" w:type="dxa"/>
            <w:vAlign w:val="bottom"/>
            <w:tcBorders>
              <w:top w:val="single" w:sz="8" w:color="CCEEFF"/>
            </w:tcBorders>
            <w:shd w:val="clear" w:color="auto" w:fill="CCEEFF"/>
          </w:tcPr>
          <w:p>
            <w:pPr>
              <w:spacing w:after="0"/>
              <w:rPr>
                <w:sz w:val="12"/>
                <w:szCs w:val="12"/>
                <w:color w:val="auto"/>
              </w:rPr>
            </w:pPr>
          </w:p>
        </w:tc>
      </w:tr>
      <w:tr>
        <w:trPr>
          <w:trHeight w:val="158"/>
        </w:trPr>
        <w:tc>
          <w:tcPr>
            <w:tcW w:w="5520" w:type="dxa"/>
            <w:vAlign w:val="bottom"/>
          </w:tcPr>
          <w:p>
            <w:pPr>
              <w:ind w:left="280"/>
              <w:spacing w:after="0" w:line="158" w:lineRule="exact"/>
              <w:rPr>
                <w:sz w:val="20"/>
                <w:szCs w:val="20"/>
                <w:color w:val="auto"/>
              </w:rPr>
            </w:pPr>
            <w:r>
              <w:rPr>
                <w:rFonts w:ascii="Arial" w:cs="Arial" w:eastAsia="Arial" w:hAnsi="Arial"/>
                <w:sz w:val="14"/>
                <w:szCs w:val="14"/>
                <w:color w:val="auto"/>
              </w:rPr>
              <w:t>Platform and referral fees, net</w:t>
            </w:r>
          </w:p>
        </w:tc>
        <w:tc>
          <w:tcPr>
            <w:tcW w:w="50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88"/>
              </w:rPr>
              <w:t>$ 48,067</w:t>
            </w:r>
          </w:p>
        </w:tc>
        <w:tc>
          <w:tcPr>
            <w:tcW w:w="120" w:type="dxa"/>
            <w:vAlign w:val="bottom"/>
          </w:tcPr>
          <w:p>
            <w:pPr>
              <w:spacing w:after="0"/>
              <w:rPr>
                <w:sz w:val="13"/>
                <w:szCs w:val="13"/>
                <w:color w:val="auto"/>
              </w:rPr>
            </w:pPr>
          </w:p>
        </w:tc>
        <w:tc>
          <w:tcPr>
            <w:tcW w:w="6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$ 83,381</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$ 144,055</w:t>
            </w: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$ 89,049</w:t>
            </w:r>
          </w:p>
        </w:tc>
        <w:tc>
          <w:tcPr>
            <w:tcW w:w="100" w:type="dxa"/>
            <w:vAlign w:val="bottom"/>
          </w:tcPr>
          <w:p>
            <w:pPr>
              <w:spacing w:after="0"/>
              <w:rPr>
                <w:sz w:val="13"/>
                <w:szCs w:val="13"/>
                <w:color w:val="auto"/>
              </w:rPr>
            </w:pP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$ 123,485</w:t>
            </w:r>
          </w:p>
        </w:tc>
        <w:tc>
          <w:tcPr>
            <w:tcW w:w="60" w:type="dxa"/>
            <w:vAlign w:val="bottom"/>
          </w:tcPr>
          <w:p>
            <w:pPr>
              <w:spacing w:after="0"/>
              <w:rPr>
                <w:sz w:val="13"/>
                <w:szCs w:val="13"/>
                <w:color w:val="auto"/>
              </w:rPr>
            </w:pPr>
          </w:p>
        </w:tc>
      </w:tr>
      <w:tr>
        <w:trPr>
          <w:trHeight w:val="158"/>
        </w:trPr>
        <w:tc>
          <w:tcPr>
            <w:tcW w:w="55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Servicing fees, net</w:t>
            </w:r>
          </w:p>
        </w:tc>
        <w:tc>
          <w:tcPr>
            <w:tcW w:w="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3,094</w:t>
            </w:r>
          </w:p>
        </w:tc>
        <w:tc>
          <w:tcPr>
            <w:tcW w:w="72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5,101</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15,792</w:t>
            </w:r>
          </w:p>
        </w:tc>
        <w:tc>
          <w:tcPr>
            <w:tcW w:w="840" w:type="dxa"/>
            <w:vAlign w:val="bottom"/>
            <w:gridSpan w:val="3"/>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9,650</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20,694</w:t>
            </w:r>
          </w:p>
        </w:tc>
        <w:tc>
          <w:tcPr>
            <w:tcW w:w="60" w:type="dxa"/>
            <w:vAlign w:val="bottom"/>
            <w:shd w:val="clear" w:color="auto" w:fill="CCEEFF"/>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520" w:type="dxa"/>
            <w:vAlign w:val="bottom"/>
          </w:tcPr>
          <w:p>
            <w:pPr>
              <w:spacing w:after="0"/>
              <w:rPr>
                <w:sz w:val="20"/>
                <w:szCs w:val="20"/>
                <w:color w:val="auto"/>
              </w:rPr>
            </w:pPr>
            <w:r>
              <w:rPr>
                <w:rFonts w:ascii="Arial" w:cs="Arial" w:eastAsia="Arial" w:hAnsi="Arial"/>
                <w:sz w:val="14"/>
                <w:szCs w:val="14"/>
                <w:color w:val="auto"/>
              </w:rPr>
              <w:t>Total revenue from fees, net</w:t>
            </w:r>
          </w:p>
        </w:tc>
        <w:tc>
          <w:tcPr>
            <w:tcW w:w="50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51,161</w:t>
            </w: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88,482</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$ 159,847</w:t>
            </w:r>
          </w:p>
        </w:tc>
        <w:tc>
          <w:tcPr>
            <w:tcW w:w="7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98,699</w:t>
            </w:r>
          </w:p>
        </w:tc>
        <w:tc>
          <w:tcPr>
            <w:tcW w:w="100" w:type="dxa"/>
            <w:vAlign w:val="bottom"/>
          </w:tcPr>
          <w:p>
            <w:pPr>
              <w:spacing w:after="0"/>
              <w:rPr>
                <w:sz w:val="13"/>
                <w:szCs w:val="13"/>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$ 144,179</w:t>
            </w:r>
          </w:p>
        </w:tc>
        <w:tc>
          <w:tcPr>
            <w:tcW w:w="60" w:type="dxa"/>
            <w:vAlign w:val="bottom"/>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Platform and referral fees, net</w:t>
      </w:r>
    </w:p>
    <w:p>
      <w:pPr>
        <w:spacing w:after="0" w:line="103" w:lineRule="exact"/>
        <w:rPr>
          <w:sz w:val="20"/>
          <w:szCs w:val="20"/>
          <w:color w:val="auto"/>
        </w:rPr>
      </w:pPr>
    </w:p>
    <w:p>
      <w:pPr>
        <w:ind w:left="1020" w:right="120" w:firstLine="460"/>
        <w:spacing w:after="0" w:line="238" w:lineRule="auto"/>
        <w:rPr>
          <w:sz w:val="20"/>
          <w:szCs w:val="20"/>
          <w:color w:val="auto"/>
        </w:rPr>
      </w:pPr>
      <w:r>
        <w:rPr>
          <w:rFonts w:ascii="Arial" w:cs="Arial" w:eastAsia="Arial" w:hAnsi="Arial"/>
          <w:sz w:val="15"/>
          <w:szCs w:val="15"/>
          <w:color w:val="auto"/>
        </w:rPr>
        <w:t>The Company enters into contracts with bank partners to provide access to a cloud-based artificial intelligence lending platform developed by the Company (the “Upstart platform”) to enable banks to originate personal unsecured loans. The Upstart platform includes a cloud-based application (through Upstart.com or a white-label program) for submitting loan applications, verifying information provided within submitted applications, risk underwriting (through a series of proprietary technology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0220"/>
          </w:cols>
          <w:pgMar w:left="320" w:top="407" w:right="1359" w:bottom="1440" w:gutter="0" w:footer="0" w:header="0"/>
        </w:sectPr>
      </w:pPr>
    </w:p>
    <w:bookmarkStart w:id="258" w:name="page259"/>
    <w:bookmarkEnd w:id="25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20"/>
        <w:spacing w:after="0" w:line="238" w:lineRule="auto"/>
        <w:rPr>
          <w:sz w:val="20"/>
          <w:szCs w:val="20"/>
          <w:color w:val="auto"/>
        </w:rPr>
      </w:pPr>
      <w:r>
        <w:rPr>
          <w:rFonts w:ascii="Arial" w:cs="Arial" w:eastAsia="Arial" w:hAnsi="Arial"/>
          <w:sz w:val="15"/>
          <w:szCs w:val="15"/>
          <w:color w:val="auto"/>
        </w:rPr>
        <w:t>solutions), delivery of electronic loan offers, and if the offer is accepted by the borrower, an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172"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After origination, Upstart-powered loans are either retained by bank partners, purchased by the Company for immediate resale to institutional investors under loan sale agreements, or purchased and held by the Company. The Company pays loan premium and loan trailing fees on the loans that it purchases from bank partners. Loan premium fees are paid to the bank partners by the Company as a one-time fee at the time the loan is sold. The monthly loan trailing fees are paid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consolidated statements of operations and comprehensive income (loss) for the periods presented. The Company recognized $2.1 million, $3.3 million, $5.5 million, $3.3 million, and $5.6 million of loan premium fees and loan trailing fees as contra-revenue within platform and referral fees, net for the years ended December 31, 2017, 2018, and 2019, and nine months ended September 30, 2019 (unaudited) and 2020 (unaudited), respectively.</w:t>
      </w:r>
    </w:p>
    <w:p>
      <w:pPr>
        <w:spacing w:after="0" w:line="174"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started paying loan trailing fees on January 1, 2019. As of December 31, 2019, the Company recorded an immaterial loan trailing fee liability, which is recorded at fair value and included within “other liabilities” on the Company’s consolidated balance sheets. No loan trailing fee liability was recorded as of December 31, 2018. As of September 30, 2020 (unaudited), the Company recorded $0.9 million of loan trailing fee liability.</w:t>
      </w:r>
    </w:p>
    <w:p>
      <w:pPr>
        <w:spacing w:after="0" w:line="172"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days of service.</w:t>
      </w:r>
    </w:p>
    <w:p>
      <w:pPr>
        <w:spacing w:after="0" w:line="172" w:lineRule="exact"/>
        <w:rPr>
          <w:sz w:val="20"/>
          <w:szCs w:val="20"/>
          <w:color w:val="auto"/>
        </w:rPr>
      </w:pPr>
    </w:p>
    <w:p>
      <w:pPr>
        <w:ind w:left="1020" w:right="80" w:firstLine="460"/>
        <w:spacing w:after="0" w:line="236" w:lineRule="auto"/>
        <w:rPr>
          <w:sz w:val="20"/>
          <w:szCs w:val="20"/>
          <w:color w:val="auto"/>
        </w:rPr>
      </w:pPr>
      <w:r>
        <w:rPr>
          <w:rFonts w:ascii="Arial" w:cs="Arial" w:eastAsia="Arial" w:hAnsi="Arial"/>
          <w:sz w:val="15"/>
          <w:szCs w:val="15"/>
          <w:color w:val="auto"/>
        </w:rPr>
        <w:t>Platform and referral services are typically provided under a fixed or declining (tier-based) price per unit based on volume or as a percentage of the total value of loans originated each period; however, pricing for these services may also be based on minimum monthly usage fees. The tier-based pricing, when offered, resets on a monthly basis and does not accumulate. Given that the nature of the Company’s promise is to stand ready and provide continuous access to and process transactions through the platform, tier-based pricing based on usage represents variable consideration. Since the variable fees relate directly to the day in which such services are provided, they generally meet the criteria for allocating variable consideration entirely to one or more, but not all, performance obligations in a contract. Accordingly, when the requisite criteria are met, variable fees are allocated to and recognized on the day the services are provided. Fees for platform and referrals services are typically billed and paid on a monthly basis. As such, the Company’s contracts with customers do not include a significant financing component.</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0220"/>
          </w:cols>
          <w:pgMar w:left="320" w:top="407" w:right="1359" w:bottom="1440" w:gutter="0" w:footer="0" w:header="0"/>
        </w:sectPr>
      </w:pPr>
    </w:p>
    <w:bookmarkStart w:id="259" w:name="page260"/>
    <w:bookmarkEnd w:id="25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jc w:val="both"/>
        <w:ind w:left="1020" w:right="140" w:firstLine="460"/>
        <w:spacing w:after="0" w:line="235" w:lineRule="auto"/>
        <w:rPr>
          <w:sz w:val="20"/>
          <w:szCs w:val="20"/>
          <w:color w:val="auto"/>
        </w:rPr>
      </w:pPr>
      <w:r>
        <w:rPr>
          <w:rFonts w:ascii="Arial" w:cs="Arial" w:eastAsia="Arial" w:hAnsi="Arial"/>
          <w:sz w:val="15"/>
          <w:szCs w:val="15"/>
          <w:color w:val="auto"/>
        </w:rPr>
        <w:t>The Company did not recognize revenue from performance obligations satisfied in prior periods for the year ended December 31, 2019 and the nine months ended September 30, 2020 (unaudited). The Company had no material contract assets, contract liabilities, or deferred contract costs recorded as of December 31, 2019 and September 30, 2020 (unaudited). The Company had $1.6 million,</w:t>
      </w:r>
    </w:p>
    <w:p>
      <w:pPr>
        <w:ind w:left="1020"/>
        <w:spacing w:after="0" w:line="238" w:lineRule="auto"/>
        <w:rPr>
          <w:sz w:val="20"/>
          <w:szCs w:val="20"/>
          <w:color w:val="auto"/>
        </w:rPr>
      </w:pPr>
      <w:r>
        <w:rPr>
          <w:rFonts w:ascii="Arial" w:cs="Arial" w:eastAsia="Arial" w:hAnsi="Arial"/>
          <w:sz w:val="15"/>
          <w:szCs w:val="15"/>
          <w:color w:val="auto"/>
        </w:rPr>
        <w:t>$5.4 million, and $4.9 million of accounts receivable in other assets on the consolidated balance sheets related to contracts with customers as of December 31, 2018 and 2019, and September 30, 2020 (unaudited), respectively. The Company’s allowance for bad debt was immaterial as of December 31, 2018 and 2019, and September 30, 2020 (unaudited), and the Company’s bad debt expense was immaterial for the periods presented.</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Servicing fees, net</w:t>
      </w:r>
    </w:p>
    <w:p>
      <w:pPr>
        <w:spacing w:after="0" w:line="103" w:lineRule="exact"/>
        <w:rPr>
          <w:sz w:val="20"/>
          <w:szCs w:val="20"/>
          <w:color w:val="auto"/>
        </w:rPr>
      </w:pPr>
    </w:p>
    <w:p>
      <w:pPr>
        <w:ind w:left="1020" w:right="100" w:firstLine="460"/>
        <w:spacing w:after="0" w:line="237" w:lineRule="auto"/>
        <w:rPr>
          <w:sz w:val="20"/>
          <w:szCs w:val="20"/>
          <w:color w:val="auto"/>
        </w:rPr>
      </w:pPr>
      <w:r>
        <w:rPr>
          <w:rFonts w:ascii="Arial" w:cs="Arial" w:eastAsia="Arial" w:hAnsi="Arial"/>
          <w:sz w:val="15"/>
          <w:szCs w:val="15"/>
          <w:color w:val="auto"/>
        </w:rPr>
        <w:t xml:space="preserve">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to borrowers on a per transaction basis for processing late payments and payments declined due to insufficient funds. Servicing fees are recognized in the period the services are provided. Loan servicing fees are not within the scope of Topic 606 and are accounted for under Topic 860, </w:t>
      </w:r>
      <w:r>
        <w:rPr>
          <w:rFonts w:ascii="Arial" w:cs="Arial" w:eastAsia="Arial" w:hAnsi="Arial"/>
          <w:sz w:val="15"/>
          <w:szCs w:val="15"/>
          <w:i w:val="1"/>
          <w:iCs w:val="1"/>
          <w:color w:val="auto"/>
        </w:rPr>
        <w:t>Transfers and servicing of</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assets</w:t>
      </w:r>
      <w:r>
        <w:rPr>
          <w:rFonts w:ascii="Arial" w:cs="Arial" w:eastAsia="Arial" w:hAnsi="Arial"/>
          <w:sz w:val="15"/>
          <w:szCs w:val="15"/>
          <w:color w:val="auto"/>
        </w:rPr>
        <w:t>.</w:t>
      </w:r>
    </w:p>
    <w:p>
      <w:pPr>
        <w:spacing w:after="0" w:line="170"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Servicing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more than adequately compensate the Company for carrying out its servicing obligations. The Company recognized net gain (loss) related to loan servicing rights upon the sale of $(1.5) million, $(1.9) million, $(0.9) million, $(1.3) million, and $1.7 million for the years ended December 31, 2017, 2018, and 2019, and nine months ended September 30, 2019 (unaudited), and 2020 (unaudited), respectively. Servicing fees also include changes in fair value of loan servicing assets and liabilities in the periods presented.</w:t>
      </w:r>
    </w:p>
    <w:p>
      <w:pPr>
        <w:spacing w:after="0" w:line="172" w:lineRule="exact"/>
        <w:rPr>
          <w:sz w:val="20"/>
          <w:szCs w:val="20"/>
          <w:color w:val="auto"/>
        </w:rPr>
      </w:pPr>
    </w:p>
    <w:p>
      <w:pPr>
        <w:ind w:left="1020" w:right="160" w:firstLine="460"/>
        <w:spacing w:after="0" w:line="236" w:lineRule="auto"/>
        <w:rPr>
          <w:sz w:val="20"/>
          <w:szCs w:val="20"/>
          <w:color w:val="auto"/>
        </w:rPr>
      </w:pPr>
      <w:r>
        <w:rPr>
          <w:rFonts w:ascii="Arial" w:cs="Arial" w:eastAsia="Arial" w:hAnsi="Arial"/>
          <w:sz w:val="15"/>
          <w:szCs w:val="15"/>
          <w:color w:val="auto"/>
        </w:rPr>
        <w:t>The Company outsources borrower payment collections for loans in default to third-party collection agencies. The Company charges bank partners and institutional investors 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Revenue from collection agency fees are included in servicing fees, net as part of revenue from fees, net in the Company’s consolidated statements of operations and comprehensive income (loss). The total fees charged by collection agencies are also recognized in the period incurred and reported as part of customer operations expenses. The Company recognized $0.5 million, $0.9 million $2.1 million, $1.5 million, and $2.1 million for collection agency fees, which are included in servicing fees, net, for the years ended December 31, 2017, 2018 and 2019, and nine months ended September 30, 2019 (unaudited) and 2020 (unaudited), respectively.</w:t>
      </w:r>
    </w:p>
    <w:p>
      <w:pPr>
        <w:spacing w:after="0" w:line="119"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0200"/>
          </w:cols>
          <w:pgMar w:left="320" w:top="407" w:right="1379" w:bottom="1440" w:gutter="0" w:footer="0" w:header="0"/>
        </w:sectPr>
      </w:pPr>
    </w:p>
    <w:bookmarkStart w:id="260" w:name="page261"/>
    <w:bookmarkEnd w:id="26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Interest Income and Fair Value Adjustments, Net</w:t>
      </w:r>
    </w:p>
    <w:p>
      <w:pPr>
        <w:spacing w:after="0" w:line="105"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Interest income and fair value adjustments, net is comprised of interest income, interest expense and net changes in the fair value of financial instruments, held in the Company’s normal course of business at fair value, including loans, notes receivable and residual certificates, payable to securitization note holders and residual certificate holders, and notes payable.</w:t>
      </w:r>
    </w:p>
    <w:p>
      <w:pPr>
        <w:spacing w:after="0" w:line="170" w:lineRule="exact"/>
        <w:rPr>
          <w:sz w:val="20"/>
          <w:szCs w:val="20"/>
          <w:color w:val="auto"/>
        </w:rPr>
      </w:pPr>
    </w:p>
    <w:p>
      <w:pPr>
        <w:ind w:left="1020" w:right="720" w:firstLine="460"/>
        <w:spacing w:after="0" w:line="245" w:lineRule="auto"/>
        <w:rPr>
          <w:sz w:val="20"/>
          <w:szCs w:val="20"/>
          <w:color w:val="auto"/>
        </w:rPr>
      </w:pPr>
      <w:r>
        <w:rPr>
          <w:rFonts w:ascii="Arial" w:cs="Arial" w:eastAsia="Arial" w:hAnsi="Arial"/>
          <w:sz w:val="15"/>
          <w:szCs w:val="15"/>
          <w:color w:val="auto"/>
        </w:rPr>
        <w:t>The table below presents components of the interest income and fair value adjustments, net presented in the Company’s consolidated statements of operations and comprehensive income (loss)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5"/>
          </w:tcPr>
          <w:p>
            <w:pPr>
              <w:jc w:val="center"/>
              <w:ind w:right="16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4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320" w:type="dxa"/>
            <w:vAlign w:val="bottom"/>
            <w:gridSpan w:val="9"/>
          </w:tcPr>
          <w:p>
            <w:pPr>
              <w:jc w:val="right"/>
              <w:ind w:right="580"/>
              <w:spacing w:after="0"/>
              <w:rPr>
                <w:sz w:val="20"/>
                <w:szCs w:val="20"/>
                <w:color w:val="auto"/>
              </w:rPr>
            </w:pPr>
            <w:r>
              <w:rPr>
                <w:rFonts w:ascii="Arial" w:cs="Arial" w:eastAsia="Arial" w:hAnsi="Arial"/>
                <w:sz w:val="12"/>
                <w:szCs w:val="12"/>
                <w:b w:val="1"/>
                <w:bCs w:val="1"/>
                <w:color w:val="auto"/>
              </w:rPr>
              <w:t>Years ended December 31</w:t>
            </w:r>
          </w:p>
        </w:tc>
        <w:tc>
          <w:tcPr>
            <w:tcW w:w="80" w:type="dxa"/>
            <w:vAlign w:val="bottom"/>
          </w:tcPr>
          <w:p>
            <w:pPr>
              <w:spacing w:after="0"/>
              <w:rPr>
                <w:sz w:val="12"/>
                <w:szCs w:val="12"/>
                <w:color w:val="auto"/>
              </w:rPr>
            </w:pPr>
          </w:p>
        </w:tc>
        <w:tc>
          <w:tcPr>
            <w:tcW w:w="136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top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140"/>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76"/>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42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4"/>
          </w:tcPr>
          <w:p>
            <w:pPr>
              <w:jc w:val="center"/>
              <w:ind w:right="3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Interest income and fair value adjustments, net:</w:t>
            </w:r>
          </w:p>
        </w:tc>
        <w:tc>
          <w:tcPr>
            <w:tcW w:w="120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4240" w:type="dxa"/>
            <w:vAlign w:val="bottom"/>
          </w:tcPr>
          <w:p>
            <w:pPr>
              <w:ind w:left="280"/>
              <w:spacing w:after="0" w:line="157" w:lineRule="exact"/>
              <w:rPr>
                <w:sz w:val="20"/>
                <w:szCs w:val="20"/>
                <w:color w:val="auto"/>
              </w:rPr>
            </w:pPr>
            <w:r>
              <w:rPr>
                <w:rFonts w:ascii="Arial" w:cs="Arial" w:eastAsia="Arial" w:hAnsi="Arial"/>
                <w:sz w:val="12"/>
                <w:szCs w:val="12"/>
                <w:color w:val="auto"/>
              </w:rPr>
              <w:t>Interest income</w:t>
            </w:r>
            <w:r>
              <w:rPr>
                <w:rFonts w:ascii="Arial" w:cs="Arial" w:eastAsia="Arial" w:hAnsi="Arial"/>
                <w:sz w:val="18"/>
                <w:szCs w:val="18"/>
                <w:color w:val="auto"/>
                <w:vertAlign w:val="superscript"/>
              </w:rPr>
              <w:t>(1)</w:t>
            </w:r>
          </w:p>
        </w:tc>
        <w:tc>
          <w:tcPr>
            <w:tcW w:w="12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3"/>
              </w:rPr>
              <w:t>21,134</w:t>
            </w: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$ 76,683</w:t>
            </w:r>
          </w:p>
        </w:tc>
        <w:tc>
          <w:tcPr>
            <w:tcW w:w="160" w:type="dxa"/>
            <w:vAlign w:val="bottom"/>
          </w:tcPr>
          <w:p>
            <w:pPr>
              <w:spacing w:after="0"/>
              <w:rPr>
                <w:sz w:val="13"/>
                <w:szCs w:val="13"/>
                <w:color w:val="auto"/>
              </w:rPr>
            </w:pP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63,313</w:t>
            </w:r>
          </w:p>
        </w:tc>
        <w:tc>
          <w:tcPr>
            <w:tcW w:w="28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51,299</w:t>
            </w:r>
          </w:p>
        </w:tc>
        <w:tc>
          <w:tcPr>
            <w:tcW w:w="160" w:type="dxa"/>
            <w:vAlign w:val="bottom"/>
          </w:tcPr>
          <w:p>
            <w:pPr>
              <w:spacing w:after="0"/>
              <w:rPr>
                <w:sz w:val="13"/>
                <w:szCs w:val="13"/>
                <w:color w:val="auto"/>
              </w:rPr>
            </w:pPr>
          </w:p>
        </w:tc>
        <w:tc>
          <w:tcPr>
            <w:tcW w:w="1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22,705</w:t>
            </w:r>
          </w:p>
        </w:tc>
        <w:tc>
          <w:tcPr>
            <w:tcW w:w="80" w:type="dxa"/>
            <w:vAlign w:val="bottom"/>
          </w:tcPr>
          <w:p>
            <w:pPr>
              <w:spacing w:after="0"/>
              <w:rPr>
                <w:sz w:val="13"/>
                <w:szCs w:val="13"/>
                <w:color w:val="auto"/>
              </w:rPr>
            </w:pPr>
          </w:p>
        </w:tc>
      </w:tr>
      <w:tr>
        <w:trPr>
          <w:trHeight w:val="158"/>
        </w:trPr>
        <w:tc>
          <w:tcPr>
            <w:tcW w:w="4240" w:type="dxa"/>
            <w:vAlign w:val="bottom"/>
            <w:shd w:val="clear" w:color="auto" w:fill="CCEEFF"/>
          </w:tcPr>
          <w:p>
            <w:pPr>
              <w:ind w:left="280"/>
              <w:spacing w:after="0" w:line="157" w:lineRule="exact"/>
              <w:rPr>
                <w:sz w:val="20"/>
                <w:szCs w:val="20"/>
                <w:color w:val="auto"/>
              </w:rPr>
            </w:pPr>
            <w:r>
              <w:rPr>
                <w:rFonts w:ascii="Arial" w:cs="Arial" w:eastAsia="Arial" w:hAnsi="Arial"/>
                <w:sz w:val="12"/>
                <w:szCs w:val="12"/>
                <w:color w:val="auto"/>
              </w:rPr>
              <w:t>Interest expense</w:t>
            </w:r>
            <w:r>
              <w:rPr>
                <w:rFonts w:ascii="Arial" w:cs="Arial" w:eastAsia="Arial" w:hAnsi="Arial"/>
                <w:sz w:val="18"/>
                <w:szCs w:val="18"/>
                <w:color w:val="auto"/>
                <w:vertAlign w:val="superscript"/>
              </w:rPr>
              <w:t>(1)</w:t>
            </w:r>
          </w:p>
        </w:tc>
        <w:tc>
          <w:tcPr>
            <w:tcW w:w="1200" w:type="dxa"/>
            <w:vAlign w:val="bottom"/>
            <w:tcBorders>
              <w:right w:val="single" w:sz="8" w:color="CCEEFF"/>
            </w:tcBorders>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(9,420)</w:t>
            </w:r>
          </w:p>
        </w:tc>
        <w:tc>
          <w:tcPr>
            <w:tcW w:w="820" w:type="dxa"/>
            <w:vAlign w:val="bottom"/>
            <w:gridSpan w:val="3"/>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(26,483)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95"/>
              </w:rPr>
              <w:t>(26,485)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1"/>
              </w:rPr>
              <w:t>(22,128)</w:t>
            </w:r>
          </w:p>
        </w:tc>
        <w:tc>
          <w:tcPr>
            <w:tcW w:w="18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(6,952)</w:t>
            </w:r>
          </w:p>
        </w:tc>
      </w:tr>
      <w:tr>
        <w:trPr>
          <w:trHeight w:val="158"/>
        </w:trPr>
        <w:tc>
          <w:tcPr>
            <w:tcW w:w="4240" w:type="dxa"/>
            <w:vAlign w:val="bottom"/>
          </w:tcPr>
          <w:p>
            <w:pPr>
              <w:ind w:left="280"/>
              <w:spacing w:after="0" w:line="157" w:lineRule="exact"/>
              <w:rPr>
                <w:sz w:val="20"/>
                <w:szCs w:val="20"/>
                <w:color w:val="auto"/>
              </w:rPr>
            </w:pPr>
            <w:r>
              <w:rPr>
                <w:rFonts w:ascii="Arial" w:cs="Arial" w:eastAsia="Arial" w:hAnsi="Arial"/>
                <w:sz w:val="12"/>
                <w:szCs w:val="12"/>
                <w:color w:val="auto"/>
              </w:rPr>
              <w:t>Fair value and other adjustments, net</w:t>
            </w:r>
            <w:r>
              <w:rPr>
                <w:rFonts w:ascii="Arial" w:cs="Arial" w:eastAsia="Arial" w:hAnsi="Arial"/>
                <w:sz w:val="18"/>
                <w:szCs w:val="18"/>
                <w:color w:val="auto"/>
                <w:vertAlign w:val="superscript"/>
              </w:rPr>
              <w:t>(1)</w:t>
            </w:r>
          </w:p>
        </w:tc>
        <w:tc>
          <w:tcPr>
            <w:tcW w:w="1200" w:type="dxa"/>
            <w:vAlign w:val="bottom"/>
          </w:tcPr>
          <w:p>
            <w:pPr>
              <w:spacing w:after="0"/>
              <w:rPr>
                <w:sz w:val="13"/>
                <w:szCs w:val="13"/>
                <w:color w:val="auto"/>
              </w:rPr>
            </w:pPr>
          </w:p>
        </w:tc>
        <w:tc>
          <w:tcPr>
            <w:tcW w:w="5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(5,586)</w:t>
            </w:r>
          </w:p>
        </w:tc>
        <w:tc>
          <w:tcPr>
            <w:tcW w:w="820" w:type="dxa"/>
            <w:vAlign w:val="bottom"/>
            <w:gridSpan w:val="3"/>
          </w:tcPr>
          <w:p>
            <w:pPr>
              <w:jc w:val="right"/>
              <w:ind w:right="120"/>
              <w:spacing w:after="0" w:line="158" w:lineRule="exact"/>
              <w:rPr>
                <w:sz w:val="20"/>
                <w:szCs w:val="20"/>
                <w:color w:val="auto"/>
              </w:rPr>
            </w:pPr>
            <w:r>
              <w:rPr>
                <w:rFonts w:ascii="Arial" w:cs="Arial" w:eastAsia="Arial" w:hAnsi="Arial"/>
                <w:sz w:val="14"/>
                <w:szCs w:val="14"/>
                <w:color w:val="auto"/>
              </w:rPr>
              <w:t>(39,369)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5"/>
              </w:rPr>
              <w:t>(32,486)</w:t>
            </w: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1"/>
              </w:rPr>
              <w:t>(26,253)</w:t>
            </w:r>
          </w:p>
        </w:tc>
        <w:tc>
          <w:tcPr>
            <w:tcW w:w="180" w:type="dxa"/>
            <w:vAlign w:val="bottom"/>
          </w:tcPr>
          <w:p>
            <w:pPr>
              <w:spacing w:after="0"/>
              <w:rPr>
                <w:sz w:val="13"/>
                <w:szCs w:val="13"/>
                <w:color w:val="auto"/>
              </w:rPr>
            </w:pPr>
          </w:p>
        </w:tc>
        <w:tc>
          <w:tcPr>
            <w:tcW w:w="5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5"/>
              </w:rPr>
              <w:t>(13,226)</w:t>
            </w:r>
          </w:p>
        </w:tc>
      </w:tr>
      <w:tr>
        <w:trPr>
          <w:trHeight w:val="23"/>
        </w:trPr>
        <w:tc>
          <w:tcPr>
            <w:tcW w:w="4240" w:type="dxa"/>
            <w:vAlign w:val="bottom"/>
          </w:tcPr>
          <w:p>
            <w:pPr>
              <w:spacing w:after="0" w:line="20" w:lineRule="exact"/>
              <w:rPr>
                <w:sz w:val="1"/>
                <w:szCs w:val="1"/>
                <w:color w:val="auto"/>
              </w:rPr>
            </w:pPr>
          </w:p>
        </w:tc>
        <w:tc>
          <w:tcPr>
            <w:tcW w:w="120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interest income and fair value adjustments, net</w:t>
            </w:r>
          </w:p>
        </w:tc>
        <w:tc>
          <w:tcPr>
            <w:tcW w:w="120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6,128</w:t>
            </w:r>
          </w:p>
        </w:tc>
        <w:tc>
          <w:tcPr>
            <w:tcW w:w="6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$ 10,831</w:t>
            </w:r>
          </w:p>
        </w:tc>
        <w:tc>
          <w:tcPr>
            <w:tcW w:w="16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4,342</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2,918</w:t>
            </w:r>
          </w:p>
        </w:tc>
        <w:tc>
          <w:tcPr>
            <w:tcW w:w="18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2,527</w:t>
            </w:r>
          </w:p>
        </w:tc>
      </w:tr>
      <w:tr>
        <w:trPr>
          <w:trHeight w:val="20"/>
        </w:trPr>
        <w:tc>
          <w:tcPr>
            <w:tcW w:w="4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78740</wp:posOffset>
            </wp:positionV>
            <wp:extent cx="643890"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48" w:lineRule="exact"/>
        <w:rPr>
          <w:sz w:val="20"/>
          <w:szCs w:val="20"/>
          <w:color w:val="auto"/>
        </w:rPr>
      </w:pPr>
    </w:p>
    <w:p>
      <w:pPr>
        <w:ind w:left="1480" w:hanging="453"/>
        <w:spacing w:after="0"/>
        <w:tabs>
          <w:tab w:leader="none" w:pos="148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Includes interest income, interest expense and fair value adjustments, net related to consolidated securitization trusts as follows: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6"/>
          </w:tcPr>
          <w:p>
            <w:pPr>
              <w:jc w:val="center"/>
              <w:ind w:right="180"/>
              <w:spacing w:after="0"/>
              <w:rPr>
                <w:sz w:val="20"/>
                <w:szCs w:val="20"/>
                <w:color w:val="auto"/>
              </w:rPr>
            </w:pPr>
            <w:r>
              <w:rPr>
                <w:rFonts w:ascii="Arial" w:cs="Arial" w:eastAsia="Arial" w:hAnsi="Arial"/>
                <w:sz w:val="12"/>
                <w:szCs w:val="12"/>
                <w:b w:val="1"/>
                <w:bCs w:val="1"/>
                <w:color w:val="auto"/>
                <w:w w:val="99"/>
              </w:rPr>
              <w:t>Nine Months Ended</w:t>
            </w:r>
          </w:p>
        </w:tc>
      </w:tr>
      <w:tr>
        <w:trPr>
          <w:trHeight w:val="145"/>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10"/>
          </w:tcPr>
          <w:p>
            <w:pPr>
              <w:jc w:val="right"/>
              <w:ind w:right="580"/>
              <w:spacing w:after="0"/>
              <w:rPr>
                <w:sz w:val="20"/>
                <w:szCs w:val="20"/>
                <w:color w:val="auto"/>
              </w:rPr>
            </w:pPr>
            <w:r>
              <w:rPr>
                <w:rFonts w:ascii="Arial" w:cs="Arial" w:eastAsia="Arial" w:hAnsi="Arial"/>
                <w:sz w:val="12"/>
                <w:szCs w:val="12"/>
                <w:b w:val="1"/>
                <w:bCs w:val="1"/>
                <w:color w:val="auto"/>
              </w:rPr>
              <w:t>Years ended December 31</w:t>
            </w:r>
          </w:p>
        </w:tc>
        <w:tc>
          <w:tcPr>
            <w:tcW w:w="80" w:type="dxa"/>
            <w:vAlign w:val="bottom"/>
          </w:tcPr>
          <w:p>
            <w:pPr>
              <w:spacing w:after="0"/>
              <w:rPr>
                <w:sz w:val="12"/>
                <w:szCs w:val="12"/>
                <w:color w:val="auto"/>
              </w:rPr>
            </w:pPr>
          </w:p>
        </w:tc>
        <w:tc>
          <w:tcPr>
            <w:tcW w:w="1300" w:type="dxa"/>
            <w:vAlign w:val="bottom"/>
            <w:gridSpan w:val="6"/>
          </w:tcPr>
          <w:p>
            <w:pPr>
              <w:jc w:val="center"/>
              <w:ind w:right="16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2017</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ind w:left="60"/>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w w:val="97"/>
              </w:rPr>
              <w:t>2020</w:t>
            </w:r>
          </w:p>
        </w:tc>
        <w:tc>
          <w:tcPr>
            <w:tcW w:w="80" w:type="dxa"/>
            <w:vAlign w:val="bottom"/>
          </w:tcPr>
          <w:p>
            <w:pPr>
              <w:spacing w:after="0"/>
              <w:rPr>
                <w:sz w:val="10"/>
                <w:szCs w:val="10"/>
                <w:color w:val="auto"/>
              </w:rPr>
            </w:pPr>
          </w:p>
        </w:tc>
      </w:tr>
      <w:tr>
        <w:trPr>
          <w:trHeight w:val="126"/>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5"/>
          </w:tcPr>
          <w:p>
            <w:pPr>
              <w:jc w:val="center"/>
              <w:ind w:right="1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r>
      <w:tr>
        <w:trPr>
          <w:trHeight w:val="159"/>
        </w:trPr>
        <w:tc>
          <w:tcPr>
            <w:tcW w:w="5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Interest income and fair value adjustments, net related to consolidated securitization</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52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trusts:</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5240" w:type="dxa"/>
            <w:vAlign w:val="bottom"/>
          </w:tcPr>
          <w:p>
            <w:pPr>
              <w:ind w:left="280"/>
              <w:spacing w:after="0" w:line="158" w:lineRule="exact"/>
              <w:rPr>
                <w:sz w:val="20"/>
                <w:szCs w:val="20"/>
                <w:color w:val="auto"/>
              </w:rPr>
            </w:pPr>
            <w:r>
              <w:rPr>
                <w:rFonts w:ascii="Arial" w:cs="Arial" w:eastAsia="Arial" w:hAnsi="Arial"/>
                <w:sz w:val="14"/>
                <w:szCs w:val="14"/>
                <w:color w:val="auto"/>
              </w:rPr>
              <w:t>Interest income</w:t>
            </w:r>
          </w:p>
        </w:tc>
        <w:tc>
          <w:tcPr>
            <w:tcW w:w="2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w w:val="93"/>
              </w:rPr>
              <w:t>13,454</w:t>
            </w:r>
          </w:p>
        </w:tc>
        <w:tc>
          <w:tcPr>
            <w:tcW w:w="1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60,425</w:t>
            </w:r>
          </w:p>
        </w:tc>
        <w:tc>
          <w:tcPr>
            <w:tcW w:w="1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38,218</w:t>
            </w:r>
          </w:p>
        </w:tc>
        <w:tc>
          <w:tcPr>
            <w:tcW w:w="26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ind w:left="60"/>
              <w:spacing w:after="0" w:line="158" w:lineRule="exact"/>
              <w:rPr>
                <w:sz w:val="20"/>
                <w:szCs w:val="20"/>
                <w:color w:val="auto"/>
              </w:rPr>
            </w:pPr>
            <w:r>
              <w:rPr>
                <w:rFonts w:ascii="Arial" w:cs="Arial" w:eastAsia="Arial" w:hAnsi="Arial"/>
                <w:sz w:val="14"/>
                <w:szCs w:val="14"/>
                <w:color w:val="auto"/>
                <w:w w:val="88"/>
              </w:rPr>
              <w:t>31,909</w:t>
            </w:r>
          </w:p>
        </w:tc>
        <w:tc>
          <w:tcPr>
            <w:tcW w:w="160" w:type="dxa"/>
            <w:vAlign w:val="bottom"/>
          </w:tcPr>
          <w:p>
            <w:pPr>
              <w:spacing w:after="0"/>
              <w:rPr>
                <w:sz w:val="13"/>
                <w:szCs w:val="13"/>
                <w:color w:val="auto"/>
              </w:rPr>
            </w:pPr>
          </w:p>
        </w:tc>
        <w:tc>
          <w:tcPr>
            <w:tcW w:w="2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5,173</w:t>
            </w:r>
          </w:p>
        </w:tc>
      </w:tr>
      <w:tr>
        <w:trPr>
          <w:trHeight w:val="158"/>
        </w:trPr>
        <w:tc>
          <w:tcPr>
            <w:tcW w:w="5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9"/>
              </w:rPr>
              <w:t>(2,694)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w w:val="91"/>
              </w:rPr>
              <w:t>(17,200)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(6,331)</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(5,662)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(1,074)</w:t>
            </w:r>
          </w:p>
        </w:tc>
      </w:tr>
      <w:tr>
        <w:trPr>
          <w:trHeight w:val="160"/>
        </w:trPr>
        <w:tc>
          <w:tcPr>
            <w:tcW w:w="5240" w:type="dxa"/>
            <w:vAlign w:val="bottom"/>
          </w:tcPr>
          <w:p>
            <w:pPr>
              <w:ind w:left="280"/>
              <w:spacing w:after="0" w:line="158" w:lineRule="exact"/>
              <w:rPr>
                <w:sz w:val="20"/>
                <w:szCs w:val="20"/>
                <w:color w:val="auto"/>
              </w:rPr>
            </w:pPr>
            <w:r>
              <w:rPr>
                <w:rFonts w:ascii="Arial" w:cs="Arial" w:eastAsia="Arial" w:hAnsi="Arial"/>
                <w:sz w:val="14"/>
                <w:szCs w:val="14"/>
                <w:color w:val="auto"/>
              </w:rPr>
              <w:t>Fair value and other adjustments, net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9"/>
              </w:rPr>
              <w:t>(6,005)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w w:val="91"/>
              </w:rPr>
              <w:t>(37,607)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1"/>
              </w:rPr>
              <w:t>(30,676)</w:t>
            </w: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5"/>
              </w:rPr>
              <w:t>(24,180)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(3,148)</w:t>
            </w:r>
          </w:p>
        </w:tc>
      </w:tr>
      <w:tr>
        <w:trPr>
          <w:trHeight w:val="159"/>
        </w:trPr>
        <w:tc>
          <w:tcPr>
            <w:tcW w:w="5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 interest income and fair value adjustments, net related to consolidated</w:t>
            </w:r>
          </w:p>
        </w:tc>
        <w:tc>
          <w:tcPr>
            <w:tcW w:w="2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6"/>
        </w:trPr>
        <w:tc>
          <w:tcPr>
            <w:tcW w:w="524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securitization trusts</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4,755</w:t>
            </w:r>
          </w:p>
        </w:tc>
        <w:tc>
          <w:tcPr>
            <w:tcW w:w="1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5,618</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1,211</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2,067</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951</w:t>
            </w:r>
          </w:p>
        </w:tc>
        <w:tc>
          <w:tcPr>
            <w:tcW w:w="80" w:type="dxa"/>
            <w:vAlign w:val="bottom"/>
            <w:shd w:val="clear" w:color="auto" w:fill="CCEEFF"/>
          </w:tcPr>
          <w:p>
            <w:pPr>
              <w:spacing w:after="0"/>
              <w:rPr>
                <w:sz w:val="13"/>
                <w:szCs w:val="13"/>
                <w:color w:val="auto"/>
              </w:rPr>
            </w:pPr>
          </w:p>
        </w:tc>
      </w:tr>
      <w:tr>
        <w:trPr>
          <w:trHeight w:val="20"/>
        </w:trPr>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income</w:t>
      </w:r>
    </w:p>
    <w:p>
      <w:pPr>
        <w:spacing w:after="0" w:line="103"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Interest income is recognized based on the terms of the underlying agreements with borrowers for loans held on the Company’s consolidated balance sheets and is earned over the life of a loan.</w:t>
      </w:r>
    </w:p>
    <w:p>
      <w:pPr>
        <w:spacing w:after="0" w:line="166"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As of December 31, 2018 and 2019, and September 30, 2020 (unaudited), the Company has recorded $1.2 million of accrued interest income in loans on the consolidated balance sheets.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0220"/>
          </w:cols>
          <w:pgMar w:left="320" w:top="407" w:right="1359" w:bottom="1440" w:gutter="0" w:footer="0" w:header="0"/>
        </w:sectPr>
      </w:pPr>
    </w:p>
    <w:bookmarkStart w:id="261" w:name="page262"/>
    <w:bookmarkEnd w:id="26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Interest expense</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Interest expense is primarily related to interest recorded on the notes issued as part of the consolidated securitizations and on the Company’s borrowings. Interest expense includes accrued interest incurred but not paid. Accrued interest expenses were immaterial as of December 31, 2018 and 2019, and September 30, 2020 (unaudited).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Fair value and other adjustments, net</w:t>
      </w:r>
    </w:p>
    <w:p>
      <w:pPr>
        <w:spacing w:after="0" w:line="103"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Fair value and other adjustments, net include changes in fair value of financial instruments, other than loan servicing assets and liabilities, common stock warrant liabilities, and convertible preferred stock warrant liabilities. These adjustments are recorded in the Company’s earnings and include both realized and unrealized changes to the value of related assets and liabilities. Refer to “</w:t>
      </w:r>
      <w:r>
        <w:rPr>
          <w:rFonts w:ascii="Arial" w:cs="Arial" w:eastAsia="Arial" w:hAnsi="Arial"/>
          <w:sz w:val="15"/>
          <w:szCs w:val="15"/>
          <w:i w:val="1"/>
          <w:iCs w:val="1"/>
          <w:color w:val="auto"/>
        </w:rPr>
        <w:t>Note 4</w:t>
      </w:r>
      <w:r>
        <w:rPr>
          <w:rFonts w:ascii="Arial" w:cs="Arial" w:eastAsia="Arial" w:hAnsi="Arial"/>
          <w:sz w:val="15"/>
          <w:szCs w:val="15"/>
          <w:color w:val="auto"/>
        </w:rPr>
        <w:t xml:space="preserve">. </w:t>
      </w:r>
      <w:r>
        <w:rPr>
          <w:rFonts w:ascii="Arial" w:cs="Arial" w:eastAsia="Arial" w:hAnsi="Arial"/>
          <w:sz w:val="15"/>
          <w:szCs w:val="15"/>
          <w:i w:val="1"/>
          <w:iCs w:val="1"/>
          <w:color w:val="auto"/>
        </w:rPr>
        <w:t>Fair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Value Measurement” </w:t>
      </w:r>
      <w:r>
        <w:rPr>
          <w:rFonts w:ascii="Arial" w:cs="Arial" w:eastAsia="Arial" w:hAnsi="Arial"/>
          <w:sz w:val="15"/>
          <w:szCs w:val="15"/>
          <w:color w:val="auto"/>
        </w:rPr>
        <w:t>for additional information.</w:t>
      </w:r>
    </w:p>
    <w:p>
      <w:pPr>
        <w:spacing w:after="0" w:line="172" w:lineRule="exact"/>
        <w:rPr>
          <w:sz w:val="20"/>
          <w:szCs w:val="20"/>
          <w:color w:val="auto"/>
        </w:rPr>
      </w:pPr>
    </w:p>
    <w:p>
      <w:pPr>
        <w:ind w:left="1020" w:right="220" w:firstLine="460"/>
        <w:spacing w:after="0"/>
        <w:rPr>
          <w:sz w:val="20"/>
          <w:szCs w:val="20"/>
          <w:color w:val="auto"/>
        </w:rPr>
      </w:pPr>
      <w:r>
        <w:rPr>
          <w:rFonts w:ascii="Arial" w:cs="Arial" w:eastAsia="Arial" w:hAnsi="Arial"/>
          <w:sz w:val="15"/>
          <w:szCs w:val="15"/>
          <w:color w:val="auto"/>
        </w:rPr>
        <w:t>Fair value and other adjustments, net also include interest income attributable to third-party residual certificate holders for the consolidated securitization and amounts received from borrowers for previously charged-off loans held on the Company’s consolidated balance sheets. These amounts are recognized in the period received.</w:t>
      </w:r>
    </w:p>
    <w:p>
      <w:pPr>
        <w:spacing w:after="0" w:line="242" w:lineRule="exact"/>
        <w:rPr>
          <w:sz w:val="20"/>
          <w:szCs w:val="20"/>
          <w:color w:val="auto"/>
        </w:rPr>
      </w:pPr>
    </w:p>
    <w:p>
      <w:pPr>
        <w:ind w:left="1480" w:right="5820" w:hanging="453"/>
        <w:spacing w:after="0" w:line="373" w:lineRule="auto"/>
        <w:tabs>
          <w:tab w:leader="none" w:pos="1187" w:val="left"/>
        </w:tabs>
        <w:numPr>
          <w:ilvl w:val="0"/>
          <w:numId w:val="140"/>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Securitizations and Variable Interest Entities Consolidated VIEs</w:t>
      </w:r>
    </w:p>
    <w:p>
      <w:pPr>
        <w:ind w:left="1020" w:firstLine="460"/>
        <w:spacing w:after="0" w:line="238" w:lineRule="auto"/>
        <w:rPr>
          <w:sz w:val="20"/>
          <w:szCs w:val="20"/>
          <w:color w:val="auto"/>
        </w:rPr>
      </w:pPr>
      <w:r>
        <w:rPr>
          <w:rFonts w:ascii="Arial" w:cs="Arial" w:eastAsia="Arial" w:hAnsi="Arial"/>
          <w:sz w:val="15"/>
          <w:szCs w:val="15"/>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170"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Note 1. Description of Business and Significant Accounting Policies”</w:t>
      </w:r>
      <w:r>
        <w:rPr>
          <w:rFonts w:ascii="Arial" w:cs="Arial" w:eastAsia="Arial" w:hAnsi="Arial"/>
          <w:sz w:val="15"/>
          <w:szCs w:val="15"/>
          <w:color w:val="auto"/>
        </w:rPr>
        <w:t xml:space="preserve"> for additional information</w:t>
      </w:r>
      <w:r>
        <w:rPr>
          <w:rFonts w:ascii="Arial" w:cs="Arial" w:eastAsia="Arial" w:hAnsi="Arial"/>
          <w:sz w:val="15"/>
          <w:szCs w:val="15"/>
          <w:i w:val="1"/>
          <w:iCs w:val="1"/>
          <w:color w:val="auto"/>
        </w:rPr>
        <w:t>.</w:t>
      </w:r>
    </w:p>
    <w:p>
      <w:pPr>
        <w:spacing w:after="0" w:line="267"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Warehouse Entities</w:t>
      </w:r>
    </w:p>
    <w:p>
      <w:pPr>
        <w:spacing w:after="0" w:line="103"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 xml:space="preserve">The Company established Upstart Loan Trust and Upstart Warehouse Trust to enter into warehouse credit facilities for the purpose of purchasing Upstart-powered loans. See </w:t>
      </w:r>
      <w:r>
        <w:rPr>
          <w:rFonts w:ascii="Arial" w:cs="Arial" w:eastAsia="Arial" w:hAnsi="Arial"/>
          <w:sz w:val="15"/>
          <w:szCs w:val="15"/>
          <w:i w:val="1"/>
          <w:iCs w:val="1"/>
          <w:color w:val="auto"/>
        </w:rPr>
        <w:t>“Note 7.</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0180"/>
          </w:cols>
          <w:pgMar w:left="320" w:top="407" w:right="1399" w:bottom="1440" w:gutter="0" w:footer="0" w:header="0"/>
        </w:sectPr>
      </w:pPr>
    </w:p>
    <w:bookmarkStart w:id="262" w:name="page263"/>
    <w:bookmarkEnd w:id="26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right="60"/>
        <w:spacing w:after="0" w:line="267" w:lineRule="auto"/>
        <w:rPr>
          <w:sz w:val="20"/>
          <w:szCs w:val="20"/>
          <w:color w:val="auto"/>
        </w:rPr>
      </w:pPr>
      <w:r>
        <w:rPr>
          <w:rFonts w:ascii="Arial" w:cs="Arial" w:eastAsia="Arial" w:hAnsi="Arial"/>
          <w:sz w:val="15"/>
          <w:szCs w:val="15"/>
          <w:i w:val="1"/>
          <w:iCs w:val="1"/>
          <w:color w:val="auto"/>
        </w:rPr>
        <w:t xml:space="preserve">Borrowings” </w:t>
      </w:r>
      <w:r>
        <w:rPr>
          <w:rFonts w:ascii="Arial" w:cs="Arial" w:eastAsia="Arial" w:hAnsi="Arial"/>
          <w:sz w:val="15"/>
          <w:szCs w:val="15"/>
          <w:color w:val="auto"/>
        </w:rPr>
        <w:t>for additional information. These entities are Delaware statutory trusts that are structured to be bankruptcy-remote, with third-party banks operating as trustees.</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Consolidated Securitizations</w:t>
      </w:r>
    </w:p>
    <w:p>
      <w:pPr>
        <w:spacing w:after="0" w:line="103" w:lineRule="exact"/>
        <w:rPr>
          <w:sz w:val="20"/>
          <w:szCs w:val="20"/>
          <w:color w:val="auto"/>
        </w:rPr>
      </w:pPr>
    </w:p>
    <w:p>
      <w:pPr>
        <w:ind w:left="1020" w:right="80" w:firstLine="460"/>
        <w:spacing w:after="0" w:line="237" w:lineRule="auto"/>
        <w:rPr>
          <w:sz w:val="20"/>
          <w:szCs w:val="20"/>
          <w:color w:val="auto"/>
        </w:rPr>
      </w:pPr>
      <w:r>
        <w:rPr>
          <w:rFonts w:ascii="Arial" w:cs="Arial" w:eastAsia="Arial" w:hAnsi="Arial"/>
          <w:sz w:val="15"/>
          <w:szCs w:val="15"/>
          <w:color w:val="auto"/>
        </w:rPr>
        <w:t xml:space="preserve">The Company entered into three private offering securitization transactions in June 2017 (“2017-1”), November 2017 (“2017-2”), and April 2018 (“2018-1”), respectively. As the sponsor of these securitization transactions, the Company created several legal entities for the roles of depositors, issuers, and grantor trusts and MOAs for each securitization transaction. Under the risk retention requirements in Title 17 U.S. </w:t>
      </w:r>
      <w:r>
        <w:rPr>
          <w:rFonts w:ascii="Arial" w:cs="Arial" w:eastAsia="Arial" w:hAnsi="Arial"/>
          <w:sz w:val="15"/>
          <w:szCs w:val="15"/>
          <w:i w:val="1"/>
          <w:iCs w:val="1"/>
          <w:color w:val="auto"/>
        </w:rPr>
        <w:t>Code of Federal Regulations</w:t>
      </w:r>
      <w:r>
        <w:rPr>
          <w:rFonts w:ascii="Arial" w:cs="Arial" w:eastAsia="Arial" w:hAnsi="Arial"/>
          <w:sz w:val="15"/>
          <w:szCs w:val="15"/>
          <w:color w:val="auto"/>
        </w:rPr>
        <w:t xml:space="preserve"> Part 246, </w:t>
      </w:r>
      <w:r>
        <w:rPr>
          <w:rFonts w:ascii="Arial" w:cs="Arial" w:eastAsia="Arial" w:hAnsi="Arial"/>
          <w:sz w:val="15"/>
          <w:szCs w:val="15"/>
          <w:i w:val="1"/>
          <w:iCs w:val="1"/>
          <w:color w:val="auto"/>
        </w:rPr>
        <w:t>Credit Risk Retention</w:t>
      </w:r>
      <w:r>
        <w:rPr>
          <w:rFonts w:ascii="Arial" w:cs="Arial" w:eastAsia="Arial" w:hAnsi="Arial"/>
          <w:sz w:val="15"/>
          <w:szCs w:val="15"/>
          <w:color w:val="auto"/>
        </w:rPr>
        <w:t>, promulgated by Securities and Exchange Commission (“RR”), the Company is required to retain at least 5% of the economic risk in the securitization transactions in which the Company is the retaining sponsor. The Company elected to satisfy the RR requirements by holding Eligible Horizontal Retained Interests (“EHRIs”) in the form of subordinated certificates within the established MOAs.</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Concurrently with the closing of the 2017-1, 2017-2, and 2018-1 securitization transactions, while maintaining its status as the primary beneficiary of the related MOAs, the Company sold 80% of its interests in these MOAs to an institutional investor in exchange for cash of approximately $8.0 million, $7.8 million, and $ 8.0 million, respectively, based on the fair value of the residual certificates held in the MOAs as determined on the pricing dates. As a result of the sales, the Company maintained a 20% interest in the MOAs and its status as the managing member, while the investor became a non-voting limited member of these MOAs. The institutional investor’s ownership interests in the 2017-1, 2017-2, and 2018-1 MOAs represent the noncontrolling interests on the consolidated balance sheets as of December 31, 2018 and 2019.</w:t>
      </w:r>
    </w:p>
    <w:p>
      <w:pPr>
        <w:spacing w:after="0" w:line="171"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Upon closing of these securitization transactions, the Company determined that the servicing fees represented a variable interest in these securitization entities due to the EHRIs held by the Company’s MOAs to satisfy the RR requirements. The EHRIs held by these MOAs were deemed to potentially absorb more than an insignificant amount of the VIEs’ expected losses or expected returns at the inception of the securitization transactions. The Company also determined that it was the primary beneficiary of these entities and consolidated the MOAs and trusts associated with the 2017-1, 2017-2, and 2018-1 securitization transactions.</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Subsequent to the expiration of the RR requirements for 2017-1 and 2017-2 in December 2019 and 2018-1 in June 2020 (unaudited), the residual certificates held by each of the respective MOAs were distributed based on the proportional equity held by Upstart and the investor. This distribution required the Company to reassess whether its servicing fee is a variable interest. Although the Company maintains a reduced level of variable interests in the 2017-1 and 2017-2 securitization transactions through the EHRIs, the Company’s other interests subsequent to these distributions are no longer expected to absorb more than an insignificant amount of each of the VIE’s expected losses or expected returns. Therefore, the Company concluded that the fees for servicing the securitization transactions are no longer considered variable interests, and as such the powers the Company possesses through the servicing arrangements are no longer considered in the primary beneficiary determination. As a result, the Company concluded it was no longer the primary beneficiary of the 2017-1, 2017-2, and 2018-1 securitization transactions. The Company deconsolidated the legal entities associated with the 2017-1 and 2017-2 securitization transactions as of December 31, 2019 and 2018-1 as of June 30, 2020 (unaudited). The Company recorded an immaterial net gain on the deconsolidation of these entities. The Company maintained its role as servicer of these securitization transactions.</w:t>
      </w:r>
    </w:p>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0220"/>
          </w:cols>
          <w:pgMar w:left="320" w:top="407" w:right="1359" w:bottom="1440" w:gutter="0" w:footer="0" w:header="0"/>
        </w:sectPr>
      </w:pPr>
    </w:p>
    <w:bookmarkStart w:id="263" w:name="page264"/>
    <w:bookmarkEnd w:id="26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6" w:lineRule="auto"/>
        <w:rPr>
          <w:sz w:val="20"/>
          <w:szCs w:val="20"/>
          <w:color w:val="auto"/>
        </w:rPr>
      </w:pPr>
      <w:r>
        <w:rPr>
          <w:rFonts w:ascii="Arial" w:cs="Arial" w:eastAsia="Arial" w:hAnsi="Arial"/>
          <w:sz w:val="15"/>
          <w:szCs w:val="15"/>
          <w:color w:val="auto"/>
        </w:rPr>
        <w:t xml:space="preserve">The Company sponsored three additional securitization transactions in August 2018 (“2018-2”), February 2019 (“2019-1”) and August 2019 (“2019-2”), respectively. As the retaining sponsor of these transactions, the Company was subject to the RR requirements and satisfied them through Eligible Vertical Interests (“EVIs”) in the form of a combination of securitization notes and residual certificates through the established MOAs. The Company concluded that it has a variable interest and is the primary beneficiary of the MOAs associated with these securitization transactions. As a result, the Company consolidated these MOAs as of December 31, 2018 and 2019. The Company determined that it is not the primary beneficiary of the trusts which hold the loans associated with these securitization transactions, primarily because the Company’s servicing fees are not considered variable interests, and that the transfer of loans as collateral into these securitization transactions met the definition of a sale under Topic 860, </w:t>
      </w:r>
      <w:r>
        <w:rPr>
          <w:rFonts w:ascii="Arial" w:cs="Arial" w:eastAsia="Arial" w:hAnsi="Arial"/>
          <w:sz w:val="15"/>
          <w:szCs w:val="15"/>
          <w:i w:val="1"/>
          <w:iCs w:val="1"/>
          <w:color w:val="auto"/>
        </w:rPr>
        <w:t>Transferring and Servicing</w:t>
      </w:r>
      <w:r>
        <w:rPr>
          <w:rFonts w:ascii="Arial" w:cs="Arial" w:eastAsia="Arial" w:hAnsi="Arial"/>
          <w:sz w:val="15"/>
          <w:szCs w:val="15"/>
          <w:color w:val="auto"/>
        </w:rPr>
        <w:t xml:space="preserve">. As such, the Company derecognized these loans from the consolidated balance sheets upon the closing of these securitization transactions. Refer to the </w:t>
      </w:r>
      <w:r>
        <w:rPr>
          <w:rFonts w:ascii="Arial" w:cs="Arial" w:eastAsia="Arial" w:hAnsi="Arial"/>
          <w:sz w:val="15"/>
          <w:szCs w:val="15"/>
          <w:i w:val="1"/>
          <w:iCs w:val="1"/>
          <w:color w:val="auto"/>
        </w:rPr>
        <w:t>Unconsolidated Securitizations</w:t>
      </w:r>
      <w:r>
        <w:rPr>
          <w:rFonts w:ascii="Arial" w:cs="Arial" w:eastAsia="Arial" w:hAnsi="Arial"/>
          <w:sz w:val="15"/>
          <w:szCs w:val="15"/>
          <w:color w:val="auto"/>
        </w:rPr>
        <w:t xml:space="preserve"> section below for more information.</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Other Consolidated VIEs</w:t>
      </w:r>
    </w:p>
    <w:p>
      <w:pPr>
        <w:spacing w:after="0" w:line="103" w:lineRule="exact"/>
        <w:rPr>
          <w:sz w:val="20"/>
          <w:szCs w:val="20"/>
          <w:color w:val="auto"/>
        </w:rPr>
      </w:pPr>
    </w:p>
    <w:p>
      <w:pPr>
        <w:ind w:left="1020" w:right="120" w:firstLine="460"/>
        <w:spacing w:after="0"/>
        <w:rPr>
          <w:sz w:val="20"/>
          <w:szCs w:val="20"/>
          <w:color w:val="auto"/>
        </w:rPr>
      </w:pPr>
      <w:r>
        <w:rPr>
          <w:rFonts w:ascii="Arial" w:cs="Arial" w:eastAsia="Arial" w:hAnsi="Arial"/>
          <w:sz w:val="15"/>
          <w:szCs w:val="15"/>
          <w:color w:val="auto"/>
        </w:rPr>
        <w:t>Upstart Loan Trust 2, a Delaware statutory trust, holds personal loans facilitated through the Upstart platform that do not meet the criteria for inclusion in the warehouse credit facilities, or that were the result of the Company’s repurchases of loans for breaches of representations and warranties made to institutional investors, as described above.</w:t>
      </w:r>
    </w:p>
    <w:p>
      <w:pPr>
        <w:spacing w:after="0" w:line="170" w:lineRule="exact"/>
        <w:rPr>
          <w:sz w:val="20"/>
          <w:szCs w:val="20"/>
          <w:color w:val="auto"/>
        </w:rPr>
      </w:pPr>
    </w:p>
    <w:p>
      <w:pPr>
        <w:ind w:left="1020" w:right="60" w:firstLine="460"/>
        <w:spacing w:after="0" w:line="236" w:lineRule="auto"/>
        <w:rPr>
          <w:sz w:val="20"/>
          <w:szCs w:val="20"/>
          <w:color w:val="auto"/>
        </w:rPr>
      </w:pPr>
      <w:r>
        <w:rPr>
          <w:rFonts w:ascii="Arial" w:cs="Arial" w:eastAsia="Arial" w:hAnsi="Arial"/>
          <w:sz w:val="15"/>
          <w:szCs w:val="15"/>
          <w:color w:val="auto"/>
        </w:rPr>
        <w:t>Upstart Network Trust (“UNT”), also a Delaware statutory trust, was established in 2014 to facilitate Upstart’s fractional loan program. Under the program, the investors purchased securities issued by UNT that represented a portion of expected cash flows from repayments of the loans acquired by UNT which were funded by proceeds from securities issued to the investors. The program was formally discontinued in 2019. The Company is the servicer of UNT’s loan assets and previously concluded that the servicing fee represents a variable interest and that the Company is the primary beneficiary of UNT. However, during 2019, as a result of a reduction in the Company’s investment in UNT and with consideration given to the business decision to sunset the fractional loans program to new investments, upon the required reassessment the Company determined that its servicing fee is no longer a variable interest. Although the Company still maintains a reduced level of variable interests in UNT through investments in securities issued by UNT, the Company’s other interests are no longer expected to absorb more than an insignificant amount of UNT’s expected losses or expected returns. As a result of the powers the Company possesses through the servicing arrangement being excluded from the primary beneficiary determination, the Company concluded that it is no longer the primary beneficiary and therefore deconsolidated UNT during 2019. An immaterial loss related to servicing rights was recognized on deconsolidation. The fair value of the Company’s investment in UNT is included in notes receivable and residual certificates in the consolidated balance sheets as of December 31, 2019 and September 30, 2020 (unaudited).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0200"/>
          </w:cols>
          <w:pgMar w:left="320" w:top="407" w:right="1379" w:bottom="1440" w:gutter="0" w:footer="0" w:header="0"/>
        </w:sectPr>
      </w:pPr>
    </w:p>
    <w:bookmarkStart w:id="264" w:name="page265"/>
    <w:bookmarkEnd w:id="26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tables present a summary of financial assets and liabilities from the Company’s involvement with consolidated VIEs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7"/>
              </w:rPr>
              <w:t>Liabilities</w:t>
            </w:r>
          </w:p>
        </w:tc>
        <w:tc>
          <w:tcPr>
            <w:tcW w:w="16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Net Assets</w:t>
            </w:r>
          </w:p>
        </w:tc>
      </w:tr>
      <w:tr>
        <w:trPr>
          <w:trHeight w:val="138"/>
        </w:trPr>
        <w:tc>
          <w:tcPr>
            <w:tcW w:w="67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2018</w:t>
            </w: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78,418</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$ 47,506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30,912</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391,601</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372,450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19,151</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8,291</w:t>
            </w:r>
          </w:p>
        </w:tc>
        <w:tc>
          <w:tcPr>
            <w:tcW w:w="104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7,326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965</w:t>
            </w:r>
          </w:p>
        </w:tc>
      </w:tr>
      <w:tr>
        <w:trPr>
          <w:trHeight w:val="160"/>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67,019</w:t>
            </w:r>
          </w:p>
        </w:tc>
        <w:tc>
          <w:tcPr>
            <w:tcW w:w="32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58,933</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8,086</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545,329</w:t>
            </w: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486,215</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59,114</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0"/>
        </w:trPr>
        <w:tc>
          <w:tcPr>
            <w:tcW w:w="6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line="121" w:lineRule="exact"/>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0"/>
                <w:szCs w:val="10"/>
                <w:color w:val="auto"/>
              </w:rPr>
            </w:pPr>
          </w:p>
        </w:tc>
        <w:tc>
          <w:tcPr>
            <w:tcW w:w="720" w:type="dxa"/>
            <w:vAlign w:val="bottom"/>
            <w:gridSpan w:val="2"/>
          </w:tcPr>
          <w:p>
            <w:pPr>
              <w:jc w:val="right"/>
              <w:ind w:right="160"/>
              <w:spacing w:after="0" w:line="121" w:lineRule="exact"/>
              <w:rPr>
                <w:sz w:val="20"/>
                <w:szCs w:val="20"/>
                <w:color w:val="auto"/>
              </w:rPr>
            </w:pPr>
            <w:r>
              <w:rPr>
                <w:rFonts w:ascii="Arial" w:cs="Arial" w:eastAsia="Arial" w:hAnsi="Arial"/>
                <w:sz w:val="12"/>
                <w:szCs w:val="12"/>
                <w:b w:val="1"/>
                <w:bCs w:val="1"/>
                <w:color w:val="auto"/>
                <w:w w:val="97"/>
              </w:rPr>
              <w:t>Liabilities</w:t>
            </w:r>
          </w:p>
        </w:tc>
        <w:tc>
          <w:tcPr>
            <w:tcW w:w="160" w:type="dxa"/>
            <w:vAlign w:val="bottom"/>
          </w:tcPr>
          <w:p>
            <w:pPr>
              <w:spacing w:after="0"/>
              <w:rPr>
                <w:sz w:val="10"/>
                <w:szCs w:val="10"/>
                <w:color w:val="auto"/>
              </w:rPr>
            </w:pPr>
          </w:p>
        </w:tc>
        <w:tc>
          <w:tcPr>
            <w:tcW w:w="660" w:type="dxa"/>
            <w:vAlign w:val="bottom"/>
            <w:gridSpan w:val="3"/>
          </w:tcPr>
          <w:p>
            <w:pPr>
              <w:spacing w:after="0" w:line="121" w:lineRule="exact"/>
              <w:rPr>
                <w:sz w:val="20"/>
                <w:szCs w:val="20"/>
                <w:color w:val="auto"/>
              </w:rPr>
            </w:pPr>
            <w:r>
              <w:rPr>
                <w:rFonts w:ascii="Arial" w:cs="Arial" w:eastAsia="Arial" w:hAnsi="Arial"/>
                <w:sz w:val="12"/>
                <w:szCs w:val="12"/>
                <w:b w:val="1"/>
                <w:bCs w:val="1"/>
                <w:color w:val="auto"/>
              </w:rPr>
              <w:t>Net Assets</w:t>
            </w:r>
          </w:p>
        </w:tc>
      </w:tr>
      <w:tr>
        <w:trPr>
          <w:trHeight w:val="138"/>
        </w:trPr>
        <w:tc>
          <w:tcPr>
            <w:tcW w:w="676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2019</w:t>
            </w: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131,903</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$ 80,206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51,697</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98,572</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95,995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2,577</w:t>
            </w: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30,266</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17,058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13,208</w:t>
            </w: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14,926</w:t>
            </w:r>
          </w:p>
        </w:tc>
        <w:tc>
          <w:tcPr>
            <w:tcW w:w="320" w:type="dxa"/>
            <w:vAlign w:val="bottom"/>
          </w:tcPr>
          <w:p>
            <w:pPr>
              <w:spacing w:after="0"/>
              <w:rPr>
                <w:sz w:val="13"/>
                <w:szCs w:val="13"/>
                <w:color w:val="auto"/>
              </w:rPr>
            </w:pPr>
          </w:p>
        </w:tc>
        <w:tc>
          <w:tcPr>
            <w:tcW w:w="72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14,878</w:t>
            </w:r>
          </w:p>
        </w:tc>
        <w:tc>
          <w:tcPr>
            <w:tcW w:w="40" w:type="dxa"/>
            <w:vAlign w:val="bottom"/>
          </w:tcPr>
          <w:p>
            <w:pPr>
              <w:spacing w:after="0"/>
              <w:rPr>
                <w:sz w:val="13"/>
                <w:szCs w:val="13"/>
                <w:color w:val="auto"/>
              </w:rPr>
            </w:pPr>
          </w:p>
        </w:tc>
      </w:tr>
      <w:tr>
        <w:trPr>
          <w:trHeight w:val="23"/>
        </w:trPr>
        <w:tc>
          <w:tcPr>
            <w:tcW w:w="6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275,667</w:t>
            </w: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193,307</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82,360</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3"/>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7"/>
              </w:rPr>
              <w:t>Liabilities</w:t>
            </w:r>
          </w:p>
        </w:tc>
        <w:tc>
          <w:tcPr>
            <w:tcW w:w="1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Net Assets</w:t>
            </w:r>
          </w:p>
        </w:tc>
      </w:tr>
      <w:tr>
        <w:trPr>
          <w:trHeight w:val="149"/>
        </w:trPr>
        <w:tc>
          <w:tcPr>
            <w:tcW w:w="676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 30, 2020 (unaudited)</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right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158"/>
        </w:trPr>
        <w:tc>
          <w:tcPr>
            <w:tcW w:w="6760" w:type="dxa"/>
            <w:vAlign w:val="bottom"/>
          </w:tcPr>
          <w:p>
            <w:pPr>
              <w:spacing w:after="0" w:line="158" w:lineRule="exact"/>
              <w:rPr>
                <w:sz w:val="20"/>
                <w:szCs w:val="20"/>
                <w:color w:val="auto"/>
              </w:rPr>
            </w:pPr>
            <w:r>
              <w:rPr>
                <w:rFonts w:ascii="Arial" w:cs="Arial" w:eastAsia="Arial" w:hAnsi="Arial"/>
                <w:sz w:val="14"/>
                <w:szCs w:val="14"/>
                <w:color w:val="auto"/>
              </w:rPr>
              <w:t>Warehouse Entities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123,535</w:t>
            </w:r>
          </w:p>
        </w:tc>
        <w:tc>
          <w:tcPr>
            <w:tcW w:w="8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$ 70,376</w:t>
            </w:r>
          </w:p>
        </w:tc>
        <w:tc>
          <w:tcPr>
            <w:tcW w:w="160" w:type="dxa"/>
            <w:vAlign w:val="bottom"/>
          </w:tcPr>
          <w:p>
            <w:pPr>
              <w:spacing w:after="0"/>
              <w:rPr>
                <w:sz w:val="13"/>
                <w:szCs w:val="13"/>
                <w:color w:val="auto"/>
              </w:rPr>
            </w:pPr>
          </w:p>
        </w:tc>
        <w:tc>
          <w:tcPr>
            <w:tcW w:w="300" w:type="dxa"/>
            <w:vAlign w:val="bottom"/>
            <w:gridSpan w:val="2"/>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53,159</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Securitizations: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6760" w:type="dxa"/>
            <w:vAlign w:val="bottom"/>
          </w:tcPr>
          <w:p>
            <w:pPr>
              <w:ind w:left="280"/>
              <w:spacing w:after="0" w:line="158" w:lineRule="exact"/>
              <w:rPr>
                <w:sz w:val="20"/>
                <w:szCs w:val="20"/>
                <w:color w:val="auto"/>
              </w:rPr>
            </w:pPr>
            <w:r>
              <w:rPr>
                <w:rFonts w:ascii="Arial" w:cs="Arial" w:eastAsia="Arial" w:hAnsi="Arial"/>
                <w:sz w:val="14"/>
                <w:szCs w:val="14"/>
                <w:color w:val="auto"/>
              </w:rPr>
              <w:t>Securitization Trusts</w:t>
            </w:r>
          </w:p>
        </w:tc>
        <w:tc>
          <w:tcPr>
            <w:tcW w:w="80" w:type="dxa"/>
            <w:vAlign w:val="bottom"/>
          </w:tcPr>
          <w:p>
            <w:pPr>
              <w:spacing w:after="0"/>
              <w:rPr>
                <w:sz w:val="13"/>
                <w:szCs w:val="13"/>
                <w:color w:val="auto"/>
              </w:rPr>
            </w:pPr>
          </w:p>
        </w:tc>
        <w:tc>
          <w:tcPr>
            <w:tcW w:w="500" w:type="dxa"/>
            <w:vAlign w:val="bottom"/>
          </w:tcPr>
          <w:p>
            <w:pPr>
              <w:jc w:val="right"/>
              <w:ind w:right="14"/>
              <w:spacing w:after="0" w:line="158"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ind w:left="260"/>
              <w:spacing w:after="0" w:line="158" w:lineRule="exact"/>
              <w:rPr>
                <w:sz w:val="20"/>
                <w:szCs w:val="20"/>
                <w:color w:val="auto"/>
              </w:rPr>
            </w:pPr>
            <w:r>
              <w:rPr>
                <w:rFonts w:ascii="Arial" w:cs="Arial" w:eastAsia="Arial" w:hAnsi="Arial"/>
                <w:sz w:val="14"/>
                <w:szCs w:val="14"/>
                <w:color w:val="auto"/>
              </w:rPr>
              <w:t>—</w:t>
            </w:r>
          </w:p>
        </w:tc>
      </w:tr>
      <w:tr>
        <w:trPr>
          <w:trHeight w:val="158"/>
        </w:trPr>
        <w:tc>
          <w:tcPr>
            <w:tcW w:w="67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Majority-owned Affiliates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19,820</w:t>
            </w:r>
          </w:p>
        </w:tc>
        <w:tc>
          <w:tcPr>
            <w:tcW w:w="104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9,398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10,422</w:t>
            </w:r>
          </w:p>
        </w:tc>
        <w:tc>
          <w:tcPr>
            <w:tcW w:w="40" w:type="dxa"/>
            <w:vAlign w:val="bottom"/>
            <w:shd w:val="clear" w:color="auto" w:fill="CCEEFF"/>
          </w:tcPr>
          <w:p>
            <w:pPr>
              <w:spacing w:after="0"/>
              <w:rPr>
                <w:sz w:val="13"/>
                <w:szCs w:val="13"/>
                <w:color w:val="auto"/>
              </w:rPr>
            </w:pPr>
          </w:p>
        </w:tc>
      </w:tr>
      <w:tr>
        <w:trPr>
          <w:trHeight w:val="160"/>
        </w:trPr>
        <w:tc>
          <w:tcPr>
            <w:tcW w:w="6760" w:type="dxa"/>
            <w:vAlign w:val="bottom"/>
          </w:tcPr>
          <w:p>
            <w:pPr>
              <w:spacing w:after="0" w:line="158" w:lineRule="exact"/>
              <w:rPr>
                <w:sz w:val="20"/>
                <w:szCs w:val="20"/>
                <w:color w:val="auto"/>
              </w:rPr>
            </w:pPr>
            <w:r>
              <w:rPr>
                <w:rFonts w:ascii="Arial" w:cs="Arial" w:eastAsia="Arial" w:hAnsi="Arial"/>
                <w:sz w:val="14"/>
                <w:szCs w:val="14"/>
                <w:color w:val="auto"/>
              </w:rPr>
              <w:t>Other Consolidated VIEs</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14,268</w:t>
            </w:r>
          </w:p>
        </w:tc>
        <w:tc>
          <w:tcPr>
            <w:tcW w:w="320" w:type="dxa"/>
            <w:vAlign w:val="bottom"/>
          </w:tcPr>
          <w:p>
            <w:pPr>
              <w:spacing w:after="0"/>
              <w:rPr>
                <w:sz w:val="13"/>
                <w:szCs w:val="13"/>
                <w:color w:val="auto"/>
              </w:rPr>
            </w:pPr>
          </w:p>
        </w:tc>
        <w:tc>
          <w:tcPr>
            <w:tcW w:w="560" w:type="dxa"/>
            <w:vAlign w:val="bottom"/>
            <w:tcBorders>
              <w:bottom w:val="single" w:sz="8" w:color="auto"/>
            </w:tcBorders>
          </w:tcPr>
          <w:p>
            <w:pPr>
              <w:jc w:val="right"/>
              <w:ind w:right="15"/>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14,268</w:t>
            </w:r>
          </w:p>
        </w:tc>
        <w:tc>
          <w:tcPr>
            <w:tcW w:w="40" w:type="dxa"/>
            <w:vAlign w:val="bottom"/>
          </w:tcPr>
          <w:p>
            <w:pPr>
              <w:spacing w:after="0"/>
              <w:rPr>
                <w:sz w:val="13"/>
                <w:szCs w:val="13"/>
                <w:color w:val="auto"/>
              </w:rPr>
            </w:pPr>
          </w:p>
        </w:tc>
      </w:tr>
      <w:tr>
        <w:trPr>
          <w:trHeight w:val="158"/>
        </w:trPr>
        <w:tc>
          <w:tcPr>
            <w:tcW w:w="67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Consolidated VIEs</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157,623</w:t>
            </w:r>
          </w:p>
        </w:tc>
        <w:tc>
          <w:tcPr>
            <w:tcW w:w="8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$ 79,774</w:t>
            </w:r>
          </w:p>
        </w:tc>
        <w:tc>
          <w:tcPr>
            <w:tcW w:w="160" w:type="dxa"/>
            <w:vAlign w:val="bottom"/>
            <w:shd w:val="clear" w:color="auto" w:fill="CCEEFF"/>
          </w:tcPr>
          <w:p>
            <w:pPr>
              <w:spacing w:after="0"/>
              <w:rPr>
                <w:sz w:val="13"/>
                <w:szCs w:val="13"/>
                <w:color w:val="auto"/>
              </w:rPr>
            </w:pPr>
          </w:p>
        </w:tc>
        <w:tc>
          <w:tcPr>
            <w:tcW w:w="30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77,849</w:t>
            </w:r>
          </w:p>
        </w:tc>
        <w:tc>
          <w:tcPr>
            <w:tcW w:w="40" w:type="dxa"/>
            <w:vAlign w:val="bottom"/>
            <w:shd w:val="clear" w:color="auto" w:fill="CCEEFF"/>
          </w:tcPr>
          <w:p>
            <w:pPr>
              <w:spacing w:after="0"/>
              <w:rPr>
                <w:sz w:val="13"/>
                <w:szCs w:val="13"/>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Company’s continued involvement in all of its securitizations in which it is the sponsor and its involvement in UNT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Unconsolidated VIEs</w:t>
      </w:r>
    </w:p>
    <w:p>
      <w:pPr>
        <w:spacing w:after="0" w:line="105" w:lineRule="exact"/>
        <w:rPr>
          <w:sz w:val="20"/>
          <w:szCs w:val="20"/>
          <w:color w:val="auto"/>
        </w:rPr>
      </w:pPr>
    </w:p>
    <w:p>
      <w:pPr>
        <w:ind w:left="1020" w:right="60" w:firstLine="460"/>
        <w:spacing w:after="0"/>
        <w:rPr>
          <w:sz w:val="20"/>
          <w:szCs w:val="20"/>
          <w:color w:val="auto"/>
        </w:rPr>
      </w:pPr>
      <w:r>
        <w:rPr>
          <w:rFonts w:ascii="Arial" w:cs="Arial" w:eastAsia="Arial" w:hAnsi="Arial"/>
          <w:sz w:val="15"/>
          <w:szCs w:val="15"/>
          <w:color w:val="auto"/>
        </w:rPr>
        <w:t>The Company’s transactions with unconsolidated VIEs include securitizations of unsecured personal whole loans and sales of whole loans to VIEs. The Company has various forms of involvement with VIEs, including servicing of loans and holding senior or residual interests in the VIEs.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Unconsolidated Securitizations</w:t>
      </w:r>
    </w:p>
    <w:p>
      <w:pPr>
        <w:spacing w:after="0" w:line="103" w:lineRule="exact"/>
        <w:rPr>
          <w:sz w:val="20"/>
          <w:szCs w:val="20"/>
          <w:color w:val="auto"/>
        </w:rPr>
      </w:pPr>
    </w:p>
    <w:p>
      <w:pPr>
        <w:jc w:val="both"/>
        <w:ind w:left="1020" w:right="40" w:firstLine="460"/>
        <w:spacing w:after="0"/>
        <w:rPr>
          <w:sz w:val="20"/>
          <w:szCs w:val="20"/>
          <w:color w:val="auto"/>
        </w:rPr>
      </w:pPr>
      <w:r>
        <w:rPr>
          <w:rFonts w:ascii="Arial" w:cs="Arial" w:eastAsia="Arial" w:hAnsi="Arial"/>
          <w:sz w:val="15"/>
          <w:szCs w:val="15"/>
          <w:color w:val="auto"/>
        </w:rPr>
        <w:t>As of December 31, 2019, the Company’s unconsolidated VIEs include entities established as the issuers and grantor trusts for the 2017-1, 2017-2, 2018-2, 2019-1, and 2019-2 securitization transactions (the “Unconsolidated Securitizations”). As of September 30, 2020 (unaudited), the Company’s unconsolidated VIEs also included 2018-1. The Company’s continued involvement in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0220"/>
          </w:cols>
          <w:pgMar w:left="320" w:top="407" w:right="1359" w:bottom="1440" w:gutter="0" w:footer="0" w:header="0"/>
        </w:sectPr>
      </w:pPr>
    </w:p>
    <w:bookmarkStart w:id="265" w:name="page266"/>
    <w:bookmarkEnd w:id="26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560"/>
        <w:spacing w:after="0" w:line="245" w:lineRule="auto"/>
        <w:rPr>
          <w:sz w:val="20"/>
          <w:szCs w:val="20"/>
          <w:color w:val="auto"/>
        </w:rPr>
      </w:pPr>
      <w:r>
        <w:rPr>
          <w:rFonts w:ascii="Arial" w:cs="Arial" w:eastAsia="Arial" w:hAnsi="Arial"/>
          <w:sz w:val="15"/>
          <w:szCs w:val="15"/>
          <w:color w:val="auto"/>
        </w:rPr>
        <w:t>unconsolidated VIEs is in the form of its role as the sponsor and the servicer of these transactions. For each of the unconsolidated securitizations, the Company determined that it is not the primary beneficiary.</w:t>
      </w:r>
    </w:p>
    <w:p>
      <w:pPr>
        <w:spacing w:after="0" w:line="166"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Network Trust</w:t>
      </w:r>
    </w:p>
    <w:p>
      <w:pPr>
        <w:spacing w:after="0" w:line="103" w:lineRule="exact"/>
        <w:rPr>
          <w:sz w:val="20"/>
          <w:szCs w:val="20"/>
          <w:color w:val="auto"/>
        </w:rPr>
      </w:pPr>
    </w:p>
    <w:p>
      <w:pPr>
        <w:ind w:left="1020" w:right="360" w:firstLine="460"/>
        <w:spacing w:after="0" w:line="245" w:lineRule="auto"/>
        <w:rPr>
          <w:sz w:val="20"/>
          <w:szCs w:val="20"/>
          <w:color w:val="auto"/>
        </w:rPr>
      </w:pPr>
      <w:r>
        <w:rPr>
          <w:rFonts w:ascii="Arial" w:cs="Arial" w:eastAsia="Arial" w:hAnsi="Arial"/>
          <w:sz w:val="15"/>
          <w:szCs w:val="15"/>
          <w:color w:val="auto"/>
        </w:rPr>
        <w:t>The Company’s unconsolidated VIEs include UNT, which was deconsolidated during the year ended December 31, 2019 upon discontinuation of the fractional loan program.</w:t>
      </w:r>
    </w:p>
    <w:p>
      <w:pPr>
        <w:spacing w:after="0" w:line="166"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The following tables summarize the aggregate carrying value of assets and liabilities of unconsolidated VIEs in which the Company holds a variable interest but is not the primary beneficiary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5"/>
        </w:trPr>
        <w:tc>
          <w:tcPr>
            <w:tcW w:w="5780" w:type="dxa"/>
            <w:vAlign w:val="bottom"/>
          </w:tcPr>
          <w:p>
            <w:pPr>
              <w:spacing w:after="0"/>
              <w:rPr>
                <w:sz w:val="12"/>
                <w:szCs w:val="12"/>
                <w:color w:val="auto"/>
              </w:rPr>
            </w:pPr>
          </w:p>
        </w:tc>
        <w:tc>
          <w:tcPr>
            <w:tcW w:w="580" w:type="dxa"/>
            <w:vAlign w:val="bottom"/>
          </w:tcPr>
          <w:p>
            <w:pPr>
              <w:jc w:val="right"/>
              <w:ind w:right="14"/>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2018</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189,518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170,330</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19,188</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9,383</w:t>
            </w:r>
          </w:p>
        </w:tc>
      </w:tr>
      <w:tr>
        <w:trPr>
          <w:trHeight w:val="23"/>
        </w:trPr>
        <w:tc>
          <w:tcPr>
            <w:tcW w:w="5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Unconsolidated VIEs</w:t>
            </w: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189,518</w:t>
            </w:r>
          </w:p>
        </w:tc>
        <w:tc>
          <w:tcPr>
            <w:tcW w:w="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170,330</w:t>
            </w:r>
          </w:p>
        </w:tc>
        <w:tc>
          <w:tcPr>
            <w:tcW w:w="3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19,188</w:t>
            </w:r>
          </w:p>
        </w:tc>
        <w:tc>
          <w:tcPr>
            <w:tcW w:w="420" w:type="dxa"/>
            <w:vAlign w:val="bottom"/>
            <w:gridSpan w:val="2"/>
            <w:shd w:val="clear" w:color="auto" w:fill="CCEEFF"/>
          </w:tcPr>
          <w:p>
            <w:pPr>
              <w:ind w:left="32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9,383</w:t>
            </w: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5"/>
        </w:trPr>
        <w:tc>
          <w:tcPr>
            <w:tcW w:w="5780" w:type="dxa"/>
            <w:vAlign w:val="bottom"/>
          </w:tcPr>
          <w:p>
            <w:pPr>
              <w:spacing w:after="0"/>
              <w:rPr>
                <w:sz w:val="12"/>
                <w:szCs w:val="12"/>
                <w:color w:val="auto"/>
              </w:rPr>
            </w:pPr>
          </w:p>
        </w:tc>
        <w:tc>
          <w:tcPr>
            <w:tcW w:w="580" w:type="dxa"/>
            <w:vAlign w:val="bottom"/>
          </w:tcPr>
          <w:p>
            <w:pPr>
              <w:jc w:val="right"/>
              <w:ind w:right="14"/>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December 31, 2019</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w w:val="95"/>
              </w:rPr>
              <w:t>$778,628</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$640,592</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138,036</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34,828</w:t>
            </w:r>
          </w:p>
        </w:tc>
        <w:tc>
          <w:tcPr>
            <w:tcW w:w="4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Upstart Network Trust</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77,207</w:t>
            </w:r>
          </w:p>
        </w:tc>
        <w:tc>
          <w:tcPr>
            <w:tcW w:w="3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77,207</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3,303</w:t>
            </w:r>
          </w:p>
        </w:tc>
        <w:tc>
          <w:tcPr>
            <w:tcW w:w="4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580" w:type="dxa"/>
            <w:vAlign w:val="bottom"/>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855,835</w:t>
            </w:r>
          </w:p>
        </w:tc>
        <w:tc>
          <w:tcPr>
            <w:tcW w:w="9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717,799</w:t>
            </w:r>
          </w:p>
        </w:tc>
        <w:tc>
          <w:tcPr>
            <w:tcW w:w="38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138,036</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38,131</w:t>
            </w:r>
          </w:p>
        </w:tc>
        <w:tc>
          <w:tcPr>
            <w:tcW w:w="4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5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7"/>
              </w:rPr>
              <w:t>Maximum</w:t>
            </w:r>
          </w:p>
        </w:tc>
      </w:tr>
      <w:tr>
        <w:trPr>
          <w:trHeight w:val="135"/>
        </w:trPr>
        <w:tc>
          <w:tcPr>
            <w:tcW w:w="5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Net</w:t>
            </w:r>
          </w:p>
        </w:tc>
        <w:tc>
          <w:tcPr>
            <w:tcW w:w="320" w:type="dxa"/>
            <w:vAlign w:val="bottom"/>
          </w:tcPr>
          <w:p>
            <w:pPr>
              <w:spacing w:after="0"/>
              <w:rPr>
                <w:sz w:val="11"/>
                <w:szCs w:val="11"/>
                <w:color w:val="auto"/>
              </w:rPr>
            </w:pPr>
          </w:p>
        </w:tc>
        <w:tc>
          <w:tcPr>
            <w:tcW w:w="7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Exposure to</w:t>
            </w:r>
          </w:p>
        </w:tc>
      </w:tr>
      <w:tr>
        <w:trPr>
          <w:trHeight w:val="145"/>
        </w:trPr>
        <w:tc>
          <w:tcPr>
            <w:tcW w:w="5780" w:type="dxa"/>
            <w:vAlign w:val="bottom"/>
          </w:tcPr>
          <w:p>
            <w:pPr>
              <w:spacing w:after="0"/>
              <w:rPr>
                <w:sz w:val="12"/>
                <w:szCs w:val="12"/>
                <w:color w:val="auto"/>
              </w:rPr>
            </w:pPr>
          </w:p>
        </w:tc>
        <w:tc>
          <w:tcPr>
            <w:tcW w:w="580" w:type="dxa"/>
            <w:vAlign w:val="bottom"/>
          </w:tcPr>
          <w:p>
            <w:pPr>
              <w:jc w:val="right"/>
              <w:ind w:right="14"/>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w w:val="97"/>
              </w:rPr>
              <w:t>Liabilities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rPr>
              <w:t>Assets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Losses</w:t>
            </w:r>
          </w:p>
        </w:tc>
      </w:tr>
      <w:tr>
        <w:trPr>
          <w:trHeight w:val="126"/>
        </w:trPr>
        <w:tc>
          <w:tcPr>
            <w:tcW w:w="57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tcBorders>
              <w:top w:val="single" w:sz="8" w:color="auto"/>
            </w:tcBorders>
            <w:gridSpan w:val="4"/>
          </w:tcPr>
          <w:p>
            <w:pPr>
              <w:jc w:val="right"/>
              <w:ind w:right="336"/>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69"/>
        </w:trPr>
        <w:tc>
          <w:tcPr>
            <w:tcW w:w="5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September 30, 2020</w:t>
            </w:r>
          </w:p>
        </w:tc>
        <w:tc>
          <w:tcPr>
            <w:tcW w:w="5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Securitizations</w:t>
            </w:r>
          </w:p>
        </w:tc>
        <w:tc>
          <w:tcPr>
            <w:tcW w:w="580" w:type="dxa"/>
            <w:vAlign w:val="bottom"/>
          </w:tcPr>
          <w:p>
            <w:pPr>
              <w:jc w:val="right"/>
              <w:spacing w:after="0" w:line="158" w:lineRule="exact"/>
              <w:rPr>
                <w:sz w:val="20"/>
                <w:szCs w:val="20"/>
                <w:color w:val="auto"/>
              </w:rPr>
            </w:pPr>
            <w:r>
              <w:rPr>
                <w:rFonts w:ascii="Arial" w:cs="Arial" w:eastAsia="Arial" w:hAnsi="Arial"/>
                <w:sz w:val="14"/>
                <w:szCs w:val="14"/>
                <w:color w:val="auto"/>
                <w:w w:val="95"/>
              </w:rPr>
              <w:t>$549,469</w:t>
            </w:r>
          </w:p>
        </w:tc>
        <w:tc>
          <w:tcPr>
            <w:tcW w:w="9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$461,341</w:t>
            </w:r>
          </w:p>
        </w:tc>
        <w:tc>
          <w:tcPr>
            <w:tcW w:w="38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88,128</w:t>
            </w:r>
          </w:p>
        </w:tc>
        <w:tc>
          <w:tcPr>
            <w:tcW w:w="420" w:type="dxa"/>
            <w:vAlign w:val="bottom"/>
            <w:gridSpan w:val="2"/>
          </w:tcPr>
          <w:p>
            <w:pPr>
              <w:ind w:left="320"/>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27,035</w:t>
            </w:r>
          </w:p>
        </w:tc>
        <w:tc>
          <w:tcPr>
            <w:tcW w:w="4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Upstart Network Trust</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47,900</w:t>
            </w:r>
          </w:p>
        </w:tc>
        <w:tc>
          <w:tcPr>
            <w:tcW w:w="32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47,900</w:t>
            </w: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2,034</w:t>
            </w:r>
          </w:p>
        </w:tc>
        <w:tc>
          <w:tcPr>
            <w:tcW w:w="4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Unconsolidated VIEs</w:t>
            </w:r>
          </w:p>
        </w:tc>
        <w:tc>
          <w:tcPr>
            <w:tcW w:w="580" w:type="dxa"/>
            <w:vAlign w:val="bottom"/>
          </w:tcPr>
          <w:p>
            <w:pPr>
              <w:jc w:val="right"/>
              <w:spacing w:after="0"/>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597,369</w:t>
            </w:r>
          </w:p>
        </w:tc>
        <w:tc>
          <w:tcPr>
            <w:tcW w:w="9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509,241</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88,128</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29,069</w:t>
            </w:r>
          </w:p>
        </w:tc>
        <w:tc>
          <w:tcPr>
            <w:tcW w:w="4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3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0220"/>
          </w:cols>
          <w:pgMar w:left="320" w:top="407" w:right="1359" w:bottom="1440" w:gutter="0" w:footer="0" w:header="0"/>
        </w:sectPr>
      </w:pPr>
    </w:p>
    <w:bookmarkStart w:id="266" w:name="page267"/>
    <w:bookmarkEnd w:id="26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5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The carrying value of assets that relate to variable interests in unconsolidated VIEs consists of $8.3 million, $ 30.3 million, and $19.8 million which are included in notes receivable and residual certificates on the consolidated balance sheets as of December 31, 2018 and 2019, and September 30, 2020 (unaudited), respectively. The Company also had $1.1 million, $4.6 million, and $7.2 million of cash deposits made to reserve accounts for related securitizations, included in other assets on the consolidated balance sheets as of December 31, 2018 and 2019, and September 30, 2020 (unaudited), respectively. The net assets of UNT were included in the Company’s consolidated balance sheet as of December 31, 2018.</w:t>
      </w:r>
    </w:p>
    <w:p>
      <w:pPr>
        <w:spacing w:after="0" w:line="172"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RR requirement declines to zero.</w:t>
      </w:r>
    </w:p>
    <w:p>
      <w:pPr>
        <w:spacing w:after="0" w:line="170" w:lineRule="exact"/>
        <w:rPr>
          <w:sz w:val="20"/>
          <w:szCs w:val="20"/>
          <w:color w:val="auto"/>
        </w:rPr>
      </w:pPr>
    </w:p>
    <w:p>
      <w:pPr>
        <w:ind w:left="1020" w:right="240" w:firstLine="460"/>
        <w:spacing w:after="0" w:line="245" w:lineRule="auto"/>
        <w:rPr>
          <w:sz w:val="20"/>
          <w:szCs w:val="20"/>
          <w:color w:val="auto"/>
        </w:rPr>
      </w:pPr>
      <w:r>
        <w:rPr>
          <w:rFonts w:ascii="Arial" w:cs="Arial" w:eastAsia="Arial" w:hAnsi="Arial"/>
          <w:sz w:val="15"/>
          <w:szCs w:val="15"/>
          <w:color w:val="auto"/>
        </w:rPr>
        <w:t>The following table summarizes activity related to the unconsolidated securitization transactions on the Company’s consolidated financial statements (in thousands):</w:t>
      </w:r>
    </w:p>
    <w:p>
      <w:pPr>
        <w:spacing w:after="0" w:line="179" w:lineRule="exact"/>
        <w:rPr>
          <w:sz w:val="20"/>
          <w:szCs w:val="20"/>
          <w:color w:val="auto"/>
        </w:rPr>
      </w:pPr>
    </w:p>
    <w:tbl>
      <w:tblPr>
        <w:tblLayout w:type="fixed"/>
        <w:tblInd w:w="1400" w:type="dxa"/>
        <w:tblCellMar>
          <w:top w:w="0" w:type="dxa"/>
          <w:left w:w="0" w:type="dxa"/>
          <w:bottom w:w="0" w:type="dxa"/>
          <w:right w:w="0" w:type="dxa"/>
        </w:tblCellMar>
      </w:tblPr>
      <w:tr>
        <w:trPr>
          <w:trHeight w:val="145"/>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5"/>
          </w:tcPr>
          <w:p>
            <w:pPr>
              <w:ind w:left="360"/>
              <w:spacing w:after="0"/>
              <w:rPr>
                <w:sz w:val="20"/>
                <w:szCs w:val="20"/>
                <w:color w:val="auto"/>
              </w:rPr>
            </w:pPr>
            <w:r>
              <w:rPr>
                <w:rFonts w:ascii="Arial" w:cs="Arial" w:eastAsia="Arial" w:hAnsi="Arial"/>
                <w:sz w:val="12"/>
                <w:szCs w:val="12"/>
                <w:b w:val="1"/>
                <w:bCs w:val="1"/>
                <w:color w:val="auto"/>
              </w:rPr>
              <w:t>December 31,</w:t>
            </w:r>
          </w:p>
        </w:tc>
        <w:tc>
          <w:tcPr>
            <w:tcW w:w="8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jc w:val="right"/>
              <w:ind w:right="40"/>
              <w:spacing w:after="0" w:line="126" w:lineRule="exact"/>
              <w:rPr>
                <w:sz w:val="20"/>
                <w:szCs w:val="20"/>
                <w:color w:val="auto"/>
              </w:rPr>
            </w:pPr>
            <w:r>
              <w:rPr>
                <w:rFonts w:ascii="Arial" w:cs="Arial" w:eastAsia="Arial" w:hAnsi="Arial"/>
                <w:sz w:val="12"/>
                <w:szCs w:val="12"/>
                <w:b w:val="1"/>
                <w:bCs w:val="1"/>
                <w:color w:val="auto"/>
              </w:rPr>
              <w:t>2018</w:t>
            </w: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4"/>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0"/>
                <w:szCs w:val="10"/>
                <w:color w:val="auto"/>
              </w:rPr>
            </w:pPr>
          </w:p>
        </w:tc>
      </w:tr>
      <w:tr>
        <w:trPr>
          <w:trHeight w:val="126"/>
        </w:trPr>
        <w:tc>
          <w:tcPr>
            <w:tcW w:w="5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5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Principal derecognized from loans securitized</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$46,115</w:t>
            </w:r>
          </w:p>
        </w:tc>
        <w:tc>
          <w:tcPr>
            <w:tcW w:w="2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$95,342</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26,784</w:t>
            </w:r>
          </w:p>
        </w:tc>
        <w:tc>
          <w:tcPr>
            <w:tcW w:w="40" w:type="dxa"/>
            <w:vAlign w:val="bottom"/>
            <w:shd w:val="clear" w:color="auto" w:fill="CCEEFF"/>
          </w:tcPr>
          <w:p>
            <w:pPr>
              <w:spacing w:after="0"/>
              <w:rPr>
                <w:sz w:val="13"/>
                <w:szCs w:val="13"/>
                <w:color w:val="auto"/>
              </w:rPr>
            </w:pPr>
          </w:p>
        </w:tc>
      </w:tr>
      <w:tr>
        <w:trPr>
          <w:trHeight w:val="158"/>
        </w:trPr>
        <w:tc>
          <w:tcPr>
            <w:tcW w:w="5260" w:type="dxa"/>
            <w:vAlign w:val="bottom"/>
          </w:tcPr>
          <w:p>
            <w:pPr>
              <w:spacing w:after="0" w:line="158" w:lineRule="exact"/>
              <w:rPr>
                <w:sz w:val="20"/>
                <w:szCs w:val="20"/>
                <w:color w:val="auto"/>
              </w:rPr>
            </w:pPr>
            <w:r>
              <w:rPr>
                <w:rFonts w:ascii="Arial" w:cs="Arial" w:eastAsia="Arial" w:hAnsi="Arial"/>
                <w:sz w:val="14"/>
                <w:szCs w:val="14"/>
                <w:color w:val="auto"/>
              </w:rPr>
              <w:t>Net gains recognized from loans securitized included in earnings</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733</w:t>
            </w:r>
          </w:p>
        </w:tc>
        <w:tc>
          <w:tcPr>
            <w:tcW w:w="280" w:type="dxa"/>
            <w:vAlign w:val="bottom"/>
          </w:tcPr>
          <w:p>
            <w:pPr>
              <w:spacing w:after="0"/>
              <w:rPr>
                <w:sz w:val="13"/>
                <w:szCs w:val="13"/>
                <w:color w:val="auto"/>
              </w:rPr>
            </w:pPr>
          </w:p>
        </w:tc>
        <w:tc>
          <w:tcPr>
            <w:tcW w:w="1280" w:type="dxa"/>
            <w:vAlign w:val="bottom"/>
            <w:gridSpan w:val="3"/>
          </w:tcPr>
          <w:p>
            <w:pPr>
              <w:jc w:val="right"/>
              <w:ind w:right="520"/>
              <w:spacing w:after="0" w:line="158" w:lineRule="exact"/>
              <w:rPr>
                <w:sz w:val="20"/>
                <w:szCs w:val="20"/>
                <w:color w:val="auto"/>
              </w:rPr>
            </w:pPr>
            <w:r>
              <w:rPr>
                <w:rFonts w:ascii="Arial" w:cs="Arial" w:eastAsia="Arial" w:hAnsi="Arial"/>
                <w:sz w:val="14"/>
                <w:szCs w:val="14"/>
                <w:color w:val="auto"/>
              </w:rPr>
              <w:t>1,395</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671</w:t>
            </w:r>
          </w:p>
        </w:tc>
      </w:tr>
      <w:tr>
        <w:trPr>
          <w:trHeight w:val="158"/>
        </w:trPr>
        <w:tc>
          <w:tcPr>
            <w:tcW w:w="5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Fair value of securitization notes and residual certificates retained in the transaction</w:t>
            </w:r>
          </w:p>
        </w:tc>
        <w:tc>
          <w:tcPr>
            <w:tcW w:w="1040" w:type="dxa"/>
            <w:vAlign w:val="bottom"/>
            <w:gridSpan w:val="3"/>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8,314</w:t>
            </w:r>
          </w:p>
        </w:tc>
        <w:tc>
          <w:tcPr>
            <w:tcW w:w="128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25,649</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5260" w:type="dxa"/>
            <w:vAlign w:val="bottom"/>
          </w:tcPr>
          <w:p>
            <w:pPr>
              <w:spacing w:after="0" w:line="158" w:lineRule="exact"/>
              <w:rPr>
                <w:sz w:val="20"/>
                <w:szCs w:val="20"/>
                <w:color w:val="auto"/>
              </w:rPr>
            </w:pPr>
            <w:r>
              <w:rPr>
                <w:rFonts w:ascii="Arial" w:cs="Arial" w:eastAsia="Arial" w:hAnsi="Arial"/>
                <w:sz w:val="14"/>
                <w:szCs w:val="14"/>
                <w:color w:val="auto"/>
              </w:rPr>
              <w:t>Cash proceeds from loans securitized</w:t>
            </w:r>
          </w:p>
        </w:tc>
        <w:tc>
          <w:tcPr>
            <w:tcW w:w="7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40,202</w:t>
            </w:r>
          </w:p>
        </w:tc>
        <w:tc>
          <w:tcPr>
            <w:tcW w:w="280" w:type="dxa"/>
            <w:vAlign w:val="bottom"/>
          </w:tcPr>
          <w:p>
            <w:pPr>
              <w:spacing w:after="0"/>
              <w:rPr>
                <w:sz w:val="13"/>
                <w:szCs w:val="13"/>
                <w:color w:val="auto"/>
              </w:rPr>
            </w:pPr>
          </w:p>
        </w:tc>
        <w:tc>
          <w:tcPr>
            <w:tcW w:w="1280" w:type="dxa"/>
            <w:vAlign w:val="bottom"/>
            <w:gridSpan w:val="3"/>
          </w:tcPr>
          <w:p>
            <w:pPr>
              <w:jc w:val="right"/>
              <w:ind w:right="520"/>
              <w:spacing w:after="0" w:line="158" w:lineRule="exact"/>
              <w:rPr>
                <w:sz w:val="20"/>
                <w:szCs w:val="20"/>
                <w:color w:val="auto"/>
              </w:rPr>
            </w:pPr>
            <w:r>
              <w:rPr>
                <w:rFonts w:ascii="Arial" w:cs="Arial" w:eastAsia="Arial" w:hAnsi="Arial"/>
                <w:sz w:val="14"/>
                <w:szCs w:val="14"/>
                <w:color w:val="auto"/>
              </w:rPr>
              <w:t>70,845</w:t>
            </w: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27,059</w:t>
            </w:r>
          </w:p>
        </w:tc>
        <w:tc>
          <w:tcPr>
            <w:tcW w:w="40" w:type="dxa"/>
            <w:vAlign w:val="bottom"/>
          </w:tcPr>
          <w:p>
            <w:pPr>
              <w:spacing w:after="0"/>
              <w:rPr>
                <w:sz w:val="13"/>
                <w:szCs w:val="13"/>
                <w:color w:val="auto"/>
              </w:rPr>
            </w:pPr>
          </w:p>
        </w:tc>
      </w:tr>
      <w:tr>
        <w:trPr>
          <w:trHeight w:val="158"/>
        </w:trPr>
        <w:tc>
          <w:tcPr>
            <w:tcW w:w="52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Cash proceeds from servicing and other administrative fees on loans securitized</w:t>
            </w:r>
          </w:p>
        </w:tc>
        <w:tc>
          <w:tcPr>
            <w:tcW w:w="7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409</w:t>
            </w:r>
          </w:p>
        </w:tc>
        <w:tc>
          <w:tcPr>
            <w:tcW w:w="280" w:type="dxa"/>
            <w:vAlign w:val="bottom"/>
            <w:shd w:val="clear" w:color="auto" w:fill="CCEEFF"/>
          </w:tcPr>
          <w:p>
            <w:pPr>
              <w:spacing w:after="0"/>
              <w:rPr>
                <w:sz w:val="13"/>
                <w:szCs w:val="13"/>
                <w:color w:val="auto"/>
              </w:rPr>
            </w:pPr>
          </w:p>
        </w:tc>
        <w:tc>
          <w:tcPr>
            <w:tcW w:w="1280" w:type="dxa"/>
            <w:vAlign w:val="bottom"/>
            <w:gridSpan w:val="3"/>
            <w:shd w:val="clear" w:color="auto" w:fill="CCEEFF"/>
          </w:tcPr>
          <w:p>
            <w:pPr>
              <w:jc w:val="right"/>
              <w:ind w:right="520"/>
              <w:spacing w:after="0" w:line="158" w:lineRule="exact"/>
              <w:rPr>
                <w:sz w:val="20"/>
                <w:szCs w:val="20"/>
                <w:color w:val="auto"/>
              </w:rPr>
            </w:pPr>
            <w:r>
              <w:rPr>
                <w:rFonts w:ascii="Arial" w:cs="Arial" w:eastAsia="Arial" w:hAnsi="Arial"/>
                <w:sz w:val="14"/>
                <w:szCs w:val="14"/>
                <w:color w:val="auto"/>
              </w:rPr>
              <w:t>2,777</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6,304</w:t>
            </w:r>
          </w:p>
        </w:tc>
      </w:tr>
      <w:tr>
        <w:trPr>
          <w:trHeight w:val="159"/>
        </w:trPr>
        <w:tc>
          <w:tcPr>
            <w:tcW w:w="5260" w:type="dxa"/>
            <w:vAlign w:val="bottom"/>
          </w:tcPr>
          <w:p>
            <w:pPr>
              <w:spacing w:after="0" w:line="159" w:lineRule="exact"/>
              <w:rPr>
                <w:sz w:val="20"/>
                <w:szCs w:val="20"/>
                <w:color w:val="auto"/>
              </w:rPr>
            </w:pPr>
            <w:r>
              <w:rPr>
                <w:rFonts w:ascii="Arial" w:cs="Arial" w:eastAsia="Arial" w:hAnsi="Arial"/>
                <w:sz w:val="14"/>
                <w:szCs w:val="14"/>
                <w:color w:val="auto"/>
              </w:rPr>
              <w:t>Cash proceeds from interest received on securitization notes and residual</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certificates</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585</w:t>
            </w:r>
          </w:p>
        </w:tc>
        <w:tc>
          <w:tcPr>
            <w:tcW w:w="280" w:type="dxa"/>
            <w:vAlign w:val="bottom"/>
          </w:tcPr>
          <w:p>
            <w:pPr>
              <w:spacing w:after="0"/>
              <w:rPr>
                <w:sz w:val="14"/>
                <w:szCs w:val="14"/>
                <w:color w:val="auto"/>
              </w:rPr>
            </w:pPr>
          </w:p>
        </w:tc>
        <w:tc>
          <w:tcPr>
            <w:tcW w:w="1280" w:type="dxa"/>
            <w:vAlign w:val="bottom"/>
            <w:gridSpan w:val="3"/>
          </w:tcPr>
          <w:p>
            <w:pPr>
              <w:jc w:val="right"/>
              <w:ind w:right="520"/>
              <w:spacing w:after="0"/>
              <w:rPr>
                <w:sz w:val="20"/>
                <w:szCs w:val="20"/>
                <w:color w:val="auto"/>
              </w:rPr>
            </w:pPr>
            <w:r>
              <w:rPr>
                <w:rFonts w:ascii="Arial" w:cs="Arial" w:eastAsia="Arial" w:hAnsi="Arial"/>
                <w:sz w:val="14"/>
                <w:szCs w:val="14"/>
                <w:color w:val="auto"/>
              </w:rPr>
              <w:t>3,112</w:t>
            </w: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1,204</w:t>
            </w:r>
          </w:p>
        </w:tc>
      </w:tr>
    </w:tbl>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Retained Interest in Unconsolidated VIEs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MOAs are subject principally to the credit and prepayment risk stemming from the underlying unsecured personal whole loans.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Off-Balance Sheet Loans</w:t>
      </w:r>
    </w:p>
    <w:p>
      <w:pPr>
        <w:spacing w:after="0" w:line="105"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0200"/>
          </w:cols>
          <w:pgMar w:left="320" w:top="407" w:right="1379" w:bottom="1440" w:gutter="0" w:footer="0" w:header="0"/>
        </w:sectPr>
      </w:pPr>
    </w:p>
    <w:bookmarkStart w:id="267" w:name="page268"/>
    <w:bookmarkEnd w:id="26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 xml:space="preserve">In December 2019 and February 2020, the Company co-sponsored securitization transactions (“2019-3” and “2020-1”, respectively) with an investment bank. The Company was not required to retain economic risk in these securitization transactions as the co-sponsor investment bank acted as the retaining sponsor. Similar to 2018-2, 2019-1, and 2019-2, the Company contributed certain loans to this securitization as collateral and recognized this transfer under Topic 860, </w:t>
      </w:r>
      <w:r>
        <w:rPr>
          <w:rFonts w:ascii="Arial" w:cs="Arial" w:eastAsia="Arial" w:hAnsi="Arial"/>
          <w:sz w:val="15"/>
          <w:szCs w:val="15"/>
          <w:i w:val="1"/>
          <w:iCs w:val="1"/>
          <w:color w:val="auto"/>
        </w:rPr>
        <w:t>Transferring and Servicing</w:t>
      </w:r>
      <w:r>
        <w:rPr>
          <w:rFonts w:ascii="Arial" w:cs="Arial" w:eastAsia="Arial" w:hAnsi="Arial"/>
          <w:sz w:val="15"/>
          <w:szCs w:val="15"/>
          <w:color w:val="auto"/>
        </w:rPr>
        <w:t>. The Company is also the servicer of the 2019-3 and 2020-1 securitization transactions.</w:t>
      </w:r>
    </w:p>
    <w:p>
      <w:pPr>
        <w:spacing w:after="0" w:line="170"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In September 2020 (unaudited), the Company co-sponsored an additional securitization transaction (“2020-2”) with an investment bank. The Company did not retain economic risk in this transaction and did not contribute any loans as collateral. The Company is the servicer of this securitization.</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4. Fair Value Measurement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assets and liabilities measured at fair value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2"/>
                <w:szCs w:val="12"/>
                <w:b w:val="1"/>
                <w:bCs w:val="1"/>
                <w:color w:val="auto"/>
              </w:rPr>
              <w:t>December 31, 2018</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3"/>
              <w:spacing w:after="0" w:line="126" w:lineRule="exact"/>
              <w:rPr>
                <w:sz w:val="20"/>
                <w:szCs w:val="20"/>
                <w:color w:val="auto"/>
              </w:rPr>
            </w:pPr>
            <w:r>
              <w:rPr>
                <w:rFonts w:ascii="Arial" w:cs="Arial" w:eastAsia="Arial" w:hAnsi="Arial"/>
                <w:sz w:val="12"/>
                <w:szCs w:val="12"/>
                <w:b w:val="1"/>
                <w:bCs w:val="1"/>
                <w:color w:val="auto"/>
                <w:w w:val="98"/>
              </w:rPr>
              <w:t>Level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502,666</w:t>
            </w:r>
          </w:p>
        </w:tc>
        <w:tc>
          <w:tcPr>
            <w:tcW w:w="4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502,666</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8,314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8,314</w:t>
            </w: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1,410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1,410</w:t>
            </w:r>
          </w:p>
        </w:tc>
      </w:tr>
      <w:tr>
        <w:trPr>
          <w:trHeight w:val="23"/>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512,390</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512,390</w:t>
            </w:r>
          </w:p>
        </w:tc>
        <w:tc>
          <w:tcPr>
            <w:tcW w:w="6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payable</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1,375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1,375</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1,685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1,685</w:t>
            </w: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w w:val="98"/>
              </w:rPr>
              <w:t>353,292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w w:val="94"/>
              </w:rPr>
              <w:t>353,292</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7,579</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7,579</w:t>
            </w:r>
          </w:p>
        </w:tc>
      </w:tr>
      <w:tr>
        <w:trPr>
          <w:trHeight w:val="160"/>
        </w:trPr>
        <w:tc>
          <w:tcPr>
            <w:tcW w:w="5780" w:type="dxa"/>
            <w:vAlign w:val="bottom"/>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447</w:t>
            </w: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447</w:t>
            </w: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417,552</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417,552</w:t>
            </w:r>
          </w:p>
        </w:tc>
        <w:tc>
          <w:tcPr>
            <w:tcW w:w="60" w:type="dxa"/>
            <w:vAlign w:val="bottom"/>
            <w:shd w:val="clear" w:color="auto" w:fill="CCEEFF"/>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23"/>
        </w:trPr>
        <w:tc>
          <w:tcPr>
            <w:tcW w:w="5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2"/>
                <w:szCs w:val="12"/>
                <w:b w:val="1"/>
                <w:bCs w:val="1"/>
                <w:color w:val="auto"/>
              </w:rPr>
              <w:t>December 31, 2019</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6"/>
        </w:trPr>
        <w:tc>
          <w:tcPr>
            <w:tcW w:w="5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33"/>
              <w:spacing w:after="0" w:line="126" w:lineRule="exact"/>
              <w:rPr>
                <w:sz w:val="20"/>
                <w:szCs w:val="20"/>
                <w:color w:val="auto"/>
              </w:rPr>
            </w:pPr>
            <w:r>
              <w:rPr>
                <w:rFonts w:ascii="Arial" w:cs="Arial" w:eastAsia="Arial" w:hAnsi="Arial"/>
                <w:sz w:val="12"/>
                <w:szCs w:val="12"/>
                <w:b w:val="1"/>
                <w:bCs w:val="1"/>
                <w:color w:val="auto"/>
                <w:w w:val="98"/>
              </w:rPr>
              <w:t>Level 3</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right"/>
              <w:ind w:right="9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38"/>
        </w:trPr>
        <w:tc>
          <w:tcPr>
            <w:tcW w:w="5780" w:type="dxa"/>
            <w:vAlign w:val="bottom"/>
            <w:tcBorders>
              <w:top w:val="single" w:sz="8" w:color="CCEEFF"/>
            </w:tcBorders>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69"/>
        </w:trPr>
        <w:tc>
          <w:tcPr>
            <w:tcW w:w="5780" w:type="dxa"/>
            <w:vAlign w:val="bottom"/>
          </w:tcPr>
          <w:p>
            <w:pPr>
              <w:spacing w:after="0"/>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232,305</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232,305</w:t>
            </w:r>
          </w:p>
        </w:tc>
        <w:tc>
          <w:tcPr>
            <w:tcW w:w="60" w:type="dxa"/>
            <w:vAlign w:val="bottom"/>
          </w:tcPr>
          <w:p>
            <w:pPr>
              <w:spacing w:after="0"/>
              <w:rPr>
                <w:sz w:val="14"/>
                <w:szCs w:val="14"/>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34,116</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 servicing assets</w:t>
            </w:r>
          </w:p>
        </w:tc>
        <w:tc>
          <w:tcPr>
            <w:tcW w:w="10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4,725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4,725</w:t>
            </w:r>
          </w:p>
        </w:tc>
      </w:tr>
      <w:tr>
        <w:trPr>
          <w:trHeight w:val="23"/>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8"/>
              </w:rPr>
              <w:t>271,146</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271,146</w:t>
            </w:r>
          </w:p>
        </w:tc>
        <w:tc>
          <w:tcPr>
            <w:tcW w:w="60" w:type="dxa"/>
            <w:vAlign w:val="bottom"/>
            <w:shd w:val="clear" w:color="auto" w:fill="CCEEFF"/>
          </w:tcPr>
          <w:p>
            <w:pPr>
              <w:spacing w:after="0"/>
              <w:rPr>
                <w:sz w:val="13"/>
                <w:szCs w:val="13"/>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504</w:t>
            </w:r>
          </w:p>
        </w:tc>
        <w:tc>
          <w:tcPr>
            <w:tcW w:w="4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504</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5,140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5,140</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89,672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89,672</w:t>
            </w:r>
          </w:p>
        </w:tc>
        <w:tc>
          <w:tcPr>
            <w:tcW w:w="60" w:type="dxa"/>
            <w:vAlign w:val="bottom"/>
            <w:shd w:val="clear" w:color="auto" w:fill="CCEEFF"/>
          </w:tcPr>
          <w:p>
            <w:pPr>
              <w:spacing w:after="0"/>
              <w:rPr>
                <w:sz w:val="13"/>
                <w:szCs w:val="13"/>
                <w:color w:val="auto"/>
              </w:rPr>
            </w:pPr>
          </w:p>
        </w:tc>
      </w:tr>
      <w:tr>
        <w:trPr>
          <w:trHeight w:val="158"/>
        </w:trPr>
        <w:tc>
          <w:tcPr>
            <w:tcW w:w="5780" w:type="dxa"/>
            <w:vAlign w:val="bottom"/>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10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38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5,666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5,666</w:t>
            </w:r>
          </w:p>
        </w:tc>
      </w:tr>
      <w:tr>
        <w:trPr>
          <w:trHeight w:val="158"/>
        </w:trPr>
        <w:tc>
          <w:tcPr>
            <w:tcW w:w="57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ind w:left="380"/>
              <w:spacing w:after="0" w:line="158"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1,136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1,136</w:t>
            </w:r>
          </w:p>
        </w:tc>
      </w:tr>
      <w:tr>
        <w:trPr>
          <w:trHeight w:val="20"/>
        </w:trPr>
        <w:tc>
          <w:tcPr>
            <w:tcW w:w="5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780" w:type="dxa"/>
            <w:vAlign w:val="bottom"/>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102,118</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102,118</w:t>
            </w:r>
          </w:p>
        </w:tc>
        <w:tc>
          <w:tcPr>
            <w:tcW w:w="60" w:type="dxa"/>
            <w:vAlign w:val="bottom"/>
          </w:tcPr>
          <w:p>
            <w:pPr>
              <w:spacing w:after="0"/>
              <w:rPr>
                <w:sz w:val="13"/>
                <w:szCs w:val="13"/>
                <w:color w:val="auto"/>
              </w:rPr>
            </w:pPr>
          </w:p>
        </w:tc>
      </w:tr>
      <w:tr>
        <w:trPr>
          <w:trHeight w:val="20"/>
        </w:trPr>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0220"/>
          </w:cols>
          <w:pgMar w:left="320" w:top="407" w:right="1359" w:bottom="1440" w:gutter="0" w:footer="0" w:header="0"/>
        </w:sectPr>
      </w:pPr>
    </w:p>
    <w:bookmarkStart w:id="268" w:name="page269"/>
    <w:bookmarkEnd w:id="26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8"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ind w:left="140"/>
              <w:spacing w:after="0"/>
              <w:rPr>
                <w:sz w:val="20"/>
                <w:szCs w:val="20"/>
                <w:color w:val="auto"/>
              </w:rPr>
            </w:pPr>
            <w:r>
              <w:rPr>
                <w:rFonts w:ascii="Arial" w:cs="Arial" w:eastAsia="Arial" w:hAnsi="Arial"/>
                <w:sz w:val="12"/>
                <w:szCs w:val="12"/>
                <w:b w:val="1"/>
                <w:bCs w:val="1"/>
                <w:color w:val="auto"/>
              </w:rPr>
              <w:t>September 30, 2020</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6"/>
        </w:trPr>
        <w:tc>
          <w:tcPr>
            <w:tcW w:w="5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rPr>
              <w:t>Level 1</w:t>
            </w: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ind w:left="20"/>
              <w:spacing w:after="0" w:line="126" w:lineRule="exact"/>
              <w:rPr>
                <w:sz w:val="20"/>
                <w:szCs w:val="20"/>
                <w:color w:val="auto"/>
              </w:rPr>
            </w:pPr>
            <w:r>
              <w:rPr>
                <w:rFonts w:ascii="Arial" w:cs="Arial" w:eastAsia="Arial" w:hAnsi="Arial"/>
                <w:sz w:val="12"/>
                <w:szCs w:val="12"/>
                <w:b w:val="1"/>
                <w:bCs w:val="1"/>
                <w:color w:val="auto"/>
              </w:rPr>
              <w:t>Level 2</w:t>
            </w: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rPr>
              <w:t>Level 3</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33"/>
              <w:spacing w:after="0" w:line="126" w:lineRule="exact"/>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0"/>
                <w:szCs w:val="10"/>
                <w:color w:val="auto"/>
              </w:rPr>
            </w:pPr>
          </w:p>
        </w:tc>
      </w:tr>
      <w:tr>
        <w:trPr>
          <w:trHeight w:val="126"/>
        </w:trPr>
        <w:tc>
          <w:tcPr>
            <w:tcW w:w="5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5"/>
          </w:tcPr>
          <w:p>
            <w:pPr>
              <w:ind w:left="36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122,708</w:t>
            </w:r>
          </w:p>
        </w:tc>
        <w:tc>
          <w:tcPr>
            <w:tcW w:w="120" w:type="dxa"/>
            <w:vAlign w:val="bottom"/>
          </w:tcPr>
          <w:p>
            <w:pPr>
              <w:spacing w:after="0"/>
              <w:rPr>
                <w:sz w:val="13"/>
                <w:szCs w:val="13"/>
                <w:color w:val="auto"/>
              </w:rPr>
            </w:pPr>
          </w:p>
        </w:tc>
        <w:tc>
          <w:tcPr>
            <w:tcW w:w="24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122,708</w:t>
            </w:r>
          </w:p>
        </w:tc>
        <w:tc>
          <w:tcPr>
            <w:tcW w:w="60" w:type="dxa"/>
            <w:vAlign w:val="bottom"/>
          </w:tcPr>
          <w:p>
            <w:pPr>
              <w:spacing w:after="0"/>
              <w:rPr>
                <w:sz w:val="13"/>
                <w:szCs w:val="13"/>
                <w:color w:val="auto"/>
              </w:rPr>
            </w:pP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Notes receivable and residual certificates</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60" w:type="dxa"/>
            <w:vAlign w:val="bottom"/>
            <w:shd w:val="clear" w:color="auto" w:fill="CCEEFF"/>
          </w:tcPr>
          <w:p>
            <w:pPr>
              <w:spacing w:after="0"/>
              <w:rPr>
                <w:sz w:val="13"/>
                <w:szCs w:val="13"/>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Loan servicing assets</w:t>
            </w:r>
          </w:p>
        </w:tc>
        <w:tc>
          <w:tcPr>
            <w:tcW w:w="10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6,558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6,558</w:t>
            </w:r>
          </w:p>
        </w:tc>
      </w:tr>
      <w:tr>
        <w:trPr>
          <w:trHeight w:val="23"/>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151,319</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151,319</w:t>
            </w:r>
          </w:p>
        </w:tc>
        <w:tc>
          <w:tcPr>
            <w:tcW w:w="60" w:type="dxa"/>
            <w:vAlign w:val="bottom"/>
            <w:shd w:val="clear" w:color="auto" w:fill="CCEEFF"/>
          </w:tcPr>
          <w:p>
            <w:pPr>
              <w:spacing w:after="0"/>
              <w:rPr>
                <w:sz w:val="14"/>
                <w:szCs w:val="14"/>
                <w:color w:val="auto"/>
              </w:rPr>
            </w:pPr>
          </w:p>
        </w:tc>
      </w:tr>
      <w:tr>
        <w:trPr>
          <w:trHeight w:val="160"/>
        </w:trPr>
        <w:tc>
          <w:tcPr>
            <w:tcW w:w="588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2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60" w:type="dxa"/>
            <w:vAlign w:val="bottom"/>
            <w:shd w:val="clear" w:color="auto" w:fill="CCEEFF"/>
          </w:tcPr>
          <w:p>
            <w:pPr>
              <w:spacing w:after="0"/>
              <w:rPr>
                <w:sz w:val="14"/>
                <w:szCs w:val="14"/>
                <w:color w:val="auto"/>
              </w:rPr>
            </w:pP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Loan servicing liabilities</w:t>
            </w:r>
          </w:p>
        </w:tc>
        <w:tc>
          <w:tcPr>
            <w:tcW w:w="10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760" w:type="dxa"/>
            <w:vAlign w:val="bottom"/>
            <w:gridSpan w:val="2"/>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7,349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7,349</w:t>
            </w:r>
          </w:p>
        </w:tc>
      </w:tr>
      <w:tr>
        <w:trPr>
          <w:trHeight w:val="169"/>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Payable to securitization notes and residual certificate holders</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69"/>
        </w:trPr>
        <w:tc>
          <w:tcPr>
            <w:tcW w:w="5880" w:type="dxa"/>
            <w:vAlign w:val="bottom"/>
          </w:tcPr>
          <w:p>
            <w:pPr>
              <w:spacing w:after="0"/>
              <w:rPr>
                <w:sz w:val="20"/>
                <w:szCs w:val="20"/>
                <w:color w:val="auto"/>
              </w:rPr>
            </w:pPr>
            <w:r>
              <w:rPr>
                <w:rFonts w:ascii="Arial" w:cs="Arial" w:eastAsia="Arial" w:hAnsi="Arial"/>
                <w:sz w:val="14"/>
                <w:szCs w:val="14"/>
                <w:color w:val="auto"/>
              </w:rPr>
              <w:t>Convertible preferred stock warrant liabilities</w:t>
            </w:r>
          </w:p>
        </w:tc>
        <w:tc>
          <w:tcPr>
            <w:tcW w:w="10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7,458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7,458</w:t>
            </w:r>
          </w:p>
        </w:tc>
      </w:tr>
      <w:tr>
        <w:trPr>
          <w:trHeight w:val="158"/>
        </w:trPr>
        <w:tc>
          <w:tcPr>
            <w:tcW w:w="58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1,607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1,607</w:t>
            </w:r>
          </w:p>
        </w:tc>
      </w:tr>
      <w:tr>
        <w:trPr>
          <w:trHeight w:val="20"/>
        </w:trPr>
        <w:tc>
          <w:tcPr>
            <w:tcW w:w="5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880" w:type="dxa"/>
            <w:vAlign w:val="bottom"/>
          </w:tcPr>
          <w:p>
            <w:pPr>
              <w:spacing w:after="0"/>
              <w:rPr>
                <w:sz w:val="20"/>
                <w:szCs w:val="20"/>
                <w:color w:val="auto"/>
              </w:rPr>
            </w:pPr>
            <w:r>
              <w:rPr>
                <w:rFonts w:ascii="Arial" w:cs="Arial" w:eastAsia="Arial" w:hAnsi="Arial"/>
                <w:sz w:val="14"/>
                <w:szCs w:val="14"/>
                <w:color w:val="auto"/>
              </w:rPr>
              <w:t>Total liabilities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17,308</w:t>
            </w:r>
          </w:p>
        </w:tc>
        <w:tc>
          <w:tcPr>
            <w:tcW w:w="120" w:type="dxa"/>
            <w:vAlign w:val="bottom"/>
          </w:tcPr>
          <w:p>
            <w:pPr>
              <w:spacing w:after="0"/>
              <w:rPr>
                <w:sz w:val="13"/>
                <w:szCs w:val="13"/>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17,308</w:t>
            </w:r>
          </w:p>
        </w:tc>
        <w:tc>
          <w:tcPr>
            <w:tcW w:w="60" w:type="dxa"/>
            <w:vAlign w:val="bottom"/>
          </w:tcPr>
          <w:p>
            <w:pPr>
              <w:spacing w:after="0"/>
              <w:rPr>
                <w:sz w:val="13"/>
                <w:szCs w:val="13"/>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Financial instruments are categorized in the fair value hierarchy based on the significance of unobservable factors in the overall fair value measurement. Since the Company’s loans, notes receivable and residual certificates, notes payable, loan servicing assets and liabilities, payable to securitization note holders and residual certificate holders, other assets and liabilities, convertible preferred stock warrants, and common stock warrants, do not trade in an active market with readily observable prices, the Company uses significant unobservable inputs to measure the fair value of these assets and liabilities.</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 Company has elected the fair value option for loans, notes receivable and residual certificates, notes payable, and payable to securitization note holders and residual certificate holders. The election allows for assets and related liabilities to be measured similarly. Changes in the fair value of the loans are partially offset by corresponding changes in the fair value of notes payable, and payable to securitization note holders and residual certificate holders. The net fair value adjustments are presented as interest income and fair value adjustments, net in the consolidated statements of operations and comprehensive income (loss).</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There were no transfers between Level 1, Level 2 or Level 3 of the fair value hierarchy during the periods presented.</w:t>
      </w:r>
    </w:p>
    <w:p>
      <w:pPr>
        <w:spacing w:after="0" w:line="24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Loans</w:t>
      </w:r>
    </w:p>
    <w:p>
      <w:pPr>
        <w:spacing w:after="0" w:line="105" w:lineRule="exact"/>
        <w:rPr>
          <w:sz w:val="20"/>
          <w:szCs w:val="20"/>
          <w:color w:val="auto"/>
        </w:rPr>
      </w:pPr>
    </w:p>
    <w:p>
      <w:pPr>
        <w:ind w:left="1020" w:right="340" w:firstLine="460"/>
        <w:spacing w:after="0" w:line="245" w:lineRule="auto"/>
        <w:rPr>
          <w:sz w:val="20"/>
          <w:szCs w:val="20"/>
          <w:color w:val="auto"/>
        </w:rPr>
      </w:pPr>
      <w:r>
        <w:rPr>
          <w:rFonts w:ascii="Arial" w:cs="Arial" w:eastAsia="Arial" w:hAnsi="Arial"/>
          <w:sz w:val="15"/>
          <w:szCs w:val="15"/>
          <w:color w:val="auto"/>
        </w:rPr>
        <w:t>Loans included in the Company’s consolidated balance sheets are classified as either held-for-sale or held-for-investment. The loans held-for-investment include those loans which are contributed as collateral and held in the consolidated securitizations.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0220"/>
          </w:cols>
          <w:pgMar w:left="320" w:top="407" w:right="1359" w:bottom="1440" w:gutter="0" w:footer="0" w:header="0"/>
        </w:sectPr>
      </w:pPr>
    </w:p>
    <w:bookmarkStart w:id="269" w:name="page270"/>
    <w:bookmarkEnd w:id="26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presents the fair value of classes of loans held by the Company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60" w:type="dxa"/>
            <w:vAlign w:val="bottom"/>
          </w:tcPr>
          <w:p>
            <w:pPr>
              <w:spacing w:after="0"/>
              <w:rPr>
                <w:sz w:val="12"/>
                <w:szCs w:val="12"/>
                <w:color w:val="auto"/>
              </w:rPr>
            </w:pPr>
          </w:p>
        </w:tc>
        <w:tc>
          <w:tcPr>
            <w:tcW w:w="1620" w:type="dxa"/>
            <w:vAlign w:val="bottom"/>
            <w:gridSpan w:val="5"/>
          </w:tcPr>
          <w:p>
            <w:pPr>
              <w:ind w:left="360"/>
              <w:spacing w:after="0"/>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60" w:type="dxa"/>
            <w:vAlign w:val="bottom"/>
          </w:tcPr>
          <w:p>
            <w:pPr>
              <w:spacing w:after="0"/>
              <w:rPr>
                <w:sz w:val="10"/>
                <w:szCs w:val="10"/>
                <w:color w:val="auto"/>
              </w:rPr>
            </w:pPr>
          </w:p>
        </w:tc>
        <w:tc>
          <w:tcPr>
            <w:tcW w:w="560" w:type="dxa"/>
            <w:vAlign w:val="bottom"/>
            <w:tcBorders>
              <w:top w:val="single" w:sz="8" w:color="auto"/>
            </w:tcBorders>
          </w:tcPr>
          <w:p>
            <w:pPr>
              <w:jc w:val="right"/>
              <w:ind w:right="75"/>
              <w:spacing w:after="0" w:line="126" w:lineRule="exact"/>
              <w:rPr>
                <w:sz w:val="20"/>
                <w:szCs w:val="20"/>
                <w:color w:val="auto"/>
              </w:rPr>
            </w:pPr>
            <w:r>
              <w:rPr>
                <w:rFonts w:ascii="Arial" w:cs="Arial" w:eastAsia="Arial" w:hAnsi="Arial"/>
                <w:sz w:val="12"/>
                <w:szCs w:val="12"/>
                <w:b w:val="1"/>
                <w:bCs w:val="1"/>
                <w:color w:val="auto"/>
              </w:rPr>
              <w:t>2018</w:t>
            </w: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92"/>
              <w:spacing w:after="0" w:line="126" w:lineRule="exact"/>
              <w:rPr>
                <w:sz w:val="20"/>
                <w:szCs w:val="20"/>
                <w:color w:val="auto"/>
              </w:rPr>
            </w:pPr>
            <w:r>
              <w:rPr>
                <w:rFonts w:ascii="Arial" w:cs="Arial" w:eastAsia="Arial" w:hAnsi="Arial"/>
                <w:sz w:val="12"/>
                <w:szCs w:val="12"/>
                <w:b w:val="1"/>
                <w:bCs w:val="1"/>
                <w:color w:val="auto"/>
              </w:rPr>
              <w:t>2019</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5"/>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Loans held-for-sale</w:t>
            </w:r>
          </w:p>
        </w:tc>
        <w:tc>
          <w:tcPr>
            <w:tcW w:w="720" w:type="dxa"/>
            <w:vAlign w:val="bottom"/>
            <w:gridSpan w:val="2"/>
            <w:shd w:val="clear" w:color="auto" w:fill="CCEEFF"/>
          </w:tcPr>
          <w:p>
            <w:pPr>
              <w:ind w:left="440"/>
              <w:spacing w:after="0" w:line="15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108,146</w:t>
            </w:r>
          </w:p>
        </w:tc>
        <w:tc>
          <w:tcPr>
            <w:tcW w:w="40" w:type="dxa"/>
            <w:vAlign w:val="bottom"/>
            <w:shd w:val="clear" w:color="auto" w:fill="CCEEFF"/>
          </w:tcPr>
          <w:p>
            <w:pPr>
              <w:spacing w:after="0"/>
              <w:rPr>
                <w:sz w:val="13"/>
                <w:szCs w:val="13"/>
                <w:color w:val="auto"/>
              </w:rPr>
            </w:pP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Loans held-for-investment</w:t>
            </w: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w w:val="92"/>
              </w:rPr>
              <w:t>$134,650</w:t>
            </w:r>
          </w:p>
        </w:tc>
        <w:tc>
          <w:tcPr>
            <w:tcW w:w="160" w:type="dxa"/>
            <w:vAlign w:val="bottom"/>
          </w:tcPr>
          <w:p>
            <w:pPr>
              <w:spacing w:after="0"/>
              <w:rPr>
                <w:sz w:val="13"/>
                <w:szCs w:val="13"/>
                <w:color w:val="auto"/>
              </w:rPr>
            </w:pPr>
          </w:p>
        </w:tc>
        <w:tc>
          <w:tcPr>
            <w:tcW w:w="7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$141,555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14,562</w:t>
            </w:r>
          </w:p>
        </w:tc>
        <w:tc>
          <w:tcPr>
            <w:tcW w:w="40" w:type="dxa"/>
            <w:vAlign w:val="bottom"/>
          </w:tcPr>
          <w:p>
            <w:pPr>
              <w:spacing w:after="0"/>
              <w:rPr>
                <w:sz w:val="13"/>
                <w:szCs w:val="13"/>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Loans held-for-investment in consolidated securitizations</w:t>
            </w:r>
          </w:p>
        </w:tc>
        <w:tc>
          <w:tcPr>
            <w:tcW w:w="5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368,016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90,750</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r>
      <w:tr>
        <w:trPr>
          <w:trHeight w:val="160"/>
        </w:trPr>
        <w:tc>
          <w:tcPr>
            <w:tcW w:w="6560" w:type="dxa"/>
            <w:vAlign w:val="bottom"/>
          </w:tcPr>
          <w:p>
            <w:pPr>
              <w:ind w:left="280"/>
              <w:spacing w:after="0"/>
              <w:rPr>
                <w:sz w:val="20"/>
                <w:szCs w:val="20"/>
                <w:color w:val="auto"/>
              </w:rPr>
            </w:pPr>
            <w:r>
              <w:rPr>
                <w:rFonts w:ascii="Arial" w:cs="Arial" w:eastAsia="Arial" w:hAnsi="Arial"/>
                <w:sz w:val="14"/>
                <w:szCs w:val="14"/>
                <w:color w:val="auto"/>
              </w:rPr>
              <w:t>Total</w:t>
            </w:r>
          </w:p>
        </w:tc>
        <w:tc>
          <w:tcPr>
            <w:tcW w:w="560" w:type="dxa"/>
            <w:vAlign w:val="bottom"/>
          </w:tcPr>
          <w:p>
            <w:pPr>
              <w:jc w:val="right"/>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502,666</w:t>
            </w:r>
          </w:p>
        </w:tc>
        <w:tc>
          <w:tcPr>
            <w:tcW w:w="16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232,305</w:t>
            </w:r>
          </w:p>
        </w:tc>
        <w:tc>
          <w:tcPr>
            <w:tcW w:w="160" w:type="dxa"/>
            <w:vAlign w:val="bottom"/>
          </w:tcPr>
          <w:p>
            <w:pPr>
              <w:spacing w:after="0"/>
              <w:rPr>
                <w:sz w:val="13"/>
                <w:szCs w:val="13"/>
                <w:color w:val="auto"/>
              </w:rPr>
            </w:pP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122,708</w:t>
            </w:r>
          </w:p>
        </w:tc>
        <w:tc>
          <w:tcPr>
            <w:tcW w:w="4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jc w:val="both"/>
        <w:ind w:left="1020" w:right="20" w:firstLine="460"/>
        <w:spacing w:after="0" w:line="238" w:lineRule="auto"/>
        <w:rPr>
          <w:sz w:val="20"/>
          <w:szCs w:val="20"/>
          <w:color w:val="auto"/>
        </w:rPr>
      </w:pPr>
      <w:r>
        <w:rPr>
          <w:rFonts w:ascii="Arial" w:cs="Arial" w:eastAsia="Arial" w:hAnsi="Arial"/>
          <w:sz w:val="15"/>
          <w:szCs w:val="15"/>
          <w:color w:val="auto"/>
        </w:rPr>
        <w:t>Loans held-for-sale and held-for-investment, excluding those in consolidated securitizations,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 which was immaterial as of December 31, 2018 and 2019, and September 30, 2020 (unaudited).</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 xml:space="preserve">As of December 31, 2018 and 2019, and September 30, 2020 (unaudited), the Company elected the measurement alternative under Topic 810, </w:t>
      </w:r>
      <w:r>
        <w:rPr>
          <w:rFonts w:ascii="Arial" w:cs="Arial" w:eastAsia="Arial" w:hAnsi="Arial"/>
          <w:sz w:val="15"/>
          <w:szCs w:val="15"/>
          <w:i w:val="1"/>
          <w:iCs w:val="1"/>
          <w:color w:val="auto"/>
        </w:rPr>
        <w:t>Consolidation,</w:t>
      </w:r>
      <w:r>
        <w:rPr>
          <w:rFonts w:ascii="Arial" w:cs="Arial" w:eastAsia="Arial" w:hAnsi="Arial"/>
          <w:sz w:val="15"/>
          <w:szCs w:val="15"/>
          <w:color w:val="auto"/>
        </w:rPr>
        <w:t xml:space="preserve"> and maximizes the use of observable inputs to estimate the fair value of the financial assets and liabilities of consolidated securitization entities. Under the measurement alternative, the Company measures the financial assets, which consist of held-for-investment and held-for-sale loans in the consolidated balance sheets, and financial liabilities, which consist of securitization notes and residual certificates issued to institutional investors, included in payable to securitization note holders and residual certificate holders in the consolidated balance sheets, using the more observable of the fair value of the financial assets and liabilities. The Company determined the fair value of the securitization notes and residual certificates is more observable than that of the loans. The securitization notes and residual certificates are measured at fair value, and the loans are measured based on the sum of the fair value of the securitization notes and residual certificates, with changes in fair value included in the consolidated statements of operations and comprehensive income (loss).</w:t>
      </w:r>
    </w:p>
    <w:p>
      <w:pPr>
        <w:spacing w:after="0" w:line="158"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loans held-for-investment and held-for-sale:</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5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2019</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September 30, 2020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Weighted-</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Weighted-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2"/>
                <w:szCs w:val="12"/>
                <w:b w:val="1"/>
                <w:bCs w:val="1"/>
                <w:i w:val="1"/>
                <w:iCs w:val="1"/>
                <w:color w:val="auto"/>
              </w:rPr>
              <w:t>(unaudited)</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w w:val="98"/>
              </w:rPr>
              <w:t>Minimum</w:t>
            </w:r>
          </w:p>
        </w:tc>
        <w:tc>
          <w:tcPr>
            <w:tcW w:w="2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w w:val="97"/>
              </w:rPr>
              <w:t>Maximum</w:t>
            </w:r>
          </w:p>
        </w:tc>
        <w:tc>
          <w:tcPr>
            <w:tcW w:w="280" w:type="dxa"/>
            <w:vAlign w:val="bottom"/>
          </w:tcPr>
          <w:p>
            <w:pPr>
              <w:spacing w:after="0"/>
              <w:rPr>
                <w:sz w:val="12"/>
                <w:szCs w:val="12"/>
                <w:color w:val="auto"/>
              </w:rPr>
            </w:pPr>
          </w:p>
        </w:tc>
        <w:tc>
          <w:tcPr>
            <w:tcW w:w="600" w:type="dxa"/>
            <w:vAlign w:val="bottom"/>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3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Minimum</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Maximum</w:t>
            </w:r>
          </w:p>
        </w:tc>
        <w:tc>
          <w:tcPr>
            <w:tcW w:w="90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10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14.58%</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14.57%</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4.98%</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6.81%</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16.91%</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58"/>
        </w:trPr>
        <w:tc>
          <w:tcPr>
            <w:tcW w:w="158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0.05%</w:t>
            </w: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43.21%</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18.17%</w:t>
            </w:r>
          </w:p>
        </w:tc>
        <w:tc>
          <w:tcPr>
            <w:tcW w:w="8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0.31%</w:t>
            </w: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52.29%</w:t>
            </w:r>
          </w:p>
        </w:tc>
        <w:tc>
          <w:tcPr>
            <w:tcW w:w="9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17.19%</w:t>
            </w:r>
          </w:p>
        </w:tc>
        <w:tc>
          <w:tcPr>
            <w:tcW w:w="7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0.36%</w:t>
            </w:r>
          </w:p>
        </w:tc>
        <w:tc>
          <w:tcPr>
            <w:tcW w:w="98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52.31%</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158"/>
        </w:trPr>
        <w:tc>
          <w:tcPr>
            <w:tcW w:w="158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82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22.16%</w:t>
            </w:r>
          </w:p>
        </w:tc>
        <w:tc>
          <w:tcPr>
            <w:tcW w:w="86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33.37%</w:t>
            </w:r>
          </w:p>
        </w:tc>
        <w:tc>
          <w:tcPr>
            <w:tcW w:w="90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25.53%</w:t>
            </w:r>
          </w:p>
        </w:tc>
        <w:tc>
          <w:tcPr>
            <w:tcW w:w="8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11.34%</w:t>
            </w:r>
          </w:p>
        </w:tc>
        <w:tc>
          <w:tcPr>
            <w:tcW w:w="8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64.00%</w:t>
            </w:r>
          </w:p>
        </w:tc>
        <w:tc>
          <w:tcPr>
            <w:tcW w:w="9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29.49%</w:t>
            </w:r>
          </w:p>
        </w:tc>
        <w:tc>
          <w:tcPr>
            <w:tcW w:w="7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11.33%</w:t>
            </w:r>
          </w:p>
        </w:tc>
        <w:tc>
          <w:tcPr>
            <w:tcW w:w="980" w:type="dxa"/>
            <w:vAlign w:val="bottom"/>
            <w:gridSpan w:val="3"/>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78.36%</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w:t>
      </w:r>
    </w:p>
    <w:p>
      <w:pPr>
        <w:ind w:left="1480" w:hanging="453"/>
        <w:spacing w:after="0"/>
        <w:tabs>
          <w:tab w:leader="none" w:pos="14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Unobservable inputs were weighted by relative fair value</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0220"/>
          </w:cols>
          <w:pgMar w:left="320" w:top="407" w:right="1359" w:bottom="1440" w:gutter="0" w:footer="0" w:header="0"/>
        </w:sectPr>
      </w:pPr>
    </w:p>
    <w:bookmarkStart w:id="270" w:name="page271"/>
    <w:bookmarkEnd w:id="27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right="180" w:firstLine="460"/>
        <w:spacing w:after="0" w:line="243" w:lineRule="auto"/>
        <w:rPr>
          <w:sz w:val="20"/>
          <w:szCs w:val="20"/>
          <w:color w:val="auto"/>
        </w:rPr>
      </w:pPr>
      <w:r>
        <w:rPr>
          <w:rFonts w:ascii="Arial" w:cs="Arial" w:eastAsia="Arial" w:hAnsi="Arial"/>
          <w:sz w:val="15"/>
          <w:szCs w:val="15"/>
          <w:i w:val="1"/>
          <w:iCs w:val="1"/>
          <w:color w:val="auto"/>
        </w:rPr>
        <w:t>Discount rates—</w:t>
      </w:r>
      <w:r>
        <w:rPr>
          <w:rFonts w:ascii="Arial" w:cs="Arial" w:eastAsia="Arial" w:hAnsi="Arial"/>
          <w:sz w:val="15"/>
          <w:szCs w:val="15"/>
          <w:color w:val="auto"/>
        </w:rPr>
        <w:t>The discount rates are rates of return used to discount future expected cash flows to arrive at a present value,</w:t>
      </w:r>
      <w:r>
        <w:rPr>
          <w:rFonts w:ascii="Arial" w:cs="Arial" w:eastAsia="Arial" w:hAnsi="Arial"/>
          <w:sz w:val="15"/>
          <w:szCs w:val="15"/>
          <w:i w:val="1"/>
          <w:iCs w:val="1"/>
          <w:color w:val="auto"/>
        </w:rPr>
        <w:t xml:space="preserve"> </w:t>
      </w:r>
      <w:r>
        <w:rPr>
          <w:rFonts w:ascii="Arial" w:cs="Arial" w:eastAsia="Arial" w:hAnsi="Arial"/>
          <w:sz w:val="15"/>
          <w:szCs w:val="15"/>
          <w:color w:val="auto"/>
        </w:rPr>
        <w:t>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152" w:lineRule="exact"/>
        <w:rPr>
          <w:sz w:val="20"/>
          <w:szCs w:val="20"/>
          <w:color w:val="auto"/>
        </w:rPr>
      </w:pPr>
    </w:p>
    <w:p>
      <w:pPr>
        <w:ind w:left="1020" w:right="100" w:firstLine="460"/>
        <w:spacing w:after="0" w:line="246"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an estimate of the net cumulative principal payments that will not be repaid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49" w:lineRule="exact"/>
        <w:rPr>
          <w:sz w:val="20"/>
          <w:szCs w:val="20"/>
          <w:color w:val="auto"/>
        </w:rPr>
      </w:pPr>
    </w:p>
    <w:p>
      <w:pPr>
        <w:ind w:left="1020" w:right="100" w:firstLine="460"/>
        <w:spacing w:after="0" w:line="251"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principal prepayments that will occur over the entire life of</w:t>
      </w:r>
      <w:r>
        <w:rPr>
          <w:rFonts w:ascii="Arial" w:cs="Arial" w:eastAsia="Arial" w:hAnsi="Arial"/>
          <w:sz w:val="15"/>
          <w:szCs w:val="15"/>
          <w:i w:val="1"/>
          <w:iCs w:val="1"/>
          <w:color w:val="auto"/>
        </w:rPr>
        <w:t xml:space="preserve"> </w:t>
      </w:r>
      <w:r>
        <w:rPr>
          <w:rFonts w:ascii="Arial" w:cs="Arial" w:eastAsia="Arial" w:hAnsi="Arial"/>
          <w:sz w:val="15"/>
          <w:szCs w:val="15"/>
          <w:color w:val="auto"/>
        </w:rPr>
        <w:t>a loan as a percentage of the original principal amount of the loan. The assumption regarding cumulative prepayments impacts the projected balances and expected terms of the loans.</w:t>
      </w:r>
    </w:p>
    <w:p>
      <w:pPr>
        <w:spacing w:after="0" w:line="146" w:lineRule="exact"/>
        <w:rPr>
          <w:sz w:val="20"/>
          <w:szCs w:val="20"/>
          <w:color w:val="auto"/>
        </w:rPr>
      </w:pPr>
    </w:p>
    <w:p>
      <w:pPr>
        <w:ind w:left="1020" w:right="40" w:firstLine="460"/>
        <w:spacing w:after="0" w:line="267" w:lineRule="auto"/>
        <w:rPr>
          <w:sz w:val="20"/>
          <w:szCs w:val="20"/>
          <w:color w:val="auto"/>
        </w:rPr>
      </w:pPr>
      <w:r>
        <w:rPr>
          <w:rFonts w:ascii="Arial" w:cs="Arial" w:eastAsia="Arial" w:hAnsi="Arial"/>
          <w:sz w:val="15"/>
          <w:szCs w:val="15"/>
          <w:color w:val="auto"/>
        </w:rPr>
        <w:t xml:space="preserve">The above inputs are similarly used in estimating fair value of related financial instruments. Refer to </w:t>
      </w:r>
      <w:r>
        <w:rPr>
          <w:rFonts w:ascii="Arial" w:cs="Arial" w:eastAsia="Arial" w:hAnsi="Arial"/>
          <w:sz w:val="15"/>
          <w:szCs w:val="15"/>
          <w:i w:val="1"/>
          <w:iCs w:val="1"/>
          <w:color w:val="auto"/>
        </w:rPr>
        <w:t>Notes Payable</w:t>
      </w:r>
      <w:r>
        <w:rPr>
          <w:rFonts w:ascii="Arial" w:cs="Arial" w:eastAsia="Arial" w:hAnsi="Arial"/>
          <w:sz w:val="15"/>
          <w:szCs w:val="15"/>
          <w:color w:val="auto"/>
        </w:rPr>
        <w:t xml:space="preserve"> and </w:t>
      </w:r>
      <w:r>
        <w:rPr>
          <w:rFonts w:ascii="Arial" w:cs="Arial" w:eastAsia="Arial" w:hAnsi="Arial"/>
          <w:sz w:val="15"/>
          <w:szCs w:val="15"/>
          <w:i w:val="1"/>
          <w:iCs w:val="1"/>
          <w:color w:val="auto"/>
        </w:rPr>
        <w:t>Assets 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Liabilities related to Securitization Transactions </w:t>
      </w:r>
      <w:r>
        <w:rPr>
          <w:rFonts w:ascii="Arial" w:cs="Arial" w:eastAsia="Arial" w:hAnsi="Arial"/>
          <w:sz w:val="15"/>
          <w:szCs w:val="15"/>
          <w:color w:val="auto"/>
        </w:rPr>
        <w:t>sections below for more information.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103"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The below table presents the sensitivity of the loans held-for-sale and held-for-investment, excluding those in consolidated securitizations, to adverse changes in key assumptions used in the valuation model as of December 31, 2018 and 2019, and September 30, 2020 (unaudited), respectively. The estimated fair value of these loans is not sensitive to adverse changes in expected prepayment rates as such changes would not result in a significant impact on the fair value in either periods.</w:t>
      </w:r>
    </w:p>
    <w:p>
      <w:pPr>
        <w:spacing w:after="0" w:line="185"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420" w:type="dxa"/>
            <w:vAlign w:val="bottom"/>
            <w:vMerge w:val="restart"/>
          </w:tcPr>
          <w:p>
            <w:pPr>
              <w:spacing w:after="0"/>
              <w:rPr>
                <w:sz w:val="20"/>
                <w:szCs w:val="20"/>
                <w:color w:val="auto"/>
              </w:rPr>
            </w:pPr>
            <w:r>
              <w:rPr>
                <w:rFonts w:ascii="Arial" w:cs="Arial" w:eastAsia="Arial" w:hAnsi="Arial"/>
                <w:sz w:val="12"/>
                <w:szCs w:val="12"/>
                <w:i w:val="1"/>
                <w:iCs w:val="1"/>
                <w:color w:val="auto"/>
              </w:rPr>
              <w:t>(amounts in thousands)</w:t>
            </w:r>
          </w:p>
        </w:tc>
        <w:tc>
          <w:tcPr>
            <w:tcW w:w="1860" w:type="dxa"/>
            <w:vAlign w:val="bottom"/>
            <w:gridSpan w:val="4"/>
          </w:tcPr>
          <w:p>
            <w:pPr>
              <w:jc w:val="right"/>
              <w:ind w:right="72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26"/>
        </w:trPr>
        <w:tc>
          <w:tcPr>
            <w:tcW w:w="6420" w:type="dxa"/>
            <w:vAlign w:val="bottom"/>
            <w:vMerge w:val="continue"/>
          </w:tcPr>
          <w:p>
            <w:pPr>
              <w:spacing w:after="0"/>
              <w:rPr>
                <w:sz w:val="10"/>
                <w:szCs w:val="10"/>
                <w:color w:val="auto"/>
              </w:rPr>
            </w:pPr>
          </w:p>
        </w:tc>
        <w:tc>
          <w:tcPr>
            <w:tcW w:w="5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74"/>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center"/>
              <w:ind w:right="15"/>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ind w:right="15"/>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of loans</w:t>
            </w:r>
          </w:p>
        </w:tc>
        <w:tc>
          <w:tcPr>
            <w:tcW w:w="5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134,650</w:t>
            </w:r>
          </w:p>
        </w:tc>
        <w:tc>
          <w:tcPr>
            <w:tcW w:w="3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center"/>
              <w:spacing w:after="0" w:line="158"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141,555</w:t>
            </w:r>
          </w:p>
        </w:tc>
        <w:tc>
          <w:tcPr>
            <w:tcW w:w="3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122,708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420" w:type="dxa"/>
            <w:vAlign w:val="bottom"/>
          </w:tcPr>
          <w:p>
            <w:pPr>
              <w:spacing w:after="0"/>
              <w:rPr>
                <w:sz w:val="20"/>
                <w:szCs w:val="20"/>
                <w:color w:val="auto"/>
              </w:rPr>
            </w:pPr>
            <w:r>
              <w:rPr>
                <w:rFonts w:ascii="Arial" w:cs="Arial" w:eastAsia="Arial" w:hAnsi="Arial"/>
                <w:sz w:val="14"/>
                <w:szCs w:val="14"/>
                <w:color w:val="auto"/>
              </w:rPr>
              <w:t>Discount rates</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100 basis point increase</w:t>
            </w:r>
          </w:p>
        </w:tc>
        <w:tc>
          <w:tcPr>
            <w:tcW w:w="9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(1,762)</w:t>
            </w:r>
          </w:p>
        </w:tc>
        <w:tc>
          <w:tcPr>
            <w:tcW w:w="9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(1,898)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58"/>
        </w:trPr>
        <w:tc>
          <w:tcPr>
            <w:tcW w:w="6420" w:type="dxa"/>
            <w:vAlign w:val="bottom"/>
          </w:tcPr>
          <w:p>
            <w:pPr>
              <w:ind w:left="280"/>
              <w:spacing w:after="0" w:line="158" w:lineRule="exact"/>
              <w:rPr>
                <w:sz w:val="20"/>
                <w:szCs w:val="20"/>
                <w:color w:val="auto"/>
              </w:rPr>
            </w:pPr>
            <w:r>
              <w:rPr>
                <w:rFonts w:ascii="Arial" w:cs="Arial" w:eastAsia="Arial" w:hAnsi="Arial"/>
                <w:sz w:val="14"/>
                <w:szCs w:val="14"/>
                <w:color w:val="auto"/>
              </w:rPr>
              <w:t>200 basis point increase</w:t>
            </w:r>
          </w:p>
        </w:tc>
        <w:tc>
          <w:tcPr>
            <w:tcW w:w="9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(3,488)</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(3,755)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(2,937)</w:t>
            </w: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credit risk rates on underlying loans</w:t>
            </w: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42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9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(2,321)</w:t>
            </w:r>
          </w:p>
        </w:tc>
        <w:tc>
          <w:tcPr>
            <w:tcW w:w="92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(2,325)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158"/>
        </w:trPr>
        <w:tc>
          <w:tcPr>
            <w:tcW w:w="64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9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(4,649)</w:t>
            </w:r>
          </w:p>
        </w:tc>
        <w:tc>
          <w:tcPr>
            <w:tcW w:w="9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(4,656)</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(3,911)</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0220"/>
          </w:cols>
          <w:pgMar w:left="320" w:top="407" w:right="1359" w:bottom="1440" w:gutter="0" w:footer="0" w:header="0"/>
        </w:sectPr>
      </w:pPr>
    </w:p>
    <w:bookmarkStart w:id="271" w:name="page272"/>
    <w:bookmarkEnd w:id="27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include a rollforward of the loans classified within Level 3 of the fair value hierarchy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Loans Held-for-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780" w:type="dxa"/>
            <w:vAlign w:val="bottom"/>
            <w:gridSpan w:val="4"/>
          </w:tcPr>
          <w:p>
            <w:pPr>
              <w:jc w:val="center"/>
              <w:ind w:right="40"/>
              <w:spacing w:after="0" w:line="136" w:lineRule="exact"/>
              <w:rPr>
                <w:sz w:val="20"/>
                <w:szCs w:val="20"/>
                <w:color w:val="auto"/>
              </w:rPr>
            </w:pPr>
            <w:r>
              <w:rPr>
                <w:rFonts w:ascii="Arial" w:cs="Arial" w:eastAsia="Arial" w:hAnsi="Arial"/>
                <w:sz w:val="12"/>
                <w:szCs w:val="12"/>
                <w:b w:val="1"/>
                <w:bCs w:val="1"/>
                <w:color w:val="auto"/>
              </w:rPr>
              <w:t>Loans Held-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240" w:type="dxa"/>
            <w:vAlign w:val="bottom"/>
          </w:tcPr>
          <w:p>
            <w:pPr>
              <w:spacing w:after="0"/>
              <w:rPr>
                <w:sz w:val="11"/>
                <w:szCs w:val="11"/>
                <w:color w:val="auto"/>
              </w:rPr>
            </w:pPr>
          </w:p>
        </w:tc>
        <w:tc>
          <w:tcPr>
            <w:tcW w:w="1140" w:type="dxa"/>
            <w:vAlign w:val="bottom"/>
            <w:gridSpan w:val="3"/>
          </w:tcPr>
          <w:p>
            <w:pPr>
              <w:jc w:val="right"/>
              <w:ind w:right="440"/>
              <w:spacing w:after="0" w:line="136"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for-Sale</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Investment</w:t>
            </w:r>
          </w:p>
        </w:tc>
        <w:tc>
          <w:tcPr>
            <w:tcW w:w="340" w:type="dxa"/>
            <w:vAlign w:val="bottom"/>
            <w:tcBorders>
              <w:bottom w:val="single" w:sz="8" w:color="CCEEFF"/>
            </w:tcBorders>
            <w:gridSpan w:val="2"/>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(Securitized)</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Total</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63,883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355,619</w:t>
            </w:r>
          </w:p>
        </w:tc>
        <w:tc>
          <w:tcPr>
            <w:tcW w:w="320" w:type="dxa"/>
            <w:vAlign w:val="bottom"/>
            <w:tcBorders>
              <w:left w:val="single" w:sz="8" w:color="CCEEFF"/>
            </w:tcBorders>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20" w:type="dxa"/>
            <w:vAlign w:val="bottom"/>
          </w:tcPr>
          <w:p>
            <w:pPr>
              <w:spacing w:after="0"/>
              <w:rPr>
                <w:sz w:val="20"/>
                <w:szCs w:val="20"/>
                <w:color w:val="auto"/>
              </w:rPr>
            </w:pPr>
            <w:r>
              <w:rPr>
                <w:rFonts w:ascii="Arial" w:cs="Arial" w:eastAsia="Arial" w:hAnsi="Arial"/>
                <w:sz w:val="14"/>
                <w:szCs w:val="14"/>
                <w:color w:val="auto"/>
              </w:rPr>
              <w:t>Purchases of loans</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169,442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251,681</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421,123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(55,199)</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(55,199)</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tcPr>
          <w:p>
            <w:pPr>
              <w:spacing w:after="0"/>
              <w:rPr>
                <w:sz w:val="13"/>
                <w:szCs w:val="13"/>
                <w:color w:val="auto"/>
              </w:rPr>
            </w:pPr>
          </w:p>
        </w:tc>
        <w:tc>
          <w:tcPr>
            <w:tcW w:w="70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1,115,049</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1,115,049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(1,115,049)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(1,115,049)</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
              <w:spacing w:after="0" w:line="158" w:lineRule="exact"/>
              <w:rPr>
                <w:sz w:val="20"/>
                <w:szCs w:val="20"/>
                <w:color w:val="auto"/>
              </w:rPr>
            </w:pPr>
            <w:r>
              <w:rPr>
                <w:rFonts w:ascii="Arial" w:cs="Arial" w:eastAsia="Arial" w:hAnsi="Arial"/>
                <w:sz w:val="14"/>
                <w:szCs w:val="14"/>
                <w:color w:val="auto"/>
              </w:rPr>
              <w:t>(38,332)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(199,325)</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(237,657)</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(5,882)</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(39,959)</w:t>
            </w:r>
          </w:p>
        </w:tc>
        <w:tc>
          <w:tcPr>
            <w:tcW w:w="3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(45,841)</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738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738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2018</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134,650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368,016</w:t>
            </w:r>
          </w:p>
        </w:tc>
        <w:tc>
          <w:tcPr>
            <w:tcW w:w="32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502,666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Loans Held-for-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jc w:val="right"/>
              <w:ind w:right="340"/>
              <w:spacing w:after="0" w:line="136" w:lineRule="exact"/>
              <w:rPr>
                <w:sz w:val="20"/>
                <w:szCs w:val="20"/>
                <w:color w:val="auto"/>
              </w:rPr>
            </w:pPr>
            <w:r>
              <w:rPr>
                <w:rFonts w:ascii="Arial" w:cs="Arial" w:eastAsia="Arial" w:hAnsi="Arial"/>
                <w:sz w:val="12"/>
                <w:szCs w:val="12"/>
                <w:b w:val="1"/>
                <w:bCs w:val="1"/>
                <w:color w:val="auto"/>
                <w:w w:val="98"/>
              </w:rPr>
              <w:t>Loans Held-</w:t>
            </w:r>
          </w:p>
        </w:tc>
        <w:tc>
          <w:tcPr>
            <w:tcW w:w="140" w:type="dxa"/>
            <w:vAlign w:val="bottom"/>
          </w:tcPr>
          <w:p>
            <w:pPr>
              <w:spacing w:after="0"/>
              <w:rPr>
                <w:sz w:val="11"/>
                <w:szCs w:val="11"/>
                <w:color w:val="auto"/>
              </w:rPr>
            </w:pPr>
          </w:p>
        </w:tc>
        <w:tc>
          <w:tcPr>
            <w:tcW w:w="110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for-Sale</w:t>
            </w: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2"/>
                <w:szCs w:val="12"/>
                <w:b w:val="1"/>
                <w:bCs w:val="1"/>
                <w:color w:val="auto"/>
              </w:rPr>
              <w:t>Investment</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(Securitized)</w:t>
            </w:r>
          </w:p>
        </w:tc>
        <w:tc>
          <w:tcPr>
            <w:tcW w:w="3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Total</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Purchases of loans</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2"/>
                <w:szCs w:val="12"/>
                <w:color w:val="auto"/>
              </w:rPr>
            </w:pPr>
          </w:p>
        </w:tc>
        <w:tc>
          <w:tcPr>
            <w:tcW w:w="4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265,286</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265,286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(131,838)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(131,838)</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shd w:val="clear" w:color="auto" w:fill="CCEEFF"/>
          </w:tcPr>
          <w:p>
            <w:pPr>
              <w:spacing w:after="0"/>
              <w:rPr>
                <w:sz w:val="13"/>
                <w:szCs w:val="13"/>
                <w:color w:val="auto"/>
              </w:rPr>
            </w:pPr>
          </w:p>
        </w:tc>
        <w:tc>
          <w:tcPr>
            <w:tcW w:w="840" w:type="dxa"/>
            <w:vAlign w:val="bottom"/>
            <w:gridSpan w:val="4"/>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w w:val="71"/>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1,779,180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tcPr>
          <w:p>
            <w:pPr>
              <w:spacing w:after="0"/>
              <w:rPr>
                <w:sz w:val="13"/>
                <w:szCs w:val="13"/>
                <w:color w:val="auto"/>
              </w:rPr>
            </w:pPr>
          </w:p>
        </w:tc>
        <w:tc>
          <w:tcPr>
            <w:tcW w:w="1160" w:type="dxa"/>
            <w:vAlign w:val="bottom"/>
            <w:gridSpan w:val="5"/>
          </w:tcPr>
          <w:p>
            <w:pPr>
              <w:jc w:val="right"/>
              <w:ind w:right="260"/>
              <w:spacing w:after="0" w:line="158" w:lineRule="exact"/>
              <w:rPr>
                <w:sz w:val="20"/>
                <w:szCs w:val="20"/>
                <w:color w:val="auto"/>
              </w:rPr>
            </w:pPr>
            <w:r>
              <w:rPr>
                <w:rFonts w:ascii="Arial" w:cs="Arial" w:eastAsia="Arial" w:hAnsi="Arial"/>
                <w:sz w:val="14"/>
                <w:szCs w:val="14"/>
                <w:color w:val="auto"/>
              </w:rPr>
              <w:t>(1,779,180)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71"/>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w w:val="94"/>
              </w:rPr>
              <w:t>(1,779,180)</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(47,950)</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(158,921)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(206,871)</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(5,821)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(36,238)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(42,059)</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(72,757)</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(82,107)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(154,864)</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160"/>
              <w:spacing w:after="0" w:line="158" w:lineRule="exact"/>
              <w:rPr>
                <w:sz w:val="20"/>
                <w:szCs w:val="20"/>
                <w:color w:val="auto"/>
              </w:rPr>
            </w:pPr>
            <w:r>
              <w:rPr>
                <w:rFonts w:ascii="Arial" w:cs="Arial" w:eastAsia="Arial" w:hAnsi="Arial"/>
                <w:sz w:val="14"/>
                <w:szCs w:val="14"/>
                <w:color w:val="auto"/>
              </w:rPr>
              <w:t>(15)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3"/>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94"/>
              <w:spacing w:after="0" w:line="158" w:lineRule="exact"/>
              <w:rPr>
                <w:sz w:val="20"/>
                <w:szCs w:val="20"/>
                <w:color w:val="auto"/>
              </w:rPr>
            </w:pPr>
            <w:r>
              <w:rPr>
                <w:rFonts w:ascii="Arial" w:cs="Arial" w:eastAsia="Arial" w:hAnsi="Arial"/>
                <w:sz w:val="14"/>
                <w:szCs w:val="14"/>
                <w:color w:val="auto"/>
              </w:rPr>
              <w:t>$</w:t>
            </w:r>
          </w:p>
        </w:tc>
        <w:tc>
          <w:tcPr>
            <w:tcW w:w="60" w:type="dxa"/>
            <w:vAlign w:val="bottom"/>
            <w:tcBorders>
              <w:lef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85"/>
              </w:rPr>
              <w:t>—</w:t>
            </w:r>
          </w:p>
        </w:tc>
        <w:tc>
          <w:tcPr>
            <w:tcW w:w="240" w:type="dxa"/>
            <w:vAlign w:val="bottom"/>
            <w:gridSpan w:val="2"/>
            <w:shd w:val="clear" w:color="auto" w:fill="CCEEFF"/>
          </w:tcPr>
          <w:p>
            <w:pPr>
              <w:ind w:left="140"/>
              <w:spacing w:after="0" w:line="15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141,555</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4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90,750</w:t>
            </w:r>
          </w:p>
        </w:tc>
        <w:tc>
          <w:tcPr>
            <w:tcW w:w="320" w:type="dxa"/>
            <w:vAlign w:val="bottom"/>
            <w:tcBorders>
              <w:left w:val="single" w:sz="8" w:color="CCEEFF"/>
            </w:tcBorders>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232,305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Loans Held-for-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780" w:type="dxa"/>
            <w:vAlign w:val="bottom"/>
            <w:gridSpan w:val="4"/>
          </w:tcPr>
          <w:p>
            <w:pPr>
              <w:jc w:val="center"/>
              <w:ind w:right="60"/>
              <w:spacing w:after="0" w:line="136" w:lineRule="exact"/>
              <w:rPr>
                <w:sz w:val="20"/>
                <w:szCs w:val="20"/>
                <w:color w:val="auto"/>
              </w:rPr>
            </w:pPr>
            <w:r>
              <w:rPr>
                <w:rFonts w:ascii="Arial" w:cs="Arial" w:eastAsia="Arial" w:hAnsi="Arial"/>
                <w:sz w:val="12"/>
                <w:szCs w:val="12"/>
                <w:b w:val="1"/>
                <w:bCs w:val="1"/>
                <w:color w:val="auto"/>
                <w:w w:val="98"/>
              </w:rPr>
              <w:t>Loans Held-</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5"/>
          </w:tcPr>
          <w:p>
            <w:pPr>
              <w:spacing w:after="0" w:line="136" w:lineRule="exact"/>
              <w:rPr>
                <w:sz w:val="20"/>
                <w:szCs w:val="20"/>
                <w:color w:val="auto"/>
              </w:rPr>
            </w:pPr>
            <w:r>
              <w:rPr>
                <w:rFonts w:ascii="Arial" w:cs="Arial" w:eastAsia="Arial" w:hAnsi="Arial"/>
                <w:sz w:val="12"/>
                <w:szCs w:val="12"/>
                <w:b w:val="1"/>
                <w:bCs w:val="1"/>
                <w:color w:val="auto"/>
              </w:rPr>
              <w:t>Loans Held-for-</w:t>
            </w:r>
          </w:p>
        </w:tc>
        <w:tc>
          <w:tcPr>
            <w:tcW w:w="240" w:type="dxa"/>
            <w:vAlign w:val="bottom"/>
          </w:tcPr>
          <w:p>
            <w:pPr>
              <w:spacing w:after="0"/>
              <w:rPr>
                <w:sz w:val="11"/>
                <w:szCs w:val="11"/>
                <w:color w:val="auto"/>
              </w:rPr>
            </w:pPr>
          </w:p>
        </w:tc>
        <w:tc>
          <w:tcPr>
            <w:tcW w:w="1140" w:type="dxa"/>
            <w:vAlign w:val="bottom"/>
            <w:gridSpan w:val="3"/>
          </w:tcPr>
          <w:p>
            <w:pPr>
              <w:jc w:val="right"/>
              <w:ind w:right="440"/>
              <w:spacing w:after="0" w:line="136" w:lineRule="exact"/>
              <w:rPr>
                <w:sz w:val="20"/>
                <w:szCs w:val="20"/>
                <w:color w:val="auto"/>
              </w:rPr>
            </w:pPr>
            <w:r>
              <w:rPr>
                <w:rFonts w:ascii="Arial" w:cs="Arial" w:eastAsia="Arial" w:hAnsi="Arial"/>
                <w:sz w:val="12"/>
                <w:szCs w:val="12"/>
                <w:b w:val="1"/>
                <w:bCs w:val="1"/>
                <w:color w:val="auto"/>
              </w:rPr>
              <w:t>Investment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for-Sale</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5"/>
          </w:tcPr>
          <w:p>
            <w:pPr>
              <w:ind w:left="140"/>
              <w:spacing w:after="0"/>
              <w:rPr>
                <w:sz w:val="20"/>
                <w:szCs w:val="20"/>
                <w:color w:val="auto"/>
              </w:rPr>
            </w:pPr>
            <w:r>
              <w:rPr>
                <w:rFonts w:ascii="Arial" w:cs="Arial" w:eastAsia="Arial" w:hAnsi="Arial"/>
                <w:sz w:val="12"/>
                <w:szCs w:val="12"/>
                <w:b w:val="1"/>
                <w:bCs w:val="1"/>
                <w:color w:val="auto"/>
              </w:rPr>
              <w:t>Investment</w:t>
            </w:r>
          </w:p>
        </w:tc>
        <w:tc>
          <w:tcPr>
            <w:tcW w:w="240" w:type="dxa"/>
            <w:vAlign w:val="bottom"/>
          </w:tcPr>
          <w:p>
            <w:pPr>
              <w:spacing w:after="0"/>
              <w:rPr>
                <w:sz w:val="12"/>
                <w:szCs w:val="12"/>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(Securitized)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5"/>
          </w:tcPr>
          <w:p>
            <w:pPr>
              <w:ind w:left="5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7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Transfer of loans from held-for-investment to held-for-sale</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125,297</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(125,297)</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80"/>
              <w:spacing w:after="0" w:line="158"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Purchases of loans</w:t>
            </w:r>
          </w:p>
        </w:tc>
        <w:tc>
          <w:tcPr>
            <w:tcW w:w="8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109,113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52"/>
              <w:spacing w:after="0" w:line="158" w:lineRule="exact"/>
              <w:rPr>
                <w:sz w:val="20"/>
                <w:szCs w:val="20"/>
                <w:color w:val="auto"/>
              </w:rPr>
            </w:pPr>
            <w:r>
              <w:rPr>
                <w:rFonts w:ascii="Arial" w:cs="Arial" w:eastAsia="Arial" w:hAnsi="Arial"/>
                <w:sz w:val="14"/>
                <w:szCs w:val="14"/>
                <w:color w:val="auto"/>
              </w:rPr>
              <w:t>3,774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112,887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(94,949)</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(94,949)</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Purchase of loans for immediate resale to investors</w:t>
            </w:r>
          </w:p>
        </w:tc>
        <w:tc>
          <w:tcPr>
            <w:tcW w:w="80" w:type="dxa"/>
            <w:vAlign w:val="bottom"/>
          </w:tcPr>
          <w:p>
            <w:pPr>
              <w:spacing w:after="0"/>
              <w:rPr>
                <w:sz w:val="13"/>
                <w:szCs w:val="13"/>
                <w:color w:val="auto"/>
              </w:rPr>
            </w:pPr>
          </w:p>
        </w:tc>
        <w:tc>
          <w:tcPr>
            <w:tcW w:w="640" w:type="dxa"/>
            <w:vAlign w:val="bottom"/>
            <w:gridSpan w:val="2"/>
          </w:tcPr>
          <w:p>
            <w:pPr>
              <w:jc w:val="right"/>
              <w:spacing w:after="0" w:line="158" w:lineRule="exact"/>
              <w:rPr>
                <w:sz w:val="20"/>
                <w:szCs w:val="20"/>
                <w:color w:val="auto"/>
              </w:rPr>
            </w:pPr>
            <w:r>
              <w:rPr>
                <w:rFonts w:ascii="Arial" w:cs="Arial" w:eastAsia="Arial" w:hAnsi="Arial"/>
                <w:sz w:val="14"/>
                <w:szCs w:val="14"/>
                <w:color w:val="auto"/>
                <w:w w:val="99"/>
              </w:rPr>
              <w:t>1,554,705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1,554,705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Immediate resale to investors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w w:val="92"/>
              </w:rPr>
              <w:t>(1,554,705)</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4"/>
              </w:rPr>
              <w:t>(1,554,705)</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Repayments received</w:t>
            </w:r>
          </w:p>
        </w:tc>
        <w:tc>
          <w:tcPr>
            <w:tcW w:w="80" w:type="dxa"/>
            <w:vAlign w:val="bottom"/>
          </w:tcPr>
          <w:p>
            <w:pPr>
              <w:spacing w:after="0"/>
              <w:rPr>
                <w:sz w:val="13"/>
                <w:szCs w:val="13"/>
                <w:color w:val="auto"/>
              </w:rPr>
            </w:pPr>
          </w:p>
        </w:tc>
        <w:tc>
          <w:tcPr>
            <w:tcW w:w="700" w:type="dxa"/>
            <w:vAlign w:val="bottom"/>
            <w:gridSpan w:val="3"/>
          </w:tcPr>
          <w:p>
            <w:pPr>
              <w:jc w:val="right"/>
              <w:ind w:right="20"/>
              <w:spacing w:after="0" w:line="158" w:lineRule="exact"/>
              <w:rPr>
                <w:sz w:val="20"/>
                <w:szCs w:val="20"/>
                <w:color w:val="auto"/>
              </w:rPr>
            </w:pPr>
            <w:r>
              <w:rPr>
                <w:rFonts w:ascii="Arial" w:cs="Arial" w:eastAsia="Arial" w:hAnsi="Arial"/>
                <w:sz w:val="14"/>
                <w:szCs w:val="14"/>
                <w:color w:val="auto"/>
              </w:rPr>
              <w:t>(23,390)</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2"/>
              <w:spacing w:after="0" w:line="158" w:lineRule="exact"/>
              <w:rPr>
                <w:sz w:val="20"/>
                <w:szCs w:val="20"/>
                <w:color w:val="auto"/>
              </w:rPr>
            </w:pPr>
            <w:r>
              <w:rPr>
                <w:rFonts w:ascii="Arial" w:cs="Arial" w:eastAsia="Arial" w:hAnsi="Arial"/>
                <w:sz w:val="14"/>
                <w:szCs w:val="14"/>
                <w:color w:val="auto"/>
              </w:rPr>
              <w:t>(4,124)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(24,018)</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(51,532)</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(7,940)</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
              <w:spacing w:after="0" w:line="158" w:lineRule="exact"/>
              <w:rPr>
                <w:sz w:val="20"/>
                <w:szCs w:val="20"/>
                <w:color w:val="auto"/>
              </w:rPr>
            </w:pPr>
            <w:r>
              <w:rPr>
                <w:rFonts w:ascii="Arial" w:cs="Arial" w:eastAsia="Arial" w:hAnsi="Arial"/>
                <w:sz w:val="14"/>
                <w:szCs w:val="14"/>
                <w:color w:val="auto"/>
              </w:rPr>
              <w:t>(1,352)</w:t>
            </w: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(9,508)</w:t>
            </w:r>
          </w:p>
        </w:tc>
        <w:tc>
          <w:tcPr>
            <w:tcW w:w="3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(18,800)</w:t>
            </w:r>
          </w:p>
        </w:tc>
        <w:tc>
          <w:tcPr>
            <w:tcW w:w="0" w:type="dxa"/>
            <w:vAlign w:val="bottom"/>
          </w:tcPr>
          <w:p>
            <w:pPr>
              <w:spacing w:after="0"/>
              <w:rPr>
                <w:sz w:val="1"/>
                <w:szCs w:val="1"/>
                <w:color w:val="auto"/>
              </w:rPr>
            </w:pPr>
          </w:p>
        </w:tc>
      </w:tr>
      <w:tr>
        <w:trPr>
          <w:trHeight w:val="158"/>
        </w:trPr>
        <w:tc>
          <w:tcPr>
            <w:tcW w:w="432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right"/>
              <w:ind w:right="34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(57,222)</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(57,222)</w:t>
            </w:r>
          </w:p>
        </w:tc>
        <w:tc>
          <w:tcPr>
            <w:tcW w:w="0" w:type="dxa"/>
            <w:vAlign w:val="bottom"/>
          </w:tcPr>
          <w:p>
            <w:pPr>
              <w:spacing w:after="0"/>
              <w:rPr>
                <w:sz w:val="1"/>
                <w:szCs w:val="1"/>
                <w:color w:val="auto"/>
              </w:rPr>
            </w:pPr>
          </w:p>
        </w:tc>
      </w:tr>
      <w:tr>
        <w:trPr>
          <w:trHeight w:val="158"/>
        </w:trPr>
        <w:tc>
          <w:tcPr>
            <w:tcW w:w="4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w:t>
            </w:r>
          </w:p>
        </w:tc>
        <w:tc>
          <w:tcPr>
            <w:tcW w:w="6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w:t>
            </w:r>
          </w:p>
        </w:tc>
        <w:tc>
          <w:tcPr>
            <w:tcW w:w="320" w:type="dxa"/>
            <w:vAlign w:val="bottom"/>
            <w:tcBorders>
              <w:lef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September 30, 2020</w:t>
            </w: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20" w:type="dxa"/>
            <w:vAlign w:val="bottom"/>
            <w:vMerge w:val="continue"/>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108,146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14,562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122,708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0220"/>
          </w:cols>
          <w:pgMar w:left="320" w:top="407" w:right="1359" w:bottom="1440" w:gutter="0" w:footer="0" w:header="0"/>
        </w:sectPr>
      </w:pPr>
    </w:p>
    <w:bookmarkStart w:id="272" w:name="page273"/>
    <w:bookmarkEnd w:id="27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Notes Payable</w:t>
      </w:r>
    </w:p>
    <w:p>
      <w:pPr>
        <w:spacing w:after="0" w:line="105" w:lineRule="exact"/>
        <w:rPr>
          <w:sz w:val="20"/>
          <w:szCs w:val="20"/>
          <w:color w:val="auto"/>
        </w:rPr>
      </w:pPr>
    </w:p>
    <w:p>
      <w:pPr>
        <w:ind w:left="1020" w:right="20" w:firstLine="460"/>
        <w:spacing w:after="0"/>
        <w:rPr>
          <w:sz w:val="20"/>
          <w:szCs w:val="20"/>
          <w:color w:val="auto"/>
        </w:rPr>
      </w:pPr>
      <w:r>
        <w:rPr>
          <w:rFonts w:ascii="Arial" w:cs="Arial" w:eastAsia="Arial" w:hAnsi="Arial"/>
          <w:sz w:val="15"/>
          <w:szCs w:val="15"/>
          <w:color w:val="auto"/>
        </w:rPr>
        <w:t>As of December 31, 2018, the notes payable balance of $53.2 million consisted of amounts owed to investors for their purchases of fractional interests in loans issued by the Company’s consolidated VIE, UNT. As of December 31, 2019, and September 30, 2020 (unaudited), the notes payable balance was zero due to the deconsolidation of UNT.</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jc w:val="both"/>
        <w:ind w:left="1020" w:right="140" w:firstLine="460"/>
        <w:spacing w:after="0"/>
        <w:rPr>
          <w:sz w:val="20"/>
          <w:szCs w:val="20"/>
          <w:color w:val="auto"/>
        </w:rPr>
      </w:pPr>
      <w:r>
        <w:rPr>
          <w:rFonts w:ascii="Arial" w:cs="Arial" w:eastAsia="Arial" w:hAnsi="Arial"/>
          <w:sz w:val="15"/>
          <w:szCs w:val="15"/>
          <w:color w:val="auto"/>
        </w:rPr>
        <w:t>Notes payable is measured at estimated fair value using a discounted cash flow model. The fair valuation methodology considers projected prepayments and historical defaults, losses and recoveries on the Company’s loans to project future losses and net cash flows on loans. Net cash flows on loans are discounted using an estimate of market rates of return.</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notes payable held:</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7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w w:val="98"/>
              </w:rPr>
              <w:t>December 31, 2018</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2"/>
                <w:szCs w:val="12"/>
                <w:b w:val="1"/>
                <w:bCs w:val="1"/>
                <w:color w:val="auto"/>
                <w:w w:val="99"/>
              </w:rPr>
              <w:t>December 31, 2019</w:t>
            </w: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2"/>
                <w:szCs w:val="12"/>
                <w:b w:val="1"/>
                <w:bCs w:val="1"/>
                <w:color w:val="auto"/>
                <w:w w:val="99"/>
              </w:rPr>
              <w:t>September 30, 2020</w:t>
            </w: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Weighted-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2"/>
                <w:szCs w:val="12"/>
                <w:b w:val="1"/>
                <w:bCs w:val="1"/>
                <w:color w:val="auto"/>
                <w:w w:val="96"/>
              </w:rPr>
              <w:t>Weighted-</w:t>
            </w:r>
          </w:p>
        </w:tc>
        <w:tc>
          <w:tcPr>
            <w:tcW w:w="540" w:type="dxa"/>
            <w:vAlign w:val="bottom"/>
          </w:tcPr>
          <w:p>
            <w:pPr>
              <w:spacing w:after="0"/>
              <w:rPr>
                <w:sz w:val="13"/>
                <w:szCs w:val="13"/>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2"/>
                <w:szCs w:val="12"/>
                <w:b w:val="1"/>
                <w:bCs w:val="1"/>
                <w:i w:val="1"/>
                <w:iCs w:val="1"/>
                <w:color w:val="auto"/>
              </w:rPr>
              <w:t>(unaudited)</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09"/>
        </w:trPr>
        <w:tc>
          <w:tcPr>
            <w:tcW w:w="1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220" w:type="dxa"/>
            <w:vAlign w:val="bottom"/>
          </w:tcPr>
          <w:p>
            <w:pPr>
              <w:spacing w:after="0"/>
              <w:rPr>
                <w:sz w:val="12"/>
                <w:szCs w:val="12"/>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w w:val="97"/>
              </w:rPr>
              <w:t>Maximum</w:t>
            </w:r>
          </w:p>
        </w:tc>
        <w:tc>
          <w:tcPr>
            <w:tcW w:w="9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94"/>
              </w:rPr>
              <w:t>Minimum</w:t>
            </w:r>
          </w:p>
        </w:tc>
        <w:tc>
          <w:tcPr>
            <w:tcW w:w="240" w:type="dxa"/>
            <w:vAlign w:val="bottom"/>
          </w:tcPr>
          <w:p>
            <w:pPr>
              <w:spacing w:after="0"/>
              <w:rPr>
                <w:sz w:val="12"/>
                <w:szCs w:val="12"/>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w w:val="97"/>
              </w:rPr>
              <w:t>Maximum</w:t>
            </w:r>
          </w:p>
        </w:tc>
        <w:tc>
          <w:tcPr>
            <w:tcW w:w="840" w:type="dxa"/>
            <w:vAlign w:val="bottom"/>
            <w:gridSpan w:val="2"/>
          </w:tcPr>
          <w:p>
            <w:pPr>
              <w:jc w:val="right"/>
              <w:ind w:right="260"/>
              <w:spacing w:after="0" w:line="150" w:lineRule="exact"/>
              <w:rPr>
                <w:sz w:val="20"/>
                <w:szCs w:val="20"/>
                <w:color w:val="auto"/>
              </w:rPr>
            </w:pPr>
            <w:r>
              <w:rPr>
                <w:rFonts w:ascii="Arial" w:cs="Arial" w:eastAsia="Arial" w:hAnsi="Arial"/>
                <w:sz w:val="11"/>
                <w:szCs w:val="11"/>
                <w:b w:val="1"/>
                <w:bCs w:val="1"/>
                <w:color w:val="auto"/>
                <w:w w:val="97"/>
              </w:rPr>
              <w:t>Average</w:t>
            </w:r>
            <w:r>
              <w:rPr>
                <w:rFonts w:ascii="Arial" w:cs="Arial" w:eastAsia="Arial" w:hAnsi="Arial"/>
                <w:sz w:val="17"/>
                <w:szCs w:val="17"/>
                <w:b w:val="1"/>
                <w:bCs w:val="1"/>
                <w:color w:val="auto"/>
                <w:w w:val="97"/>
                <w:vertAlign w:val="superscript"/>
              </w:rPr>
              <w:t>(2)</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w w:val="98"/>
              </w:rPr>
              <w:t>Minimum</w:t>
            </w:r>
          </w:p>
        </w:tc>
        <w:tc>
          <w:tcPr>
            <w:tcW w:w="26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Maximum</w:t>
            </w:r>
          </w:p>
        </w:tc>
        <w:tc>
          <w:tcPr>
            <w:tcW w:w="640" w:type="dxa"/>
            <w:vAlign w:val="bottom"/>
          </w:tcPr>
          <w:p>
            <w:pPr>
              <w:jc w:val="right"/>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700" w:type="dxa"/>
            <w:vAlign w:val="bottom"/>
            <w:vMerge w:val="continue"/>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5.52%</w:t>
            </w:r>
          </w:p>
        </w:tc>
        <w:tc>
          <w:tcPr>
            <w:tcW w:w="11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14.58%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5.78%</w:t>
            </w: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70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66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0.05%</w:t>
            </w:r>
          </w:p>
        </w:tc>
        <w:tc>
          <w:tcPr>
            <w:tcW w:w="116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rPr>
              <w:t>43.21%</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12.19%</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66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22.16%</w:t>
            </w:r>
          </w:p>
        </w:tc>
        <w:tc>
          <w:tcPr>
            <w:tcW w:w="1160" w:type="dxa"/>
            <w:vAlign w:val="bottom"/>
            <w:gridSpan w:val="3"/>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33.37%</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25.67%</w:t>
            </w:r>
          </w:p>
        </w:tc>
        <w:tc>
          <w:tcPr>
            <w:tcW w:w="54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CCEEFF"/>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71755</wp:posOffset>
            </wp:positionV>
            <wp:extent cx="643890"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4" w:lineRule="exact"/>
        <w:rPr>
          <w:sz w:val="20"/>
          <w:szCs w:val="20"/>
          <w:color w:val="auto"/>
        </w:rPr>
      </w:pPr>
    </w:p>
    <w:p>
      <w:pPr>
        <w:ind w:left="1480" w:hanging="453"/>
        <w:spacing w:after="0"/>
        <w:tabs>
          <w:tab w:leader="none" w:pos="14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 underlying the financial instruments</w:t>
      </w:r>
    </w:p>
    <w:p>
      <w:pPr>
        <w:ind w:left="1480" w:hanging="453"/>
        <w:spacing w:after="0" w:line="235" w:lineRule="auto"/>
        <w:tabs>
          <w:tab w:leader="none" w:pos="1480" w:val="left"/>
        </w:tabs>
        <w:numPr>
          <w:ilvl w:val="0"/>
          <w:numId w:val="142"/>
        </w:numPr>
        <w:rPr>
          <w:rFonts w:ascii="Arial" w:cs="Arial" w:eastAsia="Arial" w:hAnsi="Arial"/>
          <w:sz w:val="15"/>
          <w:szCs w:val="15"/>
          <w:color w:val="auto"/>
        </w:rPr>
      </w:pPr>
      <w:r>
        <w:rPr>
          <w:rFonts w:ascii="Arial" w:cs="Arial" w:eastAsia="Arial" w:hAnsi="Arial"/>
          <w:sz w:val="15"/>
          <w:szCs w:val="15"/>
          <w:color w:val="auto"/>
        </w:rPr>
        <w:t>Unobservable inputs were weighted by relative fair value</w:t>
      </w:r>
    </w:p>
    <w:p>
      <w:pPr>
        <w:ind w:left="1480" w:right="4360" w:hanging="453"/>
        <w:spacing w:after="0" w:line="486" w:lineRule="auto"/>
        <w:tabs>
          <w:tab w:leader="none" w:pos="1471" w:val="left"/>
        </w:tabs>
        <w:numPr>
          <w:ilvl w:val="0"/>
          <w:numId w:val="143"/>
        </w:numPr>
        <w:rPr>
          <w:rFonts w:ascii="Arial" w:cs="Arial" w:eastAsia="Arial" w:hAnsi="Arial"/>
          <w:sz w:val="15"/>
          <w:szCs w:val="15"/>
          <w:color w:val="auto"/>
        </w:rPr>
      </w:pPr>
      <w:r>
        <w:rPr>
          <w:rFonts w:ascii="Arial" w:cs="Arial" w:eastAsia="Arial" w:hAnsi="Arial"/>
          <w:sz w:val="15"/>
          <w:szCs w:val="15"/>
          <w:color w:val="auto"/>
        </w:rPr>
        <w:t xml:space="preserve">Not applicable as of December 31, 2019 and September 30, 2020 </w:t>
      </w:r>
      <w:r>
        <w:rPr>
          <w:rFonts w:ascii="Arial" w:cs="Arial" w:eastAsia="Arial" w:hAnsi="Arial"/>
          <w:sz w:val="15"/>
          <w:szCs w:val="15"/>
          <w:i w:val="1"/>
          <w:iCs w:val="1"/>
          <w:color w:val="auto"/>
        </w:rPr>
        <w:t>Significant Recurring Level 3 Fair Value Input Sensitivity</w:t>
      </w:r>
    </w:p>
    <w:p>
      <w:pPr>
        <w:ind w:left="1020" w:right="160" w:firstLine="460"/>
        <w:spacing w:after="0"/>
        <w:rPr>
          <w:sz w:val="20"/>
          <w:szCs w:val="20"/>
          <w:color w:val="auto"/>
        </w:rPr>
      </w:pPr>
      <w:r>
        <w:rPr>
          <w:rFonts w:ascii="Arial" w:cs="Arial" w:eastAsia="Arial" w:hAnsi="Arial"/>
          <w:sz w:val="15"/>
          <w:szCs w:val="15"/>
          <w:color w:val="auto"/>
        </w:rPr>
        <w:t>The table below presents sensitivity of the notes payable to adverse changes in key assumptions used in the valuation models as of December 31, 2018. The estimated fair value of notes payable is not sensitive to adverse changes in expected prepayment rates as such changes would not result in a significant impact on the fair value.</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100" w:type="dxa"/>
            <w:vAlign w:val="bottom"/>
          </w:tcPr>
          <w:p>
            <w:pPr>
              <w:spacing w:after="0"/>
              <w:rPr>
                <w:sz w:val="20"/>
                <w:szCs w:val="20"/>
                <w:color w:val="auto"/>
              </w:rPr>
            </w:pPr>
            <w:r>
              <w:rPr>
                <w:rFonts w:ascii="Arial" w:cs="Arial" w:eastAsia="Arial" w:hAnsi="Arial"/>
                <w:sz w:val="12"/>
                <w:szCs w:val="12"/>
                <w:i w:val="1"/>
                <w:iCs w:val="1"/>
                <w:color w:val="auto"/>
              </w:rPr>
              <w:t>(amounts in thousands)</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December 31, 2018</w:t>
            </w:r>
          </w:p>
        </w:tc>
        <w:tc>
          <w:tcPr>
            <w:tcW w:w="420" w:type="dxa"/>
            <w:vAlign w:val="bottom"/>
          </w:tcPr>
          <w:p>
            <w:pPr>
              <w:spacing w:after="0"/>
              <w:rPr>
                <w:sz w:val="12"/>
                <w:szCs w:val="12"/>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w w:val="98"/>
              </w:rPr>
              <w:t>December 31, 2019</w:t>
            </w:r>
          </w:p>
        </w:tc>
        <w:tc>
          <w:tcPr>
            <w:tcW w:w="860" w:type="dxa"/>
            <w:vAlign w:val="bottom"/>
          </w:tcPr>
          <w:p>
            <w:pPr>
              <w:spacing w:after="0"/>
              <w:rPr>
                <w:sz w:val="12"/>
                <w:szCs w:val="12"/>
                <w:color w:val="auto"/>
              </w:rPr>
            </w:pP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 2020</w:t>
            </w:r>
          </w:p>
        </w:tc>
      </w:tr>
      <w:tr>
        <w:trPr>
          <w:trHeight w:val="126"/>
        </w:trPr>
        <w:tc>
          <w:tcPr>
            <w:tcW w:w="41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of notes payable</w:t>
            </w:r>
          </w:p>
        </w:tc>
        <w:tc>
          <w:tcPr>
            <w:tcW w:w="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53,174</w:t>
            </w:r>
          </w:p>
        </w:tc>
        <w:tc>
          <w:tcPr>
            <w:tcW w:w="4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420"/>
              <w:spacing w:after="0" w:line="158"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860"/>
              <w:spacing w:after="0" w:line="158" w:lineRule="exact"/>
              <w:rPr>
                <w:sz w:val="20"/>
                <w:szCs w:val="20"/>
                <w:color w:val="auto"/>
              </w:rPr>
            </w:pPr>
            <w:r>
              <w:rPr>
                <w:rFonts w:ascii="Arial" w:cs="Arial" w:eastAsia="Arial" w:hAnsi="Arial"/>
                <w:sz w:val="14"/>
                <w:szCs w:val="14"/>
                <w:b w:val="1"/>
                <w:bCs w:val="1"/>
                <w:color w:val="auto"/>
              </w:rPr>
              <w:t>$</w:t>
            </w:r>
          </w:p>
        </w:tc>
        <w:tc>
          <w:tcPr>
            <w:tcW w:w="1020" w:type="dxa"/>
            <w:vAlign w:val="bottom"/>
            <w:gridSpan w:val="2"/>
            <w:shd w:val="clear" w:color="auto" w:fill="CCEEFF"/>
          </w:tcPr>
          <w:p>
            <w:pPr>
              <w:ind w:left="760"/>
              <w:spacing w:after="0" w:line="158" w:lineRule="exact"/>
              <w:rPr>
                <w:sz w:val="20"/>
                <w:szCs w:val="20"/>
                <w:color w:val="auto"/>
              </w:rPr>
            </w:pPr>
            <w:r>
              <w:rPr>
                <w:rFonts w:ascii="Arial" w:cs="Arial" w:eastAsia="Arial" w:hAnsi="Arial"/>
                <w:sz w:val="14"/>
                <w:szCs w:val="14"/>
                <w:b w:val="1"/>
                <w:bCs w:val="1"/>
                <w:color w:val="auto"/>
              </w:rPr>
              <w:t>—</w:t>
            </w:r>
          </w:p>
        </w:tc>
      </w:tr>
      <w:tr>
        <w:trPr>
          <w:trHeight w:val="160"/>
        </w:trPr>
        <w:tc>
          <w:tcPr>
            <w:tcW w:w="4100" w:type="dxa"/>
            <w:vAlign w:val="bottom"/>
          </w:tcPr>
          <w:p>
            <w:pPr>
              <w:spacing w:after="0"/>
              <w:rPr>
                <w:sz w:val="20"/>
                <w:szCs w:val="20"/>
                <w:color w:val="auto"/>
              </w:rPr>
            </w:pPr>
            <w:r>
              <w:rPr>
                <w:rFonts w:ascii="Arial" w:cs="Arial" w:eastAsia="Arial" w:hAnsi="Arial"/>
                <w:sz w:val="14"/>
                <w:szCs w:val="14"/>
                <w:color w:val="auto"/>
              </w:rPr>
              <w:t>Discount rates</w:t>
            </w:r>
          </w:p>
        </w:tc>
        <w:tc>
          <w:tcPr>
            <w:tcW w:w="3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100 basis point increase</w:t>
            </w: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(696)</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line="158" w:lineRule="exact"/>
              <w:rPr>
                <w:sz w:val="20"/>
                <w:szCs w:val="20"/>
                <w:color w:val="auto"/>
              </w:rPr>
            </w:pPr>
            <w:r>
              <w:rPr>
                <w:rFonts w:ascii="Arial" w:cs="Arial" w:eastAsia="Arial" w:hAnsi="Arial"/>
                <w:sz w:val="14"/>
                <w:szCs w:val="14"/>
                <w:color w:val="auto"/>
              </w:rPr>
              <w:t>—</w:t>
            </w:r>
          </w:p>
        </w:tc>
      </w:tr>
      <w:tr>
        <w:trPr>
          <w:trHeight w:val="158"/>
        </w:trPr>
        <w:tc>
          <w:tcPr>
            <w:tcW w:w="4100" w:type="dxa"/>
            <w:vAlign w:val="bottom"/>
          </w:tcPr>
          <w:p>
            <w:pPr>
              <w:ind w:left="280"/>
              <w:spacing w:after="0" w:line="158" w:lineRule="exact"/>
              <w:rPr>
                <w:sz w:val="20"/>
                <w:szCs w:val="20"/>
                <w:color w:val="auto"/>
              </w:rPr>
            </w:pPr>
            <w:r>
              <w:rPr>
                <w:rFonts w:ascii="Arial" w:cs="Arial" w:eastAsia="Arial" w:hAnsi="Arial"/>
                <w:sz w:val="14"/>
                <w:szCs w:val="14"/>
                <w:color w:val="auto"/>
              </w:rPr>
              <w:t>200 basis point increase</w:t>
            </w:r>
          </w:p>
        </w:tc>
        <w:tc>
          <w:tcPr>
            <w:tcW w:w="360" w:type="dxa"/>
            <w:vAlign w:val="bottom"/>
          </w:tcPr>
          <w:p>
            <w:pPr>
              <w:spacing w:after="0"/>
              <w:rPr>
                <w:sz w:val="13"/>
                <w:szCs w:val="13"/>
                <w:color w:val="auto"/>
              </w:rPr>
            </w:pP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(1,377)</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760"/>
              <w:spacing w:after="0" w:line="158" w:lineRule="exact"/>
              <w:rPr>
                <w:sz w:val="20"/>
                <w:szCs w:val="20"/>
                <w:color w:val="auto"/>
              </w:rPr>
            </w:pPr>
            <w:r>
              <w:rPr>
                <w:rFonts w:ascii="Arial" w:cs="Arial" w:eastAsia="Arial" w:hAnsi="Arial"/>
                <w:sz w:val="14"/>
                <w:szCs w:val="14"/>
                <w:color w:val="auto"/>
              </w:rPr>
              <w:t>—</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credit risk rates on underlying loans</w:t>
            </w:r>
          </w:p>
        </w:tc>
        <w:tc>
          <w:tcPr>
            <w:tcW w:w="3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10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360" w:type="dxa"/>
            <w:vAlign w:val="bottom"/>
          </w:tcPr>
          <w:p>
            <w:pPr>
              <w:spacing w:after="0"/>
              <w:rPr>
                <w:sz w:val="13"/>
                <w:szCs w:val="13"/>
                <w:color w:val="auto"/>
              </w:rPr>
            </w:pPr>
          </w:p>
        </w:tc>
        <w:tc>
          <w:tcPr>
            <w:tcW w:w="120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(917)</w:t>
            </w: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760"/>
              <w:spacing w:after="0" w:line="158" w:lineRule="exact"/>
              <w:rPr>
                <w:sz w:val="20"/>
                <w:szCs w:val="20"/>
                <w:color w:val="auto"/>
              </w:rPr>
            </w:pPr>
            <w:r>
              <w:rPr>
                <w:rFonts w:ascii="Arial" w:cs="Arial" w:eastAsia="Arial" w:hAnsi="Arial"/>
                <w:sz w:val="14"/>
                <w:szCs w:val="14"/>
                <w:color w:val="auto"/>
              </w:rPr>
              <w:t>—</w:t>
            </w:r>
          </w:p>
        </w:tc>
      </w:tr>
      <w:tr>
        <w:trPr>
          <w:trHeight w:val="158"/>
        </w:trPr>
        <w:tc>
          <w:tcPr>
            <w:tcW w:w="41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3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line="158" w:lineRule="exact"/>
              <w:rPr>
                <w:sz w:val="20"/>
                <w:szCs w:val="20"/>
                <w:color w:val="auto"/>
              </w:rPr>
            </w:pPr>
            <w:r>
              <w:rPr>
                <w:rFonts w:ascii="Arial" w:cs="Arial" w:eastAsia="Arial" w:hAnsi="Arial"/>
                <w:sz w:val="14"/>
                <w:szCs w:val="14"/>
                <w:color w:val="auto"/>
              </w:rPr>
              <w:t>(1,836)</w:t>
            </w:r>
          </w:p>
        </w:tc>
        <w:tc>
          <w:tcPr>
            <w:tcW w:w="4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ind w:left="400"/>
              <w:spacing w:after="0" w:line="15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ind w:left="760"/>
              <w:spacing w:after="0" w:line="158" w:lineRule="exact"/>
              <w:rPr>
                <w:sz w:val="20"/>
                <w:szCs w:val="20"/>
                <w:color w:val="auto"/>
              </w:rPr>
            </w:pPr>
            <w:r>
              <w:rPr>
                <w:rFonts w:ascii="Arial" w:cs="Arial" w:eastAsia="Arial" w:hAnsi="Arial"/>
                <w:sz w:val="14"/>
                <w:szCs w:val="14"/>
                <w:color w:val="auto"/>
              </w:rPr>
              <w:t>—</w:t>
            </w:r>
          </w:p>
        </w:tc>
      </w:tr>
    </w:tbl>
    <w:p>
      <w:pPr>
        <w:spacing w:after="0" w:line="123"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0220"/>
          </w:cols>
          <w:pgMar w:left="320" w:top="407" w:right="1359" w:bottom="1440" w:gutter="0" w:footer="0" w:header="0"/>
        </w:sectPr>
      </w:pPr>
    </w:p>
    <w:bookmarkStart w:id="273" w:name="page274"/>
    <w:bookmarkEnd w:id="27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following table presents a rollforward of the notes payable classified by the Company within Level 3 of the fair value hierarchy (in thousands):</w:t>
      </w:r>
    </w:p>
    <w:p>
      <w:pPr>
        <w:sectPr>
          <w:pgSz w:w="11900" w:h="16838" w:orient="portrait"/>
          <w:cols w:equalWidth="0" w:num="1">
            <w:col w:w="10180"/>
          </w:cols>
          <w:pgMar w:left="320" w:top="407" w:right="1399" w:bottom="1440" w:gutter="0" w:footer="0" w:header="0"/>
        </w:sectPr>
      </w:pP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73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838190" cy="107315"/>
                    </a:xfrm>
                    <a:prstGeom prst="rect">
                      <a:avLst/>
                    </a:prstGeom>
                    <a:noFill/>
                  </pic:spPr>
                </pic:pic>
              </a:graphicData>
            </a:graphic>
          </wp:anchor>
        </w:drawing>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Issuance of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-635</wp:posOffset>
            </wp:positionV>
            <wp:extent cx="5838190" cy="1003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Repayments and settlements</w:t>
      </w:r>
    </w:p>
    <w:p>
      <w:pPr>
        <w:ind w:left="1020"/>
        <w:spacing w:after="0" w:line="235" w:lineRule="auto"/>
        <w:rPr>
          <w:sz w:val="20"/>
          <w:szCs w:val="20"/>
          <w:color w:val="auto"/>
        </w:rPr>
      </w:pPr>
      <w:r>
        <w:rPr>
          <w:rFonts w:ascii="Arial" w:cs="Arial" w:eastAsia="Arial" w:hAnsi="Arial"/>
          <w:sz w:val="14"/>
          <w:szCs w:val="14"/>
          <w:color w:val="auto"/>
        </w:rPr>
        <w:t>Changes in fair value recorded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Other changes</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21590</wp:posOffset>
            </wp:positionV>
            <wp:extent cx="5838190" cy="1003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Issuance of notes payable</w:t>
      </w:r>
    </w:p>
    <w:p>
      <w:pPr>
        <w:ind w:left="1020"/>
        <w:spacing w:after="0" w:line="235" w:lineRule="auto"/>
        <w:rPr>
          <w:sz w:val="20"/>
          <w:szCs w:val="20"/>
          <w:color w:val="auto"/>
        </w:rPr>
      </w:pPr>
      <w:r>
        <w:rPr>
          <w:rFonts w:ascii="Arial" w:cs="Arial" w:eastAsia="Arial" w:hAnsi="Arial"/>
          <w:sz w:val="14"/>
          <w:szCs w:val="14"/>
          <w:color w:val="auto"/>
        </w:rPr>
        <w:t>Repayments and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line="235" w:lineRule="auto"/>
        <w:rPr>
          <w:sz w:val="20"/>
          <w:szCs w:val="20"/>
          <w:color w:val="auto"/>
        </w:rPr>
      </w:pPr>
      <w:r>
        <w:rPr>
          <w:rFonts w:ascii="Arial" w:cs="Arial" w:eastAsia="Arial" w:hAnsi="Arial"/>
          <w:sz w:val="14"/>
          <w:szCs w:val="14"/>
          <w:color w:val="auto"/>
        </w:rPr>
        <w:t>Changes in fair value recorded in earnings</w:t>
      </w:r>
    </w:p>
    <w:p>
      <w:pPr>
        <w:ind w:left="1020"/>
        <w:spacing w:after="0" w:line="235" w:lineRule="auto"/>
        <w:rPr>
          <w:sz w:val="20"/>
          <w:szCs w:val="20"/>
          <w:color w:val="auto"/>
        </w:rPr>
      </w:pPr>
      <w:r>
        <w:rPr>
          <w:rFonts w:ascii="Arial" w:cs="Arial" w:eastAsia="Arial" w:hAnsi="Arial"/>
          <w:sz w:val="14"/>
          <w:szCs w:val="14"/>
          <w:color w:val="auto"/>
        </w:rPr>
        <w:t>Changes due to deconsolidation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4"/>
          <w:szCs w:val="14"/>
          <w:color w:val="auto"/>
        </w:rPr>
        <w:t>Other changes</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21590</wp:posOffset>
            </wp:positionV>
            <wp:extent cx="5838190" cy="1003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12"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Issuance of notes payable (unaudited)</w:t>
      </w:r>
    </w:p>
    <w:p>
      <w:pPr>
        <w:ind w:left="1020"/>
        <w:spacing w:after="0" w:line="235" w:lineRule="auto"/>
        <w:rPr>
          <w:sz w:val="20"/>
          <w:szCs w:val="20"/>
          <w:color w:val="auto"/>
        </w:rPr>
      </w:pPr>
      <w:r>
        <w:rPr>
          <w:rFonts w:ascii="Arial" w:cs="Arial" w:eastAsia="Arial" w:hAnsi="Arial"/>
          <w:sz w:val="14"/>
          <w:szCs w:val="14"/>
          <w:color w:val="auto"/>
        </w:rPr>
        <w:t>Repayments and settlements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0</wp:posOffset>
            </wp:positionV>
            <wp:extent cx="5838190" cy="1003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2"/>
          <w:szCs w:val="12"/>
          <w:color w:val="auto"/>
        </w:rPr>
        <w:t>Changes in fair value recorded in earnings (unaudited)</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Other changes (unaudited)</w:t>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Fair value at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-92710</wp:posOffset>
            </wp:positionV>
            <wp:extent cx="5838190" cy="1003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838190" cy="100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Notes Payable</w:t>
      </w:r>
    </w:p>
    <w:p>
      <w:pPr>
        <w:spacing w:after="0" w:line="20" w:lineRule="exact"/>
        <w:rPr>
          <w:sz w:val="20"/>
          <w:szCs w:val="20"/>
          <w:color w:val="auto"/>
        </w:rPr>
      </w:pPr>
    </w:p>
    <w:p>
      <w:pPr>
        <w:ind w:left="420" w:hanging="414"/>
        <w:spacing w:after="0"/>
        <w:tabs>
          <w:tab w:leader="none" w:pos="4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34,713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4"/>
          <w:szCs w:val="14"/>
          <w:color w:val="auto"/>
        </w:rPr>
        <w:t>42,537</w:t>
      </w:r>
    </w:p>
    <w:p>
      <w:pPr>
        <w:jc w:val="right"/>
        <w:ind w:right="20"/>
        <w:spacing w:after="0" w:line="235" w:lineRule="auto"/>
        <w:rPr>
          <w:sz w:val="20"/>
          <w:szCs w:val="20"/>
          <w:color w:val="auto"/>
        </w:rPr>
      </w:pPr>
      <w:r>
        <w:rPr>
          <w:rFonts w:ascii="Arial" w:cs="Arial" w:eastAsia="Arial" w:hAnsi="Arial"/>
          <w:sz w:val="14"/>
          <w:szCs w:val="14"/>
          <w:color w:val="auto"/>
        </w:rPr>
        <w:t>(21,127)</w:t>
      </w:r>
    </w:p>
    <w:p>
      <w:pPr>
        <w:jc w:val="right"/>
        <w:ind w:right="20"/>
        <w:spacing w:after="0" w:line="235" w:lineRule="auto"/>
        <w:rPr>
          <w:sz w:val="20"/>
          <w:szCs w:val="20"/>
          <w:color w:val="auto"/>
        </w:rPr>
      </w:pPr>
      <w:r>
        <w:rPr>
          <w:rFonts w:ascii="Arial" w:cs="Arial" w:eastAsia="Arial" w:hAnsi="Arial"/>
          <w:sz w:val="14"/>
          <w:szCs w:val="14"/>
          <w:color w:val="auto"/>
        </w:rPr>
        <w:t>(3,117)</w:t>
      </w:r>
    </w:p>
    <w:p>
      <w:pPr>
        <w:jc w:val="right"/>
        <w:ind w:right="60"/>
        <w:spacing w:after="0"/>
        <w:rPr>
          <w:sz w:val="20"/>
          <w:szCs w:val="20"/>
          <w:color w:val="auto"/>
        </w:rPr>
      </w:pPr>
      <w:r>
        <w:rPr>
          <w:rFonts w:ascii="Arial" w:cs="Arial" w:eastAsia="Arial" w:hAnsi="Arial"/>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89" w:lineRule="exact"/>
        <w:rPr>
          <w:sz w:val="20"/>
          <w:szCs w:val="20"/>
          <w:color w:val="auto"/>
        </w:rPr>
      </w:pPr>
    </w:p>
    <w:p>
      <w:pPr>
        <w:ind w:left="420" w:hanging="414"/>
        <w:spacing w:after="0"/>
        <w:tabs>
          <w:tab w:leader="none" w:pos="42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53,174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4"/>
          <w:szCs w:val="14"/>
          <w:color w:val="auto"/>
        </w:rPr>
        <w:t>39,863</w:t>
      </w:r>
    </w:p>
    <w:p>
      <w:pPr>
        <w:jc w:val="right"/>
        <w:ind w:right="20"/>
        <w:spacing w:after="0" w:line="235" w:lineRule="auto"/>
        <w:rPr>
          <w:sz w:val="20"/>
          <w:szCs w:val="20"/>
          <w:color w:val="auto"/>
        </w:rPr>
      </w:pPr>
      <w:r>
        <w:rPr>
          <w:rFonts w:ascii="Arial" w:cs="Arial" w:eastAsia="Arial" w:hAnsi="Arial"/>
          <w:sz w:val="14"/>
          <w:szCs w:val="14"/>
          <w:color w:val="auto"/>
        </w:rPr>
        <w:t>(22,468)</w:t>
      </w:r>
    </w:p>
    <w:p>
      <w:pPr>
        <w:jc w:val="right"/>
        <w:ind w:right="20"/>
        <w:spacing w:after="0" w:line="235" w:lineRule="auto"/>
        <w:rPr>
          <w:sz w:val="20"/>
          <w:szCs w:val="20"/>
          <w:color w:val="auto"/>
        </w:rPr>
      </w:pPr>
      <w:r>
        <w:rPr>
          <w:rFonts w:ascii="Arial" w:cs="Arial" w:eastAsia="Arial" w:hAnsi="Arial"/>
          <w:sz w:val="14"/>
          <w:szCs w:val="14"/>
          <w:color w:val="auto"/>
        </w:rPr>
        <w:t>(736)</w:t>
      </w:r>
    </w:p>
    <w:p>
      <w:pPr>
        <w:jc w:val="right"/>
        <w:ind w:right="20"/>
        <w:spacing w:after="0" w:line="235" w:lineRule="auto"/>
        <w:rPr>
          <w:sz w:val="20"/>
          <w:szCs w:val="20"/>
          <w:color w:val="auto"/>
        </w:rPr>
      </w:pPr>
      <w:r>
        <w:rPr>
          <w:rFonts w:ascii="Arial" w:cs="Arial" w:eastAsia="Arial" w:hAnsi="Arial"/>
          <w:sz w:val="14"/>
          <w:szCs w:val="14"/>
          <w:color w:val="auto"/>
        </w:rPr>
        <w:t>(69,419)</w:t>
      </w:r>
    </w:p>
    <w:p>
      <w:pPr>
        <w:jc w:val="right"/>
        <w:ind w:right="20"/>
        <w:spacing w:after="0"/>
        <w:rPr>
          <w:sz w:val="20"/>
          <w:szCs w:val="20"/>
          <w:color w:val="auto"/>
        </w:rPr>
      </w:pPr>
      <w:r>
        <w:rPr>
          <w:rFonts w:ascii="Arial" w:cs="Arial" w:eastAsia="Arial" w:hAnsi="Arial"/>
          <w:sz w:val="14"/>
          <w:szCs w:val="14"/>
          <w:color w:val="auto"/>
        </w:rPr>
        <w:t>(414)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89" w:lineRule="exact"/>
        <w:rPr>
          <w:sz w:val="20"/>
          <w:szCs w:val="20"/>
          <w:color w:val="auto"/>
        </w:rPr>
      </w:pPr>
    </w:p>
    <w:p>
      <w:pPr>
        <w:ind w:left="620" w:hanging="614"/>
        <w:spacing w:after="0"/>
        <w:tabs>
          <w:tab w:leader="none" w:pos="6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w:t>
      </w:r>
    </w:p>
    <w:p>
      <w:pPr>
        <w:spacing w:after="0" w:line="16" w:lineRule="exact"/>
        <w:rPr>
          <w:rFonts w:ascii="Arial" w:cs="Arial" w:eastAsia="Arial" w:hAnsi="Arial"/>
          <w:sz w:val="14"/>
          <w:szCs w:val="14"/>
          <w:color w:val="auto"/>
        </w:rPr>
      </w:pPr>
    </w:p>
    <w:p>
      <w:pPr>
        <w:ind w:left="620"/>
        <w:spacing w:after="0"/>
        <w:rPr>
          <w:rFonts w:ascii="Arial" w:cs="Arial" w:eastAsia="Arial" w:hAnsi="Arial"/>
          <w:sz w:val="14"/>
          <w:szCs w:val="14"/>
          <w:color w:val="auto"/>
        </w:rPr>
      </w:pPr>
      <w:r>
        <w:rPr>
          <w:rFonts w:ascii="Arial" w:cs="Arial" w:eastAsia="Arial" w:hAnsi="Arial"/>
          <w:sz w:val="14"/>
          <w:szCs w:val="14"/>
          <w:color w:val="auto"/>
        </w:rPr>
        <w:t>—</w:t>
      </w:r>
    </w:p>
    <w:p>
      <w:pPr>
        <w:ind w:left="620"/>
        <w:spacing w:after="0" w:line="235" w:lineRule="auto"/>
        <w:rPr>
          <w:rFonts w:ascii="Arial" w:cs="Arial" w:eastAsia="Arial" w:hAnsi="Arial"/>
          <w:sz w:val="14"/>
          <w:szCs w:val="14"/>
          <w:color w:val="auto"/>
        </w:rPr>
      </w:pPr>
      <w:r>
        <w:rPr>
          <w:rFonts w:ascii="Arial" w:cs="Arial" w:eastAsia="Arial" w:hAnsi="Arial"/>
          <w:sz w:val="14"/>
          <w:szCs w:val="14"/>
          <w:color w:val="auto"/>
        </w:rPr>
        <w:t>—</w:t>
      </w:r>
    </w:p>
    <w:p>
      <w:pPr>
        <w:ind w:left="620"/>
        <w:spacing w:after="0" w:line="235" w:lineRule="auto"/>
        <w:rPr>
          <w:rFonts w:ascii="Arial" w:cs="Arial" w:eastAsia="Arial" w:hAnsi="Arial"/>
          <w:sz w:val="14"/>
          <w:szCs w:val="14"/>
          <w:color w:val="auto"/>
        </w:rPr>
      </w:pPr>
      <w:r>
        <w:rPr>
          <w:rFonts w:ascii="Arial" w:cs="Arial" w:eastAsia="Arial" w:hAnsi="Arial"/>
          <w:sz w:val="14"/>
          <w:szCs w:val="14"/>
          <w:color w:val="auto"/>
        </w:rPr>
        <w:t>—</w:t>
      </w:r>
    </w:p>
    <w:p>
      <w:pPr>
        <w:ind w:left="620"/>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52959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2959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89" w:lineRule="exact"/>
        <w:rPr>
          <w:sz w:val="20"/>
          <w:szCs w:val="20"/>
          <w:color w:val="auto"/>
        </w:rPr>
      </w:pPr>
    </w:p>
    <w:p>
      <w:pPr>
        <w:ind w:left="620" w:hanging="614"/>
        <w:spacing w:after="0"/>
        <w:tabs>
          <w:tab w:leader="none" w:pos="62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52959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959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11430</wp:posOffset>
            </wp:positionV>
            <wp:extent cx="52959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959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60" w:space="720"/>
            <w:col w:w="900"/>
          </w:cols>
          <w:pgMar w:left="320" w:top="407" w:right="1399" w:bottom="1440" w:gutter="0" w:footer="0" w:header="0"/>
          <w:type w:val="continuous"/>
        </w:sectPr>
      </w:pPr>
    </w:p>
    <w:p>
      <w:pPr>
        <w:spacing w:after="0" w:line="9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Assets and Liabilities related to Securitization Transactions</w:t>
      </w:r>
    </w:p>
    <w:p>
      <w:pPr>
        <w:spacing w:after="0" w:line="105"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As of December 31, 2018 and 2019, and September 30, 2020 (unaudited), the Company held notes receivable and residual certificates with an aggregate fair value of $8.3 million, $34.1 million, and $22.1 million, respectively. The balances consist of securitization notes and residual certificates corresponding to the 5% economic risk retention the Company is required to maintain as the retaining sponsor of the unconsolidated securitizations. As of December 31, 2018 and 2019, and September 30, 2020 (unaudited), the Company also had payables to securitization note holders and residual certificate holders with an aggregate fair value of $353.3 million,</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$89.7 million, and $0 million, respectively. The balances represent securitization notes and residual certificates issued and sold to institutional investors in securitization transactions, where the issuing trusts are consolidated in the Company’s consolidated financial statements. Accrued interest on these financial instruments is immaterial as of December 31, 2018 and 2019. As of September 30, 2020 (unaudited), the balance for payables to securitization note holders and residual certificate holders and related accrued interest was $0 million due to deconsolidation of previously consolidated securitizations.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discounted cash flow methodology is used to estimate the fair value of notes receivable and residual certificates and payables to securitization note holders and residual certificate holders (the “securities”), using the same projected net cash flows as their related loans. This model uses inputs that are inherently judgmental and reflect the Company’s best estimates of the assumptions a market participant would use to calculate fair value.</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F-39</w:t>
      </w:r>
    </w:p>
    <w:p>
      <w:pPr>
        <w:sectPr>
          <w:pgSz w:w="11900" w:h="16838" w:orient="portrait"/>
          <w:cols w:equalWidth="0" w:num="1">
            <w:col w:w="10180"/>
          </w:cols>
          <w:pgMar w:left="320" w:top="407" w:right="1399" w:bottom="1440" w:gutter="0" w:footer="0" w:header="0"/>
          <w:type w:val="continuous"/>
        </w:sectPr>
      </w:pPr>
    </w:p>
    <w:bookmarkStart w:id="274" w:name="page275"/>
    <w:bookmarkEnd w:id="27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of assets and liabilities related to securitization transactions: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40" w:type="dxa"/>
            <w:vAlign w:val="bottom"/>
            <w:gridSpan w:val="6"/>
          </w:tcPr>
          <w:p>
            <w:pPr>
              <w:jc w:val="right"/>
              <w:ind w:right="720"/>
              <w:spacing w:after="0"/>
              <w:rPr>
                <w:sz w:val="20"/>
                <w:szCs w:val="20"/>
                <w:color w:val="auto"/>
              </w:rPr>
            </w:pPr>
            <w:r>
              <w:rPr>
                <w:rFonts w:ascii="Arial" w:cs="Arial" w:eastAsia="Arial" w:hAnsi="Arial"/>
                <w:sz w:val="12"/>
                <w:szCs w:val="12"/>
                <w:b w:val="1"/>
                <w:bCs w:val="1"/>
                <w:color w:val="auto"/>
                <w:w w:val="98"/>
              </w:rPr>
              <w:t>September 30, 2020</w:t>
            </w:r>
          </w:p>
        </w:tc>
      </w:tr>
      <w:tr>
        <w:trPr>
          <w:trHeight w:val="145"/>
        </w:trPr>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40" w:type="dxa"/>
            <w:vAlign w:val="bottom"/>
            <w:gridSpan w:val="5"/>
          </w:tcPr>
          <w:p>
            <w:pPr>
              <w:jc w:val="right"/>
              <w:ind w:right="840"/>
              <w:spacing w:after="0"/>
              <w:rPr>
                <w:sz w:val="20"/>
                <w:szCs w:val="20"/>
                <w:color w:val="auto"/>
              </w:rPr>
            </w:pPr>
            <w:r>
              <w:rPr>
                <w:rFonts w:ascii="Arial" w:cs="Arial" w:eastAsia="Arial" w:hAnsi="Arial"/>
                <w:sz w:val="12"/>
                <w:szCs w:val="12"/>
                <w:b w:val="1"/>
                <w:bCs w:val="1"/>
                <w:color w:val="auto"/>
                <w:w w:val="99"/>
              </w:rPr>
              <w:t>December 31, 2018</w:t>
            </w:r>
          </w:p>
        </w:tc>
        <w:tc>
          <w:tcPr>
            <w:tcW w:w="520" w:type="dxa"/>
            <w:vAlign w:val="bottom"/>
          </w:tcPr>
          <w:p>
            <w:pPr>
              <w:spacing w:after="0"/>
              <w:rPr>
                <w:sz w:val="12"/>
                <w:szCs w:val="12"/>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December 31, 2019</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i w:val="1"/>
                <w:iCs w:val="1"/>
                <w:color w:val="auto"/>
              </w:rPr>
              <w:t>(unaudited)</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12"/>
        </w:trPr>
        <w:tc>
          <w:tcPr>
            <w:tcW w:w="17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26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ind w:left="20"/>
              <w:spacing w:after="0" w:line="113" w:lineRule="exact"/>
              <w:rPr>
                <w:sz w:val="20"/>
                <w:szCs w:val="20"/>
                <w:color w:val="auto"/>
              </w:rPr>
            </w:pPr>
            <w:r>
              <w:rPr>
                <w:rFonts w:ascii="Arial" w:cs="Arial" w:eastAsia="Arial" w:hAnsi="Arial"/>
                <w:sz w:val="12"/>
                <w:szCs w:val="12"/>
                <w:b w:val="1"/>
                <w:bCs w:val="1"/>
                <w:color w:val="auto"/>
                <w:w w:val="96"/>
              </w:rPr>
              <w:t>Weighted-</w:t>
            </w:r>
          </w:p>
        </w:tc>
        <w:tc>
          <w:tcPr>
            <w:tcW w:w="2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r>
      <w:tr>
        <w:trPr>
          <w:trHeight w:val="149"/>
        </w:trPr>
        <w:tc>
          <w:tcPr>
            <w:tcW w:w="176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8"/>
              </w:rPr>
              <w:t>Minimum</w:t>
            </w: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Maximum</w:t>
            </w:r>
          </w:p>
        </w:tc>
        <w:tc>
          <w:tcPr>
            <w:tcW w:w="8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94"/>
              </w:rPr>
              <w:t>Minimum</w:t>
            </w:r>
          </w:p>
        </w:tc>
        <w:tc>
          <w:tcPr>
            <w:tcW w:w="940" w:type="dxa"/>
            <w:vAlign w:val="bottom"/>
            <w:gridSpan w:val="2"/>
          </w:tcPr>
          <w:p>
            <w:pPr>
              <w:jc w:val="right"/>
              <w:ind w:right="260"/>
              <w:spacing w:after="0" w:line="150" w:lineRule="exact"/>
              <w:rPr>
                <w:sz w:val="20"/>
                <w:szCs w:val="20"/>
                <w:color w:val="auto"/>
              </w:rPr>
            </w:pPr>
            <w:r>
              <w:rPr>
                <w:rFonts w:ascii="Arial" w:cs="Arial" w:eastAsia="Arial" w:hAnsi="Arial"/>
                <w:sz w:val="11"/>
                <w:szCs w:val="11"/>
                <w:b w:val="1"/>
                <w:bCs w:val="1"/>
                <w:color w:val="auto"/>
              </w:rPr>
              <w:t>Maximum</w:t>
            </w:r>
            <w:r>
              <w:rPr>
                <w:rFonts w:ascii="Arial" w:cs="Arial" w:eastAsia="Arial" w:hAnsi="Arial"/>
                <w:sz w:val="17"/>
                <w:szCs w:val="17"/>
                <w:b w:val="1"/>
                <w:bCs w:val="1"/>
                <w:color w:val="auto"/>
                <w:vertAlign w:val="superscript"/>
              </w:rPr>
              <w:t>(2)</w:t>
            </w:r>
          </w:p>
        </w:tc>
        <w:tc>
          <w:tcPr>
            <w:tcW w:w="860" w:type="dxa"/>
            <w:vAlign w:val="bottom"/>
            <w:gridSpan w:val="2"/>
          </w:tcPr>
          <w:p>
            <w:pPr>
              <w:jc w:val="right"/>
              <w:ind w:right="260"/>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8"/>
              </w:rPr>
              <w:t>Minimum</w:t>
            </w:r>
          </w:p>
        </w:tc>
        <w:tc>
          <w:tcPr>
            <w:tcW w:w="8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r>
      <w:tr>
        <w:trPr>
          <w:trHeight w:val="123"/>
        </w:trPr>
        <w:tc>
          <w:tcPr>
            <w:tcW w:w="1760" w:type="dxa"/>
            <w:vAlign w:val="bottom"/>
            <w:tcBorders>
              <w:top w:val="single" w:sz="8" w:color="CCEEFF"/>
            </w:tcBorders>
            <w:shd w:val="clear" w:color="auto" w:fill="CCEEFF"/>
          </w:tcPr>
          <w:p>
            <w:pPr>
              <w:spacing w:after="0" w:line="123" w:lineRule="exact"/>
              <w:rPr>
                <w:sz w:val="20"/>
                <w:szCs w:val="20"/>
                <w:color w:val="auto"/>
              </w:rPr>
            </w:pPr>
            <w:r>
              <w:rPr>
                <w:rFonts w:ascii="Arial" w:cs="Arial" w:eastAsia="Arial" w:hAnsi="Arial"/>
                <w:sz w:val="14"/>
                <w:szCs w:val="14"/>
                <w:b w:val="1"/>
                <w:bCs w:val="1"/>
                <w:color w:val="auto"/>
              </w:rPr>
              <w:t>Notes receivable and</w:t>
            </w:r>
          </w:p>
        </w:tc>
        <w:tc>
          <w:tcPr>
            <w:tcW w:w="5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r>
      <w:tr>
        <w:trPr>
          <w:trHeight w:val="172"/>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residual certificates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8"/>
        </w:trPr>
        <w:tc>
          <w:tcPr>
            <w:tcW w:w="1760" w:type="dxa"/>
            <w:vAlign w:val="bottom"/>
          </w:tcPr>
          <w:p>
            <w:pPr>
              <w:spacing w:after="0" w:line="158" w:lineRule="exact"/>
              <w:rPr>
                <w:sz w:val="20"/>
                <w:szCs w:val="20"/>
                <w:color w:val="auto"/>
              </w:rPr>
            </w:pPr>
            <w:r>
              <w:rPr>
                <w:rFonts w:ascii="Arial" w:cs="Arial" w:eastAsia="Arial" w:hAnsi="Arial"/>
                <w:sz w:val="14"/>
                <w:szCs w:val="14"/>
                <w:color w:val="auto"/>
              </w:rPr>
              <w:t>Discount rate</w:t>
            </w: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4.19%</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6.12%</w:t>
            </w: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2.91%</w:t>
            </w: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5.29%</w:t>
            </w: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2.93%</w:t>
            </w: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5.77%</w:t>
            </w:r>
          </w:p>
        </w:tc>
      </w:tr>
      <w:tr>
        <w:trPr>
          <w:trHeight w:val="158"/>
        </w:trPr>
        <w:tc>
          <w:tcPr>
            <w:tcW w:w="17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0.05%</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43.21%</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14.83%</w:t>
            </w: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0.18%</w:t>
            </w:r>
          </w:p>
        </w:tc>
        <w:tc>
          <w:tcPr>
            <w:tcW w:w="9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50.67%</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17.08%</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0.04%</w:t>
            </w:r>
          </w:p>
        </w:tc>
        <w:tc>
          <w:tcPr>
            <w:tcW w:w="9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50.69%</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16.96%</w:t>
            </w:r>
          </w:p>
        </w:tc>
      </w:tr>
      <w:tr>
        <w:trPr>
          <w:trHeight w:val="158"/>
        </w:trPr>
        <w:tc>
          <w:tcPr>
            <w:tcW w:w="1760" w:type="dxa"/>
            <w:vAlign w:val="bottom"/>
          </w:tcPr>
          <w:p>
            <w:pPr>
              <w:spacing w:after="0" w:line="157" w:lineRule="exact"/>
              <w:rPr>
                <w:sz w:val="20"/>
                <w:szCs w:val="20"/>
                <w:color w:val="auto"/>
              </w:rPr>
            </w:pPr>
            <w:r>
              <w:rPr>
                <w:rFonts w:ascii="Arial" w:cs="Arial" w:eastAsia="Arial" w:hAnsi="Arial"/>
                <w:sz w:val="12"/>
                <w:szCs w:val="12"/>
                <w:color w:val="auto"/>
              </w:rPr>
              <w:t>Prepayment rate</w:t>
            </w:r>
            <w:r>
              <w:rPr>
                <w:rFonts w:ascii="Arial" w:cs="Arial" w:eastAsia="Arial" w:hAnsi="Arial"/>
                <w:sz w:val="18"/>
                <w:szCs w:val="18"/>
                <w:color w:val="auto"/>
                <w:vertAlign w:val="superscript"/>
              </w:rPr>
              <w:t>(1)</w:t>
            </w: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22.16%</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33.37%</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25.50%</w:t>
            </w: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15.19%</w:t>
            </w: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59.83%</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27.44%</w:t>
            </w: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15.60%</w:t>
            </w: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36.88%</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27.58%</w:t>
            </w:r>
          </w:p>
        </w:tc>
      </w:tr>
      <w:tr>
        <w:trPr>
          <w:trHeight w:val="143"/>
        </w:trPr>
        <w:tc>
          <w:tcPr>
            <w:tcW w:w="17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Payable to securitization</w:t>
            </w: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8"/>
        </w:trPr>
        <w:tc>
          <w:tcPr>
            <w:tcW w:w="17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b w:val="1"/>
                <w:bCs w:val="1"/>
                <w:color w:val="auto"/>
              </w:rPr>
              <w:t>note holders and</w:t>
            </w: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8"/>
        </w:trPr>
        <w:tc>
          <w:tcPr>
            <w:tcW w:w="1760" w:type="dxa"/>
            <w:vAlign w:val="bottom"/>
            <w:shd w:val="clear" w:color="auto" w:fill="CCEEFF"/>
          </w:tcPr>
          <w:p>
            <w:pPr>
              <w:ind w:left="140"/>
              <w:spacing w:after="0" w:line="158" w:lineRule="exact"/>
              <w:rPr>
                <w:sz w:val="20"/>
                <w:szCs w:val="20"/>
                <w:color w:val="auto"/>
              </w:rPr>
            </w:pPr>
            <w:r>
              <w:rPr>
                <w:rFonts w:ascii="Arial" w:cs="Arial" w:eastAsia="Arial" w:hAnsi="Arial"/>
                <w:sz w:val="14"/>
                <w:szCs w:val="14"/>
                <w:b w:val="1"/>
                <w:bCs w:val="1"/>
                <w:color w:val="auto"/>
              </w:rPr>
              <w:t>residual certificate</w:t>
            </w: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72"/>
        </w:trPr>
        <w:tc>
          <w:tcPr>
            <w:tcW w:w="176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holders</w:t>
            </w: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58"/>
        </w:trPr>
        <w:tc>
          <w:tcPr>
            <w:tcW w:w="1760" w:type="dxa"/>
            <w:vAlign w:val="bottom"/>
          </w:tcPr>
          <w:p>
            <w:pPr>
              <w:spacing w:after="0" w:line="158" w:lineRule="exact"/>
              <w:rPr>
                <w:sz w:val="20"/>
                <w:szCs w:val="20"/>
                <w:color w:val="auto"/>
              </w:rPr>
            </w:pPr>
            <w:r>
              <w:rPr>
                <w:rFonts w:ascii="Arial" w:cs="Arial" w:eastAsia="Arial" w:hAnsi="Arial"/>
                <w:sz w:val="14"/>
                <w:szCs w:val="14"/>
                <w:color w:val="auto"/>
              </w:rPr>
              <w:t>Discount rate</w:t>
            </w:r>
          </w:p>
        </w:tc>
        <w:tc>
          <w:tcPr>
            <w:tcW w:w="80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3.60%</w:t>
            </w: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6.59%</w:t>
            </w:r>
          </w:p>
        </w:tc>
        <w:tc>
          <w:tcPr>
            <w:tcW w:w="7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5.03%</w:t>
            </w:r>
          </w:p>
        </w:tc>
        <w:tc>
          <w:tcPr>
            <w:tcW w:w="94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86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5.88%</w:t>
            </w:r>
          </w:p>
        </w:tc>
        <w:tc>
          <w:tcPr>
            <w:tcW w:w="7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11.86%</w:t>
            </w:r>
          </w:p>
        </w:tc>
        <w:tc>
          <w:tcPr>
            <w:tcW w:w="90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rPr>
              <w:t>14.00%</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12.29%</w:t>
            </w:r>
          </w:p>
        </w:tc>
      </w:tr>
      <w:tr>
        <w:trPr>
          <w:trHeight w:val="158"/>
        </w:trPr>
        <w:tc>
          <w:tcPr>
            <w:tcW w:w="1760" w:type="dxa"/>
            <w:vAlign w:val="bottom"/>
            <w:shd w:val="clear" w:color="auto" w:fill="CCEEFF"/>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0.05%</w:t>
            </w: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43.21%</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12.91%</w:t>
            </w:r>
          </w:p>
        </w:tc>
        <w:tc>
          <w:tcPr>
            <w:tcW w:w="7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0.20%</w:t>
            </w:r>
          </w:p>
        </w:tc>
        <w:tc>
          <w:tcPr>
            <w:tcW w:w="94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40.97%</w:t>
            </w:r>
          </w:p>
        </w:tc>
        <w:tc>
          <w:tcPr>
            <w:tcW w:w="86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15.17%</w:t>
            </w:r>
          </w:p>
        </w:tc>
        <w:tc>
          <w:tcPr>
            <w:tcW w:w="7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0.66%</w:t>
            </w:r>
          </w:p>
        </w:tc>
        <w:tc>
          <w:tcPr>
            <w:tcW w:w="900" w:type="dxa"/>
            <w:vAlign w:val="bottom"/>
            <w:gridSpan w:val="3"/>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40.74%</w:t>
            </w:r>
          </w:p>
        </w:tc>
        <w:tc>
          <w:tcPr>
            <w:tcW w:w="7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16.29%</w:t>
            </w:r>
          </w:p>
        </w:tc>
      </w:tr>
      <w:tr>
        <w:trPr>
          <w:trHeight w:val="294"/>
        </w:trPr>
        <w:tc>
          <w:tcPr>
            <w:tcW w:w="176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2"/>
                <w:szCs w:val="22"/>
                <w:color w:val="auto"/>
                <w:vertAlign w:val="superscript"/>
              </w:rPr>
              <w:t>(1)</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22.16%</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33.37%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26.14%</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16.14%</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32.47%</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25.68%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16.23%</w:t>
            </w:r>
          </w:p>
        </w:tc>
        <w:tc>
          <w:tcPr>
            <w:tcW w:w="900" w:type="dxa"/>
            <w:vAlign w:val="bottom"/>
            <w:gridSpan w:val="3"/>
          </w:tcPr>
          <w:p>
            <w:pPr>
              <w:jc w:val="right"/>
              <w:ind w:right="140"/>
              <w:spacing w:after="0"/>
              <w:rPr>
                <w:sz w:val="20"/>
                <w:szCs w:val="20"/>
                <w:color w:val="auto"/>
              </w:rPr>
            </w:pPr>
            <w:r>
              <w:rPr>
                <w:rFonts w:ascii="Arial" w:cs="Arial" w:eastAsia="Arial" w:hAnsi="Arial"/>
                <w:sz w:val="14"/>
                <w:szCs w:val="14"/>
                <w:color w:val="auto"/>
              </w:rPr>
              <w:t>32.46%</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25.94%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-14605</wp:posOffset>
            </wp:positionV>
            <wp:extent cx="64389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1480" w:hanging="453"/>
        <w:spacing w:after="0"/>
        <w:tabs>
          <w:tab w:leader="none" w:pos="148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 underlying the financial instruments</w:t>
      </w:r>
    </w:p>
    <w:p>
      <w:pPr>
        <w:jc w:val="both"/>
        <w:ind w:left="1480" w:right="4980" w:hanging="453"/>
        <w:spacing w:after="0" w:line="486" w:lineRule="auto"/>
        <w:tabs>
          <w:tab w:leader="none" w:pos="1471" w:val="left"/>
        </w:tabs>
        <w:numPr>
          <w:ilvl w:val="0"/>
          <w:numId w:val="148"/>
        </w:numPr>
        <w:rPr>
          <w:rFonts w:ascii="Arial" w:cs="Arial" w:eastAsia="Arial" w:hAnsi="Arial"/>
          <w:sz w:val="15"/>
          <w:szCs w:val="15"/>
          <w:color w:val="auto"/>
        </w:rPr>
      </w:pPr>
      <w:r>
        <w:rPr>
          <w:rFonts w:ascii="Arial" w:cs="Arial" w:eastAsia="Arial" w:hAnsi="Arial"/>
          <w:sz w:val="15"/>
          <w:szCs w:val="15"/>
          <w:color w:val="auto"/>
        </w:rPr>
        <w:t xml:space="preserve">Unobservable inputs were weighted by relative fair value </w:t>
      </w:r>
      <w:r>
        <w:rPr>
          <w:rFonts w:ascii="Arial" w:cs="Arial" w:eastAsia="Arial" w:hAnsi="Arial"/>
          <w:sz w:val="15"/>
          <w:szCs w:val="15"/>
          <w:i w:val="1"/>
          <w:iCs w:val="1"/>
          <w:color w:val="auto"/>
        </w:rPr>
        <w:t>Significant Recurring Level 3 Fair Value Input Sensitivity</w:t>
      </w:r>
    </w:p>
    <w:p>
      <w:pPr>
        <w:ind w:left="1020" w:right="20" w:firstLine="460"/>
        <w:spacing w:after="0" w:line="237" w:lineRule="auto"/>
        <w:rPr>
          <w:sz w:val="20"/>
          <w:szCs w:val="20"/>
          <w:color w:val="auto"/>
        </w:rPr>
      </w:pPr>
      <w:r>
        <w:rPr>
          <w:rFonts w:ascii="Arial" w:cs="Arial" w:eastAsia="Arial" w:hAnsi="Arial"/>
          <w:sz w:val="15"/>
          <w:szCs w:val="15"/>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of 20% would result in a 25% decrease in the fair value of the residual certificates. The remaining classes of securities, with the exception of those in 2018-2, are all overcollateralized such that changes in credit risk rates are not expected to have significant impacts on their fair values.</w:t>
      </w:r>
    </w:p>
    <w:p>
      <w:pPr>
        <w:spacing w:after="0" w:line="171" w:lineRule="exact"/>
        <w:rPr>
          <w:sz w:val="20"/>
          <w:szCs w:val="20"/>
          <w:color w:val="auto"/>
        </w:rPr>
      </w:pPr>
    </w:p>
    <w:p>
      <w:pPr>
        <w:ind w:left="1020" w:right="160" w:firstLine="460"/>
        <w:spacing w:after="0" w:line="237" w:lineRule="auto"/>
        <w:rPr>
          <w:sz w:val="20"/>
          <w:szCs w:val="20"/>
          <w:color w:val="auto"/>
        </w:rPr>
      </w:pPr>
      <w:r>
        <w:rPr>
          <w:rFonts w:ascii="Arial" w:cs="Arial" w:eastAsia="Arial" w:hAnsi="Arial"/>
          <w:sz w:val="15"/>
          <w:szCs w:val="15"/>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1.43%, 1.40%, and 1.15% as of December 31, 2018 and 2019, and September 30, 2020 (unaudited), respectively. On average, a hypothetical 200 basis point increase in discount rates results in a decrease in fair value of the securities (including securitization notes and residual certificates) of 2.80%, 2.77%, and 2.28% as of December 31, 2018 and 2019, and September 30, 2020 (unaudited), respectively.</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0220"/>
          </w:cols>
          <w:pgMar w:left="320" w:top="407" w:right="1359" w:bottom="1440" w:gutter="0" w:footer="0" w:header="0"/>
        </w:sectPr>
      </w:pPr>
    </w:p>
    <w:bookmarkStart w:id="275" w:name="page276"/>
    <w:bookmarkEnd w:id="27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fair value of securitization notes and residual certificates are not sensitive to adverse changes in expected prepayment rates as such changes would not result in a significant impact on the fair value as of December 31, 2018 and 2019, and September 30, 2020 (unaudited).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99"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tables include a rollforward of the assets and liabilities related to securitization transactions classified by the</w:t>
      </w:r>
    </w:p>
    <w:p>
      <w:pPr>
        <w:ind w:left="1020"/>
        <w:spacing w:after="0"/>
        <w:rPr>
          <w:sz w:val="20"/>
          <w:szCs w:val="20"/>
          <w:color w:val="auto"/>
        </w:rPr>
      </w:pPr>
      <w:r>
        <w:rPr>
          <w:rFonts w:ascii="Arial" w:cs="Arial" w:eastAsia="Arial" w:hAnsi="Arial"/>
          <w:sz w:val="15"/>
          <w:szCs w:val="15"/>
          <w:color w:val="auto"/>
        </w:rPr>
        <w:t>Company within Level 3 of the fair value hierarchy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Payable to</w:t>
            </w:r>
          </w:p>
        </w:tc>
      </w:tr>
      <w:tr>
        <w:trPr>
          <w:trHeight w:val="135"/>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3"/>
          </w:tcPr>
          <w:p>
            <w:pPr>
              <w:jc w:val="center"/>
              <w:ind w:right="80"/>
              <w:spacing w:after="0" w:line="136" w:lineRule="exact"/>
              <w:rPr>
                <w:sz w:val="20"/>
                <w:szCs w:val="20"/>
                <w:color w:val="auto"/>
              </w:rPr>
            </w:pPr>
            <w:r>
              <w:rPr>
                <w:rFonts w:ascii="Arial" w:cs="Arial" w:eastAsia="Arial" w:hAnsi="Arial"/>
                <w:sz w:val="12"/>
                <w:szCs w:val="12"/>
                <w:b w:val="1"/>
                <w:bCs w:val="1"/>
                <w:color w:val="auto"/>
              </w:rPr>
              <w:t>Securitization Note</w:t>
            </w:r>
          </w:p>
        </w:tc>
      </w:tr>
      <w:tr>
        <w:trPr>
          <w:trHeight w:val="135"/>
        </w:trPr>
        <w:tc>
          <w:tcPr>
            <w:tcW w:w="6540" w:type="dxa"/>
            <w:vAlign w:val="bottom"/>
          </w:tcPr>
          <w:p>
            <w:pPr>
              <w:spacing w:after="0"/>
              <w:rPr>
                <w:sz w:val="11"/>
                <w:szCs w:val="11"/>
                <w:color w:val="auto"/>
              </w:rPr>
            </w:pPr>
          </w:p>
        </w:tc>
        <w:tc>
          <w:tcPr>
            <w:tcW w:w="14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Notes Receivable</w:t>
            </w:r>
          </w:p>
        </w:tc>
        <w:tc>
          <w:tcPr>
            <w:tcW w:w="160" w:type="dxa"/>
            <w:vAlign w:val="bottom"/>
          </w:tcPr>
          <w:p>
            <w:pPr>
              <w:spacing w:after="0"/>
              <w:rPr>
                <w:sz w:val="11"/>
                <w:szCs w:val="11"/>
                <w:color w:val="auto"/>
              </w:rPr>
            </w:pPr>
          </w:p>
        </w:tc>
        <w:tc>
          <w:tcPr>
            <w:tcW w:w="106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Holders and</w:t>
            </w:r>
          </w:p>
        </w:tc>
      </w:tr>
      <w:tr>
        <w:trPr>
          <w:trHeight w:val="135"/>
        </w:trPr>
        <w:tc>
          <w:tcPr>
            <w:tcW w:w="6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580"/>
              <w:spacing w:after="0" w:line="136" w:lineRule="exact"/>
              <w:rPr>
                <w:sz w:val="20"/>
                <w:szCs w:val="20"/>
                <w:color w:val="auto"/>
              </w:rPr>
            </w:pPr>
            <w:r>
              <w:rPr>
                <w:rFonts w:ascii="Arial" w:cs="Arial" w:eastAsia="Arial" w:hAnsi="Arial"/>
                <w:sz w:val="12"/>
                <w:szCs w:val="12"/>
                <w:b w:val="1"/>
                <w:bCs w:val="1"/>
                <w:color w:val="auto"/>
                <w:w w:val="99"/>
              </w:rPr>
              <w:t>and Residual</w:t>
            </w:r>
          </w:p>
        </w:tc>
        <w:tc>
          <w:tcPr>
            <w:tcW w:w="12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Residual Certificate</w:t>
            </w:r>
          </w:p>
        </w:tc>
      </w:tr>
      <w:tr>
        <w:trPr>
          <w:trHeight w:val="145"/>
        </w:trPr>
        <w:tc>
          <w:tcPr>
            <w:tcW w:w="6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2"/>
                <w:szCs w:val="12"/>
                <w:b w:val="1"/>
                <w:bCs w:val="1"/>
                <w:color w:val="auto"/>
              </w:rPr>
              <w:t>Certificates</w:t>
            </w: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rPr>
              <w:t>Holders</w:t>
            </w:r>
          </w:p>
        </w:tc>
        <w:tc>
          <w:tcPr>
            <w:tcW w:w="80" w:type="dxa"/>
            <w:vAlign w:val="bottom"/>
            <w:tcBorders>
              <w:bottom w:val="single" w:sz="8" w:color="CCEEFF"/>
            </w:tcBorders>
          </w:tcPr>
          <w:p>
            <w:pPr>
              <w:spacing w:after="0"/>
              <w:rPr>
                <w:sz w:val="12"/>
                <w:szCs w:val="12"/>
                <w:color w:val="auto"/>
              </w:rPr>
            </w:pPr>
          </w:p>
        </w:tc>
      </w:tr>
      <w:tr>
        <w:trPr>
          <w:trHeight w:val="149"/>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339,291</w:t>
            </w:r>
          </w:p>
        </w:tc>
        <w:tc>
          <w:tcPr>
            <w:tcW w:w="80" w:type="dxa"/>
            <w:vAlign w:val="bottom"/>
            <w:shd w:val="clear" w:color="auto" w:fill="CCEEFF"/>
          </w:tcPr>
          <w:p>
            <w:pPr>
              <w:spacing w:after="0"/>
              <w:rPr>
                <w:sz w:val="12"/>
                <w:szCs w:val="12"/>
                <w:color w:val="auto"/>
              </w:rPr>
            </w:pPr>
          </w:p>
        </w:tc>
      </w:tr>
      <w:tr>
        <w:trPr>
          <w:trHeight w:val="160"/>
        </w:trPr>
        <w:tc>
          <w:tcPr>
            <w:tcW w:w="654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9,501</w:t>
            </w:r>
          </w:p>
        </w:tc>
        <w:tc>
          <w:tcPr>
            <w:tcW w:w="4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242,454</w:t>
            </w:r>
          </w:p>
        </w:tc>
        <w:tc>
          <w:tcPr>
            <w:tcW w:w="80" w:type="dxa"/>
            <w:vAlign w:val="bottom"/>
          </w:tcPr>
          <w:p>
            <w:pPr>
              <w:spacing w:after="0"/>
              <w:rPr>
                <w:sz w:val="13"/>
                <w:szCs w:val="13"/>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(1,229)</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(226,775)</w:t>
            </w:r>
          </w:p>
        </w:tc>
      </w:tr>
      <w:tr>
        <w:trPr>
          <w:trHeight w:val="160"/>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0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42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(1,678)</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2018</w:t>
            </w:r>
          </w:p>
        </w:tc>
        <w:tc>
          <w:tcPr>
            <w:tcW w:w="1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8,314</w:t>
            </w:r>
          </w:p>
        </w:tc>
        <w:tc>
          <w:tcPr>
            <w:tcW w:w="4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353,292</w:t>
            </w:r>
          </w:p>
        </w:tc>
        <w:tc>
          <w:tcPr>
            <w:tcW w:w="80" w:type="dxa"/>
            <w:vAlign w:val="bottom"/>
            <w:shd w:val="clear" w:color="auto" w:fill="CCEEFF"/>
          </w:tcPr>
          <w:p>
            <w:pPr>
              <w:spacing w:after="0"/>
              <w:rPr>
                <w:sz w:val="13"/>
                <w:szCs w:val="13"/>
                <w:color w:val="auto"/>
              </w:rPr>
            </w:pPr>
          </w:p>
        </w:tc>
      </w:tr>
      <w:tr>
        <w:trPr>
          <w:trHeight w:val="160"/>
        </w:trPr>
        <w:tc>
          <w:tcPr>
            <w:tcW w:w="6540" w:type="dxa"/>
            <w:vAlign w:val="bottom"/>
          </w:tcPr>
          <w:p>
            <w:pPr>
              <w:spacing w:after="0"/>
              <w:rPr>
                <w:sz w:val="20"/>
                <w:szCs w:val="20"/>
                <w:color w:val="auto"/>
              </w:rPr>
            </w:pPr>
            <w:r>
              <w:rPr>
                <w:rFonts w:ascii="Arial" w:cs="Arial" w:eastAsia="Arial" w:hAnsi="Arial"/>
                <w:sz w:val="14"/>
                <w:szCs w:val="14"/>
                <w:color w:val="auto"/>
              </w:rPr>
              <w:t>Purchases and issuances of securitization notes and residual certificates</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31,645</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Repayments and settlements</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(8,760)</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(176,742)</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00" w:type="dxa"/>
            <w:vAlign w:val="bottom"/>
          </w:tcPr>
          <w:p>
            <w:pPr>
              <w:spacing w:after="0"/>
              <w:rPr>
                <w:sz w:val="13"/>
                <w:szCs w:val="13"/>
                <w:color w:val="auto"/>
              </w:rPr>
            </w:pPr>
          </w:p>
        </w:tc>
        <w:tc>
          <w:tcPr>
            <w:tcW w:w="134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(782)</w:t>
            </w: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(6,053)</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3,699</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(80,825)</w:t>
            </w:r>
          </w:p>
        </w:tc>
      </w:tr>
      <w:tr>
        <w:trPr>
          <w:trHeight w:val="160"/>
        </w:trPr>
        <w:tc>
          <w:tcPr>
            <w:tcW w:w="6540" w:type="dxa"/>
            <w:vAlign w:val="bottom"/>
          </w:tcPr>
          <w:p>
            <w:pPr>
              <w:spacing w:after="0"/>
              <w:rPr>
                <w:sz w:val="20"/>
                <w:szCs w:val="20"/>
                <w:color w:val="auto"/>
              </w:rPr>
            </w:pPr>
            <w:r>
              <w:rPr>
                <w:rFonts w:ascii="Arial" w:cs="Arial" w:eastAsia="Arial" w:hAnsi="Arial"/>
                <w:sz w:val="14"/>
                <w:szCs w:val="14"/>
                <w:b w:val="1"/>
                <w:bCs w:val="1"/>
                <w:color w:val="auto"/>
              </w:rPr>
              <w:t>Fair value at December 31, 2019</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34,116</w:t>
            </w:r>
          </w:p>
        </w:tc>
        <w:tc>
          <w:tcPr>
            <w:tcW w:w="4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89,672</w:t>
            </w:r>
          </w:p>
        </w:tc>
        <w:tc>
          <w:tcPr>
            <w:tcW w:w="80" w:type="dxa"/>
            <w:vAlign w:val="bottom"/>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5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Purchases and issuances of securitization notes and residual certificates (unaudited)</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w:t>
            </w: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Repayments and settlements (unaudited)</w:t>
            </w:r>
          </w:p>
        </w:tc>
        <w:tc>
          <w:tcPr>
            <w:tcW w:w="100" w:type="dxa"/>
            <w:vAlign w:val="bottom"/>
          </w:tcPr>
          <w:p>
            <w:pPr>
              <w:spacing w:after="0"/>
              <w:rPr>
                <w:sz w:val="13"/>
                <w:szCs w:val="13"/>
                <w:color w:val="auto"/>
              </w:rPr>
            </w:pPr>
          </w:p>
        </w:tc>
        <w:tc>
          <w:tcPr>
            <w:tcW w:w="134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(11,306)</w:t>
            </w: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(26,126)</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1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(761)</w:t>
            </w:r>
          </w:p>
        </w:tc>
        <w:tc>
          <w:tcPr>
            <w:tcW w:w="1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(5,529)</w:t>
            </w:r>
          </w:p>
        </w:tc>
      </w:tr>
      <w:tr>
        <w:trPr>
          <w:trHeight w:val="160"/>
        </w:trPr>
        <w:tc>
          <w:tcPr>
            <w:tcW w:w="654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 (unaudited)</w:t>
            </w:r>
          </w:p>
        </w:tc>
        <w:tc>
          <w:tcPr>
            <w:tcW w:w="100" w:type="dxa"/>
            <w:vAlign w:val="bottom"/>
          </w:tcPr>
          <w:p>
            <w:pPr>
              <w:spacing w:after="0"/>
              <w:rPr>
                <w:sz w:val="13"/>
                <w:szCs w:val="13"/>
                <w:color w:val="auto"/>
              </w:rPr>
            </w:pP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(58,017)</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September 30, 2020 (unaudited)</w:t>
            </w:r>
          </w:p>
        </w:tc>
        <w:tc>
          <w:tcPr>
            <w:tcW w:w="10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22,053</w:t>
            </w:r>
          </w:p>
        </w:tc>
        <w:tc>
          <w:tcPr>
            <w:tcW w:w="4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Loan Servicing Assets and Liabilities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Loan servicing assets and liabilities are measured at estimated fair value using a discounted cash flow model. The cash flows in the valuation model represent the difference between the contractual servicing fees 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0220"/>
          </w:cols>
          <w:pgMar w:left="320" w:top="407" w:right="1359" w:bottom="1440" w:gutter="0" w:footer="0" w:header="0"/>
        </w:sectPr>
      </w:pPr>
    </w:p>
    <w:bookmarkStart w:id="276" w:name="page277"/>
    <w:bookmarkEnd w:id="27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loan servicing assets and liabilities: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1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2"/>
                <w:szCs w:val="12"/>
                <w:b w:val="1"/>
                <w:bCs w:val="1"/>
                <w:color w:val="auto"/>
              </w:rPr>
              <w:t>September 30, 2020</w:t>
            </w:r>
          </w:p>
        </w:tc>
        <w:tc>
          <w:tcPr>
            <w:tcW w:w="0" w:type="dxa"/>
            <w:vAlign w:val="bottom"/>
          </w:tcPr>
          <w:p>
            <w:pPr>
              <w:spacing w:after="0"/>
              <w:rPr>
                <w:sz w:val="1"/>
                <w:szCs w:val="1"/>
                <w:color w:val="auto"/>
              </w:rPr>
            </w:pPr>
          </w:p>
        </w:tc>
      </w:tr>
      <w:tr>
        <w:trPr>
          <w:trHeight w:val="145"/>
        </w:trPr>
        <w:tc>
          <w:tcPr>
            <w:tcW w:w="15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2018</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December 31, 2019</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i w:val="1"/>
                <w:iCs w:val="1"/>
                <w:color w:val="auto"/>
              </w:rPr>
              <w:t>(unaudited)</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ind w:left="20"/>
              <w:spacing w:after="0" w:line="113" w:lineRule="exact"/>
              <w:rPr>
                <w:sz w:val="20"/>
                <w:szCs w:val="20"/>
                <w:color w:val="auto"/>
              </w:rPr>
            </w:pPr>
            <w:r>
              <w:rPr>
                <w:rFonts w:ascii="Arial" w:cs="Arial" w:eastAsia="Arial" w:hAnsi="Arial"/>
                <w:sz w:val="12"/>
                <w:szCs w:val="12"/>
                <w:b w:val="1"/>
                <w:bCs w:val="1"/>
                <w:color w:val="auto"/>
                <w:w w:val="96"/>
              </w:rPr>
              <w:t>Weighted-</w:t>
            </w: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line="113" w:lineRule="exact"/>
              <w:rPr>
                <w:sz w:val="20"/>
                <w:szCs w:val="20"/>
                <w:color w:val="auto"/>
              </w:rPr>
            </w:pPr>
            <w:r>
              <w:rPr>
                <w:rFonts w:ascii="Arial" w:cs="Arial" w:eastAsia="Arial" w:hAnsi="Arial"/>
                <w:sz w:val="12"/>
                <w:szCs w:val="12"/>
                <w:b w:val="1"/>
                <w:bCs w:val="1"/>
                <w:color w:val="auto"/>
                <w:w w:val="96"/>
              </w:rPr>
              <w:t>Weighted-</w:t>
            </w: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line="113" w:lineRule="exact"/>
              <w:rPr>
                <w:sz w:val="20"/>
                <w:szCs w:val="20"/>
                <w:color w:val="auto"/>
              </w:rPr>
            </w:pPr>
            <w:r>
              <w:rPr>
                <w:rFonts w:ascii="Arial" w:cs="Arial" w:eastAsia="Arial" w:hAnsi="Arial"/>
                <w:sz w:val="12"/>
                <w:szCs w:val="12"/>
                <w:b w:val="1"/>
                <w:bCs w:val="1"/>
                <w:color w:val="auto"/>
                <w:w w:val="99"/>
              </w:rPr>
              <w:t>Weighted-</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w w:val="98"/>
              </w:rPr>
              <w:t>Minimum</w:t>
            </w:r>
          </w:p>
        </w:tc>
        <w:tc>
          <w:tcPr>
            <w:tcW w:w="280" w:type="dxa"/>
            <w:vAlign w:val="bottom"/>
          </w:tcPr>
          <w:p>
            <w:pPr>
              <w:spacing w:after="0"/>
              <w:rPr>
                <w:sz w:val="12"/>
                <w:szCs w:val="12"/>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w w:val="97"/>
              </w:rPr>
              <w:t>Maximum</w:t>
            </w:r>
          </w:p>
        </w:tc>
        <w:tc>
          <w:tcPr>
            <w:tcW w:w="280" w:type="dxa"/>
            <w:vAlign w:val="bottom"/>
          </w:tcPr>
          <w:p>
            <w:pPr>
              <w:spacing w:after="0"/>
              <w:rPr>
                <w:sz w:val="12"/>
                <w:szCs w:val="12"/>
                <w:color w:val="auto"/>
              </w:rPr>
            </w:pPr>
          </w:p>
        </w:tc>
        <w:tc>
          <w:tcPr>
            <w:tcW w:w="600" w:type="dxa"/>
            <w:vAlign w:val="bottom"/>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300" w:type="dxa"/>
            <w:vAlign w:val="bottom"/>
          </w:tcPr>
          <w:p>
            <w:pPr>
              <w:spacing w:after="0"/>
              <w:rPr>
                <w:sz w:val="12"/>
                <w:szCs w:val="1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4"/>
              </w:rPr>
              <w:t>Minimum</w:t>
            </w:r>
          </w:p>
        </w:tc>
        <w:tc>
          <w:tcPr>
            <w:tcW w:w="8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7"/>
              </w:rPr>
              <w:t>Maximum</w:t>
            </w:r>
          </w:p>
        </w:tc>
        <w:tc>
          <w:tcPr>
            <w:tcW w:w="90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7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4"/>
              </w:rPr>
              <w:t>Minimum</w:t>
            </w:r>
          </w:p>
        </w:tc>
        <w:tc>
          <w:tcPr>
            <w:tcW w:w="100" w:type="dxa"/>
            <w:vAlign w:val="bottom"/>
          </w:tcPr>
          <w:p>
            <w:pPr>
              <w:spacing w:after="0"/>
              <w:rPr>
                <w:sz w:val="12"/>
                <w:szCs w:val="12"/>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7"/>
              </w:rPr>
              <w:t>Maximum</w:t>
            </w:r>
          </w:p>
        </w:tc>
        <w:tc>
          <w:tcPr>
            <w:tcW w:w="76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
        </w:trPr>
        <w:tc>
          <w:tcPr>
            <w:tcW w:w="15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580" w:type="dxa"/>
            <w:vAlign w:val="bottom"/>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30.00%</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22.81%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15.00%</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22.70%</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35.00%</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158"/>
        </w:trPr>
        <w:tc>
          <w:tcPr>
            <w:tcW w:w="1580" w:type="dxa"/>
            <w:vAlign w:val="bottom"/>
          </w:tcPr>
          <w:p>
            <w:pPr>
              <w:spacing w:after="0" w:line="157" w:lineRule="exact"/>
              <w:rPr>
                <w:sz w:val="20"/>
                <w:szCs w:val="20"/>
                <w:color w:val="auto"/>
              </w:rPr>
            </w:pPr>
            <w:r>
              <w:rPr>
                <w:rFonts w:ascii="Arial" w:cs="Arial" w:eastAsia="Arial" w:hAnsi="Arial"/>
                <w:sz w:val="12"/>
                <w:szCs w:val="12"/>
                <w:color w:val="auto"/>
              </w:rPr>
              <w:t>Credit risk rate</w:t>
            </w:r>
            <w:r>
              <w:rPr>
                <w:rFonts w:ascii="Arial" w:cs="Arial" w:eastAsia="Arial" w:hAnsi="Arial"/>
                <w:sz w:val="18"/>
                <w:szCs w:val="18"/>
                <w:color w:val="auto"/>
                <w:vertAlign w:val="superscript"/>
              </w:rPr>
              <w:t>(1)</w:t>
            </w:r>
          </w:p>
        </w:tc>
        <w:tc>
          <w:tcPr>
            <w:tcW w:w="82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0.04%</w:t>
            </w: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43.21%</w:t>
            </w:r>
          </w:p>
        </w:tc>
        <w:tc>
          <w:tcPr>
            <w:tcW w:w="90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17.47%</w:t>
            </w:r>
          </w:p>
        </w:tc>
        <w:tc>
          <w:tcPr>
            <w:tcW w:w="8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0.05%</w:t>
            </w:r>
          </w:p>
        </w:tc>
        <w:tc>
          <w:tcPr>
            <w:tcW w:w="8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52.76%</w:t>
            </w:r>
          </w:p>
        </w:tc>
        <w:tc>
          <w:tcPr>
            <w:tcW w:w="9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16.72%</w:t>
            </w:r>
          </w:p>
        </w:tc>
        <w:tc>
          <w:tcPr>
            <w:tcW w:w="72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0.03%</w:t>
            </w:r>
          </w:p>
        </w:tc>
        <w:tc>
          <w:tcPr>
            <w:tcW w:w="980" w:type="dxa"/>
            <w:vAlign w:val="bottom"/>
            <w:gridSpan w:val="3"/>
          </w:tcPr>
          <w:p>
            <w:pPr>
              <w:jc w:val="right"/>
              <w:ind w:right="180"/>
              <w:spacing w:after="0" w:line="158" w:lineRule="exact"/>
              <w:rPr>
                <w:sz w:val="20"/>
                <w:szCs w:val="20"/>
                <w:color w:val="auto"/>
              </w:rPr>
            </w:pPr>
            <w:r>
              <w:rPr>
                <w:rFonts w:ascii="Arial" w:cs="Arial" w:eastAsia="Arial" w:hAnsi="Arial"/>
                <w:sz w:val="14"/>
                <w:szCs w:val="14"/>
                <w:color w:val="auto"/>
              </w:rPr>
              <w:t>52.78%</w:t>
            </w:r>
          </w:p>
        </w:tc>
        <w:tc>
          <w:tcPr>
            <w:tcW w:w="7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55"/>
        </w:trPr>
        <w:tc>
          <w:tcPr>
            <w:tcW w:w="1580" w:type="dxa"/>
            <w:vAlign w:val="bottom"/>
            <w:shd w:val="clear" w:color="auto" w:fill="CCEEFF"/>
          </w:tcPr>
          <w:p>
            <w:pPr>
              <w:spacing w:after="0" w:line="155" w:lineRule="exact"/>
              <w:rPr>
                <w:sz w:val="20"/>
                <w:szCs w:val="20"/>
                <w:color w:val="auto"/>
              </w:rPr>
            </w:pPr>
            <w:r>
              <w:rPr>
                <w:rFonts w:ascii="Arial" w:cs="Arial" w:eastAsia="Arial" w:hAnsi="Arial"/>
                <w:sz w:val="11"/>
                <w:szCs w:val="11"/>
                <w:color w:val="auto"/>
              </w:rPr>
              <w:t>Market-servicing rate</w:t>
            </w:r>
            <w:r>
              <w:rPr>
                <w:rFonts w:ascii="Arial" w:cs="Arial" w:eastAsia="Arial" w:hAnsi="Arial"/>
                <w:sz w:val="17"/>
                <w:szCs w:val="17"/>
                <w:color w:val="auto"/>
                <w:vertAlign w:val="superscript"/>
              </w:rPr>
              <w:t>(3)</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0.81%</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0.81%</w:t>
            </w: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0.78%</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0.78%</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0.78%</w:t>
            </w:r>
          </w:p>
        </w:tc>
        <w:tc>
          <w:tcPr>
            <w:tcW w:w="7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0.75%</w:t>
            </w:r>
          </w:p>
        </w:tc>
        <w:tc>
          <w:tcPr>
            <w:tcW w:w="98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0.75%</w:t>
            </w:r>
          </w:p>
        </w:tc>
        <w:tc>
          <w:tcPr>
            <w:tcW w:w="7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0.75%</w:t>
            </w:r>
          </w:p>
        </w:tc>
        <w:tc>
          <w:tcPr>
            <w:tcW w:w="0" w:type="dxa"/>
            <w:vAlign w:val="bottom"/>
          </w:tcPr>
          <w:p>
            <w:pPr>
              <w:spacing w:after="0"/>
              <w:rPr>
                <w:sz w:val="1"/>
                <w:szCs w:val="1"/>
                <w:color w:val="auto"/>
              </w:rPr>
            </w:pPr>
          </w:p>
        </w:tc>
      </w:tr>
      <w:tr>
        <w:trPr>
          <w:trHeight w:val="127"/>
        </w:trPr>
        <w:tc>
          <w:tcPr>
            <w:tcW w:w="1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(4)</w:t>
            </w:r>
          </w:p>
        </w:tc>
        <w:tc>
          <w:tcPr>
            <w:tcW w:w="8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860" w:type="dxa"/>
            <w:vAlign w:val="bottom"/>
            <w:gridSpan w:val="2"/>
            <w:vMerge w:val="continue"/>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980" w:type="dxa"/>
            <w:vAlign w:val="bottom"/>
            <w:gridSpan w:val="3"/>
            <w:vMerge w:val="continue"/>
            <w:shd w:val="clear" w:color="auto" w:fill="CCEEFF"/>
          </w:tcPr>
          <w:p>
            <w:pPr>
              <w:spacing w:after="0"/>
              <w:rPr>
                <w:sz w:val="11"/>
                <w:szCs w:val="11"/>
                <w:color w:val="auto"/>
              </w:rPr>
            </w:pPr>
          </w:p>
        </w:tc>
        <w:tc>
          <w:tcPr>
            <w:tcW w:w="7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1580" w:type="dxa"/>
            <w:vAlign w:val="bottom"/>
          </w:tcPr>
          <w:p>
            <w:pPr>
              <w:spacing w:after="0"/>
              <w:rPr>
                <w:sz w:val="20"/>
                <w:szCs w:val="20"/>
                <w:color w:val="auto"/>
              </w:rPr>
            </w:pPr>
            <w:r>
              <w:rPr>
                <w:rFonts w:ascii="Arial" w:cs="Arial" w:eastAsia="Arial" w:hAnsi="Arial"/>
                <w:sz w:val="14"/>
                <w:szCs w:val="14"/>
                <w:color w:val="auto"/>
              </w:rPr>
              <w:t>Prepayment rate</w:t>
            </w:r>
            <w:r>
              <w:rPr>
                <w:rFonts w:ascii="Arial" w:cs="Arial" w:eastAsia="Arial" w:hAnsi="Arial"/>
                <w:sz w:val="22"/>
                <w:szCs w:val="22"/>
                <w:color w:val="auto"/>
                <w:vertAlign w:val="superscript"/>
              </w:rPr>
              <w:t>(1)</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22.16%</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33.37%</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25.67%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11.60%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76.45%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28.57%</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9.15%</w:t>
            </w: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88.81%</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-14605</wp:posOffset>
            </wp:positionV>
            <wp:extent cx="64389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ind w:left="1480" w:hanging="453"/>
        <w:spacing w:after="0"/>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Expressed as a percentage of the original principal balance of the loans underlying the servicing arrangement</w:t>
      </w:r>
    </w:p>
    <w:p>
      <w:pPr>
        <w:ind w:left="1480" w:hanging="453"/>
        <w:spacing w:after="0" w:line="235" w:lineRule="auto"/>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Unobservable inputs were weighted by relative fair value</w:t>
      </w:r>
    </w:p>
    <w:p>
      <w:pPr>
        <w:ind w:left="1480" w:hanging="453"/>
        <w:spacing w:after="0" w:line="235" w:lineRule="auto"/>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Excludes ancillary fees charged to borrowers that would be passed on to a third-party servicer</w:t>
      </w:r>
    </w:p>
    <w:p>
      <w:pPr>
        <w:ind w:left="1480" w:hanging="453"/>
        <w:spacing w:after="0"/>
        <w:tabs>
          <w:tab w:leader="none" w:pos="148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Expressed as a percentage of the outstanding principal balance of the loan</w:t>
      </w:r>
    </w:p>
    <w:p>
      <w:pPr>
        <w:spacing w:after="0" w:line="161"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i w:val="1"/>
          <w:iCs w:val="1"/>
          <w:color w:val="auto"/>
        </w:rPr>
        <w:t>Discount rates</w:t>
      </w:r>
      <w:r>
        <w:rPr>
          <w:rFonts w:ascii="Arial" w:cs="Arial" w:eastAsia="Arial" w:hAnsi="Arial"/>
          <w:sz w:val="15"/>
          <w:szCs w:val="15"/>
          <w:color w:val="auto"/>
        </w:rPr>
        <w:t>—The discount rates are the Company’s estimate of the rates of return that market participants in servicing rights</w:t>
      </w:r>
      <w:r>
        <w:rPr>
          <w:rFonts w:ascii="Arial" w:cs="Arial" w:eastAsia="Arial" w:hAnsi="Arial"/>
          <w:sz w:val="15"/>
          <w:szCs w:val="15"/>
          <w:i w:val="1"/>
          <w:iCs w:val="1"/>
          <w:color w:val="auto"/>
        </w:rPr>
        <w:t xml:space="preserve"> </w:t>
      </w:r>
      <w:r>
        <w:rPr>
          <w:rFonts w:ascii="Arial" w:cs="Arial" w:eastAsia="Arial" w:hAnsi="Arial"/>
          <w:sz w:val="15"/>
          <w:szCs w:val="15"/>
          <w:color w:val="auto"/>
        </w:rPr>
        <w:t>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49" w:lineRule="exact"/>
        <w:rPr>
          <w:sz w:val="20"/>
          <w:szCs w:val="20"/>
          <w:color w:val="auto"/>
        </w:rPr>
      </w:pPr>
    </w:p>
    <w:p>
      <w:pPr>
        <w:ind w:left="1020" w:right="120" w:firstLine="460"/>
        <w:spacing w:after="0" w:line="251" w:lineRule="auto"/>
        <w:rPr>
          <w:sz w:val="20"/>
          <w:szCs w:val="20"/>
          <w:color w:val="auto"/>
        </w:rPr>
      </w:pPr>
      <w:r>
        <w:rPr>
          <w:rFonts w:ascii="Arial" w:cs="Arial" w:eastAsia="Arial" w:hAnsi="Arial"/>
          <w:sz w:val="15"/>
          <w:szCs w:val="15"/>
          <w:i w:val="1"/>
          <w:iCs w:val="1"/>
          <w:color w:val="auto"/>
        </w:rPr>
        <w:t>Credit risk rates</w:t>
      </w:r>
      <w:r>
        <w:rPr>
          <w:rFonts w:ascii="Arial" w:cs="Arial" w:eastAsia="Arial" w:hAnsi="Arial"/>
          <w:sz w:val="15"/>
          <w:szCs w:val="15"/>
          <w:color w:val="auto"/>
        </w:rPr>
        <w:t>—The credit risk rates are the Company’s estimate of the net cumulative principal payments that will not be repaid</w:t>
      </w:r>
      <w:r>
        <w:rPr>
          <w:rFonts w:ascii="Arial" w:cs="Arial" w:eastAsia="Arial" w:hAnsi="Arial"/>
          <w:sz w:val="15"/>
          <w:szCs w:val="15"/>
          <w:i w:val="1"/>
          <w:iCs w:val="1"/>
          <w:color w:val="auto"/>
        </w:rPr>
        <w:t xml:space="preserve"> </w:t>
      </w:r>
      <w:r>
        <w:rPr>
          <w:rFonts w:ascii="Arial" w:cs="Arial" w:eastAsia="Arial" w:hAnsi="Arial"/>
          <w:sz w:val="15"/>
          <w:szCs w:val="15"/>
          <w:color w:val="auto"/>
        </w:rPr>
        <w:t>over the entire life of a loan expressed as a percentage of the original principal amount of the loan. The assumption regarding net cumulative losses impacts the projected balances and expected terms of the loans, which are used to project future servicing revenues.</w:t>
      </w:r>
    </w:p>
    <w:p>
      <w:pPr>
        <w:spacing w:after="0" w:line="146" w:lineRule="exact"/>
        <w:rPr>
          <w:sz w:val="20"/>
          <w:szCs w:val="20"/>
          <w:color w:val="auto"/>
        </w:rPr>
      </w:pPr>
    </w:p>
    <w:p>
      <w:pPr>
        <w:ind w:left="1020" w:right="60" w:firstLine="460"/>
        <w:spacing w:after="0" w:line="246" w:lineRule="auto"/>
        <w:rPr>
          <w:sz w:val="20"/>
          <w:szCs w:val="20"/>
          <w:color w:val="auto"/>
        </w:rPr>
      </w:pPr>
      <w:r>
        <w:rPr>
          <w:rFonts w:ascii="Arial" w:cs="Arial" w:eastAsia="Arial" w:hAnsi="Arial"/>
          <w:sz w:val="15"/>
          <w:szCs w:val="15"/>
          <w:i w:val="1"/>
          <w:iCs w:val="1"/>
          <w:color w:val="auto"/>
        </w:rPr>
        <w:t>Market-servicing rates</w:t>
      </w:r>
      <w:r>
        <w:rPr>
          <w:rFonts w:ascii="Arial" w:cs="Arial" w:eastAsia="Arial" w:hAnsi="Arial"/>
          <w:sz w:val="15"/>
          <w:szCs w:val="15"/>
          <w:color w:val="auto"/>
        </w:rPr>
        <w:t>—Market-servicing rate is an estimated measure of adequate compensation for a market participant, if one</w:t>
      </w:r>
      <w:r>
        <w:rPr>
          <w:rFonts w:ascii="Arial" w:cs="Arial" w:eastAsia="Arial" w:hAnsi="Arial"/>
          <w:sz w:val="15"/>
          <w:szCs w:val="15"/>
          <w:i w:val="1"/>
          <w:iCs w:val="1"/>
          <w:color w:val="auto"/>
        </w:rPr>
        <w:t xml:space="preserve"> </w:t>
      </w:r>
      <w:r>
        <w:rPr>
          <w:rFonts w:ascii="Arial" w:cs="Arial" w:eastAsia="Arial" w:hAnsi="Arial"/>
          <w:sz w:val="15"/>
          <w:szCs w:val="15"/>
          <w:color w:val="auto"/>
        </w:rPr>
        <w:t>was required. The rate is expressed as a fixed percentage of outstanding principal balance on a per annum basis. The estimate considers the profit that would be demanded in the marketplace to service the portfolio of outstanding loans subject to the Company’s servicing agreements.</w:t>
      </w:r>
    </w:p>
    <w:p>
      <w:pPr>
        <w:spacing w:after="0" w:line="149" w:lineRule="exact"/>
        <w:rPr>
          <w:sz w:val="20"/>
          <w:szCs w:val="20"/>
          <w:color w:val="auto"/>
        </w:rPr>
      </w:pPr>
    </w:p>
    <w:p>
      <w:pPr>
        <w:ind w:left="1020" w:right="80" w:firstLine="460"/>
        <w:spacing w:after="0" w:line="251"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the Company’s estimate of the cumulative principal prepayments that will occur over the</w:t>
      </w:r>
      <w:r>
        <w:rPr>
          <w:rFonts w:ascii="Arial" w:cs="Arial" w:eastAsia="Arial" w:hAnsi="Arial"/>
          <w:sz w:val="15"/>
          <w:szCs w:val="15"/>
          <w:i w:val="1"/>
          <w:iCs w:val="1"/>
          <w:color w:val="auto"/>
        </w:rPr>
        <w:t xml:space="preserve"> </w:t>
      </w:r>
      <w:r>
        <w:rPr>
          <w:rFonts w:ascii="Arial" w:cs="Arial" w:eastAsia="Arial" w:hAnsi="Arial"/>
          <w:sz w:val="15"/>
          <w:szCs w:val="15"/>
          <w:color w:val="auto"/>
        </w:rPr>
        <w:t>entire life of a loan as a percentage of the original principal amount of the loan. The assumption regarding cumulative prepayments impacts the projected balances and expected terms of the loans, which are used to project future servicing revenues.</w:t>
      </w:r>
    </w:p>
    <w:p>
      <w:pPr>
        <w:spacing w:after="0" w:line="10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0220"/>
          </w:cols>
          <w:pgMar w:left="320" w:top="407" w:right="1359" w:bottom="1440" w:gutter="0" w:footer="0" w:header="0"/>
        </w:sectPr>
      </w:pPr>
    </w:p>
    <w:bookmarkStart w:id="277" w:name="page278"/>
    <w:bookmarkEnd w:id="27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103"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The table below presents the fair value sensitivity of loan servicing assets and liabilities to adverse changes in key assumptions. The fair value of loan servicing assets and liabilities is not sensitive to adverse changes in discount rates as such changes would not result in a significant impact on the fair value as of December 31, 2018 and 2019, and September 30, 2020 (unaudited), respectively.</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8"/>
          </w:tcPr>
          <w:p>
            <w:pPr>
              <w:ind w:left="32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360" w:type="dxa"/>
            <w:vAlign w:val="bottom"/>
          </w:tcPr>
          <w:p>
            <w:pPr>
              <w:spacing w:after="0" w:line="126" w:lineRule="exact"/>
              <w:rPr>
                <w:sz w:val="20"/>
                <w:szCs w:val="20"/>
                <w:color w:val="auto"/>
              </w:rPr>
            </w:pPr>
            <w:r>
              <w:rPr>
                <w:rFonts w:ascii="Arial" w:cs="Arial" w:eastAsia="Arial" w:hAnsi="Arial"/>
                <w:sz w:val="12"/>
                <w:szCs w:val="12"/>
                <w:i w:val="1"/>
                <w:iCs w:val="1"/>
                <w:color w:val="auto"/>
              </w:rPr>
              <w:t>(amounts in thousands)</w:t>
            </w:r>
          </w:p>
        </w:tc>
        <w:tc>
          <w:tcPr>
            <w:tcW w:w="17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rPr>
              <w:t>2018</w:t>
            </w:r>
          </w:p>
        </w:tc>
        <w:tc>
          <w:tcPr>
            <w:tcW w:w="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7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4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43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of loan servicing assets</w:t>
            </w:r>
          </w:p>
        </w:tc>
        <w:tc>
          <w:tcPr>
            <w:tcW w:w="182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w:t>
            </w:r>
          </w:p>
        </w:tc>
        <w:tc>
          <w:tcPr>
            <w:tcW w:w="960" w:type="dxa"/>
            <w:vAlign w:val="bottom"/>
            <w:gridSpan w:val="4"/>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  4,725</w:t>
            </w:r>
          </w:p>
        </w:tc>
        <w:tc>
          <w:tcPr>
            <w:tcW w:w="26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6,558</w:t>
            </w:r>
          </w:p>
        </w:tc>
        <w:tc>
          <w:tcPr>
            <w:tcW w:w="40" w:type="dxa"/>
            <w:vAlign w:val="bottom"/>
            <w:shd w:val="clear" w:color="auto" w:fill="CCEEFF"/>
          </w:tcPr>
          <w:p>
            <w:pPr>
              <w:spacing w:after="0"/>
              <w:rPr>
                <w:sz w:val="13"/>
                <w:szCs w:val="13"/>
                <w:color w:val="auto"/>
              </w:rPr>
            </w:pPr>
          </w:p>
        </w:tc>
      </w:tr>
      <w:tr>
        <w:trPr>
          <w:trHeight w:val="160"/>
        </w:trPr>
        <w:tc>
          <w:tcPr>
            <w:tcW w:w="4360" w:type="dxa"/>
            <w:vAlign w:val="bottom"/>
          </w:tcPr>
          <w:p>
            <w:pPr>
              <w:spacing w:after="0"/>
              <w:rPr>
                <w:sz w:val="20"/>
                <w:szCs w:val="20"/>
                <w:color w:val="auto"/>
              </w:rPr>
            </w:pPr>
            <w:r>
              <w:rPr>
                <w:rFonts w:ascii="Arial" w:cs="Arial" w:eastAsia="Arial" w:hAnsi="Arial"/>
                <w:sz w:val="14"/>
                <w:szCs w:val="14"/>
                <w:color w:val="auto"/>
              </w:rPr>
              <w:t>Expected servicing cost</w:t>
            </w:r>
          </w:p>
        </w:tc>
        <w:tc>
          <w:tcPr>
            <w:tcW w:w="17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3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10% servicing cost increase</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(29,631)</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(27,576)</w:t>
            </w:r>
          </w:p>
        </w:tc>
      </w:tr>
      <w:tr>
        <w:trPr>
          <w:trHeight w:val="158"/>
        </w:trPr>
        <w:tc>
          <w:tcPr>
            <w:tcW w:w="4360" w:type="dxa"/>
            <w:vAlign w:val="bottom"/>
          </w:tcPr>
          <w:p>
            <w:pPr>
              <w:ind w:left="280"/>
              <w:spacing w:after="0" w:line="158" w:lineRule="exact"/>
              <w:rPr>
                <w:sz w:val="20"/>
                <w:szCs w:val="20"/>
                <w:color w:val="auto"/>
              </w:rPr>
            </w:pPr>
            <w:r>
              <w:rPr>
                <w:rFonts w:ascii="Arial" w:cs="Arial" w:eastAsia="Arial" w:hAnsi="Arial"/>
                <w:sz w:val="14"/>
                <w:szCs w:val="14"/>
                <w:color w:val="auto"/>
              </w:rPr>
              <w:t>20% servicing cost increase</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(59,262)</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(55,152)</w:t>
            </w:r>
          </w:p>
        </w:tc>
      </w:tr>
      <w:tr>
        <w:trPr>
          <w:trHeight w:val="158"/>
        </w:trPr>
        <w:tc>
          <w:tcPr>
            <w:tcW w:w="4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prepayment rates</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360" w:type="dxa"/>
            <w:vAlign w:val="bottom"/>
          </w:tcPr>
          <w:p>
            <w:pPr>
              <w:ind w:left="280"/>
              <w:spacing w:after="0" w:line="158" w:lineRule="exact"/>
              <w:rPr>
                <w:sz w:val="20"/>
                <w:szCs w:val="20"/>
                <w:color w:val="auto"/>
              </w:rPr>
            </w:pPr>
            <w:r>
              <w:rPr>
                <w:rFonts w:ascii="Arial" w:cs="Arial" w:eastAsia="Arial" w:hAnsi="Arial"/>
                <w:sz w:val="14"/>
                <w:szCs w:val="14"/>
                <w:color w:val="auto"/>
              </w:rPr>
              <w:t>10% adverse change</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4"/>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60"/>
              <w:spacing w:after="0" w:line="158" w:lineRule="exact"/>
              <w:rPr>
                <w:sz w:val="20"/>
                <w:szCs w:val="20"/>
                <w:color w:val="auto"/>
              </w:rPr>
            </w:pPr>
            <w:r>
              <w:rPr>
                <w:rFonts w:ascii="Arial" w:cs="Arial" w:eastAsia="Arial" w:hAnsi="Arial"/>
                <w:sz w:val="14"/>
                <w:szCs w:val="14"/>
                <w:color w:val="auto"/>
              </w:rPr>
              <w:t>(3,629)</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40"/>
              <w:spacing w:after="0" w:line="158" w:lineRule="exact"/>
              <w:rPr>
                <w:sz w:val="20"/>
                <w:szCs w:val="20"/>
                <w:color w:val="auto"/>
              </w:rPr>
            </w:pPr>
            <w:r>
              <w:rPr>
                <w:rFonts w:ascii="Arial" w:cs="Arial" w:eastAsia="Arial" w:hAnsi="Arial"/>
                <w:sz w:val="14"/>
                <w:szCs w:val="14"/>
                <w:color w:val="auto"/>
              </w:rPr>
              <w:t>(2,951)</w:t>
            </w:r>
          </w:p>
        </w:tc>
      </w:tr>
      <w:tr>
        <w:trPr>
          <w:trHeight w:val="158"/>
        </w:trPr>
        <w:tc>
          <w:tcPr>
            <w:tcW w:w="43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20% adverse change</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54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(7,440)</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(6,033)</w:t>
            </w:r>
          </w:p>
        </w:tc>
      </w:tr>
      <w:tr>
        <w:trPr>
          <w:trHeight w:val="338"/>
        </w:trPr>
        <w:tc>
          <w:tcPr>
            <w:tcW w:w="4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gridSpan w:val="6"/>
          </w:tcPr>
          <w:p>
            <w:pPr>
              <w:ind w:left="300"/>
              <w:spacing w:after="0"/>
              <w:rPr>
                <w:sz w:val="20"/>
                <w:szCs w:val="20"/>
                <w:color w:val="auto"/>
              </w:rPr>
            </w:pPr>
            <w:r>
              <w:rPr>
                <w:rFonts w:ascii="Arial" w:cs="Arial" w:eastAsia="Arial" w:hAnsi="Arial"/>
                <w:sz w:val="12"/>
                <w:szCs w:val="12"/>
                <w:b w:val="1"/>
                <w:bCs w:val="1"/>
                <w:color w:val="auto"/>
              </w:rPr>
              <w:t>December 31,</w:t>
            </w:r>
          </w:p>
        </w:tc>
        <w:tc>
          <w:tcPr>
            <w:tcW w:w="60" w:type="dxa"/>
            <w:vAlign w:val="bottom"/>
          </w:tcPr>
          <w:p>
            <w:pPr>
              <w:spacing w:after="0"/>
              <w:rPr>
                <w:sz w:val="24"/>
                <w:szCs w:val="24"/>
                <w:color w:val="auto"/>
              </w:rPr>
            </w:pPr>
          </w:p>
        </w:tc>
        <w:tc>
          <w:tcPr>
            <w:tcW w:w="860" w:type="dxa"/>
            <w:vAlign w:val="bottom"/>
            <w:gridSpan w:val="4"/>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4360" w:type="dxa"/>
            <w:vAlign w:val="bottom"/>
          </w:tcPr>
          <w:p>
            <w:pPr>
              <w:spacing w:after="0" w:line="126" w:lineRule="exact"/>
              <w:rPr>
                <w:sz w:val="20"/>
                <w:szCs w:val="20"/>
                <w:color w:val="auto"/>
              </w:rPr>
            </w:pPr>
            <w:r>
              <w:rPr>
                <w:rFonts w:ascii="Arial" w:cs="Arial" w:eastAsia="Arial" w:hAnsi="Arial"/>
                <w:sz w:val="12"/>
                <w:szCs w:val="12"/>
                <w:i w:val="1"/>
                <w:iCs w:val="1"/>
                <w:color w:val="auto"/>
              </w:rPr>
              <w:t>(amounts in thousands)</w:t>
            </w: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top w:val="single" w:sz="8" w:color="auto"/>
            </w:tcBorders>
            <w:gridSpan w:val="2"/>
          </w:tcPr>
          <w:p>
            <w:pPr>
              <w:jc w:val="right"/>
              <w:ind w:right="80"/>
              <w:spacing w:after="0" w:line="126" w:lineRule="exact"/>
              <w:rPr>
                <w:sz w:val="20"/>
                <w:szCs w:val="20"/>
                <w:color w:val="auto"/>
              </w:rPr>
            </w:pPr>
            <w:r>
              <w:rPr>
                <w:rFonts w:ascii="Arial" w:cs="Arial" w:eastAsia="Arial" w:hAnsi="Arial"/>
                <w:sz w:val="12"/>
                <w:szCs w:val="12"/>
                <w:b w:val="1"/>
                <w:bCs w:val="1"/>
                <w:color w:val="auto"/>
              </w:rPr>
              <w:t>2018</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160"/>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43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69"/>
        </w:trPr>
        <w:tc>
          <w:tcPr>
            <w:tcW w:w="4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Fair value of loan servicing liabilities</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1,685</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  5,140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7,349</w:t>
            </w:r>
          </w:p>
        </w:tc>
      </w:tr>
      <w:tr>
        <w:trPr>
          <w:trHeight w:val="169"/>
        </w:trPr>
        <w:tc>
          <w:tcPr>
            <w:tcW w:w="4360" w:type="dxa"/>
            <w:vAlign w:val="bottom"/>
          </w:tcPr>
          <w:p>
            <w:pPr>
              <w:spacing w:after="0"/>
              <w:rPr>
                <w:sz w:val="20"/>
                <w:szCs w:val="20"/>
                <w:color w:val="auto"/>
              </w:rPr>
            </w:pPr>
            <w:r>
              <w:rPr>
                <w:rFonts w:ascii="Arial" w:cs="Arial" w:eastAsia="Arial" w:hAnsi="Arial"/>
                <w:sz w:val="14"/>
                <w:szCs w:val="14"/>
                <w:color w:val="auto"/>
              </w:rPr>
              <w:t>Expected servicing cost on underlying loans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2"/>
        </w:trPr>
        <w:tc>
          <w:tcPr>
            <w:tcW w:w="4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 servicing cost increase</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847</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32,234</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30,902</w:t>
            </w:r>
          </w:p>
        </w:tc>
        <w:tc>
          <w:tcPr>
            <w:tcW w:w="40" w:type="dxa"/>
            <w:vAlign w:val="bottom"/>
            <w:shd w:val="clear" w:color="auto" w:fill="CCEEFF"/>
          </w:tcPr>
          <w:p>
            <w:pPr>
              <w:spacing w:after="0"/>
              <w:rPr>
                <w:sz w:val="14"/>
                <w:szCs w:val="14"/>
                <w:color w:val="auto"/>
              </w:rPr>
            </w:pPr>
          </w:p>
        </w:tc>
      </w:tr>
      <w:tr>
        <w:trPr>
          <w:trHeight w:val="169"/>
        </w:trPr>
        <w:tc>
          <w:tcPr>
            <w:tcW w:w="4360" w:type="dxa"/>
            <w:vAlign w:val="bottom"/>
          </w:tcPr>
          <w:p>
            <w:pPr>
              <w:ind w:left="280"/>
              <w:spacing w:after="0"/>
              <w:rPr>
                <w:sz w:val="20"/>
                <w:szCs w:val="20"/>
                <w:color w:val="auto"/>
              </w:rPr>
            </w:pPr>
            <w:r>
              <w:rPr>
                <w:rFonts w:ascii="Arial" w:cs="Arial" w:eastAsia="Arial" w:hAnsi="Arial"/>
                <w:sz w:val="14"/>
                <w:szCs w:val="14"/>
                <w:color w:val="auto"/>
              </w:rPr>
              <w:t>20% servicing cost increase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1,693</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64,467</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61,804</w:t>
            </w:r>
          </w:p>
        </w:tc>
        <w:tc>
          <w:tcPr>
            <w:tcW w:w="40" w:type="dxa"/>
            <w:vAlign w:val="bottom"/>
          </w:tcPr>
          <w:p>
            <w:pPr>
              <w:spacing w:after="0"/>
              <w:rPr>
                <w:sz w:val="14"/>
                <w:szCs w:val="14"/>
                <w:color w:val="auto"/>
              </w:rPr>
            </w:pPr>
          </w:p>
        </w:tc>
      </w:tr>
      <w:tr>
        <w:trPr>
          <w:trHeight w:val="158"/>
        </w:trPr>
        <w:tc>
          <w:tcPr>
            <w:tcW w:w="43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prepayment rates</w:t>
            </w:r>
          </w:p>
        </w:tc>
        <w:tc>
          <w:tcPr>
            <w:tcW w:w="1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9"/>
        </w:trPr>
        <w:tc>
          <w:tcPr>
            <w:tcW w:w="4360" w:type="dxa"/>
            <w:vAlign w:val="bottom"/>
          </w:tcPr>
          <w:p>
            <w:pPr>
              <w:ind w:left="280"/>
              <w:spacing w:after="0"/>
              <w:rPr>
                <w:sz w:val="20"/>
                <w:szCs w:val="20"/>
                <w:color w:val="auto"/>
              </w:rPr>
            </w:pPr>
            <w:r>
              <w:rPr>
                <w:rFonts w:ascii="Arial" w:cs="Arial" w:eastAsia="Arial" w:hAnsi="Arial"/>
                <w:sz w:val="14"/>
                <w:szCs w:val="14"/>
                <w:color w:val="auto"/>
              </w:rPr>
              <w:t>10% adverse change</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4"/>
                <w:szCs w:val="14"/>
                <w:color w:val="auto"/>
              </w:rPr>
              <w:t>136</w:t>
            </w:r>
          </w:p>
        </w:tc>
        <w:tc>
          <w:tcPr>
            <w:tcW w:w="1140" w:type="dxa"/>
            <w:vAlign w:val="bottom"/>
            <w:gridSpan w:val="4"/>
          </w:tcPr>
          <w:p>
            <w:pPr>
              <w:jc w:val="right"/>
              <w:ind w:right="260"/>
              <w:spacing w:after="0"/>
              <w:rPr>
                <w:sz w:val="20"/>
                <w:szCs w:val="20"/>
                <w:color w:val="auto"/>
              </w:rPr>
            </w:pPr>
            <w:r>
              <w:rPr>
                <w:rFonts w:ascii="Arial" w:cs="Arial" w:eastAsia="Arial" w:hAnsi="Arial"/>
                <w:sz w:val="14"/>
                <w:szCs w:val="14"/>
                <w:color w:val="auto"/>
              </w:rPr>
              <w:t>3,948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4"/>
                <w:szCs w:val="14"/>
                <w:color w:val="auto"/>
              </w:rPr>
              <w:t>3,307</w:t>
            </w:r>
          </w:p>
        </w:tc>
      </w:tr>
      <w:tr>
        <w:trPr>
          <w:trHeight w:val="169"/>
        </w:trPr>
        <w:tc>
          <w:tcPr>
            <w:tcW w:w="4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20% adverse change</w:t>
            </w: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278</w:t>
            </w:r>
          </w:p>
        </w:tc>
        <w:tc>
          <w:tcPr>
            <w:tcW w:w="11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8,093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6,760</w:t>
            </w:r>
          </w:p>
        </w:tc>
      </w:tr>
    </w:tbl>
    <w:p>
      <w:pPr>
        <w:spacing w:after="0" w:line="25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80" w:firstLine="460"/>
        <w:spacing w:after="0" w:line="245" w:lineRule="auto"/>
        <w:rPr>
          <w:sz w:val="20"/>
          <w:szCs w:val="20"/>
          <w:color w:val="auto"/>
        </w:rPr>
      </w:pPr>
      <w:r>
        <w:rPr>
          <w:rFonts w:ascii="Arial" w:cs="Arial" w:eastAsia="Arial" w:hAnsi="Arial"/>
          <w:sz w:val="15"/>
          <w:szCs w:val="15"/>
          <w:color w:val="auto"/>
        </w:rPr>
        <w:t>The following table presents a rollforward of the loan servicing assets and liabilities classified by the Company within Level 3 of the fair value hierarchy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920" w:type="dxa"/>
            <w:vAlign w:val="bottom"/>
          </w:tcPr>
          <w:p>
            <w:pPr>
              <w:spacing w:after="0"/>
              <w:rPr>
                <w:sz w:val="12"/>
                <w:szCs w:val="12"/>
                <w:color w:val="auto"/>
              </w:rPr>
            </w:pPr>
          </w:p>
        </w:tc>
        <w:tc>
          <w:tcPr>
            <w:tcW w:w="1120" w:type="dxa"/>
            <w:vAlign w:val="bottom"/>
            <w:gridSpan w:val="4"/>
          </w:tcPr>
          <w:p>
            <w:pPr>
              <w:spacing w:after="0"/>
              <w:rPr>
                <w:sz w:val="20"/>
                <w:szCs w:val="20"/>
                <w:color w:val="auto"/>
              </w:rPr>
            </w:pPr>
            <w:r>
              <w:rPr>
                <w:rFonts w:ascii="Arial" w:cs="Arial" w:eastAsia="Arial" w:hAnsi="Arial"/>
                <w:sz w:val="12"/>
                <w:szCs w:val="12"/>
                <w:b w:val="1"/>
                <w:bCs w:val="1"/>
                <w:color w:val="auto"/>
              </w:rPr>
              <w:t>Loan Servicing</w:t>
            </w:r>
          </w:p>
        </w:tc>
        <w:tc>
          <w:tcPr>
            <w:tcW w:w="200" w:type="dxa"/>
            <w:vAlign w:val="bottom"/>
          </w:tcPr>
          <w:p>
            <w:pPr>
              <w:spacing w:after="0"/>
              <w:rPr>
                <w:sz w:val="12"/>
                <w:szCs w:val="12"/>
                <w:color w:val="auto"/>
              </w:rPr>
            </w:pPr>
          </w:p>
        </w:tc>
        <w:tc>
          <w:tcPr>
            <w:tcW w:w="960" w:type="dxa"/>
            <w:vAlign w:val="bottom"/>
            <w:gridSpan w:val="3"/>
          </w:tcPr>
          <w:p>
            <w:pPr>
              <w:spacing w:after="0"/>
              <w:rPr>
                <w:sz w:val="20"/>
                <w:szCs w:val="20"/>
                <w:color w:val="auto"/>
              </w:rPr>
            </w:pPr>
            <w:r>
              <w:rPr>
                <w:rFonts w:ascii="Arial" w:cs="Arial" w:eastAsia="Arial" w:hAnsi="Arial"/>
                <w:sz w:val="12"/>
                <w:szCs w:val="12"/>
                <w:b w:val="1"/>
                <w:bCs w:val="1"/>
                <w:color w:val="auto"/>
              </w:rPr>
              <w:t>Loan Servicing</w:t>
            </w:r>
          </w:p>
        </w:tc>
      </w:tr>
      <w:tr>
        <w:trPr>
          <w:trHeight w:val="145"/>
        </w:trPr>
        <w:tc>
          <w:tcPr>
            <w:tcW w:w="69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Assets</w:t>
            </w:r>
          </w:p>
        </w:tc>
        <w:tc>
          <w:tcPr>
            <w:tcW w:w="240" w:type="dxa"/>
            <w:vAlign w:val="bottom"/>
            <w:tcBorders>
              <w:bottom w:val="single" w:sz="8" w:color="CCEEFF"/>
            </w:tcBorders>
            <w:gridSpan w:val="2"/>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2"/>
                <w:szCs w:val="12"/>
                <w:b w:val="1"/>
                <w:bCs w:val="1"/>
                <w:color w:val="auto"/>
              </w:rPr>
              <w:t>Liabilities</w:t>
            </w:r>
          </w:p>
        </w:tc>
        <w:tc>
          <w:tcPr>
            <w:tcW w:w="80" w:type="dxa"/>
            <w:vAlign w:val="bottom"/>
            <w:tcBorders>
              <w:bottom w:val="single" w:sz="8" w:color="CCEEFF"/>
            </w:tcBorders>
          </w:tcPr>
          <w:p>
            <w:pPr>
              <w:spacing w:after="0"/>
              <w:rPr>
                <w:sz w:val="12"/>
                <w:szCs w:val="12"/>
                <w:color w:val="auto"/>
              </w:rPr>
            </w:pPr>
          </w:p>
        </w:tc>
      </w:tr>
      <w:tr>
        <w:trPr>
          <w:trHeight w:val="149"/>
        </w:trPr>
        <w:tc>
          <w:tcPr>
            <w:tcW w:w="69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1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837</w:t>
            </w:r>
          </w:p>
        </w:tc>
        <w:tc>
          <w:tcPr>
            <w:tcW w:w="80" w:type="dxa"/>
            <w:vAlign w:val="bottom"/>
            <w:shd w:val="clear" w:color="auto" w:fill="CCEEFF"/>
          </w:tcPr>
          <w:p>
            <w:pPr>
              <w:spacing w:after="0"/>
              <w:rPr>
                <w:sz w:val="12"/>
                <w:szCs w:val="12"/>
                <w:color w:val="auto"/>
              </w:rPr>
            </w:pPr>
          </w:p>
        </w:tc>
      </w:tr>
      <w:tr>
        <w:trPr>
          <w:trHeight w:val="160"/>
        </w:trPr>
        <w:tc>
          <w:tcPr>
            <w:tcW w:w="6920" w:type="dxa"/>
            <w:vAlign w:val="bottom"/>
          </w:tcPr>
          <w:p>
            <w:pPr>
              <w:spacing w:after="0"/>
              <w:rPr>
                <w:sz w:val="20"/>
                <w:szCs w:val="20"/>
                <w:color w:val="auto"/>
              </w:rPr>
            </w:pPr>
            <w:r>
              <w:rPr>
                <w:rFonts w:ascii="Arial" w:cs="Arial" w:eastAsia="Arial" w:hAnsi="Arial"/>
                <w:sz w:val="14"/>
                <w:szCs w:val="14"/>
                <w:color w:val="auto"/>
              </w:rPr>
              <w:t>Sale of loans</w:t>
            </w:r>
          </w:p>
        </w:tc>
        <w:tc>
          <w:tcPr>
            <w:tcW w:w="160" w:type="dxa"/>
            <w:vAlign w:val="bottom"/>
          </w:tcPr>
          <w:p>
            <w:pPr>
              <w:spacing w:after="0"/>
              <w:rPr>
                <w:sz w:val="13"/>
                <w:szCs w:val="13"/>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1,917</w:t>
            </w: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(1,069)</w:t>
            </w:r>
          </w:p>
        </w:tc>
      </w:tr>
      <w:tr>
        <w:trPr>
          <w:trHeight w:val="163"/>
        </w:trPr>
        <w:tc>
          <w:tcPr>
            <w:tcW w:w="6920" w:type="dxa"/>
            <w:vAlign w:val="bottom"/>
          </w:tcPr>
          <w:p>
            <w:pPr>
              <w:spacing w:after="0"/>
              <w:rPr>
                <w:sz w:val="20"/>
                <w:szCs w:val="20"/>
                <w:color w:val="auto"/>
              </w:rPr>
            </w:pPr>
            <w:r>
              <w:rPr>
                <w:rFonts w:ascii="Arial" w:cs="Arial" w:eastAsia="Arial" w:hAnsi="Arial"/>
                <w:sz w:val="14"/>
                <w:szCs w:val="14"/>
                <w:b w:val="1"/>
                <w:bCs w:val="1"/>
                <w:color w:val="auto"/>
              </w:rPr>
              <w:t>Fair value at December 31, 2018</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1,685</w:t>
            </w:r>
          </w:p>
        </w:tc>
        <w:tc>
          <w:tcPr>
            <w:tcW w:w="80" w:type="dxa"/>
            <w:vAlign w:val="bottom"/>
          </w:tcPr>
          <w:p>
            <w:pPr>
              <w:spacing w:after="0"/>
              <w:rPr>
                <w:sz w:val="14"/>
                <w:szCs w:val="14"/>
                <w:color w:val="auto"/>
              </w:rPr>
            </w:pP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 of loans</w:t>
            </w:r>
          </w:p>
        </w:tc>
        <w:tc>
          <w:tcPr>
            <w:tcW w:w="1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3,874</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4,730</w:t>
            </w:r>
          </w:p>
        </w:tc>
      </w:tr>
      <w:tr>
        <w:trPr>
          <w:trHeight w:val="160"/>
        </w:trPr>
        <w:tc>
          <w:tcPr>
            <w:tcW w:w="6920" w:type="dxa"/>
            <w:vAlign w:val="bottom"/>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160" w:type="dxa"/>
            <w:vAlign w:val="bottom"/>
          </w:tcPr>
          <w:p>
            <w:pPr>
              <w:spacing w:after="0"/>
              <w:rPr>
                <w:sz w:val="13"/>
                <w:szCs w:val="13"/>
                <w:color w:val="auto"/>
              </w:rPr>
            </w:pP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851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(1,275)</w:t>
            </w: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 at December 31, 2019</w:t>
            </w:r>
          </w:p>
        </w:tc>
        <w:tc>
          <w:tcPr>
            <w:tcW w:w="16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4,725</w:t>
            </w:r>
          </w:p>
        </w:tc>
        <w:tc>
          <w:tcPr>
            <w:tcW w:w="240" w:type="dxa"/>
            <w:vAlign w:val="bottom"/>
            <w:gridSpan w:val="2"/>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5,140</w:t>
            </w:r>
          </w:p>
        </w:tc>
        <w:tc>
          <w:tcPr>
            <w:tcW w:w="80" w:type="dxa"/>
            <w:vAlign w:val="bottom"/>
            <w:shd w:val="clear" w:color="auto" w:fill="CCEEFF"/>
          </w:tcPr>
          <w:p>
            <w:pPr>
              <w:spacing w:after="0"/>
              <w:rPr>
                <w:sz w:val="13"/>
                <w:szCs w:val="13"/>
                <w:color w:val="auto"/>
              </w:rPr>
            </w:pPr>
          </w:p>
        </w:tc>
      </w:tr>
      <w:tr>
        <w:trPr>
          <w:trHeight w:val="160"/>
        </w:trPr>
        <w:tc>
          <w:tcPr>
            <w:tcW w:w="6920" w:type="dxa"/>
            <w:vAlign w:val="bottom"/>
          </w:tcPr>
          <w:p>
            <w:pPr>
              <w:spacing w:after="0"/>
              <w:rPr>
                <w:sz w:val="20"/>
                <w:szCs w:val="20"/>
                <w:color w:val="auto"/>
              </w:rPr>
            </w:pPr>
            <w:r>
              <w:rPr>
                <w:rFonts w:ascii="Arial" w:cs="Arial" w:eastAsia="Arial" w:hAnsi="Arial"/>
                <w:sz w:val="14"/>
                <w:szCs w:val="14"/>
                <w:color w:val="auto"/>
              </w:rPr>
              <w:t>Sale of loans (unaudited)</w:t>
            </w:r>
          </w:p>
        </w:tc>
        <w:tc>
          <w:tcPr>
            <w:tcW w:w="16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5,003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3,256</w:t>
            </w:r>
          </w:p>
        </w:tc>
      </w:tr>
      <w:tr>
        <w:trPr>
          <w:trHeight w:val="158"/>
        </w:trPr>
        <w:tc>
          <w:tcPr>
            <w:tcW w:w="6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16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(3,170)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(1,047)</w:t>
            </w:r>
          </w:p>
        </w:tc>
      </w:tr>
      <w:tr>
        <w:trPr>
          <w:trHeight w:val="160"/>
        </w:trPr>
        <w:tc>
          <w:tcPr>
            <w:tcW w:w="6920" w:type="dxa"/>
            <w:vAlign w:val="bottom"/>
          </w:tcPr>
          <w:p>
            <w:pPr>
              <w:spacing w:after="0"/>
              <w:rPr>
                <w:sz w:val="20"/>
                <w:szCs w:val="20"/>
                <w:color w:val="auto"/>
              </w:rPr>
            </w:pPr>
            <w:r>
              <w:rPr>
                <w:rFonts w:ascii="Arial" w:cs="Arial" w:eastAsia="Arial" w:hAnsi="Arial"/>
                <w:sz w:val="14"/>
                <w:szCs w:val="14"/>
                <w:b w:val="1"/>
                <w:bCs w:val="1"/>
                <w:color w:val="auto"/>
              </w:rPr>
              <w:t>Fair value at September 30, 2020 (unaudited)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6,558</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7,349</w:t>
            </w:r>
          </w:p>
        </w:tc>
        <w:tc>
          <w:tcPr>
            <w:tcW w:w="80" w:type="dxa"/>
            <w:vAlign w:val="bottom"/>
          </w:tcPr>
          <w:p>
            <w:pPr>
              <w:spacing w:after="0"/>
              <w:rPr>
                <w:sz w:val="13"/>
                <w:szCs w:val="13"/>
                <w:color w:val="auto"/>
              </w:rPr>
            </w:pPr>
          </w:p>
        </w:tc>
      </w:tr>
      <w:tr>
        <w:trPr>
          <w:trHeight w:val="20"/>
        </w:trPr>
        <w:tc>
          <w:tcPr>
            <w:tcW w:w="6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0220"/>
          </w:cols>
          <w:pgMar w:left="320" w:top="407" w:right="1359" w:bottom="1440" w:gutter="0" w:footer="0" w:header="0"/>
        </w:sectPr>
      </w:pPr>
    </w:p>
    <w:bookmarkStart w:id="278" w:name="page279"/>
    <w:bookmarkEnd w:id="27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Assets and Liabilities</w:t>
      </w:r>
    </w:p>
    <w:p>
      <w:pPr>
        <w:spacing w:after="0" w:line="105" w:lineRule="exact"/>
        <w:rPr>
          <w:sz w:val="20"/>
          <w:szCs w:val="20"/>
          <w:color w:val="auto"/>
        </w:rPr>
      </w:pPr>
    </w:p>
    <w:p>
      <w:pPr>
        <w:ind w:left="1020" w:firstLine="1011"/>
        <w:spacing w:after="0" w:line="235" w:lineRule="auto"/>
        <w:rPr>
          <w:sz w:val="20"/>
          <w:szCs w:val="20"/>
          <w:color w:val="auto"/>
        </w:rPr>
      </w:pPr>
      <w:r>
        <w:rPr>
          <w:rFonts w:ascii="Arial" w:cs="Arial" w:eastAsia="Arial" w:hAnsi="Arial"/>
          <w:sz w:val="15"/>
          <w:szCs w:val="15"/>
          <w:color w:val="auto"/>
        </w:rPr>
        <w:t>As of December 31, 2018, the Company’s Level 3 financial instruments included other assets and other liabilities, related to the Company’s legacy loan programs which were winding down. The other assets and liabilities had fair values of $1.4 million and</w:t>
      </w:r>
    </w:p>
    <w:p>
      <w:pPr>
        <w:jc w:val="both"/>
        <w:ind w:left="1020" w:right="280"/>
        <w:spacing w:after="0"/>
        <w:rPr>
          <w:sz w:val="20"/>
          <w:szCs w:val="20"/>
          <w:color w:val="auto"/>
        </w:rPr>
      </w:pPr>
      <w:r>
        <w:rPr>
          <w:rFonts w:ascii="Arial" w:cs="Arial" w:eastAsia="Arial" w:hAnsi="Arial"/>
          <w:sz w:val="15"/>
          <w:szCs w:val="15"/>
          <w:color w:val="auto"/>
        </w:rPr>
        <w:t>$1.4 million, respectively, which were estimated using the discounted cash flow model based on expected cash flows of the underlying loans. Significant inputs used for estimating the fair value of these financial instruments included discount rates of 6.00% to 9.70% and credit risk rates of 0.00% to 3.00%.</w:t>
      </w:r>
    </w:p>
    <w:p>
      <w:pPr>
        <w:spacing w:after="0" w:line="170" w:lineRule="exact"/>
        <w:rPr>
          <w:sz w:val="20"/>
          <w:szCs w:val="20"/>
          <w:color w:val="auto"/>
        </w:rPr>
      </w:pPr>
    </w:p>
    <w:p>
      <w:pPr>
        <w:ind w:left="1020" w:right="360" w:firstLine="1011"/>
        <w:spacing w:after="0" w:line="245" w:lineRule="auto"/>
        <w:rPr>
          <w:sz w:val="20"/>
          <w:szCs w:val="20"/>
          <w:color w:val="auto"/>
        </w:rPr>
      </w:pPr>
      <w:r>
        <w:rPr>
          <w:rFonts w:ascii="Arial" w:cs="Arial" w:eastAsia="Arial" w:hAnsi="Arial"/>
          <w:sz w:val="15"/>
          <w:szCs w:val="15"/>
          <w:color w:val="auto"/>
        </w:rPr>
        <w:t>The fair value sensitivity of the other assets and liabilities to adverse changes in key assumptions would not result in a material impact on the Company’s financial position.</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280" w:firstLine="460"/>
        <w:spacing w:after="0" w:line="245" w:lineRule="auto"/>
        <w:rPr>
          <w:sz w:val="20"/>
          <w:szCs w:val="20"/>
          <w:color w:val="auto"/>
        </w:rPr>
      </w:pPr>
      <w:r>
        <w:rPr>
          <w:rFonts w:ascii="Arial" w:cs="Arial" w:eastAsia="Arial" w:hAnsi="Arial"/>
          <w:sz w:val="15"/>
          <w:szCs w:val="15"/>
          <w:color w:val="auto"/>
        </w:rPr>
        <w:t>The following tables include a rollforward of other assets and liabilities classified by the Company within Level 3 of the fair value hierarchy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9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9"/>
              </w:rPr>
              <w:t>Other Assets</w:t>
            </w:r>
          </w:p>
        </w:tc>
        <w:tc>
          <w:tcPr>
            <w:tcW w:w="4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Other Liabilities</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Fair value at December 31, 2017</w:t>
            </w:r>
          </w:p>
        </w:tc>
        <w:tc>
          <w:tcPr>
            <w:tcW w:w="260" w:type="dxa"/>
            <w:vAlign w:val="bottom"/>
            <w:shd w:val="clear" w:color="auto" w:fill="CCEEFF"/>
          </w:tcPr>
          <w:p>
            <w:pPr>
              <w:jc w:val="right"/>
              <w:ind w:right="113"/>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1,886</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1,851</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tcPr>
          <w:p>
            <w:pPr>
              <w:spacing w:after="0"/>
              <w:rPr>
                <w:sz w:val="20"/>
                <w:szCs w:val="20"/>
                <w:color w:val="auto"/>
              </w:rPr>
            </w:pPr>
            <w:r>
              <w:rPr>
                <w:rFonts w:ascii="Arial" w:cs="Arial" w:eastAsia="Arial" w:hAnsi="Arial"/>
                <w:sz w:val="14"/>
                <w:szCs w:val="14"/>
                <w:color w:val="auto"/>
              </w:rPr>
              <w:t>Repayments and settlements</w:t>
            </w:r>
          </w:p>
        </w:tc>
        <w:tc>
          <w:tcPr>
            <w:tcW w:w="26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(346)</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(130)</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December 31, 2018</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1,410</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23"/>
        </w:trPr>
        <w:tc>
          <w:tcPr>
            <w:tcW w:w="6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Issuances</w:t>
            </w:r>
          </w:p>
        </w:tc>
        <w:tc>
          <w:tcPr>
            <w:tcW w:w="260" w:type="dxa"/>
            <w:vAlign w:val="bottom"/>
            <w:shd w:val="clear" w:color="auto" w:fill="CCEEFF"/>
          </w:tcPr>
          <w:p>
            <w:pPr>
              <w:jc w:val="right"/>
              <w:ind w:right="113"/>
              <w:spacing w:after="0" w:line="15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line="158" w:lineRule="exact"/>
              <w:rPr>
                <w:sz w:val="20"/>
                <w:szCs w:val="20"/>
                <w:color w:val="auto"/>
              </w:rPr>
            </w:pPr>
            <w:r>
              <w:rPr>
                <w:rFonts w:ascii="Arial" w:cs="Arial" w:eastAsia="Arial" w:hAnsi="Arial"/>
                <w:sz w:val="14"/>
                <w:szCs w:val="14"/>
                <w:color w:val="auto"/>
              </w:rPr>
              <w:t>Repayments and settlements</w:t>
            </w:r>
          </w:p>
        </w:tc>
        <w:tc>
          <w:tcPr>
            <w:tcW w:w="26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(174)</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(24)</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8"/>
        </w:trPr>
        <w:tc>
          <w:tcPr>
            <w:tcW w:w="6940" w:type="dxa"/>
            <w:vAlign w:val="bottom"/>
          </w:tcPr>
          <w:p>
            <w:pPr>
              <w:spacing w:after="0" w:line="158" w:lineRule="exact"/>
              <w:rPr>
                <w:sz w:val="20"/>
                <w:szCs w:val="20"/>
                <w:color w:val="auto"/>
              </w:rPr>
            </w:pPr>
            <w:r>
              <w:rPr>
                <w:rFonts w:ascii="Arial" w:cs="Arial" w:eastAsia="Arial" w:hAnsi="Arial"/>
                <w:sz w:val="14"/>
                <w:szCs w:val="14"/>
                <w:color w:val="auto"/>
              </w:rPr>
              <w:t>Changes due to deconsolidation</w:t>
            </w:r>
          </w:p>
        </w:tc>
        <w:tc>
          <w:tcPr>
            <w:tcW w:w="26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(1,136)</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changes</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line="158" w:lineRule="exact"/>
              <w:rPr>
                <w:sz w:val="20"/>
                <w:szCs w:val="20"/>
                <w:color w:val="auto"/>
              </w:rPr>
            </w:pPr>
            <w:r>
              <w:rPr>
                <w:rFonts w:ascii="Arial" w:cs="Arial" w:eastAsia="Arial" w:hAnsi="Arial"/>
                <w:sz w:val="14"/>
                <w:szCs w:val="14"/>
                <w:color w:val="auto"/>
              </w:rPr>
              <w:t>(76)</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December 31, 2019</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Issuances (unaudited)</w:t>
            </w:r>
          </w:p>
        </w:tc>
        <w:tc>
          <w:tcPr>
            <w:tcW w:w="260" w:type="dxa"/>
            <w:vAlign w:val="bottom"/>
            <w:shd w:val="clear" w:color="auto" w:fill="CCEEFF"/>
          </w:tcPr>
          <w:p>
            <w:pPr>
              <w:jc w:val="right"/>
              <w:ind w:right="113"/>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632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line="158" w:lineRule="exact"/>
              <w:rPr>
                <w:sz w:val="20"/>
                <w:szCs w:val="20"/>
                <w:color w:val="auto"/>
              </w:rPr>
            </w:pPr>
            <w:r>
              <w:rPr>
                <w:rFonts w:ascii="Arial" w:cs="Arial" w:eastAsia="Arial" w:hAnsi="Arial"/>
                <w:sz w:val="14"/>
                <w:szCs w:val="14"/>
                <w:color w:val="auto"/>
              </w:rPr>
              <w:t>Repayments and settlements (unaudited)</w:t>
            </w:r>
          </w:p>
        </w:tc>
        <w:tc>
          <w:tcPr>
            <w:tcW w:w="260" w:type="dxa"/>
            <w:vAlign w:val="bottom"/>
          </w:tcPr>
          <w:p>
            <w:pPr>
              <w:spacing w:after="0"/>
              <w:rPr>
                <w:sz w:val="13"/>
                <w:szCs w:val="13"/>
                <w:color w:val="auto"/>
              </w:rPr>
            </w:pPr>
          </w:p>
        </w:tc>
        <w:tc>
          <w:tcPr>
            <w:tcW w:w="1000" w:type="dxa"/>
            <w:vAlign w:val="bottom"/>
            <w:gridSpan w:val="2"/>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58"/>
        </w:trPr>
        <w:tc>
          <w:tcPr>
            <w:tcW w:w="69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26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60"/>
              <w:spacing w:after="0" w:line="15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Fair value at September 30, 2020 (unaudited)</w:t>
            </w: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940" w:type="dxa"/>
            <w:vAlign w:val="bottom"/>
            <w:vMerge w:val="continue"/>
          </w:tcPr>
          <w:p>
            <w:pPr>
              <w:spacing w:after="0"/>
              <w:rPr>
                <w:sz w:val="13"/>
                <w:szCs w:val="13"/>
                <w:color w:val="auto"/>
              </w:rPr>
            </w:pPr>
          </w:p>
        </w:tc>
        <w:tc>
          <w:tcPr>
            <w:tcW w:w="260" w:type="dxa"/>
            <w:vAlign w:val="bottom"/>
          </w:tcPr>
          <w:p>
            <w:pPr>
              <w:jc w:val="right"/>
              <w:ind w:right="113"/>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894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and Convertible Preferred Stock Warrants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Valuation Methodology</w:t>
      </w:r>
    </w:p>
    <w:p>
      <w:pPr>
        <w:spacing w:after="0" w:line="103"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The fair values the of common stock warrant liabilities and convertible preferred stock warrant liabilities are estimated using the Black-Scholes option-pricing model. The Black-Scholes option-pricing model considers several variables and assumptions in estimating the fair value of the warrants, including the per share fair value of the underlying securities, exercise price, expected term, risk-free interest rate, expected annual dividend yield and expected stock price volatility over the expected term.</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0220"/>
          </w:cols>
          <w:pgMar w:left="320" w:top="407" w:right="1359" w:bottom="1440" w:gutter="0" w:footer="0" w:header="0"/>
        </w:sectPr>
      </w:pPr>
    </w:p>
    <w:bookmarkStart w:id="279" w:name="page280"/>
    <w:bookmarkEnd w:id="27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Inputs and Assumptions</w:t>
      </w:r>
    </w:p>
    <w:p>
      <w:pPr>
        <w:spacing w:after="0" w:line="103"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following table presents quantitative information about the significant unobservable inputs used for the Company’s Level 3 fair value measurements for common stock and convertible preferred stock warrants: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gridSpan w:val="7"/>
          </w:tcPr>
          <w:p>
            <w:pPr>
              <w:ind w:left="40"/>
              <w:spacing w:after="0"/>
              <w:rPr>
                <w:sz w:val="20"/>
                <w:szCs w:val="20"/>
                <w:color w:val="auto"/>
              </w:rPr>
            </w:pPr>
            <w:r>
              <w:rPr>
                <w:rFonts w:ascii="Arial" w:cs="Arial" w:eastAsia="Arial" w:hAnsi="Arial"/>
                <w:sz w:val="12"/>
                <w:szCs w:val="12"/>
                <w:b w:val="1"/>
                <w:bCs w:val="1"/>
                <w:color w:val="auto"/>
              </w:rPr>
              <w:t>December 31, 2018</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6"/>
          </w:tcPr>
          <w:p>
            <w:pPr>
              <w:jc w:val="right"/>
              <w:ind w:right="680"/>
              <w:spacing w:after="0"/>
              <w:rPr>
                <w:sz w:val="20"/>
                <w:szCs w:val="20"/>
                <w:color w:val="auto"/>
              </w:rPr>
            </w:pPr>
            <w:r>
              <w:rPr>
                <w:rFonts w:ascii="Arial" w:cs="Arial" w:eastAsia="Arial" w:hAnsi="Arial"/>
                <w:sz w:val="12"/>
                <w:szCs w:val="12"/>
                <w:b w:val="1"/>
                <w:bCs w:val="1"/>
                <w:color w:val="auto"/>
              </w:rPr>
              <w:t>December 31, 2019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rPr>
              <w:t>September 30, 2020</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12"/>
        </w:trPr>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ind w:left="20"/>
              <w:spacing w:after="0" w:line="113" w:lineRule="exact"/>
              <w:rPr>
                <w:sz w:val="20"/>
                <w:szCs w:val="20"/>
                <w:color w:val="auto"/>
              </w:rPr>
            </w:pPr>
            <w:r>
              <w:rPr>
                <w:rFonts w:ascii="Arial" w:cs="Arial" w:eastAsia="Arial" w:hAnsi="Arial"/>
                <w:sz w:val="12"/>
                <w:szCs w:val="12"/>
                <w:b w:val="1"/>
                <w:bCs w:val="1"/>
                <w:color w:val="auto"/>
                <w:w w:val="96"/>
              </w:rPr>
              <w:t>Weighted-</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w w:val="99"/>
              </w:rPr>
              <w:t>Weighted-</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w w:val="96"/>
              </w:rPr>
              <w:t>Weighted-</w:t>
            </w:r>
          </w:p>
        </w:tc>
        <w:tc>
          <w:tcPr>
            <w:tcW w:w="40" w:type="dxa"/>
            <w:vAlign w:val="bottom"/>
          </w:tcPr>
          <w:p>
            <w:pPr>
              <w:spacing w:after="0"/>
              <w:rPr>
                <w:sz w:val="9"/>
                <w:szCs w:val="9"/>
                <w:color w:val="auto"/>
              </w:rPr>
            </w:pPr>
          </w:p>
        </w:tc>
      </w:tr>
      <w:tr>
        <w:trPr>
          <w:trHeight w:val="149"/>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Maximum</w:t>
            </w:r>
          </w:p>
        </w:tc>
        <w:tc>
          <w:tcPr>
            <w:tcW w:w="60" w:type="dxa"/>
            <w:vAlign w:val="bottom"/>
          </w:tcPr>
          <w:p>
            <w:pPr>
              <w:spacing w:after="0"/>
              <w:rPr>
                <w:sz w:val="12"/>
                <w:szCs w:val="12"/>
                <w:color w:val="auto"/>
              </w:rPr>
            </w:pPr>
          </w:p>
        </w:tc>
        <w:tc>
          <w:tcPr>
            <w:tcW w:w="820" w:type="dxa"/>
            <w:vAlign w:val="bottom"/>
            <w:gridSpan w:val="3"/>
          </w:tcPr>
          <w:p>
            <w:pPr>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c>
          <w:tcPr>
            <w:tcW w:w="8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Maximum</w:t>
            </w:r>
          </w:p>
        </w:tc>
        <w:tc>
          <w:tcPr>
            <w:tcW w:w="720" w:type="dxa"/>
            <w:vAlign w:val="bottom"/>
            <w:gridSpan w:val="2"/>
          </w:tcPr>
          <w:p>
            <w:pPr>
              <w:jc w:val="right"/>
              <w:ind w:right="120"/>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c>
          <w:tcPr>
            <w:tcW w:w="1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Minimum</w:t>
            </w:r>
          </w:p>
        </w:tc>
        <w:tc>
          <w:tcPr>
            <w:tcW w:w="80" w:type="dxa"/>
            <w:vAlign w:val="bottom"/>
          </w:tcPr>
          <w:p>
            <w:pPr>
              <w:spacing w:after="0"/>
              <w:rPr>
                <w:sz w:val="12"/>
                <w:szCs w:val="12"/>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Maximum</w:t>
            </w:r>
          </w:p>
        </w:tc>
        <w:tc>
          <w:tcPr>
            <w:tcW w:w="640" w:type="dxa"/>
            <w:vAlign w:val="bottom"/>
            <w:gridSpan w:val="2"/>
          </w:tcPr>
          <w:p>
            <w:pPr>
              <w:jc w:val="right"/>
              <w:ind w:right="40"/>
              <w:spacing w:after="0" w:line="150" w:lineRule="exact"/>
              <w:rPr>
                <w:sz w:val="20"/>
                <w:szCs w:val="20"/>
                <w:color w:val="auto"/>
              </w:rPr>
            </w:pPr>
            <w:r>
              <w:rPr>
                <w:rFonts w:ascii="Arial" w:cs="Arial" w:eastAsia="Arial" w:hAnsi="Arial"/>
                <w:sz w:val="11"/>
                <w:szCs w:val="11"/>
                <w:b w:val="1"/>
                <w:bCs w:val="1"/>
                <w:color w:val="auto"/>
              </w:rPr>
              <w:t>Average</w:t>
            </w:r>
            <w:r>
              <w:rPr>
                <w:rFonts w:ascii="Arial" w:cs="Arial" w:eastAsia="Arial" w:hAnsi="Arial"/>
                <w:sz w:val="17"/>
                <w:szCs w:val="17"/>
                <w:b w:val="1"/>
                <w:bCs w:val="1"/>
                <w:color w:val="auto"/>
                <w:vertAlign w:val="superscript"/>
              </w:rPr>
              <w:t>(1)</w:t>
            </w:r>
          </w:p>
        </w:tc>
      </w:tr>
      <w:tr>
        <w:trPr>
          <w:trHeight w:val="126"/>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3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3"/>
        </w:trPr>
        <w:tc>
          <w:tcPr>
            <w:tcW w:w="17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Convertible preferred</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2"/>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stock warrant 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Annual volatility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67.64%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75.19%</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69.04%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53.00%</w:t>
            </w:r>
          </w:p>
        </w:tc>
        <w:tc>
          <w:tcPr>
            <w:tcW w:w="160" w:type="dxa"/>
            <w:vAlign w:val="bottom"/>
          </w:tcPr>
          <w:p>
            <w:pPr>
              <w:spacing w:after="0"/>
              <w:rPr>
                <w:sz w:val="13"/>
                <w:szCs w:val="13"/>
                <w:color w:val="auto"/>
              </w:rPr>
            </w:pPr>
          </w:p>
        </w:tc>
        <w:tc>
          <w:tcPr>
            <w:tcW w:w="6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55.89%</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80.00%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81.81%</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(years)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0.46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2.86</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0.50</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1.86</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0.21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1.11</w:t>
            </w:r>
          </w:p>
        </w:tc>
        <w:tc>
          <w:tcPr>
            <w:tcW w:w="3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Dividend 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interest rate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2.47%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2.32%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1.58%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1.60%</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0.12%</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9"/>
        </w:trPr>
        <w:tc>
          <w:tcPr>
            <w:tcW w:w="1720" w:type="dxa"/>
            <w:vAlign w:val="bottom"/>
          </w:tcPr>
          <w:p>
            <w:pPr>
              <w:spacing w:after="0" w:line="159" w:lineRule="exact"/>
              <w:rPr>
                <w:sz w:val="20"/>
                <w:szCs w:val="20"/>
                <w:color w:val="auto"/>
              </w:rPr>
            </w:pPr>
            <w:r>
              <w:rPr>
                <w:rFonts w:ascii="Arial" w:cs="Arial" w:eastAsia="Arial" w:hAnsi="Arial"/>
                <w:sz w:val="14"/>
                <w:szCs w:val="14"/>
                <w:color w:val="auto"/>
              </w:rPr>
              <w:t>Fair value of underlying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72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5.37</w:t>
            </w: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5.37</w:t>
            </w:r>
          </w:p>
        </w:tc>
        <w:tc>
          <w:tcPr>
            <w:tcW w:w="180" w:type="dxa"/>
            <w:vAlign w:val="bottom"/>
          </w:tcPr>
          <w:p>
            <w:pPr>
              <w:spacing w:after="0"/>
              <w:rPr>
                <w:sz w:val="14"/>
                <w:szCs w:val="14"/>
                <w:color w:val="auto"/>
              </w:rPr>
            </w:pPr>
          </w:p>
        </w:tc>
        <w:tc>
          <w:tcPr>
            <w:tcW w:w="2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5.37</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6.68</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12.22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8.12</w:t>
            </w:r>
          </w:p>
        </w:tc>
        <w:tc>
          <w:tcPr>
            <w:tcW w:w="2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13.86</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84"/>
        </w:trPr>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43"/>
        </w:trPr>
        <w:tc>
          <w:tcPr>
            <w:tcW w:w="17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Common stock warrant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2"/>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Annual volatility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20"/>
              <w:spacing w:after="0" w:line="158" w:lineRule="exact"/>
              <w:rPr>
                <w:sz w:val="20"/>
                <w:szCs w:val="20"/>
                <w:color w:val="auto"/>
              </w:rPr>
            </w:pPr>
            <w:r>
              <w:rPr>
                <w:rFonts w:ascii="Arial" w:cs="Arial" w:eastAsia="Arial" w:hAnsi="Arial"/>
                <w:sz w:val="14"/>
                <w:szCs w:val="14"/>
                <w:color w:val="auto"/>
              </w:rPr>
              <w:t>51.21%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57.39%</w:t>
            </w:r>
          </w:p>
        </w:tc>
        <w:tc>
          <w:tcPr>
            <w:tcW w:w="1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83.09%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Expected term (years)</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9.81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8.81</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8.06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tcPr>
          <w:p>
            <w:pPr>
              <w:spacing w:after="0" w:line="158" w:lineRule="exact"/>
              <w:rPr>
                <w:sz w:val="20"/>
                <w:szCs w:val="20"/>
                <w:color w:val="auto"/>
              </w:rPr>
            </w:pPr>
            <w:r>
              <w:rPr>
                <w:rFonts w:ascii="Arial" w:cs="Arial" w:eastAsia="Arial" w:hAnsi="Arial"/>
                <w:sz w:val="14"/>
                <w:szCs w:val="14"/>
                <w:color w:val="auto"/>
              </w:rPr>
              <w:t>Dividend rate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17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interest rate</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8" w:lineRule="exact"/>
              <w:rPr>
                <w:sz w:val="20"/>
                <w:szCs w:val="20"/>
                <w:color w:val="auto"/>
              </w:rPr>
            </w:pPr>
            <w:r>
              <w:rPr>
                <w:rFonts w:ascii="Arial" w:cs="Arial" w:eastAsia="Arial" w:hAnsi="Arial"/>
                <w:sz w:val="14"/>
                <w:szCs w:val="14"/>
                <w:color w:val="auto"/>
              </w:rPr>
              <w:t>2.67%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8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1.88%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0.52%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9"/>
        </w:trPr>
        <w:tc>
          <w:tcPr>
            <w:tcW w:w="1720" w:type="dxa"/>
            <w:vAlign w:val="bottom"/>
          </w:tcPr>
          <w:p>
            <w:pPr>
              <w:spacing w:after="0" w:line="159" w:lineRule="exact"/>
              <w:rPr>
                <w:sz w:val="20"/>
                <w:szCs w:val="20"/>
                <w:color w:val="auto"/>
              </w:rPr>
            </w:pPr>
            <w:r>
              <w:rPr>
                <w:rFonts w:ascii="Arial" w:cs="Arial" w:eastAsia="Arial" w:hAnsi="Arial"/>
                <w:sz w:val="14"/>
                <w:szCs w:val="14"/>
                <w:color w:val="auto"/>
              </w:rPr>
              <w:t>Fair value of underlying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72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3.80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8.88</w:t>
            </w:r>
          </w:p>
        </w:tc>
        <w:tc>
          <w:tcPr>
            <w:tcW w:w="16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10.71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67310</wp:posOffset>
            </wp:positionV>
            <wp:extent cx="64389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3890" cy="6985"/>
                    </a:xfrm>
                    <a:prstGeom prst="rect">
                      <a:avLst/>
                    </a:prstGeom>
                    <a:noFill/>
                  </pic:spPr>
                </pic:pic>
              </a:graphicData>
            </a:graphic>
          </wp:anchor>
        </w:drawing>
      </w:r>
    </w:p>
    <w:p>
      <w:pPr>
        <w:spacing w:after="0" w:line="131" w:lineRule="exact"/>
        <w:rPr>
          <w:sz w:val="20"/>
          <w:szCs w:val="20"/>
          <w:color w:val="auto"/>
        </w:rPr>
      </w:pPr>
    </w:p>
    <w:p>
      <w:pPr>
        <w:ind w:left="1480" w:hanging="453"/>
        <w:spacing w:after="0"/>
        <w:tabs>
          <w:tab w:leader="none" w:pos="14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Unobservable inputs were weighted based on convertible preferred stock warrants outstanding</w:t>
      </w:r>
    </w:p>
    <w:p>
      <w:pPr>
        <w:spacing w:after="0" w:line="98" w:lineRule="exact"/>
        <w:rPr>
          <w:sz w:val="20"/>
          <w:szCs w:val="20"/>
          <w:color w:val="auto"/>
        </w:rPr>
      </w:pPr>
    </w:p>
    <w:p>
      <w:pPr>
        <w:ind w:left="1480" w:right="440" w:hanging="453"/>
        <w:spacing w:after="0"/>
        <w:tabs>
          <w:tab w:leader="none" w:pos="1480" w:val="left"/>
        </w:tabs>
        <w:numPr>
          <w:ilvl w:val="0"/>
          <w:numId w:val="151"/>
        </w:numPr>
        <w:rPr>
          <w:rFonts w:ascii="Arial" w:cs="Arial" w:eastAsia="Arial" w:hAnsi="Arial"/>
          <w:sz w:val="15"/>
          <w:szCs w:val="15"/>
          <w:color w:val="auto"/>
        </w:rPr>
      </w:pPr>
      <w:r>
        <w:rPr>
          <w:rFonts w:ascii="Arial" w:cs="Arial" w:eastAsia="Arial" w:hAnsi="Arial"/>
          <w:sz w:val="15"/>
          <w:szCs w:val="15"/>
          <w:color w:val="auto"/>
        </w:rPr>
        <w:t>Not applicable as of the respective periods presented. Only one set of each of the convertible preferred stock warrants and common stock warrants were outstanding as of December 31, 2019 and September 30, 2020. Accordingly, weighted average inputs are not applicable.</w:t>
      </w:r>
    </w:p>
    <w:p>
      <w:pPr>
        <w:spacing w:after="0" w:line="154" w:lineRule="exact"/>
        <w:rPr>
          <w:sz w:val="20"/>
          <w:szCs w:val="20"/>
          <w:color w:val="auto"/>
        </w:rPr>
      </w:pPr>
    </w:p>
    <w:p>
      <w:pPr>
        <w:jc w:val="both"/>
        <w:ind w:left="1020" w:right="40" w:firstLine="460"/>
        <w:spacing w:after="0" w:line="251" w:lineRule="auto"/>
        <w:rPr>
          <w:sz w:val="20"/>
          <w:szCs w:val="20"/>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—Since the Company is privately held and does not have an active trading market for its common or convertible preferred</w:t>
      </w:r>
      <w:r>
        <w:rPr>
          <w:rFonts w:ascii="Arial" w:cs="Arial" w:eastAsia="Arial" w:hAnsi="Arial"/>
          <w:sz w:val="15"/>
          <w:szCs w:val="15"/>
          <w:i w:val="1"/>
          <w:iCs w:val="1"/>
          <w:color w:val="auto"/>
        </w:rPr>
        <w:t xml:space="preserve"> </w:t>
      </w:r>
      <w:r>
        <w:rPr>
          <w:rFonts w:ascii="Arial" w:cs="Arial" w:eastAsia="Arial" w:hAnsi="Arial"/>
          <w:sz w:val="15"/>
          <w:szCs w:val="15"/>
          <w:color w:val="auto"/>
        </w:rPr>
        <w:t>stock, the expected volatility is estimated based on the average volatility for comparable publicly-traded companies, over a period equal to the expected term of the warrants.</w:t>
      </w:r>
    </w:p>
    <w:p>
      <w:pPr>
        <w:spacing w:after="0" w:line="1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contractual life of the warrants being valued.</w:t>
      </w:r>
    </w:p>
    <w:p>
      <w:pPr>
        <w:spacing w:after="0" w:line="177" w:lineRule="exact"/>
        <w:rPr>
          <w:sz w:val="20"/>
          <w:szCs w:val="20"/>
          <w:color w:val="auto"/>
        </w:rPr>
      </w:pPr>
    </w:p>
    <w:p>
      <w:pPr>
        <w:jc w:val="both"/>
        <w:ind w:left="1020" w:right="60" w:firstLine="460"/>
        <w:spacing w:after="0" w:line="267" w:lineRule="auto"/>
        <w:rPr>
          <w:sz w:val="20"/>
          <w:szCs w:val="20"/>
          <w:color w:val="auto"/>
        </w:rPr>
      </w:pPr>
      <w:r>
        <w:rPr>
          <w:rFonts w:ascii="Arial" w:cs="Arial" w:eastAsia="Arial" w:hAnsi="Arial"/>
          <w:sz w:val="15"/>
          <w:szCs w:val="15"/>
          <w:i w:val="1"/>
          <w:iCs w:val="1"/>
          <w:color w:val="auto"/>
        </w:rPr>
        <w:t>Dividend rate</w:t>
      </w:r>
      <w:r>
        <w:rPr>
          <w:rFonts w:ascii="Arial" w:cs="Arial" w:eastAsia="Arial" w:hAnsi="Arial"/>
          <w:sz w:val="15"/>
          <w:szCs w:val="15"/>
          <w:color w:val="auto"/>
        </w:rPr>
        <w:t>—The Company has never paid dividends on its common stock or convertible preferred stock and does not anticipate</w:t>
      </w:r>
      <w:r>
        <w:rPr>
          <w:rFonts w:ascii="Arial" w:cs="Arial" w:eastAsia="Arial" w:hAnsi="Arial"/>
          <w:sz w:val="15"/>
          <w:szCs w:val="15"/>
          <w:i w:val="1"/>
          <w:iCs w:val="1"/>
          <w:color w:val="auto"/>
        </w:rPr>
        <w:t xml:space="preserve"> </w:t>
      </w:r>
      <w:r>
        <w:rPr>
          <w:rFonts w:ascii="Arial" w:cs="Arial" w:eastAsia="Arial" w:hAnsi="Arial"/>
          <w:sz w:val="15"/>
          <w:szCs w:val="15"/>
          <w:color w:val="auto"/>
        </w:rPr>
        <w:t>paying dividends on common stock. Therefore, the Company uses an expected dividend yield of zero.</w:t>
      </w:r>
    </w:p>
    <w:p>
      <w:pPr>
        <w:spacing w:after="0" w:line="135" w:lineRule="exact"/>
        <w:rPr>
          <w:sz w:val="20"/>
          <w:szCs w:val="20"/>
          <w:color w:val="auto"/>
        </w:rPr>
      </w:pPr>
    </w:p>
    <w:p>
      <w:pPr>
        <w:ind w:left="1020" w:right="460" w:firstLine="460"/>
        <w:spacing w:after="0" w:line="267" w:lineRule="auto"/>
        <w:rPr>
          <w:sz w:val="20"/>
          <w:szCs w:val="20"/>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—The risk-free interest rate is determined from the implied yields from U.S. Treasury zero-coupon bonds with a</w:t>
      </w:r>
      <w:r>
        <w:rPr>
          <w:rFonts w:ascii="Arial" w:cs="Arial" w:eastAsia="Arial" w:hAnsi="Arial"/>
          <w:sz w:val="15"/>
          <w:szCs w:val="15"/>
          <w:i w:val="1"/>
          <w:iCs w:val="1"/>
          <w:color w:val="auto"/>
        </w:rPr>
        <w:t xml:space="preserve"> </w:t>
      </w:r>
      <w:r>
        <w:rPr>
          <w:rFonts w:ascii="Arial" w:cs="Arial" w:eastAsia="Arial" w:hAnsi="Arial"/>
          <w:sz w:val="15"/>
          <w:szCs w:val="15"/>
          <w:color w:val="auto"/>
        </w:rPr>
        <w:t>remaining term consistent with the contractual term of the warrants being valued.</w:t>
      </w:r>
    </w:p>
    <w:p>
      <w:pPr>
        <w:spacing w:after="0" w:line="9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0220"/>
          </w:cols>
          <w:pgMar w:left="320" w:top="407" w:right="1359" w:bottom="1440" w:gutter="0" w:footer="0" w:header="0"/>
        </w:sectPr>
      </w:pPr>
    </w:p>
    <w:bookmarkStart w:id="280" w:name="page281"/>
    <w:bookmarkEnd w:id="28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020" w:firstLine="460"/>
        <w:spacing w:after="0" w:line="243" w:lineRule="auto"/>
        <w:rPr>
          <w:sz w:val="20"/>
          <w:szCs w:val="20"/>
          <w:color w:val="auto"/>
        </w:rPr>
      </w:pPr>
      <w:r>
        <w:rPr>
          <w:rFonts w:ascii="Arial" w:cs="Arial" w:eastAsia="Arial" w:hAnsi="Arial"/>
          <w:sz w:val="15"/>
          <w:szCs w:val="15"/>
          <w:i w:val="1"/>
          <w:iCs w:val="1"/>
          <w:color w:val="auto"/>
        </w:rPr>
        <w:t>Fair value of underlying security</w:t>
      </w:r>
      <w:r>
        <w:rPr>
          <w:rFonts w:ascii="Arial" w:cs="Arial" w:eastAsia="Arial" w:hAnsi="Arial"/>
          <w:sz w:val="15"/>
          <w:szCs w:val="15"/>
          <w:color w:val="auto"/>
        </w:rPr>
        <w:t>—The estimated fair value of the shares of underlying securities is determined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there is no public market for the Company’s common stock or preferred stock. The board of directors determines the fair value of the underlying securities by considering a number of objective and subjective factors, including: third-party valuations of the Company’s common stock and convertible preferred stock, the valuation of comparable companies, the Company’s operating and financial performance, and a general and an industry-specific economic outlook, amongst other factors.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Significant Recurring Level 3 Fair Value Input Sensitivity</w:t>
      </w:r>
    </w:p>
    <w:p>
      <w:pPr>
        <w:spacing w:after="0" w:line="103" w:lineRule="exact"/>
        <w:rPr>
          <w:sz w:val="20"/>
          <w:szCs w:val="20"/>
          <w:color w:val="auto"/>
        </w:rPr>
      </w:pPr>
    </w:p>
    <w:p>
      <w:pPr>
        <w:ind w:left="1020" w:right="560" w:firstLine="460"/>
        <w:spacing w:after="0" w:line="245" w:lineRule="auto"/>
        <w:rPr>
          <w:sz w:val="20"/>
          <w:szCs w:val="20"/>
          <w:color w:val="auto"/>
        </w:rPr>
      </w:pPr>
      <w:r>
        <w:rPr>
          <w:rFonts w:ascii="Arial" w:cs="Arial" w:eastAsia="Arial" w:hAnsi="Arial"/>
          <w:sz w:val="15"/>
          <w:szCs w:val="15"/>
          <w:color w:val="auto"/>
        </w:rPr>
        <w:t>The fair value sensitivity of the common stock warrant liabilities and convertible preferred stock warrant liabilities to adverse changes in key assumptions would not result in a material impact on the Company’s financial position.</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Rollforward of Level 3 Fair Values</w:t>
      </w:r>
    </w:p>
    <w:p>
      <w:pPr>
        <w:spacing w:after="0" w:line="103" w:lineRule="exact"/>
        <w:rPr>
          <w:sz w:val="20"/>
          <w:szCs w:val="20"/>
          <w:color w:val="auto"/>
        </w:rPr>
      </w:pPr>
    </w:p>
    <w:p>
      <w:pPr>
        <w:ind w:left="1020" w:right="160" w:firstLine="460"/>
        <w:spacing w:after="0" w:line="245" w:lineRule="auto"/>
        <w:rPr>
          <w:sz w:val="20"/>
          <w:szCs w:val="20"/>
          <w:color w:val="auto"/>
        </w:rPr>
      </w:pPr>
      <w:r>
        <w:rPr>
          <w:rFonts w:ascii="Arial" w:cs="Arial" w:eastAsia="Arial" w:hAnsi="Arial"/>
          <w:sz w:val="15"/>
          <w:szCs w:val="15"/>
          <w:color w:val="auto"/>
        </w:rPr>
        <w:t>The following table presents a rollforward of the common stock warrant liabilities and convertible preferred stock warrant liabilities classified by the Company within Level 3 of the fair value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Convertible</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Common Stock</w:t>
            </w:r>
          </w:p>
        </w:tc>
        <w:tc>
          <w:tcPr>
            <w:tcW w:w="60" w:type="dxa"/>
            <w:vAlign w:val="bottom"/>
          </w:tcPr>
          <w:p>
            <w:pPr>
              <w:spacing w:after="0"/>
              <w:rPr>
                <w:sz w:val="11"/>
                <w:szCs w:val="11"/>
                <w:color w:val="auto"/>
              </w:rPr>
            </w:pPr>
          </w:p>
        </w:tc>
        <w:tc>
          <w:tcPr>
            <w:tcW w:w="1080" w:type="dxa"/>
            <w:vAlign w:val="bottom"/>
            <w:gridSpan w:val="2"/>
          </w:tcPr>
          <w:p>
            <w:pPr>
              <w:jc w:val="right"/>
              <w:ind w:right="180"/>
              <w:spacing w:after="0" w:line="136" w:lineRule="exact"/>
              <w:rPr>
                <w:sz w:val="20"/>
                <w:szCs w:val="20"/>
                <w:color w:val="auto"/>
              </w:rPr>
            </w:pPr>
            <w:r>
              <w:rPr>
                <w:rFonts w:ascii="Arial" w:cs="Arial" w:eastAsia="Arial" w:hAnsi="Arial"/>
                <w:sz w:val="12"/>
                <w:szCs w:val="12"/>
                <w:b w:val="1"/>
                <w:bCs w:val="1"/>
                <w:color w:val="auto"/>
                <w:w w:val="98"/>
              </w:rPr>
              <w:t>Preferred Stock</w:t>
            </w:r>
          </w:p>
        </w:tc>
        <w:tc>
          <w:tcPr>
            <w:tcW w:w="0" w:type="dxa"/>
            <w:vAlign w:val="bottom"/>
          </w:tcPr>
          <w:p>
            <w:pPr>
              <w:spacing w:after="0"/>
              <w:rPr>
                <w:sz w:val="1"/>
                <w:szCs w:val="1"/>
                <w:color w:val="auto"/>
              </w:rPr>
            </w:pPr>
          </w:p>
        </w:tc>
      </w:tr>
      <w:tr>
        <w:trPr>
          <w:trHeight w:val="145"/>
        </w:trPr>
        <w:tc>
          <w:tcPr>
            <w:tcW w:w="6600" w:type="dxa"/>
            <w:vAlign w:val="bottom"/>
          </w:tcPr>
          <w:p>
            <w:pPr>
              <w:spacing w:after="0"/>
              <w:rPr>
                <w:sz w:val="12"/>
                <w:szCs w:val="12"/>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Warrant Liabilities</w:t>
            </w:r>
          </w:p>
        </w:tc>
        <w:tc>
          <w:tcPr>
            <w:tcW w:w="1140" w:type="dxa"/>
            <w:vAlign w:val="bottom"/>
            <w:gridSpan w:val="3"/>
          </w:tcPr>
          <w:p>
            <w:pPr>
              <w:spacing w:after="0"/>
              <w:rPr>
                <w:sz w:val="20"/>
                <w:szCs w:val="20"/>
                <w:color w:val="auto"/>
              </w:rPr>
            </w:pPr>
            <w:r>
              <w:rPr>
                <w:rFonts w:ascii="Arial" w:cs="Arial" w:eastAsia="Arial" w:hAnsi="Arial"/>
                <w:sz w:val="12"/>
                <w:szCs w:val="12"/>
                <w:b w:val="1"/>
                <w:bCs w:val="1"/>
                <w:color w:val="auto"/>
              </w:rPr>
              <w:t>Warrant Liabilities</w:t>
            </w:r>
          </w:p>
        </w:tc>
        <w:tc>
          <w:tcPr>
            <w:tcW w:w="0" w:type="dxa"/>
            <w:vAlign w:val="bottom"/>
          </w:tcPr>
          <w:p>
            <w:pPr>
              <w:spacing w:after="0"/>
              <w:rPr>
                <w:sz w:val="1"/>
                <w:szCs w:val="1"/>
                <w:color w:val="auto"/>
              </w:rPr>
            </w:pPr>
          </w:p>
        </w:tc>
      </w:tr>
      <w:tr>
        <w:trPr>
          <w:trHeight w:val="20"/>
        </w:trPr>
        <w:tc>
          <w:tcPr>
            <w:tcW w:w="66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2017</w:t>
            </w: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60"/>
        </w:trPr>
        <w:tc>
          <w:tcPr>
            <w:tcW w:w="6600" w:type="dxa"/>
            <w:vAlign w:val="bottom"/>
          </w:tcPr>
          <w:p>
            <w:pPr>
              <w:ind w:left="280"/>
              <w:spacing w:after="0"/>
              <w:rPr>
                <w:sz w:val="20"/>
                <w:szCs w:val="20"/>
                <w:color w:val="auto"/>
              </w:rPr>
            </w:pPr>
            <w:r>
              <w:rPr>
                <w:rFonts w:ascii="Arial" w:cs="Arial" w:eastAsia="Arial" w:hAnsi="Arial"/>
                <w:sz w:val="14"/>
                <w:szCs w:val="14"/>
                <w:color w:val="auto"/>
              </w:rPr>
              <w:t>Issuance of warrants</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227</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2,695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Exercises in the period</w:t>
            </w:r>
          </w:p>
        </w:tc>
        <w:tc>
          <w:tcPr>
            <w:tcW w:w="80" w:type="dxa"/>
            <w:vAlign w:val="bottom"/>
            <w:shd w:val="clear" w:color="auto" w:fill="CCEEFF"/>
          </w:tcPr>
          <w:p>
            <w:pPr>
              <w:spacing w:after="0"/>
              <w:rPr>
                <w:sz w:val="13"/>
                <w:szCs w:val="13"/>
                <w:color w:val="auto"/>
              </w:rPr>
            </w:pPr>
          </w:p>
        </w:tc>
        <w:tc>
          <w:tcPr>
            <w:tcW w:w="1380" w:type="dxa"/>
            <w:vAlign w:val="bottom"/>
            <w:gridSpan w:val="3"/>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(1,131)</w:t>
            </w:r>
          </w:p>
        </w:tc>
        <w:tc>
          <w:tcPr>
            <w:tcW w:w="0" w:type="dxa"/>
            <w:vAlign w:val="bottom"/>
          </w:tcPr>
          <w:p>
            <w:pPr>
              <w:spacing w:after="0"/>
              <w:rPr>
                <w:sz w:val="1"/>
                <w:szCs w:val="1"/>
                <w:color w:val="auto"/>
              </w:rPr>
            </w:pPr>
          </w:p>
        </w:tc>
      </w:tr>
      <w:tr>
        <w:trPr>
          <w:trHeight w:val="158"/>
        </w:trPr>
        <w:tc>
          <w:tcPr>
            <w:tcW w:w="6600" w:type="dxa"/>
            <w:vAlign w:val="bottom"/>
          </w:tcPr>
          <w:p>
            <w:pPr>
              <w:ind w:left="280"/>
              <w:spacing w:after="0" w:line="158" w:lineRule="exact"/>
              <w:rPr>
                <w:sz w:val="20"/>
                <w:szCs w:val="20"/>
                <w:color w:val="auto"/>
              </w:rPr>
            </w:pPr>
            <w:r>
              <w:rPr>
                <w:rFonts w:ascii="Arial" w:cs="Arial" w:eastAsia="Arial" w:hAnsi="Arial"/>
                <w:sz w:val="14"/>
                <w:szCs w:val="14"/>
                <w:color w:val="auto"/>
              </w:rPr>
              <w:t>Repurchases and retirements in the period</w:t>
            </w:r>
          </w:p>
        </w:tc>
        <w:tc>
          <w:tcPr>
            <w:tcW w:w="80" w:type="dxa"/>
            <w:vAlign w:val="bottom"/>
          </w:tcPr>
          <w:p>
            <w:pPr>
              <w:spacing w:after="0"/>
              <w:rPr>
                <w:sz w:val="13"/>
                <w:szCs w:val="13"/>
                <w:color w:val="auto"/>
              </w:rPr>
            </w:pPr>
          </w:p>
        </w:tc>
        <w:tc>
          <w:tcPr>
            <w:tcW w:w="1380" w:type="dxa"/>
            <w:vAlign w:val="bottom"/>
            <w:gridSpan w:val="3"/>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8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(5,083)</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w:t>
            </w:r>
          </w:p>
        </w:tc>
        <w:tc>
          <w:tcPr>
            <w:tcW w:w="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689</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4,301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80" w:type="dxa"/>
            <w:vAlign w:val="bottom"/>
            <w:gridSpan w:val="3"/>
          </w:tcPr>
          <w:p>
            <w:pPr>
              <w:jc w:val="right"/>
              <w:ind w:right="420"/>
              <w:spacing w:after="0"/>
              <w:rPr>
                <w:sz w:val="20"/>
                <w:szCs w:val="20"/>
                <w:color w:val="auto"/>
              </w:rPr>
            </w:pPr>
            <w:r>
              <w:rPr>
                <w:rFonts w:ascii="Arial" w:cs="Arial" w:eastAsia="Arial" w:hAnsi="Arial"/>
                <w:sz w:val="14"/>
                <w:szCs w:val="14"/>
                <w:color w:val="auto"/>
              </w:rPr>
              <w:t>1,136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5,666</w:t>
            </w:r>
          </w:p>
        </w:tc>
        <w:tc>
          <w:tcPr>
            <w:tcW w:w="0" w:type="dxa"/>
            <w:vAlign w:val="bottom"/>
          </w:tcPr>
          <w:p>
            <w:pPr>
              <w:spacing w:after="0"/>
              <w:rPr>
                <w:sz w:val="1"/>
                <w:szCs w:val="1"/>
                <w:color w:val="auto"/>
              </w:rPr>
            </w:pPr>
          </w:p>
        </w:tc>
      </w:tr>
      <w:tr>
        <w:trPr>
          <w:trHeight w:val="158"/>
        </w:trPr>
        <w:tc>
          <w:tcPr>
            <w:tcW w:w="660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Changes in fair value recorded in earnings (unaudited)</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471</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00" w:type="dxa"/>
            <w:vAlign w:val="bottom"/>
          </w:tcPr>
          <w:p>
            <w:pPr>
              <w:spacing w:after="0"/>
              <w:rPr>
                <w:sz w:val="20"/>
                <w:szCs w:val="20"/>
                <w:color w:val="auto"/>
              </w:rPr>
            </w:pPr>
            <w:r>
              <w:rPr>
                <w:rFonts w:ascii="Arial" w:cs="Arial" w:eastAsia="Arial" w:hAnsi="Arial"/>
                <w:sz w:val="14"/>
                <w:szCs w:val="14"/>
                <w:b w:val="1"/>
                <w:bCs w:val="1"/>
                <w:color w:val="auto"/>
              </w:rPr>
              <w:t>Balance as of September 30, 2020 (unaudited)</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1,607</w:t>
            </w:r>
          </w:p>
        </w:tc>
        <w:tc>
          <w:tcPr>
            <w:tcW w:w="40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7,458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5. Loans at Fair Value</w:t>
      </w:r>
    </w:p>
    <w:p>
      <w:pPr>
        <w:spacing w:after="0" w:line="105"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The following table presents the aggregate fair value and aggregate principal outstanding of all loans and loans that were 90 days or more past due included in the consolidated balance sheet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3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Loans</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8"/>
          </w:tcPr>
          <w:p>
            <w:pPr>
              <w:jc w:val="right"/>
              <w:ind w:right="334"/>
              <w:spacing w:after="0"/>
              <w:rPr>
                <w:sz w:val="20"/>
                <w:szCs w:val="20"/>
                <w:color w:val="auto"/>
              </w:rPr>
            </w:pPr>
            <w:r>
              <w:rPr>
                <w:rFonts w:ascii="Arial" w:cs="Arial" w:eastAsia="Arial" w:hAnsi="Arial"/>
                <w:sz w:val="12"/>
                <w:szCs w:val="12"/>
                <w:b w:val="1"/>
                <w:bCs w:val="1"/>
                <w:color w:val="auto"/>
              </w:rPr>
              <w:t>Loans &gt; 90 Days Past Due</w:t>
            </w:r>
          </w:p>
        </w:tc>
        <w:tc>
          <w:tcPr>
            <w:tcW w:w="80" w:type="dxa"/>
            <w:vAlign w:val="bottom"/>
          </w:tcPr>
          <w:p>
            <w:pPr>
              <w:spacing w:after="0"/>
              <w:rPr>
                <w:sz w:val="12"/>
                <w:szCs w:val="12"/>
                <w:color w:val="auto"/>
              </w:rPr>
            </w:pPr>
          </w:p>
        </w:tc>
      </w:tr>
      <w:tr>
        <w:trPr>
          <w:trHeight w:val="126"/>
        </w:trPr>
        <w:tc>
          <w:tcPr>
            <w:tcW w:w="3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80" w:type="dxa"/>
            <w:vAlign w:val="bottom"/>
            <w:gridSpan w:val="4"/>
          </w:tcPr>
          <w:p>
            <w:pPr>
              <w:jc w:val="right"/>
              <w:ind w:right="580"/>
              <w:spacing w:after="0" w:line="126" w:lineRule="exact"/>
              <w:rPr>
                <w:sz w:val="20"/>
                <w:szCs w:val="20"/>
                <w:color w:val="auto"/>
              </w:rPr>
            </w:pPr>
            <w:r>
              <w:rPr>
                <w:rFonts w:ascii="Arial" w:cs="Arial" w:eastAsia="Arial" w:hAnsi="Arial"/>
                <w:sz w:val="12"/>
                <w:szCs w:val="12"/>
                <w:b w:val="1"/>
                <w:bCs w:val="1"/>
                <w:color w:val="auto"/>
              </w:rPr>
              <w:t>December 31,</w:t>
            </w:r>
          </w:p>
        </w:tc>
        <w:tc>
          <w:tcPr>
            <w:tcW w:w="9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6"/>
          </w:tcPr>
          <w:p>
            <w:pPr>
              <w:jc w:val="right"/>
              <w:ind w:right="480"/>
              <w:spacing w:after="0" w:line="126" w:lineRule="exact"/>
              <w:rPr>
                <w:sz w:val="20"/>
                <w:szCs w:val="20"/>
                <w:color w:val="auto"/>
              </w:rPr>
            </w:pPr>
            <w:r>
              <w:rPr>
                <w:rFonts w:ascii="Arial" w:cs="Arial" w:eastAsia="Arial" w:hAnsi="Arial"/>
                <w:sz w:val="12"/>
                <w:szCs w:val="12"/>
                <w:b w:val="1"/>
                <w:bCs w:val="1"/>
                <w:color w:val="auto"/>
              </w:rPr>
              <w:t>December 31,</w:t>
            </w:r>
          </w:p>
        </w:tc>
        <w:tc>
          <w:tcPr>
            <w:tcW w:w="88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September 30</w:t>
            </w:r>
          </w:p>
        </w:tc>
      </w:tr>
      <w:tr>
        <w:trPr>
          <w:trHeight w:val="126"/>
        </w:trPr>
        <w:tc>
          <w:tcPr>
            <w:tcW w:w="3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97"/>
              <w:spacing w:after="0" w:line="126" w:lineRule="exact"/>
              <w:rPr>
                <w:sz w:val="20"/>
                <w:szCs w:val="20"/>
                <w:color w:val="auto"/>
              </w:rPr>
            </w:pPr>
            <w:r>
              <w:rPr>
                <w:rFonts w:ascii="Arial" w:cs="Arial" w:eastAsia="Arial" w:hAnsi="Arial"/>
                <w:sz w:val="12"/>
                <w:szCs w:val="12"/>
                <w:b w:val="1"/>
                <w:bCs w:val="1"/>
                <w:color w:val="auto"/>
              </w:rPr>
              <w:t>2018</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95"/>
              <w:spacing w:after="0" w:line="126" w:lineRule="exact"/>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6"/>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w w:val="97"/>
              </w:rPr>
              <w:t>2019</w:t>
            </w: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9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3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 w:type="dxa"/>
            <w:vAlign w:val="bottom"/>
          </w:tcPr>
          <w:p>
            <w:pPr>
              <w:spacing w:after="0"/>
              <w:rPr>
                <w:sz w:val="10"/>
                <w:szCs w:val="10"/>
                <w:color w:val="auto"/>
              </w:rPr>
            </w:pPr>
          </w:p>
        </w:tc>
      </w:tr>
      <w:tr>
        <w:trPr>
          <w:trHeight w:val="158"/>
        </w:trPr>
        <w:tc>
          <w:tcPr>
            <w:tcW w:w="35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Outstanding principal balance</w:t>
            </w:r>
          </w:p>
        </w:tc>
        <w:tc>
          <w:tcPr>
            <w:tcW w:w="1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$550,466</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5"/>
              </w:rPr>
              <w:t>$276,974</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142,394</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4,362</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1,926</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1,398</w:t>
            </w:r>
          </w:p>
        </w:tc>
      </w:tr>
      <w:tr>
        <w:trPr>
          <w:trHeight w:val="158"/>
        </w:trPr>
        <w:tc>
          <w:tcPr>
            <w:tcW w:w="3500" w:type="dxa"/>
            <w:vAlign w:val="bottom"/>
          </w:tcPr>
          <w:p>
            <w:pPr>
              <w:spacing w:after="0" w:line="158" w:lineRule="exact"/>
              <w:rPr>
                <w:sz w:val="20"/>
                <w:szCs w:val="20"/>
                <w:color w:val="auto"/>
              </w:rPr>
            </w:pPr>
            <w:r>
              <w:rPr>
                <w:rFonts w:ascii="Arial" w:cs="Arial" w:eastAsia="Arial" w:hAnsi="Arial"/>
                <w:sz w:val="14"/>
                <w:szCs w:val="14"/>
                <w:color w:val="auto"/>
              </w:rPr>
              <w:t>Net fair value and accrued interest adjustments</w:t>
            </w:r>
          </w:p>
        </w:tc>
        <w:tc>
          <w:tcPr>
            <w:tcW w:w="680" w:type="dxa"/>
            <w:vAlign w:val="bottom"/>
          </w:tcPr>
          <w:p>
            <w:pPr>
              <w:spacing w:after="0"/>
              <w:rPr>
                <w:sz w:val="13"/>
                <w:szCs w:val="13"/>
                <w:color w:val="auto"/>
              </w:rPr>
            </w:pP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(47,800)</w:t>
            </w: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(44,669)</w:t>
            </w:r>
          </w:p>
        </w:tc>
        <w:tc>
          <w:tcPr>
            <w:tcW w:w="180" w:type="dxa"/>
            <w:vAlign w:val="bottom"/>
          </w:tcPr>
          <w:p>
            <w:pPr>
              <w:spacing w:after="0"/>
              <w:rPr>
                <w:sz w:val="13"/>
                <w:szCs w:val="13"/>
                <w:color w:val="auto"/>
              </w:rPr>
            </w:pPr>
          </w:p>
        </w:tc>
        <w:tc>
          <w:tcPr>
            <w:tcW w:w="7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(19,686)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w w:val="94"/>
              </w:rPr>
              <w:t>(4,212)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w w:val="94"/>
              </w:rPr>
              <w:t>(1,859)</w:t>
            </w:r>
          </w:p>
        </w:tc>
        <w:tc>
          <w:tcPr>
            <w:tcW w:w="180" w:type="dxa"/>
            <w:vAlign w:val="bottom"/>
          </w:tcPr>
          <w:p>
            <w:pPr>
              <w:spacing w:after="0"/>
              <w:rPr>
                <w:sz w:val="13"/>
                <w:szCs w:val="13"/>
                <w:color w:val="auto"/>
              </w:rPr>
            </w:pPr>
          </w:p>
        </w:tc>
        <w:tc>
          <w:tcPr>
            <w:tcW w:w="7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(1,360)</w:t>
            </w:r>
          </w:p>
        </w:tc>
      </w:tr>
      <w:tr>
        <w:trPr>
          <w:trHeight w:val="23"/>
        </w:trPr>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350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Fair value</w:t>
            </w:r>
          </w:p>
        </w:tc>
        <w:tc>
          <w:tcPr>
            <w:tcW w:w="1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502,666</w:t>
            </w: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232,305</w:t>
            </w: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122,708</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67</w:t>
            </w:r>
          </w:p>
        </w:tc>
        <w:tc>
          <w:tcPr>
            <w:tcW w:w="1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0220"/>
          </w:cols>
          <w:pgMar w:left="320" w:top="407" w:right="1359" w:bottom="1440" w:gutter="0" w:footer="0" w:header="0"/>
        </w:sectPr>
      </w:pPr>
    </w:p>
    <w:bookmarkStart w:id="281" w:name="page282"/>
    <w:bookmarkEnd w:id="28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6. Balance Sheet Components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Assets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assets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6"/>
          </w:tcPr>
          <w:p>
            <w:pPr>
              <w:ind w:left="22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6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Servicing fees and other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2,527</w:t>
            </w:r>
          </w:p>
        </w:tc>
        <w:tc>
          <w:tcPr>
            <w:tcW w:w="2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8,321</w:t>
            </w: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9,135</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1,256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6,429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7,750</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Prepaid expenses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5,917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5,224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3,089</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Loan servicing assets (at fair value)</w:t>
            </w:r>
          </w:p>
        </w:tc>
        <w:tc>
          <w:tcPr>
            <w:tcW w:w="80" w:type="dxa"/>
            <w:vAlign w:val="bottom"/>
          </w:tcPr>
          <w:p>
            <w:pPr>
              <w:spacing w:after="0"/>
              <w:rPr>
                <w:sz w:val="13"/>
                <w:szCs w:val="13"/>
                <w:color w:val="auto"/>
              </w:rPr>
            </w:pPr>
          </w:p>
        </w:tc>
        <w:tc>
          <w:tcPr>
            <w:tcW w:w="60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00"/>
              <w:spacing w:after="0" w:line="158" w:lineRule="exact"/>
              <w:rPr>
                <w:sz w:val="20"/>
                <w:szCs w:val="20"/>
                <w:color w:val="auto"/>
              </w:rPr>
            </w:pPr>
            <w:r>
              <w:rPr>
                <w:rFonts w:ascii="Arial" w:cs="Arial" w:eastAsia="Arial" w:hAnsi="Arial"/>
                <w:sz w:val="14"/>
                <w:szCs w:val="14"/>
                <w:color w:val="auto"/>
              </w:rPr>
              <w:t>4,725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6,558</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assets (include $1,410 at fair value as of December 31, 2018)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1,484</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4,899</w:t>
            </w:r>
          </w:p>
        </w:tc>
      </w:tr>
      <w:tr>
        <w:trPr>
          <w:trHeight w:val="20"/>
        </w:trPr>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560" w:type="dxa"/>
            <w:vAlign w:val="bottom"/>
          </w:tcPr>
          <w:p>
            <w:pPr>
              <w:spacing w:after="0"/>
              <w:rPr>
                <w:sz w:val="20"/>
                <w:szCs w:val="20"/>
                <w:color w:val="auto"/>
              </w:rPr>
            </w:pPr>
            <w:r>
              <w:rPr>
                <w:rFonts w:ascii="Arial" w:cs="Arial" w:eastAsia="Arial" w:hAnsi="Arial"/>
                <w:sz w:val="14"/>
                <w:szCs w:val="14"/>
                <w:color w:val="auto"/>
              </w:rPr>
              <w:t>Total other assets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11,184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24,754</w:t>
            </w:r>
          </w:p>
        </w:tc>
        <w:tc>
          <w:tcPr>
            <w:tcW w:w="20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31,431</w:t>
            </w:r>
          </w:p>
        </w:tc>
        <w:tc>
          <w:tcPr>
            <w:tcW w:w="4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Servicing fees and other receivables represent amounts recognized as revenue but not yet collected in relation to servicing and other agreements with institutional investors and bank partners.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Property, Equipment, and Software, Net</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Property, equipment, and software, net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40" w:type="dxa"/>
            <w:vAlign w:val="bottom"/>
          </w:tcPr>
          <w:p>
            <w:pPr>
              <w:spacing w:after="0"/>
              <w:rPr>
                <w:sz w:val="12"/>
                <w:szCs w:val="12"/>
                <w:color w:val="auto"/>
              </w:rPr>
            </w:pPr>
          </w:p>
        </w:tc>
        <w:tc>
          <w:tcPr>
            <w:tcW w:w="1740" w:type="dxa"/>
            <w:vAlign w:val="bottom"/>
            <w:gridSpan w:val="4"/>
          </w:tcPr>
          <w:p>
            <w:pPr>
              <w:jc w:val="right"/>
              <w:ind w:right="70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4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33"/>
              <w:spacing w:after="0" w:line="126" w:lineRule="exact"/>
              <w:rPr>
                <w:sz w:val="20"/>
                <w:szCs w:val="20"/>
                <w:color w:val="auto"/>
              </w:rPr>
            </w:pPr>
            <w:r>
              <w:rPr>
                <w:rFonts w:ascii="Arial" w:cs="Arial" w:eastAsia="Arial" w:hAnsi="Arial"/>
                <w:sz w:val="12"/>
                <w:szCs w:val="12"/>
                <w:b w:val="1"/>
                <w:bCs w:val="1"/>
                <w:color w:val="auto"/>
              </w:rPr>
              <w:t>2019</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6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3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Internally developed software</w:t>
            </w:r>
          </w:p>
        </w:tc>
        <w:tc>
          <w:tcPr>
            <w:tcW w:w="8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w w:val="93"/>
              </w:rPr>
              <w:t>$1,889</w:t>
            </w: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w w:val="98"/>
              </w:rPr>
              <w:t>$ 3,164</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6,461</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Computer equipment</w:t>
            </w:r>
          </w:p>
        </w:tc>
        <w:tc>
          <w:tcPr>
            <w:tcW w:w="84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124</w:t>
            </w:r>
          </w:p>
        </w:tc>
        <w:tc>
          <w:tcPr>
            <w:tcW w:w="90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672</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1,111</w:t>
            </w: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Furniture and fixtures</w:t>
            </w:r>
          </w:p>
        </w:tc>
        <w:tc>
          <w:tcPr>
            <w:tcW w:w="84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114</w:t>
            </w: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1,638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1,770</w:t>
            </w: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Leasehold improvements</w:t>
            </w:r>
          </w:p>
        </w:tc>
        <w:tc>
          <w:tcPr>
            <w:tcW w:w="420" w:type="dxa"/>
            <w:vAlign w:val="bottom"/>
          </w:tcPr>
          <w:p>
            <w:pPr>
              <w:jc w:val="right"/>
              <w:spacing w:after="0" w:line="158" w:lineRule="exact"/>
              <w:rPr>
                <w:sz w:val="20"/>
                <w:szCs w:val="20"/>
                <w:color w:val="auto"/>
              </w:rPr>
            </w:pPr>
            <w:r>
              <w:rPr>
                <w:rFonts w:ascii="Arial" w:cs="Arial" w:eastAsia="Arial" w:hAnsi="Arial"/>
                <w:sz w:val="14"/>
                <w:szCs w:val="14"/>
                <w:color w:val="auto"/>
              </w:rPr>
              <w:t>15</w:t>
            </w:r>
          </w:p>
        </w:tc>
        <w:tc>
          <w:tcPr>
            <w:tcW w:w="420" w:type="dxa"/>
            <w:vAlign w:val="bottom"/>
          </w:tcPr>
          <w:p>
            <w:pPr>
              <w:spacing w:after="0"/>
              <w:rPr>
                <w:sz w:val="13"/>
                <w:szCs w:val="13"/>
                <w:color w:val="auto"/>
              </w:rPr>
            </w:pPr>
          </w:p>
        </w:tc>
        <w:tc>
          <w:tcPr>
            <w:tcW w:w="90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1,970</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2,763</w:t>
            </w:r>
          </w:p>
        </w:tc>
      </w:tr>
      <w:tr>
        <w:trPr>
          <w:trHeight w:val="23"/>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5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 property, equipment, and software</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2,142</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7,444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12,105</w:t>
            </w:r>
          </w:p>
        </w:tc>
        <w:tc>
          <w:tcPr>
            <w:tcW w:w="80" w:type="dxa"/>
            <w:vAlign w:val="bottom"/>
            <w:shd w:val="clear" w:color="auto" w:fill="CCEEFF"/>
          </w:tcPr>
          <w:p>
            <w:pPr>
              <w:spacing w:after="0"/>
              <w:rPr>
                <w:sz w:val="13"/>
                <w:szCs w:val="13"/>
                <w:color w:val="auto"/>
              </w:rPr>
            </w:pPr>
          </w:p>
        </w:tc>
      </w:tr>
      <w:tr>
        <w:trPr>
          <w:trHeight w:val="158"/>
        </w:trPr>
        <w:tc>
          <w:tcPr>
            <w:tcW w:w="6540" w:type="dxa"/>
            <w:vAlign w:val="bottom"/>
          </w:tcPr>
          <w:p>
            <w:pPr>
              <w:spacing w:after="0" w:line="158" w:lineRule="exact"/>
              <w:rPr>
                <w:sz w:val="20"/>
                <w:szCs w:val="20"/>
                <w:color w:val="auto"/>
              </w:rPr>
            </w:pPr>
            <w:r>
              <w:rPr>
                <w:rFonts w:ascii="Arial" w:cs="Arial" w:eastAsia="Arial" w:hAnsi="Arial"/>
                <w:sz w:val="14"/>
                <w:szCs w:val="14"/>
                <w:color w:val="auto"/>
              </w:rPr>
              <w:t>Accumulated depreciation and amortization</w:t>
            </w:r>
          </w:p>
        </w:tc>
        <w:tc>
          <w:tcPr>
            <w:tcW w:w="84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(640)</w:t>
            </w:r>
          </w:p>
        </w:tc>
        <w:tc>
          <w:tcPr>
            <w:tcW w:w="900" w:type="dxa"/>
            <w:vAlign w:val="bottom"/>
            <w:gridSpan w:val="2"/>
          </w:tcPr>
          <w:p>
            <w:pPr>
              <w:jc w:val="right"/>
              <w:ind w:right="380"/>
              <w:spacing w:after="0" w:line="158" w:lineRule="exact"/>
              <w:rPr>
                <w:sz w:val="20"/>
                <w:szCs w:val="20"/>
                <w:color w:val="auto"/>
              </w:rPr>
            </w:pPr>
            <w:r>
              <w:rPr>
                <w:rFonts w:ascii="Arial" w:cs="Arial" w:eastAsia="Arial" w:hAnsi="Arial"/>
                <w:sz w:val="14"/>
                <w:szCs w:val="14"/>
                <w:color w:val="auto"/>
              </w:rPr>
              <w:t>(1,414)</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(3,045)</w:t>
            </w:r>
          </w:p>
        </w:tc>
      </w:tr>
      <w:tr>
        <w:trPr>
          <w:trHeight w:val="23"/>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65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property, equipment, and software, net</w:t>
            </w:r>
          </w:p>
        </w:tc>
        <w:tc>
          <w:tcPr>
            <w:tcW w:w="4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1,502</w:t>
            </w:r>
          </w:p>
        </w:tc>
        <w:tc>
          <w:tcPr>
            <w:tcW w:w="4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w w:val="98"/>
              </w:rPr>
              <w:t>$ 6,030</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9,060</w:t>
            </w:r>
          </w:p>
        </w:tc>
      </w:tr>
      <w:tr>
        <w:trPr>
          <w:trHeight w:val="20"/>
        </w:trPr>
        <w:tc>
          <w:tcPr>
            <w:tcW w:w="6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60" w:firstLine="460"/>
        <w:spacing w:after="0" w:line="238" w:lineRule="auto"/>
        <w:rPr>
          <w:sz w:val="20"/>
          <w:szCs w:val="20"/>
          <w:color w:val="auto"/>
        </w:rPr>
      </w:pPr>
      <w:r>
        <w:rPr>
          <w:rFonts w:ascii="Arial" w:cs="Arial" w:eastAsia="Arial" w:hAnsi="Arial"/>
          <w:sz w:val="15"/>
          <w:szCs w:val="15"/>
          <w:color w:val="auto"/>
        </w:rPr>
        <w:t>Depreciation and amortization expense on property, equipment, and software for the years ended December 31, 2017, 2018, and 2019, was immaterial to the consolidated statements of operations and comprehensive income (loss). For the nine months ended September 30, 2020 (unaudited), depreciation and amortization expense on property, equipment, and software was $1.6 million. As of December 31, 2018 and 2019, and September 30, 2020 (unaudited), capitalized internally developed software balances, net of accumulated amortization, were $1.4 million, $2.2 million, and $4.9 million,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0220"/>
          </w:cols>
          <w:pgMar w:left="320" w:top="407" w:right="1359" w:bottom="1440" w:gutter="0" w:footer="0" w:header="0"/>
        </w:sectPr>
      </w:pPr>
    </w:p>
    <w:bookmarkStart w:id="282" w:name="page283"/>
    <w:bookmarkEnd w:id="28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Liabilities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Other liabilities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ind w:left="220"/>
              <w:spacing w:after="0"/>
              <w:rPr>
                <w:sz w:val="20"/>
                <w:szCs w:val="20"/>
                <w:color w:val="auto"/>
              </w:rPr>
            </w:pPr>
            <w:r>
              <w:rPr>
                <w:rFonts w:ascii="Arial" w:cs="Arial" w:eastAsia="Arial" w:hAnsi="Arial"/>
                <w:sz w:val="12"/>
                <w:szCs w:val="12"/>
                <w:b w:val="1"/>
                <w:bCs w:val="1"/>
                <w:color w:val="auto"/>
              </w:rPr>
              <w:t>December 31,</w:t>
            </w:r>
          </w:p>
        </w:tc>
        <w:tc>
          <w:tcPr>
            <w:tcW w:w="20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6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rPr>
              <w:t>2018</w:t>
            </w: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2"/>
          </w:tcPr>
          <w:p>
            <w:pPr>
              <w:jc w:val="right"/>
              <w:ind w:right="52"/>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5,158</w:t>
            </w:r>
          </w:p>
        </w:tc>
        <w:tc>
          <w:tcPr>
            <w:tcW w:w="7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$15,006</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20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11,321</w:t>
            </w:r>
          </w:p>
        </w:tc>
        <w:tc>
          <w:tcPr>
            <w:tcW w:w="40" w:type="dxa"/>
            <w:vAlign w:val="bottom"/>
            <w:shd w:val="clear" w:color="auto" w:fill="CCEEFF"/>
          </w:tcPr>
          <w:p>
            <w:pPr>
              <w:spacing w:after="0"/>
              <w:rPr>
                <w:sz w:val="13"/>
                <w:szCs w:val="13"/>
                <w:color w:val="auto"/>
              </w:rPr>
            </w:pP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Accrued payroll</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848</w:t>
            </w:r>
          </w:p>
        </w:tc>
        <w:tc>
          <w:tcPr>
            <w:tcW w:w="200" w:type="dxa"/>
            <w:vAlign w:val="bottom"/>
          </w:tcPr>
          <w:p>
            <w:pPr>
              <w:spacing w:after="0"/>
              <w:rPr>
                <w:sz w:val="13"/>
                <w:szCs w:val="13"/>
                <w:color w:val="auto"/>
              </w:rPr>
            </w:pPr>
          </w:p>
        </w:tc>
        <w:tc>
          <w:tcPr>
            <w:tcW w:w="9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5,746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3,722</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warrant liabilities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7,579</w:t>
            </w: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5,666</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7,458</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Common stock warrant liabilities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447</w:t>
            </w:r>
          </w:p>
        </w:tc>
        <w:tc>
          <w:tcPr>
            <w:tcW w:w="200" w:type="dxa"/>
            <w:vAlign w:val="bottom"/>
          </w:tcPr>
          <w:p>
            <w:pPr>
              <w:spacing w:after="0"/>
              <w:rPr>
                <w:sz w:val="13"/>
                <w:szCs w:val="13"/>
                <w:color w:val="auto"/>
              </w:rPr>
            </w:pPr>
          </w:p>
        </w:tc>
        <w:tc>
          <w:tcPr>
            <w:tcW w:w="900" w:type="dxa"/>
            <w:vAlign w:val="bottom"/>
            <w:gridSpan w:val="3"/>
          </w:tcPr>
          <w:p>
            <w:pPr>
              <w:jc w:val="right"/>
              <w:ind w:right="200"/>
              <w:spacing w:after="0" w:line="158" w:lineRule="exact"/>
              <w:rPr>
                <w:sz w:val="20"/>
                <w:szCs w:val="20"/>
                <w:color w:val="auto"/>
              </w:rPr>
            </w:pPr>
            <w:r>
              <w:rPr>
                <w:rFonts w:ascii="Arial" w:cs="Arial" w:eastAsia="Arial" w:hAnsi="Arial"/>
                <w:sz w:val="14"/>
                <w:szCs w:val="14"/>
                <w:color w:val="auto"/>
              </w:rPr>
              <w:t>1,136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1,607</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Loan servicing liabilities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1,685</w:t>
            </w: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5,140</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7,349</w:t>
            </w:r>
          </w:p>
        </w:tc>
      </w:tr>
      <w:tr>
        <w:trPr>
          <w:trHeight w:val="158"/>
        </w:trPr>
        <w:tc>
          <w:tcPr>
            <w:tcW w:w="6560" w:type="dxa"/>
            <w:vAlign w:val="bottom"/>
          </w:tcPr>
          <w:p>
            <w:pPr>
              <w:spacing w:after="0" w:line="158" w:lineRule="exact"/>
              <w:rPr>
                <w:sz w:val="20"/>
                <w:szCs w:val="20"/>
                <w:color w:val="auto"/>
              </w:rPr>
            </w:pPr>
            <w:r>
              <w:rPr>
                <w:rFonts w:ascii="Arial" w:cs="Arial" w:eastAsia="Arial" w:hAnsi="Arial"/>
                <w:sz w:val="14"/>
                <w:szCs w:val="14"/>
                <w:color w:val="auto"/>
              </w:rPr>
              <w:t>Liability for repurchase and indemnification activities</w:t>
            </w: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140</w:t>
            </w:r>
          </w:p>
        </w:tc>
        <w:tc>
          <w:tcPr>
            <w:tcW w:w="200" w:type="dxa"/>
            <w:vAlign w:val="bottom"/>
          </w:tcPr>
          <w:p>
            <w:pPr>
              <w:spacing w:after="0"/>
              <w:rPr>
                <w:sz w:val="13"/>
                <w:szCs w:val="13"/>
                <w:color w:val="auto"/>
              </w:rPr>
            </w:pPr>
          </w:p>
        </w:tc>
        <w:tc>
          <w:tcPr>
            <w:tcW w:w="7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176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143</w:t>
            </w:r>
          </w:p>
        </w:tc>
      </w:tr>
      <w:tr>
        <w:trPr>
          <w:trHeight w:val="158"/>
        </w:trPr>
        <w:tc>
          <w:tcPr>
            <w:tcW w:w="65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1,496</w:t>
            </w:r>
          </w:p>
        </w:tc>
        <w:tc>
          <w:tcPr>
            <w:tcW w:w="900" w:type="dxa"/>
            <w:vAlign w:val="bottom"/>
            <w:gridSpan w:val="3"/>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1,778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2,321</w:t>
            </w:r>
          </w:p>
        </w:tc>
      </w:tr>
      <w:tr>
        <w:trPr>
          <w:trHeight w:val="20"/>
        </w:trPr>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560" w:type="dxa"/>
            <w:vAlign w:val="bottom"/>
          </w:tcPr>
          <w:p>
            <w:pPr>
              <w:spacing w:after="0"/>
              <w:rPr>
                <w:sz w:val="20"/>
                <w:szCs w:val="20"/>
                <w:color w:val="auto"/>
              </w:rPr>
            </w:pPr>
            <w:r>
              <w:rPr>
                <w:rFonts w:ascii="Arial" w:cs="Arial" w:eastAsia="Arial" w:hAnsi="Arial"/>
                <w:sz w:val="14"/>
                <w:szCs w:val="14"/>
                <w:color w:val="auto"/>
              </w:rPr>
              <w:t>Total other liabilities</w:t>
            </w: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4"/>
                <w:szCs w:val="14"/>
                <w:color w:val="auto"/>
                <w:w w:val="88"/>
              </w:rPr>
              <w:t>17,353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34,648</w:t>
            </w:r>
          </w:p>
        </w:tc>
        <w:tc>
          <w:tcPr>
            <w:tcW w:w="200" w:type="dxa"/>
            <w:vAlign w:val="bottom"/>
          </w:tcPr>
          <w:p>
            <w:pPr>
              <w:spacing w:after="0"/>
              <w:rPr>
                <w:sz w:val="13"/>
                <w:szCs w:val="13"/>
                <w:color w:val="auto"/>
              </w:rPr>
            </w:pPr>
          </w:p>
        </w:tc>
        <w:tc>
          <w:tcPr>
            <w:tcW w:w="280" w:type="dxa"/>
            <w:vAlign w:val="bottom"/>
            <w:gridSpan w:val="2"/>
          </w:tcPr>
          <w:p>
            <w:pPr>
              <w:ind w:left="20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33,921</w:t>
            </w:r>
          </w:p>
        </w:tc>
        <w:tc>
          <w:tcPr>
            <w:tcW w:w="40" w:type="dxa"/>
            <w:vAlign w:val="bottom"/>
          </w:tcPr>
          <w:p>
            <w:pPr>
              <w:spacing w:after="0"/>
              <w:rPr>
                <w:sz w:val="13"/>
                <w:szCs w:val="13"/>
                <w:color w:val="auto"/>
              </w:rPr>
            </w:pPr>
          </w:p>
        </w:tc>
      </w:tr>
      <w:tr>
        <w:trPr>
          <w:trHeight w:val="20"/>
        </w:trPr>
        <w:tc>
          <w:tcPr>
            <w:tcW w:w="6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7. Borrowings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outstanding principal balances of borrowings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2"/>
                <w:szCs w:val="12"/>
                <w:b w:val="1"/>
                <w:bCs w:val="1"/>
                <w:color w:val="auto"/>
              </w:rPr>
              <w:t>December 31,</w:t>
            </w:r>
          </w:p>
        </w:tc>
        <w:tc>
          <w:tcPr>
            <w:tcW w:w="92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55"/>
              <w:spacing w:after="0" w:line="126" w:lineRule="exact"/>
              <w:rPr>
                <w:sz w:val="20"/>
                <w:szCs w:val="20"/>
                <w:color w:val="auto"/>
              </w:rPr>
            </w:pPr>
            <w:r>
              <w:rPr>
                <w:rFonts w:ascii="Arial" w:cs="Arial" w:eastAsia="Arial" w:hAnsi="Arial"/>
                <w:sz w:val="12"/>
                <w:szCs w:val="12"/>
                <w:b w:val="1"/>
                <w:bCs w:val="1"/>
                <w:color w:val="auto"/>
              </w:rPr>
              <w:t>2018</w:t>
            </w: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0"/>
                <w:szCs w:val="10"/>
                <w:color w:val="auto"/>
              </w:rPr>
            </w:pPr>
          </w:p>
        </w:tc>
      </w:tr>
      <w:tr>
        <w:trPr>
          <w:trHeight w:val="126"/>
        </w:trPr>
        <w:tc>
          <w:tcPr>
            <w:tcW w:w="4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ind w:right="3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80" w:type="dxa"/>
            <w:vAlign w:val="bottom"/>
          </w:tcPr>
          <w:p>
            <w:pPr>
              <w:spacing w:after="0"/>
              <w:rPr>
                <w:sz w:val="10"/>
                <w:szCs w:val="10"/>
                <w:color w:val="auto"/>
              </w:rPr>
            </w:pP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Term loans</w:t>
            </w:r>
          </w:p>
        </w:tc>
        <w:tc>
          <w:tcPr>
            <w:tcW w:w="2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$19,217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17,200</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15,550</w:t>
            </w:r>
          </w:p>
        </w:tc>
        <w:tc>
          <w:tcPr>
            <w:tcW w:w="80" w:type="dxa"/>
            <w:vAlign w:val="bottom"/>
            <w:shd w:val="clear" w:color="auto" w:fill="CCEEFF"/>
          </w:tcPr>
          <w:p>
            <w:pPr>
              <w:spacing w:after="0"/>
              <w:rPr>
                <w:sz w:val="13"/>
                <w:szCs w:val="13"/>
                <w:color w:val="auto"/>
              </w:rPr>
            </w:pPr>
          </w:p>
        </w:tc>
      </w:tr>
      <w:tr>
        <w:trPr>
          <w:trHeight w:val="158"/>
        </w:trPr>
        <w:tc>
          <w:tcPr>
            <w:tcW w:w="4100" w:type="dxa"/>
            <w:vAlign w:val="bottom"/>
          </w:tcPr>
          <w:p>
            <w:pPr>
              <w:spacing w:after="0" w:line="158" w:lineRule="exact"/>
              <w:rPr>
                <w:sz w:val="20"/>
                <w:szCs w:val="20"/>
                <w:color w:val="auto"/>
              </w:rPr>
            </w:pPr>
            <w:r>
              <w:rPr>
                <w:rFonts w:ascii="Arial" w:cs="Arial" w:eastAsia="Arial" w:hAnsi="Arial"/>
                <w:sz w:val="14"/>
                <w:szCs w:val="14"/>
                <w:color w:val="auto"/>
              </w:rPr>
              <w:t>Revolving credit facility</w:t>
            </w:r>
          </w:p>
        </w:tc>
        <w:tc>
          <w:tcPr>
            <w:tcW w:w="3260" w:type="dxa"/>
            <w:vAlign w:val="bottom"/>
            <w:gridSpan w:val="3"/>
          </w:tcPr>
          <w:p>
            <w:pPr>
              <w:jc w:val="right"/>
              <w:ind w:right="360"/>
              <w:spacing w:after="0" w:line="158"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5,500</w:t>
            </w: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5,500</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Warehouse credit facilities</w:t>
            </w:r>
          </w:p>
        </w:tc>
        <w:tc>
          <w:tcPr>
            <w:tcW w:w="29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47,266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79,096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70,213</w:t>
            </w:r>
          </w:p>
        </w:tc>
        <w:tc>
          <w:tcPr>
            <w:tcW w:w="80" w:type="dxa"/>
            <w:vAlign w:val="bottom"/>
            <w:shd w:val="clear" w:color="auto" w:fill="CCEEFF"/>
          </w:tcPr>
          <w:p>
            <w:pPr>
              <w:spacing w:after="0"/>
              <w:rPr>
                <w:sz w:val="13"/>
                <w:szCs w:val="13"/>
                <w:color w:val="auto"/>
              </w:rPr>
            </w:pPr>
          </w:p>
        </w:tc>
      </w:tr>
      <w:tr>
        <w:trPr>
          <w:trHeight w:val="160"/>
        </w:trPr>
        <w:tc>
          <w:tcPr>
            <w:tcW w:w="4100" w:type="dxa"/>
            <w:vAlign w:val="bottom"/>
          </w:tcPr>
          <w:p>
            <w:pPr>
              <w:spacing w:after="0" w:line="158" w:lineRule="exact"/>
              <w:rPr>
                <w:sz w:val="20"/>
                <w:szCs w:val="20"/>
                <w:color w:val="auto"/>
              </w:rPr>
            </w:pPr>
            <w:r>
              <w:rPr>
                <w:rFonts w:ascii="Arial" w:cs="Arial" w:eastAsia="Arial" w:hAnsi="Arial"/>
                <w:sz w:val="14"/>
                <w:szCs w:val="14"/>
                <w:color w:val="auto"/>
              </w:rPr>
              <w:t>Risk retention funding loans</w:t>
            </w:r>
          </w:p>
        </w:tc>
        <w:tc>
          <w:tcPr>
            <w:tcW w:w="2400" w:type="dxa"/>
            <w:vAlign w:val="bottom"/>
          </w:tcPr>
          <w:p>
            <w:pPr>
              <w:spacing w:after="0"/>
              <w:rPr>
                <w:sz w:val="13"/>
                <w:szCs w:val="13"/>
                <w:color w:val="auto"/>
              </w:rPr>
            </w:pPr>
          </w:p>
        </w:tc>
        <w:tc>
          <w:tcPr>
            <w:tcW w:w="860" w:type="dxa"/>
            <w:vAlign w:val="bottom"/>
            <w:gridSpan w:val="2"/>
          </w:tcPr>
          <w:p>
            <w:pPr>
              <w:jc w:val="right"/>
              <w:ind w:right="360"/>
              <w:spacing w:after="0" w:line="158" w:lineRule="exact"/>
              <w:rPr>
                <w:sz w:val="20"/>
                <w:szCs w:val="20"/>
                <w:color w:val="auto"/>
              </w:rPr>
            </w:pPr>
            <w:r>
              <w:rPr>
                <w:rFonts w:ascii="Arial" w:cs="Arial" w:eastAsia="Arial" w:hAnsi="Arial"/>
                <w:sz w:val="14"/>
                <w:szCs w:val="14"/>
                <w:color w:val="auto"/>
              </w:rPr>
              <w:t>6,702</w:t>
            </w:r>
          </w:p>
        </w:tc>
        <w:tc>
          <w:tcPr>
            <w:tcW w:w="8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16,941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9,398</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payments due</w:t>
            </w:r>
          </w:p>
        </w:tc>
        <w:tc>
          <w:tcPr>
            <w:tcW w:w="2400" w:type="dxa"/>
            <w:vAlign w:val="bottom"/>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75,185</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118,737</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100,661</w:t>
            </w:r>
          </w:p>
        </w:tc>
        <w:tc>
          <w:tcPr>
            <w:tcW w:w="80" w:type="dxa"/>
            <w:vAlign w:val="bottom"/>
            <w:shd w:val="clear" w:color="auto" w:fill="CCEEFF"/>
          </w:tcPr>
          <w:p>
            <w:pPr>
              <w:spacing w:after="0"/>
              <w:rPr>
                <w:sz w:val="13"/>
                <w:szCs w:val="13"/>
                <w:color w:val="auto"/>
              </w:rPr>
            </w:pPr>
          </w:p>
        </w:tc>
      </w:tr>
      <w:tr>
        <w:trPr>
          <w:trHeight w:val="160"/>
        </w:trPr>
        <w:tc>
          <w:tcPr>
            <w:tcW w:w="4100" w:type="dxa"/>
            <w:vAlign w:val="bottom"/>
          </w:tcPr>
          <w:p>
            <w:pPr>
              <w:spacing w:after="0" w:line="158" w:lineRule="exact"/>
              <w:rPr>
                <w:sz w:val="20"/>
                <w:szCs w:val="20"/>
                <w:color w:val="auto"/>
              </w:rPr>
            </w:pPr>
            <w:r>
              <w:rPr>
                <w:rFonts w:ascii="Arial" w:cs="Arial" w:eastAsia="Arial" w:hAnsi="Arial"/>
                <w:sz w:val="14"/>
                <w:szCs w:val="14"/>
                <w:color w:val="auto"/>
              </w:rPr>
              <w:t>Unamortized debt discount</w:t>
            </w:r>
          </w:p>
        </w:tc>
        <w:tc>
          <w:tcPr>
            <w:tcW w:w="2400" w:type="dxa"/>
            <w:vAlign w:val="bottom"/>
          </w:tcPr>
          <w:p>
            <w:pPr>
              <w:spacing w:after="0"/>
              <w:rPr>
                <w:sz w:val="13"/>
                <w:szCs w:val="13"/>
                <w:color w:val="auto"/>
              </w:rPr>
            </w:pPr>
          </w:p>
        </w:tc>
        <w:tc>
          <w:tcPr>
            <w:tcW w:w="86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(202)</w:t>
            </w:r>
          </w:p>
        </w:tc>
        <w:tc>
          <w:tcPr>
            <w:tcW w:w="80" w:type="dxa"/>
            <w:vAlign w:val="bottom"/>
          </w:tcPr>
          <w:p>
            <w:pPr>
              <w:spacing w:after="0"/>
              <w:rPr>
                <w:sz w:val="13"/>
                <w:szCs w:val="13"/>
                <w:color w:val="auto"/>
              </w:rPr>
            </w:pPr>
          </w:p>
        </w:tc>
        <w:tc>
          <w:tcPr>
            <w:tcW w:w="840" w:type="dxa"/>
            <w:vAlign w:val="bottom"/>
            <w:gridSpan w:val="2"/>
          </w:tcPr>
          <w:p>
            <w:pPr>
              <w:jc w:val="right"/>
              <w:ind w:right="300"/>
              <w:spacing w:after="0" w:line="158" w:lineRule="exact"/>
              <w:rPr>
                <w:sz w:val="20"/>
                <w:szCs w:val="20"/>
                <w:color w:val="auto"/>
              </w:rPr>
            </w:pPr>
            <w:r>
              <w:rPr>
                <w:rFonts w:ascii="Arial" w:cs="Arial" w:eastAsia="Arial" w:hAnsi="Arial"/>
                <w:sz w:val="14"/>
                <w:szCs w:val="14"/>
                <w:color w:val="auto"/>
              </w:rPr>
              <w:t>(128)</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(73)</w:t>
            </w:r>
          </w:p>
        </w:tc>
      </w:tr>
      <w:tr>
        <w:trPr>
          <w:trHeight w:val="158"/>
        </w:trPr>
        <w:tc>
          <w:tcPr>
            <w:tcW w:w="4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borrowings</w:t>
            </w:r>
          </w:p>
        </w:tc>
        <w:tc>
          <w:tcPr>
            <w:tcW w:w="2400" w:type="dxa"/>
            <w:vAlign w:val="bottom"/>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74,983</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w w:val="90"/>
              </w:rPr>
              <w:t>118,609</w:t>
            </w:r>
          </w:p>
        </w:tc>
        <w:tc>
          <w:tcPr>
            <w:tcW w:w="36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100,588</w:t>
            </w:r>
          </w:p>
        </w:tc>
        <w:tc>
          <w:tcPr>
            <w:tcW w:w="80" w:type="dxa"/>
            <w:vAlign w:val="bottom"/>
            <w:shd w:val="clear" w:color="auto" w:fill="CCEEFF"/>
          </w:tcPr>
          <w:p>
            <w:pPr>
              <w:spacing w:after="0"/>
              <w:rPr>
                <w:sz w:val="13"/>
                <w:szCs w:val="13"/>
                <w:color w:val="auto"/>
              </w:rPr>
            </w:pPr>
          </w:p>
        </w:tc>
      </w:tr>
      <w:tr>
        <w:trPr>
          <w:trHeight w:val="20"/>
        </w:trPr>
        <w:tc>
          <w:tcPr>
            <w:tcW w:w="4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Term Loans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February 2016, the Company, together with its wholly-owned subsidiary, Upstart Network, Inc. (“UNI”) as the co-borrower, entered into a loan and security agreement (the “LSA”) with a third-party lender to obtain a term loan of $5.5 million. The term loan had an original maturity of March 1, 2019. In September 2018, the parties amended the LSA to extend the maturity date to December 1, 2020. Commencing on the effective date of the amended LSA, the Company is required to repay the term loan in thirty (30) equal monthly installments plus accrued interest. Any outstanding principal and accrued and unpaid interest are due in full on December 1, 2020. The term loan bears a floating interest of prime rate plus 1.75% per annum, payable on the first calendar day of each month. As of December 31, 2018 and 2019, and September 30, 2020, the interest rates were 7.25%, 6.50%, and 5.00%, respectively.</w:t>
      </w:r>
    </w:p>
    <w:p>
      <w:pPr>
        <w:spacing w:after="0" w:line="171" w:lineRule="exact"/>
        <w:rPr>
          <w:sz w:val="20"/>
          <w:szCs w:val="20"/>
          <w:color w:val="auto"/>
        </w:rPr>
      </w:pPr>
    </w:p>
    <w:p>
      <w:pPr>
        <w:ind w:left="1020" w:right="260" w:firstLine="460"/>
        <w:spacing w:after="0" w:line="235" w:lineRule="auto"/>
        <w:rPr>
          <w:sz w:val="20"/>
          <w:szCs w:val="20"/>
          <w:color w:val="auto"/>
        </w:rPr>
      </w:pPr>
      <w:r>
        <w:rPr>
          <w:rFonts w:ascii="Arial" w:cs="Arial" w:eastAsia="Arial" w:hAnsi="Arial"/>
          <w:sz w:val="15"/>
          <w:szCs w:val="15"/>
          <w:color w:val="auto"/>
        </w:rPr>
        <w:t>In October 2018, the Company and UNI entered into a mezzanine loan and security agreement with the same lender to obtain a second term loan of up to $15.0 million (the “Mezzanine Loan”). The Mezzanine Loan bears interest at the greater of prime rate plus 5.25% or 10.00% per annum, payable monthly. As of December 31, 2018 and 2019, and September 30, 2020, the interest rates were</w:t>
      </w:r>
    </w:p>
    <w:p>
      <w:pPr>
        <w:ind w:left="1020"/>
        <w:spacing w:after="0"/>
        <w:rPr>
          <w:sz w:val="20"/>
          <w:szCs w:val="20"/>
          <w:color w:val="auto"/>
        </w:rPr>
      </w:pPr>
      <w:r>
        <w:rPr>
          <w:rFonts w:ascii="Arial" w:cs="Arial" w:eastAsia="Arial" w:hAnsi="Arial"/>
          <w:sz w:val="15"/>
          <w:szCs w:val="15"/>
          <w:color w:val="auto"/>
        </w:rPr>
        <w:t>10.75%, 10.00% and 8.50%, respectively. The principal balance is due upon maturity on October 1, 2021.</w:t>
      </w:r>
    </w:p>
    <w:p>
      <w:pPr>
        <w:spacing w:after="0" w:line="12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0220"/>
          </w:cols>
          <w:pgMar w:left="320" w:top="407" w:right="1359" w:bottom="1440" w:gutter="0" w:footer="0" w:header="0"/>
        </w:sectPr>
      </w:pPr>
    </w:p>
    <w:bookmarkStart w:id="283" w:name="page284"/>
    <w:bookmarkEnd w:id="28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term loans are secured by all assets of the Company, excluding assets of consolidated securitizations and cash and restricted cash relating to other borrowing arrangements.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UNI Credit Facility</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connection with the LSA with the same lender above, as amended in September 2018, the Company and UNI also obtained a revolving credit facility of up to $5.5 million (the “UNI Credit Facility”). The UNI Credit Facility had an original termination and maturity date of June 1, 2020. During the nine months ended September 30, 2020 (unaudited), the parties agreed to extend the maturity date of the UNI Credit Facility to December 1, 2020 when the outstanding principal and any accrued and unpaid interest are due and payable in full. The UNI Credit Facility bears floating interest at the greater of prime rate plus 1.00% or 4.25% annum, payable monthly, subject to a monthly minimum interest requirement prior to maturity. As of December 31, 2018 and 2019, and September 30, 2020, the interest rates were 6.50%, 5.75% and 4.25%, respectively.</w:t>
      </w:r>
    </w:p>
    <w:p>
      <w:pPr>
        <w:spacing w:after="0" w:line="17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UNI Credit Facility is secured by all assets of the Company, excluding assets of consolidated securitizations and cash and restricted cash relating to other borrowing arrangements. The UNI Credit Facility contains certain financial covenants. As of December 31, 2019 and September 30, 2020 (unaudited), the Company was in material compliance with all applicable covenants under the revolving credit and security agreement.</w:t>
      </w:r>
    </w:p>
    <w:p>
      <w:pPr>
        <w:spacing w:after="0" w:line="172"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As of December 31, 2018 and 2019, and September 30, 2020 (unaudited), outstanding borrowings under the UNI Credit Facility were $2.0 million, $5.5 million, and $5.5 million, respectively.</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Warehouse Credit Facilities</w:t>
      </w:r>
    </w:p>
    <w:p>
      <w:pPr>
        <w:spacing w:after="0" w:line="89"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Loan Trust Credit Facility</w:t>
      </w:r>
    </w:p>
    <w:p>
      <w:pPr>
        <w:spacing w:after="0" w:line="103"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Under the revolving credit and security agreement, as amended from time to time, ULT may borrow up to $100.0 million (subject to a borrowing base capacity) until the earlier of May 15, 2021 or the occurrence of an accelerated amortization event. An accelerated amortization event includes failure to satisfy certain loan performance metrics or the occurrence of an event of default. The proceeds may only be used to purchase unsecured personal loans from Upstart’s platform and to pay fees and expenses related to the credit facility. The ULT Warehouse Credit Facility matures on the earlier of May 15, 2022 or acceleration of the facility following an event of default, upon which date 100% of the outstanding principal amount, together with any accrued and unpaid interest, becomes due and payable. The entire amount of the outstanding principal and interest may be prepaid at any time without penalty. The ULT Warehouse Credit Facility bears a floating interest rate of LIBOR plus a spread ranging from 3.35% to 4.00% per annum, due and payable monthly in arrears. The Company is subject to additional interest payments under a minimum utilization requirement of $35 million (unaudited). As of December 31, 2018 and 2019, and September 30, 2020, the interest rates were</w:t>
      </w:r>
    </w:p>
    <w:p>
      <w:pPr>
        <w:spacing w:after="0" w:line="2" w:lineRule="exact"/>
        <w:rPr>
          <w:sz w:val="20"/>
          <w:szCs w:val="20"/>
          <w:color w:val="auto"/>
        </w:rPr>
      </w:pPr>
    </w:p>
    <w:p>
      <w:pPr>
        <w:ind w:left="1020" w:right="140"/>
        <w:spacing w:after="0" w:line="245" w:lineRule="auto"/>
        <w:rPr>
          <w:sz w:val="20"/>
          <w:szCs w:val="20"/>
          <w:color w:val="auto"/>
        </w:rPr>
      </w:pPr>
      <w:r>
        <w:rPr>
          <w:rFonts w:ascii="Arial" w:cs="Arial" w:eastAsia="Arial" w:hAnsi="Arial"/>
          <w:sz w:val="15"/>
          <w:szCs w:val="15"/>
          <w:color w:val="auto"/>
        </w:rPr>
        <w:t>5.66%, 5.68% and 4.08%, respectively. The maximum advance rate under the ULT Warehouse Credit Facility on outstanding principal of loans held by ULT was 85% as of December 31, 2019 and 80% as of September 30, 2020 (unaudited).</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0220"/>
          </w:cols>
          <w:pgMar w:left="320" w:top="407" w:right="1359" w:bottom="1440" w:gutter="0" w:footer="0" w:header="0"/>
        </w:sectPr>
      </w:pPr>
    </w:p>
    <w:bookmarkStart w:id="284" w:name="page285"/>
    <w:bookmarkEnd w:id="28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The ULT Warehouse Credit Facility contains certain financial covenants. As of December 31, 2019 and September 30, 2020 (unaudited), ULT was in material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70"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following table includes the aggregate balances held by ULT that were pledged as collateral for the ULT Warehouse Credit Facility and included in loans at fair value and restricted cash in the condensed consolidated balance sheets, respectively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5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9"/>
          </w:tcPr>
          <w:p>
            <w:pPr>
              <w:ind w:left="420"/>
              <w:spacing w:after="0"/>
              <w:rPr>
                <w:sz w:val="20"/>
                <w:szCs w:val="20"/>
                <w:color w:val="auto"/>
              </w:rPr>
            </w:pPr>
            <w:r>
              <w:rPr>
                <w:rFonts w:ascii="Arial" w:cs="Arial" w:eastAsia="Arial" w:hAnsi="Arial"/>
                <w:sz w:val="12"/>
                <w:szCs w:val="12"/>
                <w:b w:val="1"/>
                <w:bCs w:val="1"/>
                <w:color w:val="auto"/>
              </w:rPr>
              <w:t>ULT Warehouse Credit Facility</w:t>
            </w:r>
          </w:p>
        </w:tc>
      </w:tr>
      <w:tr>
        <w:trPr>
          <w:trHeight w:val="126"/>
        </w:trPr>
        <w:tc>
          <w:tcPr>
            <w:tcW w:w="5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5"/>
          </w:tcPr>
          <w:p>
            <w:pPr>
              <w:ind w:left="280"/>
              <w:spacing w:after="0" w:line="126" w:lineRule="exact"/>
              <w:rPr>
                <w:sz w:val="20"/>
                <w:szCs w:val="20"/>
                <w:color w:val="auto"/>
              </w:rPr>
            </w:pPr>
            <w:r>
              <w:rPr>
                <w:rFonts w:ascii="Arial" w:cs="Arial" w:eastAsia="Arial" w:hAnsi="Arial"/>
                <w:sz w:val="12"/>
                <w:szCs w:val="12"/>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7"/>
              </w:rPr>
              <w:t>September 30,</w:t>
            </w:r>
          </w:p>
        </w:tc>
        <w:tc>
          <w:tcPr>
            <w:tcW w:w="40" w:type="dxa"/>
            <w:vAlign w:val="bottom"/>
          </w:tcPr>
          <w:p>
            <w:pPr>
              <w:spacing w:after="0"/>
              <w:rPr>
                <w:sz w:val="10"/>
                <w:szCs w:val="10"/>
                <w:color w:val="auto"/>
              </w:rPr>
            </w:pPr>
          </w:p>
        </w:tc>
      </w:tr>
      <w:tr>
        <w:trPr>
          <w:trHeight w:val="126"/>
        </w:trPr>
        <w:tc>
          <w:tcPr>
            <w:tcW w:w="5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1"/>
              <w:spacing w:after="0" w:line="126" w:lineRule="exact"/>
              <w:rPr>
                <w:sz w:val="20"/>
                <w:szCs w:val="20"/>
                <w:color w:val="auto"/>
              </w:rPr>
            </w:pPr>
            <w:r>
              <w:rPr>
                <w:rFonts w:ascii="Arial" w:cs="Arial" w:eastAsia="Arial" w:hAnsi="Arial"/>
                <w:sz w:val="12"/>
                <w:szCs w:val="12"/>
                <w:b w:val="1"/>
                <w:bCs w:val="1"/>
                <w:color w:val="auto"/>
              </w:rPr>
              <w:t>2018</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0"/>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Outstanding borrowings</w:t>
            </w:r>
          </w:p>
        </w:tc>
        <w:tc>
          <w:tcPr>
            <w:tcW w:w="1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42,739</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54,770</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52,754</w:t>
            </w:r>
          </w:p>
        </w:tc>
      </w:tr>
      <w:tr>
        <w:trPr>
          <w:trHeight w:val="169"/>
        </w:trPr>
        <w:tc>
          <w:tcPr>
            <w:tcW w:w="5420" w:type="dxa"/>
            <w:vAlign w:val="bottom"/>
          </w:tcPr>
          <w:p>
            <w:pPr>
              <w:spacing w:after="0" w:line="169" w:lineRule="exact"/>
              <w:rPr>
                <w:sz w:val="20"/>
                <w:szCs w:val="20"/>
                <w:color w:val="auto"/>
              </w:rPr>
            </w:pPr>
            <w:r>
              <w:rPr>
                <w:rFonts w:ascii="Arial" w:cs="Arial" w:eastAsia="Arial" w:hAnsi="Arial"/>
                <w:sz w:val="15"/>
                <w:szCs w:val="15"/>
                <w:color w:val="auto"/>
              </w:rPr>
              <w:t>Aggregate outstanding principal of loans pledged as collateral</w:t>
            </w:r>
          </w:p>
        </w:tc>
        <w:tc>
          <w:tcPr>
            <w:tcW w:w="11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62,291</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w w:val="95"/>
              </w:rPr>
              <w:t>73,489</w:t>
            </w:r>
          </w:p>
        </w:tc>
        <w:tc>
          <w:tcPr>
            <w:tcW w:w="280" w:type="dxa"/>
            <w:vAlign w:val="bottom"/>
            <w:gridSpan w:val="2"/>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80,962</w:t>
            </w:r>
          </w:p>
        </w:tc>
      </w:tr>
      <w:tr>
        <w:trPr>
          <w:trHeight w:val="169"/>
        </w:trPr>
        <w:tc>
          <w:tcPr>
            <w:tcW w:w="54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Aggregate fair value of personal loans purchased and held by ULT</w:t>
            </w:r>
          </w:p>
        </w:tc>
        <w:tc>
          <w:tcPr>
            <w:tcW w:w="11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rPr>
              <w:t>65,967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86,742</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81,989</w:t>
            </w:r>
          </w:p>
        </w:tc>
      </w:tr>
      <w:tr>
        <w:trPr>
          <w:trHeight w:val="180"/>
        </w:trPr>
        <w:tc>
          <w:tcPr>
            <w:tcW w:w="5420" w:type="dxa"/>
            <w:vAlign w:val="bottom"/>
          </w:tcPr>
          <w:p>
            <w:pPr>
              <w:spacing w:after="0"/>
              <w:rPr>
                <w:sz w:val="20"/>
                <w:szCs w:val="20"/>
                <w:color w:val="auto"/>
              </w:rPr>
            </w:pPr>
            <w:r>
              <w:rPr>
                <w:rFonts w:ascii="Arial" w:cs="Arial" w:eastAsia="Arial" w:hAnsi="Arial"/>
                <w:sz w:val="15"/>
                <w:szCs w:val="15"/>
                <w:color w:val="auto"/>
              </w:rPr>
              <w:t>Restricted cash pledged as collateral</w:t>
            </w:r>
          </w:p>
        </w:tc>
        <w:tc>
          <w:tcPr>
            <w:tcW w:w="11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5"/>
                <w:szCs w:val="15"/>
                <w:color w:val="auto"/>
              </w:rPr>
              <w:t>3,880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3,441</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13,032</w:t>
            </w:r>
          </w:p>
        </w:tc>
      </w:tr>
    </w:tbl>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Upstart Warehouse Trust Credit Facility</w:t>
      </w:r>
    </w:p>
    <w:p>
      <w:pPr>
        <w:spacing w:after="0" w:line="103" w:lineRule="exact"/>
        <w:rPr>
          <w:sz w:val="20"/>
          <w:szCs w:val="20"/>
          <w:color w:val="auto"/>
        </w:rPr>
      </w:pPr>
    </w:p>
    <w:p>
      <w:pPr>
        <w:ind w:left="1020" w:right="60" w:firstLine="460"/>
        <w:spacing w:after="0" w:line="235" w:lineRule="auto"/>
        <w:rPr>
          <w:sz w:val="20"/>
          <w:szCs w:val="20"/>
          <w:color w:val="auto"/>
        </w:rPr>
      </w:pPr>
      <w:r>
        <w:rPr>
          <w:rFonts w:ascii="Arial" w:cs="Arial" w:eastAsia="Arial" w:hAnsi="Arial"/>
          <w:sz w:val="15"/>
          <w:szCs w:val="15"/>
          <w:color w:val="auto"/>
        </w:rPr>
        <w:t>In May 2018, the Company’s consolidated VIE, Upstart Warehouse Trust (“UWT”) entered into a revolving credit and security agreement with third-party lenders, including one subordinated lender, for an uncommitted credit facility up to $152.0 million (the “UWT Warehouse Credit Facility”) to fund UWT’s purchase of loans from Upstart’s platform. The ability to borrow additional amounts under this warehouse credit facility expired in May 2020. The UWT Warehouse Credit Facility matures on the earlier of May 21, 2021 or the acceleration of the facility following an event of default, upon which date 100% of the outstanding principal, together with any accrued and unpaid interest, becomes due and payable. The entire amount of the outstanding debt may be prepaid at any time without penalty. The UWT Warehouse Credit Facility bears a floating interest rate of LIBOR plus 2.75% for a total amount up to $125.0 million and LIBOR plus 6.25% for an additional amount up to $27.0 million funded by the subordinated lender. These interest rates increased by an additional</w:t>
      </w:r>
    </w:p>
    <w:p>
      <w:pPr>
        <w:spacing w:after="0" w:line="1"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0.75% following the scheduled expiration of the revolving period on May 22, 2020. As of December 31, 2018 and 2019, and September 30, 2020, the interest rates were 4.77%, 4.97% and 3.34%, respectively. The maximum advance rates under the UWT Warehouse Credit Facility for the senior loans and the subordinated loans held by UWT were 70% and 85%, respectively, as of December 31, 2018 and 2019, and September 30, 2020 (unaudited).</w:t>
      </w:r>
    </w:p>
    <w:p>
      <w:pPr>
        <w:spacing w:after="0" w:line="172" w:lineRule="exact"/>
        <w:rPr>
          <w:sz w:val="20"/>
          <w:szCs w:val="20"/>
          <w:color w:val="auto"/>
        </w:rPr>
      </w:pPr>
    </w:p>
    <w:p>
      <w:pPr>
        <w:ind w:left="1020" w:right="260" w:firstLine="460"/>
        <w:spacing w:after="0" w:line="238" w:lineRule="auto"/>
        <w:rPr>
          <w:sz w:val="20"/>
          <w:szCs w:val="20"/>
          <w:color w:val="auto"/>
        </w:rPr>
      </w:pPr>
      <w:r>
        <w:rPr>
          <w:rFonts w:ascii="Arial" w:cs="Arial" w:eastAsia="Arial" w:hAnsi="Arial"/>
          <w:sz w:val="15"/>
          <w:szCs w:val="15"/>
          <w:color w:val="auto"/>
        </w:rPr>
        <w:t>The UWT Warehouse Credit Facility contains certain financial covenants. As of December 31, 2019, and September 30, 2020 (unaudited), UWT was in material compliance with all applicable covenants under the UWT Warehouse Credit Facility. The creditors of UWT have no recourse to the general credit of the Company except for certain limited obligations of UWT to its creditors that are guaranteed by the Company. The Company does not guarantee the credit performance of the loans owned by UWT, and the loans and other assets owned by UWT are not available to settle the claims of creditors of the Company.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0220"/>
          </w:cols>
          <w:pgMar w:left="320" w:top="407" w:right="1359" w:bottom="1440" w:gutter="0" w:footer="0" w:header="0"/>
        </w:sectPr>
      </w:pPr>
    </w:p>
    <w:bookmarkStart w:id="285" w:name="page286"/>
    <w:bookmarkEnd w:id="28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20" w:firstLine="460"/>
        <w:spacing w:after="0" w:line="245" w:lineRule="auto"/>
        <w:rPr>
          <w:sz w:val="20"/>
          <w:szCs w:val="20"/>
          <w:color w:val="auto"/>
        </w:rPr>
      </w:pPr>
      <w:r>
        <w:rPr>
          <w:rFonts w:ascii="Arial" w:cs="Arial" w:eastAsia="Arial" w:hAnsi="Arial"/>
          <w:sz w:val="15"/>
          <w:szCs w:val="15"/>
          <w:color w:val="auto"/>
        </w:rPr>
        <w:t>The following table includes the aggregate balances held by UWT that were pledged as collateral for the UWT Warehouse Credit Facility and included in loans at fair value and restricted cash in the condensed consolidated balance sheets, respectively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9"/>
          </w:tcPr>
          <w:p>
            <w:pPr>
              <w:ind w:left="320"/>
              <w:spacing w:after="0"/>
              <w:rPr>
                <w:sz w:val="20"/>
                <w:szCs w:val="20"/>
                <w:color w:val="auto"/>
              </w:rPr>
            </w:pPr>
            <w:r>
              <w:rPr>
                <w:rFonts w:ascii="Arial" w:cs="Arial" w:eastAsia="Arial" w:hAnsi="Arial"/>
                <w:sz w:val="12"/>
                <w:szCs w:val="12"/>
                <w:b w:val="1"/>
                <w:bCs w:val="1"/>
                <w:color w:val="auto"/>
              </w:rPr>
              <w:t>UWT Warehouse Credit Facility</w:t>
            </w:r>
          </w:p>
        </w:tc>
      </w:tr>
      <w:tr>
        <w:trPr>
          <w:trHeight w:val="126"/>
        </w:trPr>
        <w:tc>
          <w:tcPr>
            <w:tcW w:w="6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5"/>
          </w:tcPr>
          <w:p>
            <w:pPr>
              <w:ind w:left="220"/>
              <w:spacing w:after="0" w:line="126" w:lineRule="exact"/>
              <w:rPr>
                <w:sz w:val="20"/>
                <w:szCs w:val="20"/>
                <w:color w:val="auto"/>
              </w:rPr>
            </w:pPr>
            <w:r>
              <w:rPr>
                <w:rFonts w:ascii="Arial" w:cs="Arial" w:eastAsia="Arial" w:hAnsi="Arial"/>
                <w:sz w:val="12"/>
                <w:szCs w:val="12"/>
                <w:b w:val="1"/>
                <w:bCs w:val="1"/>
                <w:color w:val="auto"/>
              </w:rPr>
              <w:t>December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2"/>
                <w:szCs w:val="12"/>
                <w:b w:val="1"/>
                <w:bCs w:val="1"/>
                <w:color w:val="auto"/>
                <w:w w:val="97"/>
              </w:rPr>
              <w:t>September 30,</w:t>
            </w:r>
          </w:p>
        </w:tc>
        <w:tc>
          <w:tcPr>
            <w:tcW w:w="40" w:type="dxa"/>
            <w:vAlign w:val="bottom"/>
          </w:tcPr>
          <w:p>
            <w:pPr>
              <w:spacing w:after="0"/>
              <w:rPr>
                <w:sz w:val="10"/>
                <w:szCs w:val="10"/>
                <w:color w:val="auto"/>
              </w:rPr>
            </w:pPr>
          </w:p>
        </w:tc>
      </w:tr>
      <w:tr>
        <w:trPr>
          <w:trHeight w:val="126"/>
        </w:trPr>
        <w:tc>
          <w:tcPr>
            <w:tcW w:w="652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51"/>
              <w:spacing w:after="0" w:line="126" w:lineRule="exact"/>
              <w:rPr>
                <w:sz w:val="20"/>
                <w:szCs w:val="20"/>
                <w:color w:val="auto"/>
              </w:rPr>
            </w:pPr>
            <w:r>
              <w:rPr>
                <w:rFonts w:ascii="Arial" w:cs="Arial" w:eastAsia="Arial" w:hAnsi="Arial"/>
                <w:sz w:val="12"/>
                <w:szCs w:val="12"/>
                <w:b w:val="1"/>
                <w:bCs w:val="1"/>
                <w:color w:val="auto"/>
                <w:w w:val="89"/>
              </w:rPr>
              <w:t>2018</w:t>
            </w: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68"/>
              <w:spacing w:after="0" w:line="126" w:lineRule="exact"/>
              <w:rPr>
                <w:sz w:val="20"/>
                <w:szCs w:val="20"/>
                <w:color w:val="auto"/>
              </w:rPr>
            </w:pPr>
            <w:r>
              <w:rPr>
                <w:rFonts w:ascii="Arial" w:cs="Arial" w:eastAsia="Arial" w:hAnsi="Arial"/>
                <w:sz w:val="12"/>
                <w:szCs w:val="12"/>
                <w:b w:val="1"/>
                <w:bCs w:val="1"/>
                <w:color w:val="auto"/>
              </w:rPr>
              <w:t>2019</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0"/>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0"/>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69"/>
        </w:trPr>
        <w:tc>
          <w:tcPr>
            <w:tcW w:w="65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Outstanding borrowings</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w w:val="95"/>
              </w:rPr>
              <w:t>4,527</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24,326</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17,459</w:t>
            </w:r>
          </w:p>
        </w:tc>
      </w:tr>
      <w:tr>
        <w:trPr>
          <w:trHeight w:val="169"/>
        </w:trPr>
        <w:tc>
          <w:tcPr>
            <w:tcW w:w="6520" w:type="dxa"/>
            <w:vAlign w:val="bottom"/>
          </w:tcPr>
          <w:p>
            <w:pPr>
              <w:spacing w:after="0" w:line="169" w:lineRule="exact"/>
              <w:rPr>
                <w:sz w:val="20"/>
                <w:szCs w:val="20"/>
                <w:color w:val="auto"/>
              </w:rPr>
            </w:pPr>
            <w:r>
              <w:rPr>
                <w:rFonts w:ascii="Arial" w:cs="Arial" w:eastAsia="Arial" w:hAnsi="Arial"/>
                <w:sz w:val="15"/>
                <w:szCs w:val="15"/>
                <w:color w:val="auto"/>
              </w:rPr>
              <w:t>Aggregate outstanding principal of loans pledged as collateral</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w w:val="95"/>
              </w:rPr>
              <w:t>6,056</w:t>
            </w: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w w:val="95"/>
              </w:rPr>
              <w:t>36,228</w:t>
            </w:r>
          </w:p>
        </w:tc>
        <w:tc>
          <w:tcPr>
            <w:tcW w:w="280" w:type="dxa"/>
            <w:vAlign w:val="bottom"/>
            <w:gridSpan w:val="2"/>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25,606</w:t>
            </w:r>
          </w:p>
        </w:tc>
      </w:tr>
      <w:tr>
        <w:trPr>
          <w:trHeight w:val="169"/>
        </w:trPr>
        <w:tc>
          <w:tcPr>
            <w:tcW w:w="652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Aggregate fair value of personal loans purchased and held by UWT</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380"/>
              <w:spacing w:after="0" w:line="169" w:lineRule="exact"/>
              <w:rPr>
                <w:sz w:val="20"/>
                <w:szCs w:val="20"/>
                <w:color w:val="auto"/>
              </w:rPr>
            </w:pPr>
            <w:r>
              <w:rPr>
                <w:rFonts w:ascii="Arial" w:cs="Arial" w:eastAsia="Arial" w:hAnsi="Arial"/>
                <w:sz w:val="15"/>
                <w:szCs w:val="15"/>
                <w:color w:val="auto"/>
                <w:w w:val="95"/>
              </w:rPr>
              <w:t>6,946</w:t>
            </w: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95"/>
              </w:rPr>
              <w:t>$</w:t>
            </w:r>
          </w:p>
        </w:tc>
        <w:tc>
          <w:tcPr>
            <w:tcW w:w="660" w:type="dxa"/>
            <w:vAlign w:val="bottom"/>
            <w:gridSpan w:val="2"/>
            <w:shd w:val="clear" w:color="auto" w:fill="CCEEFF"/>
          </w:tcPr>
          <w:p>
            <w:pPr>
              <w:jc w:val="right"/>
              <w:ind w:right="200"/>
              <w:spacing w:after="0" w:line="169" w:lineRule="exact"/>
              <w:rPr>
                <w:sz w:val="20"/>
                <w:szCs w:val="20"/>
                <w:color w:val="auto"/>
              </w:rPr>
            </w:pPr>
            <w:r>
              <w:rPr>
                <w:rFonts w:ascii="Arial" w:cs="Arial" w:eastAsia="Arial" w:hAnsi="Arial"/>
                <w:sz w:val="15"/>
                <w:szCs w:val="15"/>
                <w:color w:val="auto"/>
                <w:w w:val="95"/>
              </w:rPr>
              <w:t>39,557</w:t>
            </w:r>
          </w:p>
        </w:tc>
        <w:tc>
          <w:tcPr>
            <w:tcW w:w="28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line="169" w:lineRule="exact"/>
              <w:rPr>
                <w:sz w:val="20"/>
                <w:szCs w:val="20"/>
                <w:color w:val="auto"/>
              </w:rPr>
            </w:pPr>
            <w:r>
              <w:rPr>
                <w:rFonts w:ascii="Arial" w:cs="Arial" w:eastAsia="Arial" w:hAnsi="Arial"/>
                <w:sz w:val="15"/>
                <w:szCs w:val="15"/>
                <w:color w:val="auto"/>
              </w:rPr>
              <w:t>27,164</w:t>
            </w:r>
          </w:p>
        </w:tc>
      </w:tr>
      <w:tr>
        <w:trPr>
          <w:trHeight w:val="180"/>
        </w:trPr>
        <w:tc>
          <w:tcPr>
            <w:tcW w:w="6520" w:type="dxa"/>
            <w:vAlign w:val="bottom"/>
          </w:tcPr>
          <w:p>
            <w:pPr>
              <w:spacing w:after="0"/>
              <w:rPr>
                <w:sz w:val="20"/>
                <w:szCs w:val="20"/>
                <w:color w:val="auto"/>
              </w:rPr>
            </w:pPr>
            <w:r>
              <w:rPr>
                <w:rFonts w:ascii="Arial" w:cs="Arial" w:eastAsia="Arial" w:hAnsi="Arial"/>
                <w:sz w:val="15"/>
                <w:szCs w:val="15"/>
                <w:color w:val="auto"/>
              </w:rPr>
              <w:t>Restricted cash pledged as collateral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80"/>
              <w:spacing w:after="0"/>
              <w:rPr>
                <w:sz w:val="20"/>
                <w:szCs w:val="20"/>
                <w:color w:val="auto"/>
              </w:rPr>
            </w:pPr>
            <w:r>
              <w:rPr>
                <w:rFonts w:ascii="Arial" w:cs="Arial" w:eastAsia="Arial" w:hAnsi="Arial"/>
                <w:sz w:val="15"/>
                <w:szCs w:val="15"/>
                <w:color w:val="auto"/>
              </w:rPr>
              <w:t>224</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200"/>
              <w:spacing w:after="0"/>
              <w:rPr>
                <w:sz w:val="20"/>
                <w:szCs w:val="20"/>
                <w:color w:val="auto"/>
              </w:rPr>
            </w:pPr>
            <w:r>
              <w:rPr>
                <w:rFonts w:ascii="Arial" w:cs="Arial" w:eastAsia="Arial" w:hAnsi="Arial"/>
                <w:sz w:val="15"/>
                <w:szCs w:val="15"/>
                <w:color w:val="auto"/>
              </w:rPr>
              <w:t>1,720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rPr>
              <w:t>1,326</w:t>
            </w:r>
          </w:p>
        </w:tc>
      </w:tr>
    </w:tbl>
    <w:p>
      <w:pPr>
        <w:spacing w:after="0" w:line="241"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Risk Retention Funding Loans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October 2018, Upstart RR Funding 2018-2, LLC (the “2018-2 RR entity”), a consolidated VIE of UNI, entered into a loan and security agreement (the “2018-2 RR Financing Agreement”) to finance the Company’s risk retention balance in the Upstart Securitization Trust 2018-2. Under this agreement, the balance borrowed by the 2018-2 RR entity has an interest rate of 4.00% per annum and is repaid using cash proceeds received by the 2018-2 RR entity as part of monthly cash distributions from the 2018-2 securitization on securitization notes and residual certificates. As of December 31, 2018 and 2019, the outstanding principal balance under the 2018-2 RR Financing Agreement was $6.7 million and $3.2 million, respectively. As of September 30, 2020 (unaudited), the outstanding principal balance under the 2018-2 RR Financing Agreement was immaterial.</w:t>
      </w:r>
    </w:p>
    <w:p>
      <w:pPr>
        <w:spacing w:after="0" w:line="171"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In September 2019, Upstart RR Funding 2019-2, LLC (the “2019-2 RR entity”), a consolidated VIE of UNI, entered into a loan and security agreement (the “2019-2 RR Financing Agreement”) to finance the Company’s risk retention balance in the Upstart Securitization Trust 2019-2. Under this agreement, the balance borrowed by the 2019-2 RR entity has an annual interest rate of 4.33% and is repaid using cash proceeds received by the 2019-2 RR entity as part of monthly cash distributions from the 2019-2 securitization on securitization notes and residual certificates. As of December 31, 2019, the outstanding principal balance under the 2019-2 RR Financing Agreement was $13.8 million. As of September 30, 2020 (unaudited), the outstanding principal balance under the 2019-2 RR Financing Agreement was $9.4 million.</w:t>
      </w:r>
    </w:p>
    <w:p>
      <w:pPr>
        <w:spacing w:after="0" w:line="171"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borrowings are solely the obligations of the 2018-2 RR entity and 2019-2 RR entity, respectively, and the Company is not obligated thereon. The securities and other assets owned by each RR entity are not available to settle the claims of creditors of the Company. Assets pledged as collateral for the risk retention funding loans include $8.3 million, $22.0 million and $14.5 million of securities held for risk retention for the 2018-2 and 2019-2 securitization transactions, included in notes receivables and residual certificates on the consolidated balance sheets as of December 31, 2018 and 2019, and September 30, 2020 (unaudited), respectively.</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0220"/>
          </w:cols>
          <w:pgMar w:left="320" w:top="407" w:right="1359" w:bottom="1440" w:gutter="0" w:footer="0" w:header="0"/>
        </w:sectPr>
      </w:pPr>
    </w:p>
    <w:bookmarkStart w:id="286" w:name="page287"/>
    <w:bookmarkEnd w:id="28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table summarizes the aggregate amount of maturities of all borrowings as of September 30, 2020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8340" w:type="dxa"/>
            <w:vAlign w:val="bottom"/>
          </w:tcPr>
          <w:p>
            <w:pPr>
              <w:spacing w:after="0"/>
              <w:rPr>
                <w:sz w:val="12"/>
                <w:szCs w:val="12"/>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83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ind w:right="21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8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ind w:right="14"/>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40" w:type="dxa"/>
            <w:vAlign w:val="bottom"/>
          </w:tcPr>
          <w:p>
            <w:pPr>
              <w:spacing w:after="0"/>
              <w:rPr>
                <w:sz w:val="10"/>
                <w:szCs w:val="10"/>
                <w:color w:val="auto"/>
              </w:rPr>
            </w:pPr>
          </w:p>
        </w:tc>
      </w:tr>
      <w:tr>
        <w:trPr>
          <w:trHeight w:val="158"/>
        </w:trPr>
        <w:tc>
          <w:tcPr>
            <w:tcW w:w="8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Remainder of 2020</w:t>
            </w:r>
          </w:p>
        </w:tc>
        <w:tc>
          <w:tcPr>
            <w:tcW w:w="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6,050</w:t>
            </w:r>
          </w:p>
        </w:tc>
      </w:tr>
      <w:tr>
        <w:trPr>
          <w:trHeight w:val="158"/>
        </w:trPr>
        <w:tc>
          <w:tcPr>
            <w:tcW w:w="834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32,459</w:t>
            </w:r>
          </w:p>
        </w:tc>
        <w:tc>
          <w:tcPr>
            <w:tcW w:w="40" w:type="dxa"/>
            <w:vAlign w:val="bottom"/>
          </w:tcPr>
          <w:p>
            <w:pPr>
              <w:spacing w:after="0"/>
              <w:rPr>
                <w:sz w:val="13"/>
                <w:szCs w:val="13"/>
                <w:color w:val="auto"/>
              </w:rPr>
            </w:pPr>
          </w:p>
        </w:tc>
      </w:tr>
      <w:tr>
        <w:trPr>
          <w:trHeight w:val="158"/>
        </w:trPr>
        <w:tc>
          <w:tcPr>
            <w:tcW w:w="8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53,868</w:t>
            </w:r>
          </w:p>
        </w:tc>
        <w:tc>
          <w:tcPr>
            <w:tcW w:w="40" w:type="dxa"/>
            <w:vAlign w:val="bottom"/>
            <w:shd w:val="clear" w:color="auto" w:fill="CCEEFF"/>
          </w:tcPr>
          <w:p>
            <w:pPr>
              <w:spacing w:after="0"/>
              <w:rPr>
                <w:sz w:val="13"/>
                <w:szCs w:val="13"/>
                <w:color w:val="auto"/>
              </w:rPr>
            </w:pPr>
          </w:p>
        </w:tc>
      </w:tr>
      <w:tr>
        <w:trPr>
          <w:trHeight w:val="158"/>
        </w:trPr>
        <w:tc>
          <w:tcPr>
            <w:tcW w:w="834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8,283</w:t>
            </w:r>
          </w:p>
        </w:tc>
      </w:tr>
      <w:tr>
        <w:trPr>
          <w:trHeight w:val="158"/>
        </w:trPr>
        <w:tc>
          <w:tcPr>
            <w:tcW w:w="83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60"/>
        </w:trPr>
        <w:tc>
          <w:tcPr>
            <w:tcW w:w="8340" w:type="dxa"/>
            <w:vAlign w:val="bottom"/>
          </w:tcPr>
          <w:p>
            <w:pPr>
              <w:ind w:left="28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100,660</w:t>
            </w:r>
          </w:p>
        </w:tc>
        <w:tc>
          <w:tcPr>
            <w:tcW w:w="40" w:type="dxa"/>
            <w:vAlign w:val="bottom"/>
          </w:tcPr>
          <w:p>
            <w:pPr>
              <w:spacing w:after="0"/>
              <w:rPr>
                <w:sz w:val="13"/>
                <w:szCs w:val="13"/>
                <w:color w:val="auto"/>
              </w:rPr>
            </w:pPr>
          </w:p>
        </w:tc>
      </w:tr>
      <w:tr>
        <w:trPr>
          <w:trHeight w:val="20"/>
        </w:trPr>
        <w:tc>
          <w:tcPr>
            <w:tcW w:w="8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8. Convertible Promissory Notes</w:t>
      </w:r>
    </w:p>
    <w:p>
      <w:pPr>
        <w:spacing w:after="0" w:line="105" w:lineRule="exact"/>
        <w:rPr>
          <w:sz w:val="20"/>
          <w:szCs w:val="20"/>
          <w:color w:val="auto"/>
        </w:rPr>
      </w:pPr>
    </w:p>
    <w:p>
      <w:pPr>
        <w:ind w:left="1020" w:right="180" w:firstLine="460"/>
        <w:spacing w:after="0" w:line="237" w:lineRule="auto"/>
        <w:rPr>
          <w:sz w:val="20"/>
          <w:szCs w:val="20"/>
          <w:color w:val="auto"/>
        </w:rPr>
      </w:pPr>
      <w:r>
        <w:rPr>
          <w:rFonts w:ascii="Arial" w:cs="Arial" w:eastAsia="Arial" w:hAnsi="Arial"/>
          <w:sz w:val="15"/>
          <w:szCs w:val="15"/>
          <w:color w:val="auto"/>
        </w:rPr>
        <w:t>In September and October 2017, respectively, the Company issued $10.0 million of subordinated convertible promissory notes to each of two institutional investors, one of which is a related party of the Company, for total proceeds of $20.0 million. The notes had an annual interest of 8.00% and a maturity date of June 30, 2018. On June 30, 2018, the outstanding principal and accrued and unpaid interests of $21.2 million on the convertible promissory notes were converted into 5,871,382 shares of Series C-1 convertible preferred stock at a per share price of $3.612, equal to the issue price in the Series C-1 financing round. No convertible promissory notes were issued or outstanding as of and for the years ended December 31, 2018 and 2019, and as of and for the nine months ended September 30, 2020 (unaudited). Refer to “</w:t>
      </w:r>
      <w:r>
        <w:rPr>
          <w:rFonts w:ascii="Arial" w:cs="Arial" w:eastAsia="Arial" w:hAnsi="Arial"/>
          <w:sz w:val="15"/>
          <w:szCs w:val="15"/>
          <w:i w:val="1"/>
          <w:iCs w:val="1"/>
          <w:color w:val="auto"/>
        </w:rPr>
        <w:t>Note 15. Related Party Transactions”</w:t>
      </w:r>
      <w:r>
        <w:rPr>
          <w:rFonts w:ascii="Arial" w:cs="Arial" w:eastAsia="Arial" w:hAnsi="Arial"/>
          <w:sz w:val="15"/>
          <w:szCs w:val="15"/>
          <w:b w:val="1"/>
          <w:bCs w:val="1"/>
          <w:color w:val="auto"/>
        </w:rPr>
        <w:t>.</w:t>
      </w:r>
    </w:p>
    <w:p>
      <w:pPr>
        <w:spacing w:after="0" w:line="171" w:lineRule="exact"/>
        <w:rPr>
          <w:sz w:val="20"/>
          <w:szCs w:val="20"/>
          <w:color w:val="auto"/>
        </w:rPr>
      </w:pPr>
    </w:p>
    <w:p>
      <w:pPr>
        <w:ind w:left="1020" w:right="140" w:firstLine="460"/>
        <w:spacing w:after="0"/>
        <w:rPr>
          <w:sz w:val="20"/>
          <w:szCs w:val="20"/>
          <w:color w:val="auto"/>
        </w:rPr>
      </w:pPr>
      <w:r>
        <w:rPr>
          <w:rFonts w:ascii="Arial" w:cs="Arial" w:eastAsia="Arial" w:hAnsi="Arial"/>
          <w:sz w:val="15"/>
          <w:szCs w:val="15"/>
          <w:color w:val="auto"/>
        </w:rPr>
        <w:t>In conjunction with the issuance of the convertible promissory notes, the Company issued warrants to purchase an aggregate of 830,468 shares of Series C-1 convertible preferred stock. Of these warrants, 415,234 were issued to a related party of the Company. On conversion of the convertible promissory notes on June 30, 2018, these warrants were cancelled.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9. Convertible Preferred Stock and Convertible Preferred Stock Warrants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w:t>
      </w:r>
    </w:p>
    <w:p>
      <w:pPr>
        <w:spacing w:after="0" w:line="105"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As of December 31, 2018, the Company’s convertible preferred stock consisted of the following balances (in thousands, except share and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rPr>
              <w:t>Shares Issued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1040" w:type="dxa"/>
            <w:vAlign w:val="bottom"/>
            <w:gridSpan w:val="2"/>
          </w:tcPr>
          <w:p>
            <w:pPr>
              <w:jc w:val="center"/>
              <w:ind w:right="320"/>
              <w:spacing w:after="0" w:line="136" w:lineRule="exact"/>
              <w:rPr>
                <w:sz w:val="20"/>
                <w:szCs w:val="20"/>
                <w:color w:val="auto"/>
              </w:rPr>
            </w:pPr>
            <w:r>
              <w:rPr>
                <w:rFonts w:ascii="Arial" w:cs="Arial" w:eastAsia="Arial" w:hAnsi="Arial"/>
                <w:sz w:val="12"/>
                <w:szCs w:val="12"/>
                <w:b w:val="1"/>
                <w:bCs w:val="1"/>
                <w:color w:val="auto"/>
                <w:w w:val="99"/>
              </w:rPr>
              <w:t>Shares</w:t>
            </w:r>
          </w:p>
        </w:tc>
        <w:tc>
          <w:tcPr>
            <w:tcW w:w="9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and</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Liquidation</w:t>
            </w:r>
          </w:p>
        </w:tc>
        <w:tc>
          <w:tcPr>
            <w:tcW w:w="0" w:type="dxa"/>
            <w:vAlign w:val="bottom"/>
          </w:tcPr>
          <w:p>
            <w:pPr>
              <w:spacing w:after="0"/>
              <w:rPr>
                <w:sz w:val="1"/>
                <w:szCs w:val="1"/>
                <w:color w:val="auto"/>
              </w:rPr>
            </w:pPr>
          </w:p>
        </w:tc>
      </w:tr>
      <w:tr>
        <w:trPr>
          <w:trHeight w:val="145"/>
        </w:trPr>
        <w:tc>
          <w:tcPr>
            <w:tcW w:w="516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Authorized</w:t>
            </w:r>
          </w:p>
        </w:tc>
        <w:tc>
          <w:tcPr>
            <w:tcW w:w="3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8"/>
              </w:rPr>
              <w:t>Outstanding</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Carrying Value</w:t>
            </w:r>
          </w:p>
        </w:tc>
        <w:tc>
          <w:tcPr>
            <w:tcW w:w="160" w:type="dxa"/>
            <w:vAlign w:val="bottom"/>
          </w:tcPr>
          <w:p>
            <w:pPr>
              <w:spacing w:after="0"/>
              <w:rPr>
                <w:sz w:val="12"/>
                <w:szCs w:val="12"/>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Preference</w:t>
            </w:r>
          </w:p>
        </w:tc>
        <w:tc>
          <w:tcPr>
            <w:tcW w:w="0" w:type="dxa"/>
            <w:vAlign w:val="bottom"/>
          </w:tcPr>
          <w:p>
            <w:pPr>
              <w:spacing w:after="0"/>
              <w:rPr>
                <w:sz w:val="1"/>
                <w:szCs w:val="1"/>
                <w:color w:val="auto"/>
              </w:rPr>
            </w:pPr>
          </w:p>
        </w:tc>
      </w:tr>
      <w:tr>
        <w:trPr>
          <w:trHeight w:val="20"/>
        </w:trPr>
        <w:tc>
          <w:tcPr>
            <w:tcW w:w="51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Series Seed</w:t>
            </w: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160" w:type="dxa"/>
            <w:vAlign w:val="bottom"/>
            <w:vMerge w:val="continue"/>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2,009,641</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2,009,641</w:t>
            </w:r>
          </w:p>
        </w:tc>
        <w:tc>
          <w:tcPr>
            <w:tcW w:w="3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1,693</w:t>
            </w:r>
          </w:p>
        </w:tc>
        <w:tc>
          <w:tcPr>
            <w:tcW w:w="2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A</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5,547,713</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5,547,713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5,828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5,900</w:t>
            </w:r>
          </w:p>
        </w:tc>
        <w:tc>
          <w:tcPr>
            <w:tcW w:w="0" w:type="dxa"/>
            <w:vAlign w:val="bottom"/>
          </w:tcPr>
          <w:p>
            <w:pPr>
              <w:spacing w:after="0"/>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B</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10,140,679</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8,640,160</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14,312</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14,395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C</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9,724,108</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9,724,108</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34,877</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35,000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C-1</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15,394,772</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15,394,772</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53,368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55,612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line="158" w:lineRule="exact"/>
              <w:rPr>
                <w:sz w:val="20"/>
                <w:szCs w:val="20"/>
                <w:color w:val="auto"/>
              </w:rPr>
            </w:pPr>
            <w:r>
              <w:rPr>
                <w:rFonts w:ascii="Arial" w:cs="Arial" w:eastAsia="Arial" w:hAnsi="Arial"/>
                <w:sz w:val="14"/>
                <w:szCs w:val="14"/>
                <w:color w:val="auto"/>
              </w:rPr>
              <w:t>Series D</w:t>
            </w:r>
          </w:p>
        </w:tc>
        <w:tc>
          <w:tcPr>
            <w:tcW w:w="10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w w:val="99"/>
              </w:rPr>
              <w:t>11,110,744</w:t>
            </w:r>
          </w:p>
        </w:tc>
        <w:tc>
          <w:tcPr>
            <w:tcW w:w="9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5,566,483</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47,845</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color w:val="auto"/>
              </w:rPr>
              <w:t>50,100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w:t>
            </w:r>
          </w:p>
        </w:tc>
        <w:tc>
          <w:tcPr>
            <w:tcW w:w="10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w w:val="99"/>
              </w:rPr>
              <w:t>53,927,657</w:t>
            </w:r>
          </w:p>
        </w:tc>
        <w:tc>
          <w:tcPr>
            <w:tcW w:w="9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46,882,877</w:t>
            </w:r>
          </w:p>
        </w:tc>
        <w:tc>
          <w:tcPr>
            <w:tcW w:w="3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157,923</w:t>
            </w:r>
          </w:p>
        </w:tc>
        <w:tc>
          <w:tcPr>
            <w:tcW w:w="1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162,757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0220"/>
          </w:cols>
          <w:pgMar w:left="320" w:top="407" w:right="1359" w:bottom="1440" w:gutter="0" w:footer="0" w:header="0"/>
        </w:sectPr>
      </w:pPr>
    </w:p>
    <w:bookmarkStart w:id="287" w:name="page288"/>
    <w:bookmarkEnd w:id="28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300" w:firstLine="460"/>
        <w:spacing w:after="0" w:line="245" w:lineRule="auto"/>
        <w:rPr>
          <w:sz w:val="20"/>
          <w:szCs w:val="20"/>
          <w:color w:val="auto"/>
        </w:rPr>
      </w:pPr>
      <w:r>
        <w:rPr>
          <w:rFonts w:ascii="Arial" w:cs="Arial" w:eastAsia="Arial" w:hAnsi="Arial"/>
          <w:sz w:val="15"/>
          <w:szCs w:val="15"/>
          <w:color w:val="auto"/>
        </w:rPr>
        <w:t>As of December 31, 2019, the Company’s convertible preferred stock consisted of the following balances (in thousands, except share and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8"/>
              </w:rPr>
              <w:t>Shares Issued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7"/>
              </w:rPr>
              <w:t>Aggregate</w:t>
            </w:r>
          </w:p>
        </w:tc>
      </w:tr>
      <w:tr>
        <w:trPr>
          <w:trHeight w:val="135"/>
        </w:trPr>
        <w:tc>
          <w:tcPr>
            <w:tcW w:w="5520" w:type="dxa"/>
            <w:vAlign w:val="bottom"/>
          </w:tcPr>
          <w:p>
            <w:pPr>
              <w:spacing w:after="0"/>
              <w:rPr>
                <w:sz w:val="11"/>
                <w:szCs w:val="11"/>
                <w:color w:val="auto"/>
              </w:rPr>
            </w:pPr>
          </w:p>
        </w:tc>
        <w:tc>
          <w:tcPr>
            <w:tcW w:w="98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rPr>
              <w:t>Shares</w:t>
            </w: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and</w:t>
            </w:r>
          </w:p>
        </w:tc>
        <w:tc>
          <w:tcPr>
            <w:tcW w:w="220" w:type="dxa"/>
            <w:vAlign w:val="bottom"/>
          </w:tcPr>
          <w:p>
            <w:pPr>
              <w:spacing w:after="0"/>
              <w:rPr>
                <w:sz w:val="11"/>
                <w:szCs w:val="11"/>
                <w:color w:val="auto"/>
              </w:rPr>
            </w:pPr>
          </w:p>
        </w:tc>
        <w:tc>
          <w:tcPr>
            <w:tcW w:w="720" w:type="dxa"/>
            <w:vAlign w:val="bottom"/>
            <w:gridSpan w:val="3"/>
          </w:tcPr>
          <w:p>
            <w:pPr>
              <w:jc w:val="right"/>
              <w:ind w:right="160"/>
              <w:spacing w:after="0" w:line="136"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76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rPr>
              <w:t>Liquidation</w:t>
            </w:r>
          </w:p>
        </w:tc>
      </w:tr>
      <w:tr>
        <w:trPr>
          <w:trHeight w:val="145"/>
        </w:trPr>
        <w:tc>
          <w:tcPr>
            <w:tcW w:w="55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Authorized</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Outstanding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Value</w:t>
            </w:r>
          </w:p>
        </w:tc>
        <w:tc>
          <w:tcPr>
            <w:tcW w:w="120" w:type="dxa"/>
            <w:vAlign w:val="bottom"/>
          </w:tcPr>
          <w:p>
            <w:pPr>
              <w:spacing w:after="0"/>
              <w:rPr>
                <w:sz w:val="12"/>
                <w:szCs w:val="12"/>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Preference</w:t>
            </w:r>
          </w:p>
        </w:tc>
      </w:tr>
      <w:tr>
        <w:trPr>
          <w:trHeight w:val="126"/>
        </w:trPr>
        <w:tc>
          <w:tcPr>
            <w:tcW w:w="552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2"/>
                <w:szCs w:val="12"/>
                <w:b w:val="1"/>
                <w:bCs w:val="1"/>
                <w:color w:val="auto"/>
              </w:rPr>
              <w:t>(unaudited)</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Seed</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2,009,641</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2,009,641</w:t>
            </w: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1,693</w:t>
            </w: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1,750</w:t>
            </w: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A</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5,547,713</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5,547,713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5,828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line="158" w:lineRule="exact"/>
              <w:rPr>
                <w:sz w:val="20"/>
                <w:szCs w:val="20"/>
                <w:color w:val="auto"/>
              </w:rPr>
            </w:pPr>
            <w:r>
              <w:rPr>
                <w:rFonts w:ascii="Arial" w:cs="Arial" w:eastAsia="Arial" w:hAnsi="Arial"/>
                <w:sz w:val="14"/>
                <w:szCs w:val="14"/>
                <w:color w:val="auto"/>
              </w:rPr>
              <w:t>5,900</w:t>
            </w: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B</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10,140,679</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8,940,263</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15,943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14,895</w:t>
            </w:r>
          </w:p>
        </w:tc>
        <w:tc>
          <w:tcPr>
            <w:tcW w:w="6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C</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9,724,108</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9,446,277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33,877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34,000</w:t>
            </w:r>
          </w:p>
        </w:tc>
        <w:tc>
          <w:tcPr>
            <w:tcW w:w="60" w:type="dxa"/>
            <w:vAlign w:val="bottom"/>
          </w:tcPr>
          <w:p>
            <w:pPr>
              <w:spacing w:after="0"/>
              <w:rPr>
                <w:sz w:val="13"/>
                <w:szCs w:val="13"/>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Series C-1</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15,394,772</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15,394,772</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53,368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55,612</w:t>
            </w:r>
          </w:p>
        </w:tc>
        <w:tc>
          <w:tcPr>
            <w:tcW w:w="60" w:type="dxa"/>
            <w:vAlign w:val="bottom"/>
            <w:shd w:val="clear" w:color="auto" w:fill="CCEEFF"/>
          </w:tcPr>
          <w:p>
            <w:pPr>
              <w:spacing w:after="0"/>
              <w:rPr>
                <w:sz w:val="13"/>
                <w:szCs w:val="13"/>
                <w:color w:val="auto"/>
              </w:rPr>
            </w:pPr>
          </w:p>
        </w:tc>
      </w:tr>
      <w:tr>
        <w:trPr>
          <w:trHeight w:val="158"/>
        </w:trPr>
        <w:tc>
          <w:tcPr>
            <w:tcW w:w="5520" w:type="dxa"/>
            <w:vAlign w:val="bottom"/>
          </w:tcPr>
          <w:p>
            <w:pPr>
              <w:spacing w:after="0" w:line="158" w:lineRule="exact"/>
              <w:rPr>
                <w:sz w:val="20"/>
                <w:szCs w:val="20"/>
                <w:color w:val="auto"/>
              </w:rPr>
            </w:pPr>
            <w:r>
              <w:rPr>
                <w:rFonts w:ascii="Arial" w:cs="Arial" w:eastAsia="Arial" w:hAnsi="Arial"/>
                <w:sz w:val="14"/>
                <w:szCs w:val="14"/>
                <w:color w:val="auto"/>
              </w:rPr>
              <w:t>Series D</w:t>
            </w:r>
          </w:p>
        </w:tc>
        <w:tc>
          <w:tcPr>
            <w:tcW w:w="9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11,110,744</w:t>
            </w:r>
          </w:p>
        </w:tc>
        <w:tc>
          <w:tcPr>
            <w:tcW w:w="880" w:type="dxa"/>
            <w:vAlign w:val="bottom"/>
          </w:tcPr>
          <w:p>
            <w:pPr>
              <w:jc w:val="right"/>
              <w:spacing w:after="0" w:line="158" w:lineRule="exact"/>
              <w:rPr>
                <w:sz w:val="20"/>
                <w:szCs w:val="20"/>
                <w:color w:val="auto"/>
              </w:rPr>
            </w:pPr>
            <w:r>
              <w:rPr>
                <w:rFonts w:ascii="Arial" w:cs="Arial" w:eastAsia="Arial" w:hAnsi="Arial"/>
                <w:sz w:val="14"/>
                <w:szCs w:val="14"/>
                <w:color w:val="auto"/>
              </w:rPr>
              <w:t>6,010,911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color w:val="auto"/>
              </w:rPr>
              <w:t>51,837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line="158" w:lineRule="exact"/>
              <w:rPr>
                <w:sz w:val="20"/>
                <w:szCs w:val="20"/>
                <w:color w:val="auto"/>
              </w:rPr>
            </w:pPr>
            <w:r>
              <w:rPr>
                <w:rFonts w:ascii="Arial" w:cs="Arial" w:eastAsia="Arial" w:hAnsi="Arial"/>
                <w:sz w:val="14"/>
                <w:szCs w:val="14"/>
                <w:color w:val="auto"/>
              </w:rPr>
              <w:t>54,100</w:t>
            </w:r>
          </w:p>
        </w:tc>
        <w:tc>
          <w:tcPr>
            <w:tcW w:w="60" w:type="dxa"/>
            <w:vAlign w:val="bottom"/>
          </w:tcPr>
          <w:p>
            <w:pPr>
              <w:spacing w:after="0"/>
              <w:rPr>
                <w:sz w:val="13"/>
                <w:szCs w:val="13"/>
                <w:color w:val="auto"/>
              </w:rPr>
            </w:pPr>
          </w:p>
        </w:tc>
      </w:tr>
      <w:tr>
        <w:trPr>
          <w:trHeight w:val="23"/>
        </w:trPr>
        <w:tc>
          <w:tcPr>
            <w:tcW w:w="5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55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w:t>
            </w:r>
          </w:p>
        </w:tc>
        <w:tc>
          <w:tcPr>
            <w:tcW w:w="9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53,927,657</w:t>
            </w:r>
          </w:p>
        </w:tc>
        <w:tc>
          <w:tcPr>
            <w:tcW w:w="8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32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162,546</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166,257</w:t>
            </w:r>
          </w:p>
        </w:tc>
        <w:tc>
          <w:tcPr>
            <w:tcW w:w="60" w:type="dxa"/>
            <w:vAlign w:val="bottom"/>
            <w:shd w:val="clear" w:color="auto" w:fill="CCEEFF"/>
          </w:tcPr>
          <w:p>
            <w:pPr>
              <w:spacing w:after="0"/>
              <w:rPr>
                <w:sz w:val="13"/>
                <w:szCs w:val="13"/>
                <w:color w:val="auto"/>
              </w:rPr>
            </w:pPr>
          </w:p>
        </w:tc>
      </w:tr>
      <w:tr>
        <w:trPr>
          <w:trHeight w:val="20"/>
        </w:trPr>
        <w:tc>
          <w:tcPr>
            <w:tcW w:w="5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As of September 30, 2020, the Company’s convertible preferred stock consisted of the following balances (in thousands, except share and per share amounts):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Shares Issued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Aggregate</w:t>
            </w:r>
          </w:p>
        </w:tc>
      </w:tr>
      <w:tr>
        <w:trPr>
          <w:trHeight w:val="135"/>
        </w:trPr>
        <w:tc>
          <w:tcPr>
            <w:tcW w:w="5140" w:type="dxa"/>
            <w:vAlign w:val="bottom"/>
          </w:tcPr>
          <w:p>
            <w:pPr>
              <w:spacing w:after="0"/>
              <w:rPr>
                <w:sz w:val="11"/>
                <w:szCs w:val="11"/>
                <w:color w:val="auto"/>
              </w:rPr>
            </w:pPr>
          </w:p>
        </w:tc>
        <w:tc>
          <w:tcPr>
            <w:tcW w:w="1140" w:type="dxa"/>
            <w:vAlign w:val="bottom"/>
            <w:gridSpan w:val="2"/>
          </w:tcPr>
          <w:p>
            <w:pPr>
              <w:jc w:val="right"/>
              <w:ind w:right="480"/>
              <w:spacing w:after="0" w:line="136" w:lineRule="exact"/>
              <w:rPr>
                <w:sz w:val="20"/>
                <w:szCs w:val="20"/>
                <w:color w:val="auto"/>
              </w:rPr>
            </w:pPr>
            <w:r>
              <w:rPr>
                <w:rFonts w:ascii="Arial" w:cs="Arial" w:eastAsia="Arial" w:hAnsi="Arial"/>
                <w:sz w:val="12"/>
                <w:szCs w:val="12"/>
                <w:b w:val="1"/>
                <w:bCs w:val="1"/>
                <w:color w:val="auto"/>
              </w:rPr>
              <w:t>Shares</w:t>
            </w:r>
          </w:p>
        </w:tc>
        <w:tc>
          <w:tcPr>
            <w:tcW w:w="1140" w:type="dxa"/>
            <w:vAlign w:val="bottom"/>
            <w:gridSpan w:val="2"/>
          </w:tcPr>
          <w:p>
            <w:pPr>
              <w:jc w:val="center"/>
              <w:ind w:right="240"/>
              <w:spacing w:after="0" w:line="136" w:lineRule="exact"/>
              <w:rPr>
                <w:sz w:val="20"/>
                <w:szCs w:val="20"/>
                <w:color w:val="auto"/>
              </w:rPr>
            </w:pPr>
            <w:r>
              <w:rPr>
                <w:rFonts w:ascii="Arial" w:cs="Arial" w:eastAsia="Arial" w:hAnsi="Arial"/>
                <w:sz w:val="12"/>
                <w:szCs w:val="12"/>
                <w:b w:val="1"/>
                <w:bCs w:val="1"/>
                <w:color w:val="auto"/>
              </w:rPr>
              <w:t>and</w:t>
            </w:r>
          </w:p>
        </w:tc>
        <w:tc>
          <w:tcPr>
            <w:tcW w:w="100" w:type="dxa"/>
            <w:vAlign w:val="bottom"/>
          </w:tcPr>
          <w:p>
            <w:pPr>
              <w:spacing w:after="0"/>
              <w:rPr>
                <w:sz w:val="11"/>
                <w:szCs w:val="11"/>
                <w:color w:val="auto"/>
              </w:rPr>
            </w:pPr>
          </w:p>
        </w:tc>
        <w:tc>
          <w:tcPr>
            <w:tcW w:w="74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820" w:type="dxa"/>
            <w:vAlign w:val="bottom"/>
            <w:gridSpan w:val="3"/>
          </w:tcPr>
          <w:p>
            <w:pPr>
              <w:jc w:val="center"/>
              <w:ind w:right="60"/>
              <w:spacing w:after="0" w:line="136" w:lineRule="exact"/>
              <w:rPr>
                <w:sz w:val="20"/>
                <w:szCs w:val="20"/>
                <w:color w:val="auto"/>
              </w:rPr>
            </w:pPr>
            <w:r>
              <w:rPr>
                <w:rFonts w:ascii="Arial" w:cs="Arial" w:eastAsia="Arial" w:hAnsi="Arial"/>
                <w:sz w:val="12"/>
                <w:szCs w:val="12"/>
                <w:b w:val="1"/>
                <w:bCs w:val="1"/>
                <w:color w:val="auto"/>
                <w:w w:val="98"/>
              </w:rPr>
              <w:t>Liquidation</w:t>
            </w:r>
          </w:p>
        </w:tc>
      </w:tr>
      <w:tr>
        <w:trPr>
          <w:trHeight w:val="145"/>
        </w:trPr>
        <w:tc>
          <w:tcPr>
            <w:tcW w:w="5140" w:type="dxa"/>
            <w:vAlign w:val="bottom"/>
          </w:tcPr>
          <w:p>
            <w:pPr>
              <w:spacing w:after="0"/>
              <w:rPr>
                <w:sz w:val="12"/>
                <w:szCs w:val="12"/>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Authorized</w:t>
            </w: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Outstanding</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2"/>
                <w:szCs w:val="12"/>
                <w:color w:val="auto"/>
              </w:rPr>
            </w:pPr>
          </w:p>
        </w:tc>
        <w:tc>
          <w:tcPr>
            <w:tcW w:w="82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9"/>
              </w:rPr>
              <w:t>Preference</w:t>
            </w:r>
          </w:p>
        </w:tc>
      </w:tr>
      <w:tr>
        <w:trPr>
          <w:trHeight w:val="160"/>
        </w:trPr>
        <w:tc>
          <w:tcPr>
            <w:tcW w:w="514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5"/>
                <w:szCs w:val="15"/>
                <w:color w:val="auto"/>
              </w:rPr>
              <w:t>Series Seed (unaudited)</w:t>
            </w:r>
          </w:p>
        </w:tc>
        <w:tc>
          <w:tcPr>
            <w:tcW w:w="9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2,009,641</w:t>
            </w:r>
          </w:p>
        </w:tc>
        <w:tc>
          <w:tcPr>
            <w:tcW w:w="24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2,009,641</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1,693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61" w:lineRule="exact"/>
              <w:rPr>
                <w:sz w:val="20"/>
                <w:szCs w:val="20"/>
                <w:color w:val="auto"/>
              </w:rPr>
            </w:pPr>
            <w:r>
              <w:rPr>
                <w:rFonts w:ascii="Arial" w:cs="Arial" w:eastAsia="Arial" w:hAnsi="Arial"/>
                <w:sz w:val="15"/>
                <w:szCs w:val="15"/>
                <w:color w:val="auto"/>
              </w:rPr>
              <w:t>1,750</w:t>
            </w:r>
          </w:p>
        </w:tc>
        <w:tc>
          <w:tcPr>
            <w:tcW w:w="60" w:type="dxa"/>
            <w:vAlign w:val="bottom"/>
            <w:tcBorders>
              <w:top w:val="single" w:sz="8" w:color="CCEEFF"/>
            </w:tcBorders>
            <w:shd w:val="clear" w:color="auto" w:fill="CCEEFF"/>
          </w:tcPr>
          <w:p>
            <w:pPr>
              <w:spacing w:after="0"/>
              <w:rPr>
                <w:sz w:val="13"/>
                <w:szCs w:val="13"/>
                <w:color w:val="auto"/>
              </w:rPr>
            </w:pPr>
          </w:p>
        </w:tc>
      </w:tr>
      <w:tr>
        <w:trPr>
          <w:trHeight w:val="169"/>
        </w:trPr>
        <w:tc>
          <w:tcPr>
            <w:tcW w:w="5140" w:type="dxa"/>
            <w:vAlign w:val="bottom"/>
          </w:tcPr>
          <w:p>
            <w:pPr>
              <w:spacing w:after="0" w:line="169" w:lineRule="exact"/>
              <w:rPr>
                <w:sz w:val="20"/>
                <w:szCs w:val="20"/>
                <w:color w:val="auto"/>
              </w:rPr>
            </w:pPr>
            <w:r>
              <w:rPr>
                <w:rFonts w:ascii="Arial" w:cs="Arial" w:eastAsia="Arial" w:hAnsi="Arial"/>
                <w:sz w:val="15"/>
                <w:szCs w:val="15"/>
                <w:color w:val="auto"/>
              </w:rPr>
              <w:t>Series A (unaudited)</w:t>
            </w:r>
          </w:p>
        </w:tc>
        <w:tc>
          <w:tcPr>
            <w:tcW w:w="11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5,547,713</w:t>
            </w: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5,547,713</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5,828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5,900</w:t>
            </w: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B (unaudited)</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10,140,679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8,940,263</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15,943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14,895</w:t>
            </w:r>
          </w:p>
        </w:tc>
      </w:tr>
      <w:tr>
        <w:trPr>
          <w:trHeight w:val="169"/>
        </w:trPr>
        <w:tc>
          <w:tcPr>
            <w:tcW w:w="5140" w:type="dxa"/>
            <w:vAlign w:val="bottom"/>
          </w:tcPr>
          <w:p>
            <w:pPr>
              <w:spacing w:after="0" w:line="169" w:lineRule="exact"/>
              <w:rPr>
                <w:sz w:val="20"/>
                <w:szCs w:val="20"/>
                <w:color w:val="auto"/>
              </w:rPr>
            </w:pPr>
            <w:r>
              <w:rPr>
                <w:rFonts w:ascii="Arial" w:cs="Arial" w:eastAsia="Arial" w:hAnsi="Arial"/>
                <w:sz w:val="15"/>
                <w:szCs w:val="15"/>
                <w:color w:val="auto"/>
              </w:rPr>
              <w:t>Series C (unaudited)</w:t>
            </w:r>
          </w:p>
        </w:tc>
        <w:tc>
          <w:tcPr>
            <w:tcW w:w="11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9,724,108</w:t>
            </w:r>
          </w:p>
        </w:tc>
        <w:tc>
          <w:tcPr>
            <w:tcW w:w="11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9,446,277</w:t>
            </w:r>
          </w:p>
        </w:tc>
        <w:tc>
          <w:tcPr>
            <w:tcW w:w="100" w:type="dxa"/>
            <w:vAlign w:val="bottom"/>
          </w:tcPr>
          <w:p>
            <w:pPr>
              <w:spacing w:after="0"/>
              <w:rPr>
                <w:sz w:val="14"/>
                <w:szCs w:val="14"/>
                <w:color w:val="auto"/>
              </w:rPr>
            </w:pPr>
          </w:p>
        </w:tc>
        <w:tc>
          <w:tcPr>
            <w:tcW w:w="7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33,877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34,000</w:t>
            </w: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Series C-1 (unaudited)</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15,394,772</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9" w:lineRule="exact"/>
              <w:rPr>
                <w:sz w:val="20"/>
                <w:szCs w:val="20"/>
                <w:color w:val="auto"/>
              </w:rPr>
            </w:pPr>
            <w:r>
              <w:rPr>
                <w:rFonts w:ascii="Arial" w:cs="Arial" w:eastAsia="Arial" w:hAnsi="Arial"/>
                <w:sz w:val="15"/>
                <w:szCs w:val="15"/>
                <w:color w:val="auto"/>
              </w:rPr>
              <w:t>15,394,772</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5"/>
                <w:szCs w:val="15"/>
                <w:color w:val="auto"/>
              </w:rPr>
              <w:t>53,368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55,612</w:t>
            </w:r>
          </w:p>
        </w:tc>
      </w:tr>
      <w:tr>
        <w:trPr>
          <w:trHeight w:val="169"/>
        </w:trPr>
        <w:tc>
          <w:tcPr>
            <w:tcW w:w="5140" w:type="dxa"/>
            <w:vAlign w:val="bottom"/>
          </w:tcPr>
          <w:p>
            <w:pPr>
              <w:spacing w:after="0" w:line="169" w:lineRule="exact"/>
              <w:rPr>
                <w:sz w:val="20"/>
                <w:szCs w:val="20"/>
                <w:color w:val="auto"/>
              </w:rPr>
            </w:pPr>
            <w:r>
              <w:rPr>
                <w:rFonts w:ascii="Arial" w:cs="Arial" w:eastAsia="Arial" w:hAnsi="Arial"/>
                <w:sz w:val="15"/>
                <w:szCs w:val="15"/>
                <w:color w:val="auto"/>
              </w:rPr>
              <w:t>Series D (unaudited)</w:t>
            </w:r>
          </w:p>
        </w:tc>
        <w:tc>
          <w:tcPr>
            <w:tcW w:w="900" w:type="dxa"/>
            <w:vAlign w:val="bottom"/>
          </w:tcPr>
          <w:p>
            <w:pPr>
              <w:jc w:val="right"/>
              <w:spacing w:after="0" w:line="169" w:lineRule="exact"/>
              <w:rPr>
                <w:sz w:val="20"/>
                <w:szCs w:val="20"/>
                <w:color w:val="auto"/>
              </w:rPr>
            </w:pPr>
            <w:r>
              <w:rPr>
                <w:rFonts w:ascii="Arial" w:cs="Arial" w:eastAsia="Arial" w:hAnsi="Arial"/>
                <w:sz w:val="15"/>
                <w:szCs w:val="15"/>
                <w:color w:val="auto"/>
              </w:rPr>
              <w:t>11,110,744</w:t>
            </w: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6,010,911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Arial" w:cs="Arial" w:eastAsia="Arial" w:hAnsi="Arial"/>
                <w:sz w:val="15"/>
                <w:szCs w:val="15"/>
                <w:color w:val="auto"/>
              </w:rPr>
              <w:t>51,837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54,100</w:t>
            </w:r>
          </w:p>
        </w:tc>
      </w:tr>
      <w:tr>
        <w:trPr>
          <w:trHeight w:val="23"/>
        </w:trPr>
        <w:tc>
          <w:tcPr>
            <w:tcW w:w="5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5140" w:type="dxa"/>
            <w:vAlign w:val="bottom"/>
            <w:shd w:val="clear" w:color="auto" w:fill="CCEEFF"/>
          </w:tcPr>
          <w:p>
            <w:pPr>
              <w:spacing w:after="0" w:line="169" w:lineRule="exact"/>
              <w:rPr>
                <w:sz w:val="20"/>
                <w:szCs w:val="20"/>
                <w:color w:val="auto"/>
              </w:rPr>
            </w:pPr>
            <w:r>
              <w:rPr>
                <w:rFonts w:ascii="Arial" w:cs="Arial" w:eastAsia="Arial" w:hAnsi="Arial"/>
                <w:sz w:val="15"/>
                <w:szCs w:val="15"/>
                <w:color w:val="auto"/>
              </w:rPr>
              <w:t>Total</w:t>
            </w:r>
          </w:p>
        </w:tc>
        <w:tc>
          <w:tcPr>
            <w:tcW w:w="9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53,927,657</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47,349,577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rPr>
              <w:t>162,546</w:t>
            </w:r>
          </w:p>
        </w:tc>
        <w:tc>
          <w:tcPr>
            <w:tcW w:w="10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5"/>
                <w:szCs w:val="15"/>
                <w:color w:val="auto"/>
              </w:rPr>
              <w:t>166,257</w:t>
            </w:r>
          </w:p>
        </w:tc>
      </w:tr>
      <w:tr>
        <w:trPr>
          <w:trHeight w:val="20"/>
        </w:trPr>
        <w:tc>
          <w:tcPr>
            <w:tcW w:w="5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holders of the Series Seed, A, B, C, C-1, and D convertible preferred stock (together the “convertible preferred stock”) have various rights, preferences, privileges, and restrictions, with respect to voting, dividends, liquidation, and conversion as follows:</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Dividends</w:t>
      </w:r>
    </w:p>
    <w:p>
      <w:pPr>
        <w:spacing w:after="0" w:line="103"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holders of Series Seed, A, B, C, C-1, and D convertible preferred stock are entitled to receive noncumulative dividends at an annual rate of $0.07, $0.09, $0.13, $0.29, $0.29, and $0.72 per share payable, respectively, if and when, declared by the board of directors, prior and in preference to any payment of any dividend on the common stock. The holders of convertible preferred stock are also entitled to participate in dividends on common stock on an as-converted basis. As of December 31, 2018 and 2019, and September 30, 2020 (unaudited), no dividends have been declared or paid to date.</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Voting Rights</w:t>
      </w:r>
    </w:p>
    <w:p>
      <w:pPr>
        <w:spacing w:after="0" w:line="103"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Each share of convertible preferred stock has voting rights equal to the number of shares of common stock into which such preferred stock is convertible. The holders of convertible preferred stock vote together with the holders of common stock as a single class.</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0220"/>
          </w:cols>
          <w:pgMar w:left="320" w:top="407" w:right="1359" w:bottom="1440" w:gutter="0" w:footer="0" w:header="0"/>
        </w:sectPr>
      </w:pPr>
    </w:p>
    <w:bookmarkStart w:id="288" w:name="page289"/>
    <w:bookmarkEnd w:id="28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1"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Liquidation Preference</w:t>
      </w:r>
    </w:p>
    <w:p>
      <w:pPr>
        <w:spacing w:after="0" w:line="103"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In the event of any liquidation, dissolution, or winding up of the Company, either voluntary or involuntary, the holders of convertible preferred stock shall be entitled to receive, on the same basis for each class, prior and in preference to any distribution of any of the assets of the Company to the holders of common stock, an amount equal to $ 0.8708, $1.0635, $1.666089, $3.599299, $3.612413 and $9.000295 per share for each outstanding share of Series Seed, A, B, C, C-1 and D convertible preferred stock then held, plus any declared or accrued but unpaid dividends thereon. If, upon occurrence of such event, the assets and funds distributed among the holders of convertible preferred stock shall be insufficient to permit the payment, then the entire assets and funds of the Company legally available for distribution shall be distributed ratably among the holders of convertible preferred stock in proportion to the preferential amount each such holder is otherwise entitled to receive.</w:t>
      </w:r>
    </w:p>
    <w:p>
      <w:pPr>
        <w:spacing w:after="0" w:line="170" w:lineRule="exact"/>
        <w:rPr>
          <w:sz w:val="20"/>
          <w:szCs w:val="20"/>
          <w:color w:val="auto"/>
        </w:rPr>
      </w:pPr>
    </w:p>
    <w:p>
      <w:pPr>
        <w:ind w:left="1020" w:right="100" w:firstLine="460"/>
        <w:spacing w:after="0" w:line="238" w:lineRule="auto"/>
        <w:rPr>
          <w:sz w:val="20"/>
          <w:szCs w:val="20"/>
          <w:color w:val="auto"/>
        </w:rPr>
      </w:pPr>
      <w:r>
        <w:rPr>
          <w:rFonts w:ascii="Arial" w:cs="Arial" w:eastAsia="Arial" w:hAnsi="Arial"/>
          <w:sz w:val="15"/>
          <w:szCs w:val="15"/>
          <w:color w:val="auto"/>
        </w:rPr>
        <w:t>In the event of the liquidation, dissolution, winding up of the Company, or occurrence of (i) sale, lease, transfer, or disposal of any subsidiary or substantially all of its assets or (ii) merger with, into, or consolidation with another entity (the “Liquidation Transaction”), after payment of all preferential amounts required to be paid to the holders, the remaining assets of the Company available for distribution to the Company’s stockholders shall be distributed among the holders of common stock.</w:t>
      </w:r>
    </w:p>
    <w:p>
      <w:pPr>
        <w:spacing w:after="0" w:line="246"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Conversion Rights</w:t>
      </w:r>
    </w:p>
    <w:p>
      <w:pPr>
        <w:spacing w:after="0" w:line="103"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At the option of the holder, each share of convertible preferred stock is convertible into shares of common stock as is determined by dividing $0.8708, $1.0635, $1.666089, $3.599299, $3.612413 and $9.000295 per share for Series Seed, A, B, C, C-1 and D, respectively, by the conversion price applicable to such shares. The initial conversion price per share is $0.8708, $ 1.0635, $1.666089, $3.599299, $3.612413 and $9.000295 per share for Series Seed, A, B, C, C-1 and D convertible preferred stock, respectively. The conversion ratio for the convertible preferred stock shall be subject to appropriate adjustments for stock splits, stock dividends, combinations, subdivisions, recapitalizations, or the like. In addition, if the Company should issue any additional stock without consideration or for a consideration per share less than the conversion price for the convertible preferred stock, the conversion price for each series shall automatically be adjusted in accordance with anti-dilution provisions contained in the Company’s Amended Certificate of Incorporation.</w:t>
      </w:r>
    </w:p>
    <w:p>
      <w:pPr>
        <w:spacing w:after="0" w:line="170" w:lineRule="exact"/>
        <w:rPr>
          <w:sz w:val="20"/>
          <w:szCs w:val="20"/>
          <w:color w:val="auto"/>
        </w:rPr>
      </w:pPr>
    </w:p>
    <w:p>
      <w:pPr>
        <w:ind w:left="1020" w:firstLine="460"/>
        <w:spacing w:after="0" w:line="235" w:lineRule="auto"/>
        <w:rPr>
          <w:sz w:val="20"/>
          <w:szCs w:val="20"/>
          <w:color w:val="auto"/>
        </w:rPr>
      </w:pPr>
      <w:r>
        <w:rPr>
          <w:rFonts w:ascii="Arial" w:cs="Arial" w:eastAsia="Arial" w:hAnsi="Arial"/>
          <w:sz w:val="15"/>
          <w:szCs w:val="15"/>
          <w:color w:val="auto"/>
        </w:rPr>
        <w:t>Each share of convertible preferred stock will automatically convert into shares of common stock at the conversion rate then in effect upon the earlier of (i) the closing of a firm commitment underwritten public offering registered on Form S-1 with the offering price not less than $13.451340 per share and aggregate proceeds of not less than $150.0 million, net of underwriting discounts and commissions or</w:t>
      </w:r>
    </w:p>
    <w:p>
      <w:pPr>
        <w:ind w:left="1020" w:right="120" w:firstLine="7"/>
        <w:spacing w:after="0"/>
        <w:tabs>
          <w:tab w:leader="none" w:pos="1228" w:val="left"/>
        </w:tabs>
        <w:numPr>
          <w:ilvl w:val="0"/>
          <w:numId w:val="152"/>
        </w:numPr>
        <w:rPr>
          <w:rFonts w:ascii="Arial" w:cs="Arial" w:eastAsia="Arial" w:hAnsi="Arial"/>
          <w:sz w:val="15"/>
          <w:szCs w:val="15"/>
          <w:color w:val="auto"/>
        </w:rPr>
      </w:pPr>
      <w:r>
        <w:rPr>
          <w:rFonts w:ascii="Arial" w:cs="Arial" w:eastAsia="Arial" w:hAnsi="Arial"/>
          <w:sz w:val="15"/>
          <w:szCs w:val="15"/>
          <w:color w:val="auto"/>
        </w:rPr>
        <w:t>the vote or written consent of the holders of at least 65% of the then-outstanding shares of convertible preferred stock, voting together as a single class, and the vote of written consent of at least a majority of the shares of Series D convertible preferred stock, voting separately as a single class.</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Classification</w:t>
      </w:r>
    </w:p>
    <w:p>
      <w:pPr>
        <w:spacing w:after="0" w:line="103" w:lineRule="exact"/>
        <w:rPr>
          <w:sz w:val="20"/>
          <w:szCs w:val="20"/>
          <w:color w:val="auto"/>
        </w:rPr>
      </w:pPr>
    </w:p>
    <w:p>
      <w:pPr>
        <w:ind w:left="1020" w:right="40" w:firstLine="460"/>
        <w:spacing w:after="0"/>
        <w:rPr>
          <w:sz w:val="20"/>
          <w:szCs w:val="20"/>
          <w:color w:val="auto"/>
        </w:rPr>
      </w:pPr>
      <w:r>
        <w:rPr>
          <w:rFonts w:ascii="Arial" w:cs="Arial" w:eastAsia="Arial" w:hAnsi="Arial"/>
          <w:sz w:val="15"/>
          <w:szCs w:val="15"/>
          <w:color w:val="auto"/>
        </w:rPr>
        <w:t>The Company has classified its convertible preferred stock as mezzanine equity on the consolidated balance sheets as the stock is contingently redeemable. Upon the occurrence of certain deemed liquidation events that are outside the Company’s control, including liquidation, sale or transfer of the Company, holders of the convertible preferred stock can cause redemption for cash. During the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0220"/>
          </w:cols>
          <w:pgMar w:left="320" w:top="407" w:right="1359" w:bottom="1440" w:gutter="0" w:footer="0" w:header="0"/>
        </w:sectPr>
      </w:pPr>
    </w:p>
    <w:bookmarkStart w:id="289" w:name="page290"/>
    <w:bookmarkEnd w:id="28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40"/>
        <w:spacing w:after="0" w:line="245" w:lineRule="auto"/>
        <w:rPr>
          <w:sz w:val="20"/>
          <w:szCs w:val="20"/>
          <w:color w:val="auto"/>
        </w:rPr>
      </w:pPr>
      <w:r>
        <w:rPr>
          <w:rFonts w:ascii="Arial" w:cs="Arial" w:eastAsia="Arial" w:hAnsi="Arial"/>
          <w:sz w:val="15"/>
          <w:szCs w:val="15"/>
          <w:color w:val="auto"/>
        </w:rPr>
        <w:t>years ended December 31, 2018 and 2019, and September 30, 2020 (unaudited), the Company did not adjust the carrying value of the convertible preferred stock to the deemed liquidation value of such shares as a deemed liquidation event was not probable.</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Preferred Stock Warrants</w:t>
      </w:r>
    </w:p>
    <w:p>
      <w:pPr>
        <w:spacing w:after="0" w:line="105"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During June through November 2014, the Company issued initial lenders in the Upstart platform warrants to purchase an aggregate of 1,500,519 shares of Series B convertible preferred stock at a strike price of $0.01 or $1.67 per share. Of these warrants, 1,500,519 were outstanding as of December 31, 2018, and 600,208 were outstanding as of December 31, 2019, and September 30, 2020 (unaudited). The warrants have a contractual term of five to seven years and expire between June 2019 and November 2021. The convertible preferred stock warrants are recorded within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xml:space="preserve"> for further details.</w:t>
      </w:r>
    </w:p>
    <w:p>
      <w:pPr>
        <w:spacing w:after="0" w:line="245"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Repurchase of Convertible Preferred Stock and Convertible Preferred Stock Warrants</w:t>
      </w:r>
    </w:p>
    <w:p>
      <w:pPr>
        <w:spacing w:after="0" w:line="105" w:lineRule="exact"/>
        <w:rPr>
          <w:sz w:val="20"/>
          <w:szCs w:val="20"/>
          <w:color w:val="auto"/>
        </w:rPr>
      </w:pPr>
    </w:p>
    <w:p>
      <w:pPr>
        <w:ind w:left="1020" w:right="180" w:firstLine="460"/>
        <w:spacing w:after="0" w:line="238" w:lineRule="auto"/>
        <w:rPr>
          <w:sz w:val="20"/>
          <w:szCs w:val="20"/>
          <w:color w:val="auto"/>
        </w:rPr>
      </w:pPr>
      <w:r>
        <w:rPr>
          <w:rFonts w:ascii="Arial" w:cs="Arial" w:eastAsia="Arial" w:hAnsi="Arial"/>
          <w:sz w:val="15"/>
          <w:szCs w:val="15"/>
          <w:color w:val="auto"/>
        </w:rPr>
        <w:t>In November 2019, the Company repurchased and retired 277,831 shares of the Company’s Series C convertible preferred stock held by investors for a purchase price of $0.7 million. On repurchase, the portion equal to the original issuance price of $1.0 million was recorded as a reduction to convertible preferred stock and the excess of the original issuance price over the repurchase price was reflected as a decrease in accumulated deficit.</w:t>
      </w:r>
    </w:p>
    <w:p>
      <w:pPr>
        <w:spacing w:after="0" w:line="172" w:lineRule="exact"/>
        <w:rPr>
          <w:sz w:val="20"/>
          <w:szCs w:val="20"/>
          <w:color w:val="auto"/>
        </w:rPr>
      </w:pPr>
    </w:p>
    <w:p>
      <w:pPr>
        <w:ind w:left="1020" w:firstLine="460"/>
        <w:spacing w:after="0" w:line="237" w:lineRule="auto"/>
        <w:rPr>
          <w:sz w:val="20"/>
          <w:szCs w:val="20"/>
          <w:color w:val="auto"/>
        </w:rPr>
      </w:pPr>
      <w:r>
        <w:rPr>
          <w:rFonts w:ascii="Arial" w:cs="Arial" w:eastAsia="Arial" w:hAnsi="Arial"/>
          <w:sz w:val="15"/>
          <w:szCs w:val="15"/>
          <w:color w:val="auto"/>
        </w:rPr>
        <w:t>On the same day, the Company also repurchased and cancelled 600,208 warrants to purchase Series B convertible preferred stock held by the same investor for a purchase price of $1.4 million. Upon repurchase, the Company derecognized $5.1 million of the convertible preferred stock warrant liabilities to reflect the fair value of the warrants repurchased. The Company recognized a $ 3.7 million gain on repurchase of the warrants, calculated as the difference between the price paid to repurchase the warrants and the fair value of the warrants immediately before the repurchase. The gain on repurchase of the warrants is included in expense on warrants and convertible notes, net in the consolidated statements of operations and comprehensive income (loss).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10. Common Stock and Common Stock Warrants</w:t>
      </w:r>
    </w:p>
    <w:p>
      <w:pPr>
        <w:spacing w:after="0" w:line="87"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w:t>
      </w:r>
    </w:p>
    <w:p>
      <w:pPr>
        <w:spacing w:after="0" w:line="105" w:lineRule="exact"/>
        <w:rPr>
          <w:sz w:val="20"/>
          <w:szCs w:val="20"/>
          <w:color w:val="auto"/>
        </w:rPr>
      </w:pPr>
    </w:p>
    <w:p>
      <w:pPr>
        <w:ind w:left="1020" w:right="40" w:firstLine="460"/>
        <w:spacing w:after="0" w:line="245" w:lineRule="auto"/>
        <w:rPr>
          <w:sz w:val="20"/>
          <w:szCs w:val="20"/>
          <w:color w:val="auto"/>
        </w:rPr>
      </w:pPr>
      <w:r>
        <w:rPr>
          <w:rFonts w:ascii="Arial" w:cs="Arial" w:eastAsia="Arial" w:hAnsi="Arial"/>
          <w:sz w:val="15"/>
          <w:szCs w:val="15"/>
          <w:color w:val="auto"/>
        </w:rPr>
        <w:t>As of December 31, 2018 and 2019, and September 30, 2020 (unaudited), the Company had reserved shares of common stock for issuance, on an as-converted basis, as follows: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240" w:type="dxa"/>
            <w:vAlign w:val="bottom"/>
          </w:tcPr>
          <w:p>
            <w:pPr>
              <w:spacing w:after="0"/>
              <w:rPr>
                <w:sz w:val="12"/>
                <w:szCs w:val="12"/>
                <w:color w:val="auto"/>
              </w:rPr>
            </w:pPr>
          </w:p>
        </w:tc>
        <w:tc>
          <w:tcPr>
            <w:tcW w:w="180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6240" w:type="dxa"/>
            <w:vAlign w:val="bottom"/>
          </w:tcPr>
          <w:p>
            <w:pPr>
              <w:spacing w:after="0"/>
              <w:rPr>
                <w:sz w:val="10"/>
                <w:szCs w:val="10"/>
                <w:color w:val="auto"/>
              </w:rPr>
            </w:pPr>
          </w:p>
        </w:tc>
        <w:tc>
          <w:tcPr>
            <w:tcW w:w="840" w:type="dxa"/>
            <w:vAlign w:val="bottom"/>
          </w:tcPr>
          <w:p>
            <w:pPr>
              <w:jc w:val="right"/>
              <w:ind w:right="214"/>
              <w:spacing w:after="0" w:line="126" w:lineRule="exact"/>
              <w:rPr>
                <w:sz w:val="20"/>
                <w:szCs w:val="20"/>
                <w:color w:val="auto"/>
              </w:rPr>
            </w:pPr>
            <w:r>
              <w:rPr>
                <w:rFonts w:ascii="Arial" w:cs="Arial" w:eastAsia="Arial" w:hAnsi="Arial"/>
                <w:sz w:val="12"/>
                <w:szCs w:val="12"/>
                <w:b w:val="1"/>
                <w:bCs w:val="1"/>
                <w:color w:val="auto"/>
              </w:rPr>
              <w:t>2018</w:t>
            </w:r>
          </w:p>
        </w:tc>
        <w:tc>
          <w:tcPr>
            <w:tcW w:w="960" w:type="dxa"/>
            <w:vAlign w:val="bottom"/>
            <w:gridSpan w:val="2"/>
          </w:tcPr>
          <w:p>
            <w:pPr>
              <w:jc w:val="right"/>
              <w:ind w:right="212"/>
              <w:spacing w:after="0" w:line="126" w:lineRule="exact"/>
              <w:rPr>
                <w:sz w:val="20"/>
                <w:szCs w:val="20"/>
                <w:color w:val="auto"/>
              </w:rPr>
            </w:pPr>
            <w:r>
              <w:rPr>
                <w:rFonts w:ascii="Arial" w:cs="Arial" w:eastAsia="Arial" w:hAnsi="Arial"/>
                <w:sz w:val="12"/>
                <w:szCs w:val="12"/>
                <w:b w:val="1"/>
                <w:bCs w:val="1"/>
                <w:color w:val="auto"/>
              </w:rPr>
              <w:t>2019</w:t>
            </w:r>
          </w:p>
        </w:tc>
        <w:tc>
          <w:tcPr>
            <w:tcW w:w="1100" w:type="dxa"/>
            <w:vAlign w:val="bottom"/>
            <w:gridSpan w:val="2"/>
          </w:tcPr>
          <w:p>
            <w:pPr>
              <w:jc w:val="center"/>
              <w:ind w:left="7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26"/>
        </w:trPr>
        <w:tc>
          <w:tcPr>
            <w:tcW w:w="624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60" w:type="dxa"/>
            <w:vAlign w:val="bottom"/>
          </w:tcPr>
          <w:p>
            <w:pPr>
              <w:spacing w:after="0"/>
              <w:rPr>
                <w:sz w:val="10"/>
                <w:szCs w:val="10"/>
                <w:color w:val="auto"/>
              </w:rPr>
            </w:pP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 outstanding</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46,882,877</w:t>
            </w:r>
          </w:p>
        </w:tc>
        <w:tc>
          <w:tcPr>
            <w:tcW w:w="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11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47,349,577</w:t>
            </w:r>
          </w:p>
        </w:tc>
      </w:tr>
      <w:tr>
        <w:trPr>
          <w:trHeight w:val="158"/>
        </w:trPr>
        <w:tc>
          <w:tcPr>
            <w:tcW w:w="6240" w:type="dxa"/>
            <w:vAlign w:val="bottom"/>
          </w:tcPr>
          <w:p>
            <w:pPr>
              <w:spacing w:after="0" w:line="158" w:lineRule="exact"/>
              <w:rPr>
                <w:sz w:val="20"/>
                <w:szCs w:val="20"/>
                <w:color w:val="auto"/>
              </w:rPr>
            </w:pPr>
            <w:r>
              <w:rPr>
                <w:rFonts w:ascii="Arial" w:cs="Arial" w:eastAsia="Arial" w:hAnsi="Arial"/>
                <w:sz w:val="14"/>
                <w:szCs w:val="14"/>
                <w:color w:val="auto"/>
              </w:rPr>
              <w:t>Options issued and outstanding</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12,293,165</w:t>
            </w: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16,502,206</w:t>
            </w:r>
          </w:p>
        </w:tc>
        <w:tc>
          <w:tcPr>
            <w:tcW w:w="1160" w:type="dxa"/>
            <w:vAlign w:val="bottom"/>
            <w:gridSpan w:val="3"/>
          </w:tcPr>
          <w:p>
            <w:pPr>
              <w:jc w:val="right"/>
              <w:ind w:right="60"/>
              <w:spacing w:after="0" w:line="158" w:lineRule="exact"/>
              <w:rPr>
                <w:sz w:val="20"/>
                <w:szCs w:val="20"/>
                <w:color w:val="auto"/>
              </w:rPr>
            </w:pPr>
            <w:r>
              <w:rPr>
                <w:rFonts w:ascii="Arial" w:cs="Arial" w:eastAsia="Arial" w:hAnsi="Arial"/>
                <w:sz w:val="14"/>
                <w:szCs w:val="14"/>
                <w:color w:val="auto"/>
              </w:rPr>
              <w:t>19,356,042</w:t>
            </w: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Shares available for future stock option grants</w:t>
            </w:r>
          </w:p>
        </w:tc>
        <w:tc>
          <w:tcPr>
            <w:tcW w:w="8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2,500,951</w:t>
            </w:r>
          </w:p>
        </w:tc>
        <w:tc>
          <w:tcPr>
            <w:tcW w:w="96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1,319,666</w:t>
            </w:r>
          </w:p>
        </w:tc>
        <w:tc>
          <w:tcPr>
            <w:tcW w:w="1160" w:type="dxa"/>
            <w:vAlign w:val="bottom"/>
            <w:gridSpan w:val="3"/>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rPr>
              <w:t>3,865,271</w:t>
            </w:r>
          </w:p>
        </w:tc>
      </w:tr>
      <w:tr>
        <w:trPr>
          <w:trHeight w:val="158"/>
        </w:trPr>
        <w:tc>
          <w:tcPr>
            <w:tcW w:w="6240" w:type="dxa"/>
            <w:vAlign w:val="bottom"/>
          </w:tcPr>
          <w:p>
            <w:pPr>
              <w:spacing w:after="0" w:line="158" w:lineRule="exact"/>
              <w:rPr>
                <w:sz w:val="20"/>
                <w:szCs w:val="20"/>
                <w:color w:val="auto"/>
              </w:rPr>
            </w:pPr>
            <w:r>
              <w:rPr>
                <w:rFonts w:ascii="Arial" w:cs="Arial" w:eastAsia="Arial" w:hAnsi="Arial"/>
                <w:sz w:val="14"/>
                <w:szCs w:val="14"/>
                <w:color w:val="auto"/>
              </w:rPr>
              <w:t>Warrants to purchase convertible preferred stock</w:t>
            </w:r>
          </w:p>
        </w:tc>
        <w:tc>
          <w:tcPr>
            <w:tcW w:w="840" w:type="dxa"/>
            <w:vAlign w:val="bottom"/>
          </w:tcPr>
          <w:p>
            <w:pPr>
              <w:jc w:val="right"/>
              <w:spacing w:after="0" w:line="158" w:lineRule="exact"/>
              <w:rPr>
                <w:sz w:val="20"/>
                <w:szCs w:val="20"/>
                <w:color w:val="auto"/>
              </w:rPr>
            </w:pPr>
            <w:r>
              <w:rPr>
                <w:rFonts w:ascii="Arial" w:cs="Arial" w:eastAsia="Arial" w:hAnsi="Arial"/>
                <w:sz w:val="14"/>
                <w:szCs w:val="14"/>
                <w:color w:val="auto"/>
              </w:rPr>
              <w:t>1,500,519</w:t>
            </w: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600,208</w:t>
            </w:r>
          </w:p>
        </w:tc>
        <w:tc>
          <w:tcPr>
            <w:tcW w:w="110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600,208</w:t>
            </w:r>
          </w:p>
        </w:tc>
        <w:tc>
          <w:tcPr>
            <w:tcW w:w="60" w:type="dxa"/>
            <w:vAlign w:val="bottom"/>
          </w:tcPr>
          <w:p>
            <w:pPr>
              <w:spacing w:after="0"/>
              <w:rPr>
                <w:sz w:val="13"/>
                <w:szCs w:val="13"/>
                <w:color w:val="auto"/>
              </w:rPr>
            </w:pPr>
          </w:p>
        </w:tc>
      </w:tr>
      <w:tr>
        <w:trPr>
          <w:trHeight w:val="158"/>
        </w:trPr>
        <w:tc>
          <w:tcPr>
            <w:tcW w:w="6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Warrants to purchase common stock</w:t>
            </w:r>
          </w:p>
        </w:tc>
        <w:tc>
          <w:tcPr>
            <w:tcW w:w="8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1,617,553</w:t>
            </w:r>
          </w:p>
        </w:tc>
        <w:tc>
          <w:tcPr>
            <w:tcW w:w="12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319,669</w:t>
            </w:r>
          </w:p>
        </w:tc>
        <w:tc>
          <w:tcPr>
            <w:tcW w:w="14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319,669</w:t>
            </w:r>
          </w:p>
        </w:tc>
        <w:tc>
          <w:tcPr>
            <w:tcW w:w="60" w:type="dxa"/>
            <w:vAlign w:val="bottom"/>
            <w:shd w:val="clear" w:color="auto" w:fill="CCEEFF"/>
          </w:tcPr>
          <w:p>
            <w:pPr>
              <w:spacing w:after="0"/>
              <w:rPr>
                <w:sz w:val="13"/>
                <w:szCs w:val="13"/>
                <w:color w:val="auto"/>
              </w:rPr>
            </w:pPr>
          </w:p>
        </w:tc>
      </w:tr>
      <w:tr>
        <w:trPr>
          <w:trHeight w:val="160"/>
        </w:trPr>
        <w:tc>
          <w:tcPr>
            <w:tcW w:w="6240" w:type="dxa"/>
            <w:vAlign w:val="bottom"/>
          </w:tcPr>
          <w:p>
            <w:pPr>
              <w:ind w:left="280"/>
              <w:spacing w:after="0"/>
              <w:rPr>
                <w:sz w:val="20"/>
                <w:szCs w:val="20"/>
                <w:color w:val="auto"/>
              </w:rPr>
            </w:pPr>
            <w:r>
              <w:rPr>
                <w:rFonts w:ascii="Arial" w:cs="Arial" w:eastAsia="Arial" w:hAnsi="Arial"/>
                <w:sz w:val="14"/>
                <w:szCs w:val="14"/>
                <w:color w:val="auto"/>
              </w:rPr>
              <w:t>Total</w:t>
            </w:r>
          </w:p>
        </w:tc>
        <w:tc>
          <w:tcPr>
            <w:tcW w:w="840" w:type="dxa"/>
            <w:vAlign w:val="bottom"/>
          </w:tcPr>
          <w:p>
            <w:pPr>
              <w:jc w:val="right"/>
              <w:spacing w:after="0"/>
              <w:rPr>
                <w:sz w:val="20"/>
                <w:szCs w:val="20"/>
                <w:color w:val="auto"/>
              </w:rPr>
            </w:pPr>
            <w:r>
              <w:rPr>
                <w:rFonts w:ascii="Arial" w:cs="Arial" w:eastAsia="Arial" w:hAnsi="Arial"/>
                <w:sz w:val="14"/>
                <w:szCs w:val="14"/>
                <w:color w:val="auto"/>
              </w:rPr>
              <w:t>64,795,065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66,091,326</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71,490,767</w:t>
            </w:r>
          </w:p>
        </w:tc>
      </w:tr>
      <w:tr>
        <w:trPr>
          <w:trHeight w:val="20"/>
        </w:trPr>
        <w:tc>
          <w:tcPr>
            <w:tcW w:w="6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0220"/>
          </w:cols>
          <w:pgMar w:left="320" w:top="407" w:right="1359" w:bottom="1440" w:gutter="0" w:footer="0" w:header="0"/>
        </w:sectPr>
      </w:pPr>
    </w:p>
    <w:bookmarkStart w:id="290" w:name="page291"/>
    <w:bookmarkEnd w:id="29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105" w:lineRule="exact"/>
        <w:rPr>
          <w:sz w:val="20"/>
          <w:szCs w:val="20"/>
          <w:color w:val="auto"/>
        </w:rPr>
      </w:pPr>
    </w:p>
    <w:p>
      <w:pPr>
        <w:ind w:left="1020" w:firstLine="460"/>
        <w:spacing w:after="0"/>
        <w:rPr>
          <w:sz w:val="20"/>
          <w:szCs w:val="20"/>
          <w:color w:val="auto"/>
        </w:rPr>
      </w:pPr>
      <w:r>
        <w:rPr>
          <w:rFonts w:ascii="Arial" w:cs="Arial" w:eastAsia="Arial" w:hAnsi="Arial"/>
          <w:sz w:val="15"/>
          <w:szCs w:val="15"/>
          <w:color w:val="auto"/>
        </w:rPr>
        <w:t>In March 2015 through July 2017, the Company issued warrants to purchase common stock in connection with the Mezzanine Loan and other historical borrowings. The Company also issued warrants to purchase common stock to other investors in March 2016. The outstanding warrants to purchase common stock not subject to remeasurement as of the balance sheet dates are as follows: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8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2"/>
                <w:szCs w:val="12"/>
                <w:b w:val="1"/>
                <w:bCs w:val="1"/>
                <w:color w:val="auto"/>
                <w:w w:val="99"/>
              </w:rPr>
              <w:t>Warrants Outstanding</w:t>
            </w:r>
          </w:p>
        </w:tc>
        <w:tc>
          <w:tcPr>
            <w:tcW w:w="3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Exercise</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8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1500" w:type="dxa"/>
            <w:vAlign w:val="bottom"/>
            <w:tcBorders>
              <w:bottom w:val="single" w:sz="8" w:color="auto"/>
            </w:tcBorders>
            <w:gridSpan w:val="3"/>
          </w:tcPr>
          <w:p>
            <w:pPr>
              <w:jc w:val="right"/>
              <w:ind w:right="292"/>
              <w:spacing w:after="0" w:line="115" w:lineRule="exact"/>
              <w:rPr>
                <w:sz w:val="20"/>
                <w:szCs w:val="20"/>
                <w:color w:val="auto"/>
              </w:rPr>
            </w:pPr>
            <w:r>
              <w:rPr>
                <w:rFonts w:ascii="Arial" w:cs="Arial" w:eastAsia="Arial" w:hAnsi="Arial"/>
                <w:sz w:val="12"/>
                <w:szCs w:val="12"/>
                <w:b w:val="1"/>
                <w:bCs w:val="1"/>
                <w:color w:val="auto"/>
              </w:rPr>
              <w:t>December 31,</w:t>
            </w:r>
          </w:p>
        </w:tc>
        <w:tc>
          <w:tcPr>
            <w:tcW w:w="300" w:type="dxa"/>
            <w:vAlign w:val="bottom"/>
          </w:tcPr>
          <w:p>
            <w:pPr>
              <w:spacing w:after="0"/>
              <w:rPr>
                <w:sz w:val="10"/>
                <w:szCs w:val="10"/>
                <w:color w:val="auto"/>
              </w:rPr>
            </w:pPr>
          </w:p>
        </w:tc>
        <w:tc>
          <w:tcPr>
            <w:tcW w:w="112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w w:val="99"/>
              </w:rPr>
              <w:t>September 30,</w:t>
            </w:r>
          </w:p>
        </w:tc>
        <w:tc>
          <w:tcPr>
            <w:tcW w:w="840" w:type="dxa"/>
            <w:vAlign w:val="bottom"/>
            <w:gridSpan w:val="2"/>
          </w:tcPr>
          <w:p>
            <w:pPr>
              <w:jc w:val="center"/>
              <w:ind w:right="300"/>
              <w:spacing w:after="0" w:line="118" w:lineRule="exact"/>
              <w:rPr>
                <w:sz w:val="20"/>
                <w:szCs w:val="20"/>
                <w:color w:val="auto"/>
              </w:rPr>
            </w:pPr>
            <w:r>
              <w:rPr>
                <w:rFonts w:ascii="Arial" w:cs="Arial" w:eastAsia="Arial" w:hAnsi="Arial"/>
                <w:sz w:val="12"/>
                <w:szCs w:val="12"/>
                <w:b w:val="1"/>
                <w:bCs w:val="1"/>
                <w:color w:val="auto"/>
                <w:w w:val="97"/>
              </w:rPr>
              <w:t>Price per</w:t>
            </w:r>
          </w:p>
        </w:tc>
        <w:tc>
          <w:tcPr>
            <w:tcW w:w="440" w:type="dxa"/>
            <w:vAlign w:val="bottom"/>
            <w:gridSpan w:val="2"/>
          </w:tcPr>
          <w:p>
            <w:pPr>
              <w:jc w:val="center"/>
              <w:ind w:right="40"/>
              <w:spacing w:after="0" w:line="118" w:lineRule="exact"/>
              <w:rPr>
                <w:sz w:val="20"/>
                <w:szCs w:val="20"/>
                <w:color w:val="auto"/>
              </w:rPr>
            </w:pPr>
            <w:r>
              <w:rPr>
                <w:rFonts w:ascii="Arial" w:cs="Arial" w:eastAsia="Arial" w:hAnsi="Arial"/>
                <w:sz w:val="12"/>
                <w:szCs w:val="12"/>
                <w:b w:val="1"/>
                <w:bCs w:val="1"/>
                <w:color w:val="auto"/>
                <w:w w:val="95"/>
              </w:rPr>
              <w:t>Term</w:t>
            </w:r>
          </w:p>
        </w:tc>
      </w:tr>
      <w:tr>
        <w:trPr>
          <w:trHeight w:val="140"/>
        </w:trPr>
        <w:tc>
          <w:tcPr>
            <w:tcW w:w="5000" w:type="dxa"/>
            <w:vAlign w:val="bottom"/>
            <w:gridSpan w:val="2"/>
          </w:tcPr>
          <w:p>
            <w:pPr>
              <w:spacing w:after="0"/>
              <w:rPr>
                <w:sz w:val="20"/>
                <w:szCs w:val="20"/>
                <w:color w:val="auto"/>
              </w:rPr>
            </w:pPr>
            <w:r>
              <w:rPr>
                <w:rFonts w:ascii="Arial" w:cs="Arial" w:eastAsia="Arial" w:hAnsi="Arial"/>
                <w:sz w:val="12"/>
                <w:szCs w:val="12"/>
                <w:b w:val="1"/>
                <w:bCs w:val="1"/>
                <w:color w:val="auto"/>
              </w:rPr>
              <w:t>Issuance Date</w:t>
            </w:r>
          </w:p>
        </w:tc>
        <w:tc>
          <w:tcPr>
            <w:tcW w:w="660" w:type="dxa"/>
            <w:vAlign w:val="bottom"/>
          </w:tcPr>
          <w:p>
            <w:pPr>
              <w:jc w:val="right"/>
              <w:ind w:right="113"/>
              <w:spacing w:after="0" w:line="138" w:lineRule="exact"/>
              <w:rPr>
                <w:sz w:val="20"/>
                <w:szCs w:val="20"/>
                <w:color w:val="auto"/>
              </w:rPr>
            </w:pPr>
            <w:r>
              <w:rPr>
                <w:rFonts w:ascii="Arial" w:cs="Arial" w:eastAsia="Arial" w:hAnsi="Arial"/>
                <w:sz w:val="14"/>
                <w:szCs w:val="14"/>
                <w:b w:val="1"/>
                <w:bCs w:val="1"/>
                <w:color w:val="auto"/>
              </w:rPr>
              <w:t>2018</w:t>
            </w:r>
          </w:p>
        </w:tc>
        <w:tc>
          <w:tcPr>
            <w:tcW w:w="840" w:type="dxa"/>
            <w:vAlign w:val="bottom"/>
            <w:gridSpan w:val="2"/>
          </w:tcPr>
          <w:p>
            <w:pPr>
              <w:jc w:val="right"/>
              <w:ind w:right="52"/>
              <w:spacing w:after="0" w:line="138"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7"/>
              </w:rPr>
              <w:t>2020</w:t>
            </w:r>
          </w:p>
        </w:tc>
        <w:tc>
          <w:tcPr>
            <w:tcW w:w="30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Share</w:t>
            </w:r>
          </w:p>
        </w:tc>
        <w:tc>
          <w:tcPr>
            <w:tcW w:w="4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8"/>
              </w:rPr>
              <w:t>(Years)</w:t>
            </w:r>
          </w:p>
        </w:tc>
      </w:tr>
      <w:tr>
        <w:trPr>
          <w:trHeight w:val="135"/>
        </w:trPr>
        <w:tc>
          <w:tcPr>
            <w:tcW w:w="820" w:type="dxa"/>
            <w:vAlign w:val="bottom"/>
            <w:tcBorders>
              <w:top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2"/>
                <w:szCs w:val="12"/>
                <w:b w:val="1"/>
                <w:bCs w:val="1"/>
                <w:i w:val="1"/>
                <w:iCs w:val="1"/>
                <w:color w:val="auto"/>
              </w:rPr>
              <w:t>(unaudited)</w:t>
            </w:r>
          </w:p>
        </w:tc>
        <w:tc>
          <w:tcPr>
            <w:tcW w:w="3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58"/>
        </w:trPr>
        <w:tc>
          <w:tcPr>
            <w:tcW w:w="50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March 2015</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78,031</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78,031</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78,031</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20"/>
              <w:spacing w:after="0" w:line="158" w:lineRule="exact"/>
              <w:rPr>
                <w:sz w:val="20"/>
                <w:szCs w:val="20"/>
                <w:color w:val="auto"/>
              </w:rPr>
            </w:pPr>
            <w:r>
              <w:rPr>
                <w:rFonts w:ascii="Arial" w:cs="Arial" w:eastAsia="Arial" w:hAnsi="Arial"/>
                <w:sz w:val="14"/>
                <w:szCs w:val="14"/>
                <w:color w:val="auto"/>
              </w:rPr>
              <w:t>$   1.67</w:t>
            </w:r>
          </w:p>
        </w:tc>
        <w:tc>
          <w:tcPr>
            <w:tcW w:w="4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5000" w:type="dxa"/>
            <w:vAlign w:val="bottom"/>
            <w:gridSpan w:val="2"/>
          </w:tcPr>
          <w:p>
            <w:pPr>
              <w:spacing w:after="0" w:line="158" w:lineRule="exact"/>
              <w:rPr>
                <w:sz w:val="20"/>
                <w:szCs w:val="20"/>
                <w:color w:val="auto"/>
              </w:rPr>
            </w:pPr>
            <w:r>
              <w:rPr>
                <w:rFonts w:ascii="Arial" w:cs="Arial" w:eastAsia="Arial" w:hAnsi="Arial"/>
                <w:sz w:val="14"/>
                <w:szCs w:val="14"/>
                <w:color w:val="auto"/>
              </w:rPr>
              <w:t>February 2016</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60,084</w:t>
            </w:r>
          </w:p>
        </w:tc>
        <w:tc>
          <w:tcPr>
            <w:tcW w:w="84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60,084</w:t>
            </w:r>
          </w:p>
        </w:tc>
        <w:tc>
          <w:tcPr>
            <w:tcW w:w="300" w:type="dxa"/>
            <w:vAlign w:val="bottom"/>
          </w:tcPr>
          <w:p>
            <w:pPr>
              <w:spacing w:after="0"/>
              <w:rPr>
                <w:sz w:val="13"/>
                <w:szCs w:val="13"/>
                <w:color w:val="auto"/>
              </w:rPr>
            </w:pPr>
          </w:p>
        </w:tc>
        <w:tc>
          <w:tcPr>
            <w:tcW w:w="820" w:type="dxa"/>
            <w:vAlign w:val="bottom"/>
          </w:tcPr>
          <w:p>
            <w:pPr>
              <w:jc w:val="right"/>
              <w:spacing w:after="0" w:line="158" w:lineRule="exact"/>
              <w:rPr>
                <w:sz w:val="20"/>
                <w:szCs w:val="20"/>
                <w:color w:val="auto"/>
              </w:rPr>
            </w:pPr>
            <w:r>
              <w:rPr>
                <w:rFonts w:ascii="Arial" w:cs="Arial" w:eastAsia="Arial" w:hAnsi="Arial"/>
                <w:sz w:val="14"/>
                <w:szCs w:val="14"/>
                <w:color w:val="auto"/>
              </w:rPr>
              <w:t>60,084</w:t>
            </w:r>
          </w:p>
        </w:tc>
        <w:tc>
          <w:tcPr>
            <w:tcW w:w="300" w:type="dxa"/>
            <w:vAlign w:val="bottom"/>
          </w:tcPr>
          <w:p>
            <w:pPr>
              <w:spacing w:after="0"/>
              <w:rPr>
                <w:sz w:val="13"/>
                <w:szCs w:val="13"/>
                <w:color w:val="auto"/>
              </w:rPr>
            </w:pP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1.17</w:t>
            </w:r>
          </w:p>
        </w:tc>
        <w:tc>
          <w:tcPr>
            <w:tcW w:w="4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5000" w:type="dxa"/>
            <w:vAlign w:val="bottom"/>
            <w:gridSpan w:val="2"/>
            <w:shd w:val="clear" w:color="auto" w:fill="CCEEFF"/>
          </w:tcPr>
          <w:p>
            <w:pPr>
              <w:spacing w:after="0" w:line="158" w:lineRule="exact"/>
              <w:rPr>
                <w:sz w:val="20"/>
                <w:szCs w:val="20"/>
                <w:color w:val="auto"/>
              </w:rPr>
            </w:pPr>
            <w:r>
              <w:rPr>
                <w:rFonts w:ascii="Arial" w:cs="Arial" w:eastAsia="Arial" w:hAnsi="Arial"/>
                <w:sz w:val="14"/>
                <w:szCs w:val="14"/>
                <w:color w:val="auto"/>
              </w:rPr>
              <w:t>March 2016</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1,297,884</w:t>
            </w:r>
          </w:p>
        </w:tc>
        <w:tc>
          <w:tcPr>
            <w:tcW w:w="3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58"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0.0001</w:t>
            </w:r>
          </w:p>
        </w:tc>
        <w:tc>
          <w:tcPr>
            <w:tcW w:w="3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w:t>
            </w:r>
          </w:p>
        </w:tc>
      </w:tr>
      <w:tr>
        <w:trPr>
          <w:trHeight w:val="160"/>
        </w:trPr>
        <w:tc>
          <w:tcPr>
            <w:tcW w:w="5000" w:type="dxa"/>
            <w:vAlign w:val="bottom"/>
            <w:gridSpan w:val="2"/>
          </w:tcPr>
          <w:p>
            <w:pPr>
              <w:spacing w:after="0" w:line="158" w:lineRule="exact"/>
              <w:rPr>
                <w:sz w:val="20"/>
                <w:szCs w:val="20"/>
                <w:color w:val="auto"/>
              </w:rPr>
            </w:pPr>
            <w:r>
              <w:rPr>
                <w:rFonts w:ascii="Arial" w:cs="Arial" w:eastAsia="Arial" w:hAnsi="Arial"/>
                <w:sz w:val="14"/>
                <w:szCs w:val="14"/>
                <w:color w:val="auto"/>
              </w:rPr>
              <w:t>July 2017</w:t>
            </w:r>
          </w:p>
        </w:tc>
        <w:tc>
          <w:tcPr>
            <w:tcW w:w="6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0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00" w:type="dxa"/>
            <w:vAlign w:val="bottom"/>
          </w:tcPr>
          <w:p>
            <w:pPr>
              <w:spacing w:after="0"/>
              <w:rPr>
                <w:sz w:val="13"/>
                <w:szCs w:val="13"/>
                <w:color w:val="auto"/>
              </w:rPr>
            </w:pPr>
          </w:p>
        </w:tc>
        <w:tc>
          <w:tcPr>
            <w:tcW w:w="82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31,554</w:t>
            </w:r>
          </w:p>
        </w:tc>
        <w:tc>
          <w:tcPr>
            <w:tcW w:w="300" w:type="dxa"/>
            <w:vAlign w:val="bottom"/>
          </w:tcPr>
          <w:p>
            <w:pPr>
              <w:spacing w:after="0"/>
              <w:rPr>
                <w:sz w:val="13"/>
                <w:szCs w:val="13"/>
                <w:color w:val="auto"/>
              </w:rPr>
            </w:pPr>
          </w:p>
        </w:tc>
        <w:tc>
          <w:tcPr>
            <w:tcW w:w="840" w:type="dxa"/>
            <w:vAlign w:val="bottom"/>
            <w:gridSpan w:val="2"/>
          </w:tcPr>
          <w:p>
            <w:pPr>
              <w:jc w:val="right"/>
              <w:ind w:right="320"/>
              <w:spacing w:after="0" w:line="158" w:lineRule="exact"/>
              <w:rPr>
                <w:sz w:val="20"/>
                <w:szCs w:val="20"/>
                <w:color w:val="auto"/>
              </w:rPr>
            </w:pPr>
            <w:r>
              <w:rPr>
                <w:rFonts w:ascii="Arial" w:cs="Arial" w:eastAsia="Arial" w:hAnsi="Arial"/>
                <w:sz w:val="14"/>
                <w:szCs w:val="14"/>
                <w:color w:val="auto"/>
              </w:rPr>
              <w:t>1.35</w:t>
            </w:r>
          </w:p>
        </w:tc>
        <w:tc>
          <w:tcPr>
            <w:tcW w:w="44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10</w:t>
            </w:r>
          </w:p>
        </w:tc>
      </w:tr>
      <w:tr>
        <w:trPr>
          <w:trHeight w:val="158"/>
        </w:trPr>
        <w:tc>
          <w:tcPr>
            <w:tcW w:w="820" w:type="dxa"/>
            <w:vAlign w:val="bottom"/>
            <w:shd w:val="clear" w:color="auto" w:fill="CCEEFF"/>
          </w:tcPr>
          <w:p>
            <w:pPr>
              <w:spacing w:after="0"/>
              <w:rPr>
                <w:sz w:val="13"/>
                <w:szCs w:val="13"/>
                <w:color w:val="auto"/>
              </w:rPr>
            </w:pPr>
          </w:p>
        </w:tc>
        <w:tc>
          <w:tcPr>
            <w:tcW w:w="4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1,467,553</w:t>
            </w:r>
          </w:p>
        </w:tc>
        <w:tc>
          <w:tcPr>
            <w:tcW w:w="84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169,669</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169,669</w:t>
            </w: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100" w:firstLine="460"/>
        <w:spacing w:after="0" w:line="245" w:lineRule="auto"/>
        <w:rPr>
          <w:sz w:val="20"/>
          <w:szCs w:val="20"/>
          <w:color w:val="auto"/>
        </w:rPr>
      </w:pPr>
      <w:r>
        <w:rPr>
          <w:rFonts w:ascii="Arial" w:cs="Arial" w:eastAsia="Arial" w:hAnsi="Arial"/>
          <w:sz w:val="15"/>
          <w:szCs w:val="15"/>
          <w:color w:val="auto"/>
        </w:rPr>
        <w:t>The estimated grant date fair value of the above common stock warrants granted in March 2015 through July 2017 was immaterial and recognized as an expense in the period granted.</w:t>
      </w:r>
    </w:p>
    <w:p>
      <w:pPr>
        <w:spacing w:after="0" w:line="240" w:lineRule="exact"/>
        <w:rPr>
          <w:sz w:val="20"/>
          <w:szCs w:val="20"/>
          <w:color w:val="auto"/>
        </w:rPr>
      </w:pPr>
    </w:p>
    <w:p>
      <w:pPr>
        <w:ind w:left="1480"/>
        <w:spacing w:after="0"/>
        <w:rPr>
          <w:sz w:val="20"/>
          <w:szCs w:val="20"/>
          <w:color w:val="auto"/>
        </w:rPr>
      </w:pPr>
      <w:r>
        <w:rPr>
          <w:rFonts w:ascii="Arial" w:cs="Arial" w:eastAsia="Arial" w:hAnsi="Arial"/>
          <w:sz w:val="15"/>
          <w:szCs w:val="15"/>
          <w:i w:val="1"/>
          <w:iCs w:val="1"/>
          <w:color w:val="auto"/>
        </w:rPr>
        <w:t>Common Stock Warrants Measured at Fair Value on a Recurring Basis</w:t>
      </w:r>
    </w:p>
    <w:p>
      <w:pPr>
        <w:spacing w:after="0" w:line="103"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 xml:space="preserve">In October 2018, the Company issued warrants to purchase an aggregate of 150,000 shares of common stock, with an exercise price of $2.16 per share. The estimated grant date fair value of the common stock warrants was recognized as debt issuance costs in the period granted. The common stock warrants were outstanding in their entirety at December 31, 2018 and 2019, and September 30, 2020. The common stock warrants have a contractual term of ten years and expire in October 2028. These common stock warrants are recorded with other liabilities on the consolidated balance sheets at their estimated fair value. See </w:t>
      </w:r>
      <w:r>
        <w:rPr>
          <w:rFonts w:ascii="Arial" w:cs="Arial" w:eastAsia="Arial" w:hAnsi="Arial"/>
          <w:sz w:val="15"/>
          <w:szCs w:val="15"/>
          <w:i w:val="1"/>
          <w:iCs w:val="1"/>
          <w:color w:val="auto"/>
        </w:rPr>
        <w:t>“Note 4. Fair Value Measurement”</w:t>
      </w:r>
      <w:r>
        <w:rPr>
          <w:rFonts w:ascii="Arial" w:cs="Arial" w:eastAsia="Arial" w:hAnsi="Arial"/>
          <w:sz w:val="15"/>
          <w:szCs w:val="15"/>
          <w:color w:val="auto"/>
        </w:rPr>
        <w:t xml:space="preserve"> for further details.</w:t>
      </w:r>
    </w:p>
    <w:p>
      <w:pPr>
        <w:spacing w:after="0" w:line="245"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11. Equity Incentive Plans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In 2012, the Company adopted the Equity Incentive Plan (“2012 Equity Incentive Plan”) authorizing the granting of incentive stock options (“ISOs”) and non-statutory stock options (“NSOs”) to eligible participants. As of December 31, 2019, the Company is authorized to issue up to 19,063,647 shares of common stock under the 2012 Equity Incentive Plan. Under the 2012 Equity Incentive Plan,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grant if the employee provides service to the Company for at least three years.</w:t>
      </w:r>
    </w:p>
    <w:p>
      <w:pPr>
        <w:spacing w:after="0" w:line="11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0220"/>
          </w:cols>
          <w:pgMar w:left="320" w:top="407" w:right="1359" w:bottom="1440" w:gutter="0" w:footer="0" w:header="0"/>
        </w:sectPr>
      </w:pPr>
    </w:p>
    <w:bookmarkStart w:id="291" w:name="page292"/>
    <w:bookmarkEnd w:id="29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Activity under the Company’s stock option plan is set forth below (in thousands, except share and per share amounts):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4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Weighted-</w:t>
            </w: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Weighted-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4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rPr>
              <w:t>Average</w:t>
            </w:r>
          </w:p>
        </w:tc>
        <w:tc>
          <w:tcPr>
            <w:tcW w:w="9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960" w:type="dxa"/>
            <w:vAlign w:val="bottom"/>
            <w:gridSpan w:val="2"/>
          </w:tcPr>
          <w:p>
            <w:pPr>
              <w:jc w:val="right"/>
              <w:ind w:right="380"/>
              <w:spacing w:after="0" w:line="136" w:lineRule="exact"/>
              <w:rPr>
                <w:sz w:val="20"/>
                <w:szCs w:val="20"/>
                <w:color w:val="auto"/>
              </w:rPr>
            </w:pPr>
            <w:r>
              <w:rPr>
                <w:rFonts w:ascii="Arial" w:cs="Arial" w:eastAsia="Arial" w:hAnsi="Arial"/>
                <w:sz w:val="12"/>
                <w:szCs w:val="12"/>
                <w:b w:val="1"/>
                <w:bCs w:val="1"/>
                <w:color w:val="auto"/>
              </w:rPr>
              <w:t>Options</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7"/>
              </w:rPr>
              <w:t>Exercise</w:t>
            </w:r>
          </w:p>
        </w:tc>
        <w:tc>
          <w:tcPr>
            <w:tcW w:w="900" w:type="dxa"/>
            <w:vAlign w:val="bottom"/>
            <w:gridSpan w:val="2"/>
          </w:tcPr>
          <w:p>
            <w:pPr>
              <w:jc w:val="center"/>
              <w:ind w:right="200"/>
              <w:spacing w:after="0" w:line="136" w:lineRule="exact"/>
              <w:rPr>
                <w:sz w:val="20"/>
                <w:szCs w:val="20"/>
                <w:color w:val="auto"/>
              </w:rPr>
            </w:pPr>
            <w:r>
              <w:rPr>
                <w:rFonts w:ascii="Arial" w:cs="Arial" w:eastAsia="Arial" w:hAnsi="Arial"/>
                <w:sz w:val="12"/>
                <w:szCs w:val="12"/>
                <w:b w:val="1"/>
                <w:bCs w:val="1"/>
                <w:color w:val="auto"/>
              </w:rPr>
              <w:t>Remaining</w:t>
            </w:r>
          </w:p>
        </w:tc>
        <w:tc>
          <w:tcPr>
            <w:tcW w:w="64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Aggregate</w:t>
            </w:r>
          </w:p>
        </w:tc>
      </w:tr>
      <w:tr>
        <w:trPr>
          <w:trHeight w:val="135"/>
        </w:trPr>
        <w:tc>
          <w:tcPr>
            <w:tcW w:w="4920" w:type="dxa"/>
            <w:vAlign w:val="bottom"/>
          </w:tcPr>
          <w:p>
            <w:pPr>
              <w:spacing w:after="0"/>
              <w:rPr>
                <w:sz w:val="11"/>
                <w:szCs w:val="11"/>
                <w:color w:val="auto"/>
              </w:rPr>
            </w:pPr>
          </w:p>
        </w:tc>
        <w:tc>
          <w:tcPr>
            <w:tcW w:w="960" w:type="dxa"/>
            <w:vAlign w:val="bottom"/>
            <w:gridSpan w:val="2"/>
          </w:tcPr>
          <w:p>
            <w:pPr>
              <w:jc w:val="right"/>
              <w:ind w:right="340"/>
              <w:spacing w:after="0" w:line="136" w:lineRule="exact"/>
              <w:rPr>
                <w:sz w:val="20"/>
                <w:szCs w:val="20"/>
                <w:color w:val="auto"/>
              </w:rPr>
            </w:pPr>
            <w:r>
              <w:rPr>
                <w:rFonts w:ascii="Arial" w:cs="Arial" w:eastAsia="Arial" w:hAnsi="Arial"/>
                <w:sz w:val="12"/>
                <w:szCs w:val="12"/>
                <w:b w:val="1"/>
                <w:bCs w:val="1"/>
                <w:color w:val="auto"/>
              </w:rPr>
              <w:t>Available</w:t>
            </w:r>
          </w:p>
        </w:tc>
        <w:tc>
          <w:tcPr>
            <w:tcW w:w="88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auto"/>
              </w:rPr>
              <w:t>Number of</w:t>
            </w:r>
          </w:p>
        </w:tc>
        <w:tc>
          <w:tcPr>
            <w:tcW w:w="100" w:type="dxa"/>
            <w:vAlign w:val="bottom"/>
          </w:tcPr>
          <w:p>
            <w:pPr>
              <w:spacing w:after="0"/>
              <w:rPr>
                <w:sz w:val="11"/>
                <w:szCs w:val="11"/>
                <w:color w:val="auto"/>
              </w:rPr>
            </w:pPr>
          </w:p>
        </w:tc>
        <w:tc>
          <w:tcPr>
            <w:tcW w:w="800" w:type="dxa"/>
            <w:vAlign w:val="bottom"/>
            <w:gridSpan w:val="3"/>
          </w:tcPr>
          <w:p>
            <w:pPr>
              <w:jc w:val="center"/>
              <w:ind w:right="200"/>
              <w:spacing w:after="0" w:line="136" w:lineRule="exact"/>
              <w:rPr>
                <w:sz w:val="20"/>
                <w:szCs w:val="20"/>
                <w:color w:val="auto"/>
              </w:rPr>
            </w:pPr>
            <w:r>
              <w:rPr>
                <w:rFonts w:ascii="Arial" w:cs="Arial" w:eastAsia="Arial" w:hAnsi="Arial"/>
                <w:sz w:val="12"/>
                <w:szCs w:val="12"/>
                <w:b w:val="1"/>
                <w:bCs w:val="1"/>
                <w:color w:val="auto"/>
                <w:w w:val="99"/>
              </w:rPr>
              <w:t>Price Per</w:t>
            </w:r>
          </w:p>
        </w:tc>
        <w:tc>
          <w:tcPr>
            <w:tcW w:w="900" w:type="dxa"/>
            <w:vAlign w:val="bottom"/>
            <w:gridSpan w:val="2"/>
          </w:tcPr>
          <w:p>
            <w:pPr>
              <w:jc w:val="right"/>
              <w:ind w:right="220"/>
              <w:spacing w:after="0" w:line="136" w:lineRule="exact"/>
              <w:rPr>
                <w:sz w:val="20"/>
                <w:szCs w:val="20"/>
                <w:color w:val="auto"/>
              </w:rPr>
            </w:pPr>
            <w:r>
              <w:rPr>
                <w:rFonts w:ascii="Arial" w:cs="Arial" w:eastAsia="Arial" w:hAnsi="Arial"/>
                <w:sz w:val="12"/>
                <w:szCs w:val="12"/>
                <w:b w:val="1"/>
                <w:bCs w:val="1"/>
                <w:color w:val="auto"/>
                <w:w w:val="98"/>
              </w:rPr>
              <w:t>Contractual</w:t>
            </w:r>
          </w:p>
        </w:tc>
        <w:tc>
          <w:tcPr>
            <w:tcW w:w="6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Intrinsic</w:t>
            </w:r>
          </w:p>
        </w:tc>
      </w:tr>
      <w:tr>
        <w:trPr>
          <w:trHeight w:val="145"/>
        </w:trPr>
        <w:tc>
          <w:tcPr>
            <w:tcW w:w="49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for Grant</w:t>
            </w: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Options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w w:val="95"/>
              </w:rPr>
              <w:t>Share</w:t>
            </w: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Life (years)</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Value</w:t>
            </w:r>
          </w:p>
        </w:tc>
        <w:tc>
          <w:tcPr>
            <w:tcW w:w="40" w:type="dxa"/>
            <w:vAlign w:val="bottom"/>
            <w:tcBorders>
              <w:bottom w:val="single" w:sz="8" w:color="CCEEFF"/>
            </w:tcBorders>
          </w:tcPr>
          <w:p>
            <w:pPr>
              <w:spacing w:after="0"/>
              <w:rPr>
                <w:sz w:val="12"/>
                <w:szCs w:val="12"/>
                <w:color w:val="auto"/>
              </w:rPr>
            </w:pPr>
          </w:p>
        </w:tc>
      </w:tr>
      <w:tr>
        <w:trPr>
          <w:trHeight w:val="149"/>
        </w:trPr>
        <w:tc>
          <w:tcPr>
            <w:tcW w:w="49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Balances at December 31, 2018</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2,500,951</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12,293,165</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33,793</w:t>
            </w:r>
          </w:p>
        </w:tc>
        <w:tc>
          <w:tcPr>
            <w:tcW w:w="40" w:type="dxa"/>
            <w:vAlign w:val="bottom"/>
            <w:shd w:val="clear" w:color="auto" w:fill="CCEEFF"/>
          </w:tcPr>
          <w:p>
            <w:pPr>
              <w:spacing w:after="0"/>
              <w:rPr>
                <w:sz w:val="12"/>
                <w:szCs w:val="12"/>
                <w:color w:val="auto"/>
              </w:rPr>
            </w:pPr>
          </w:p>
        </w:tc>
      </w:tr>
      <w:tr>
        <w:trPr>
          <w:trHeight w:val="158"/>
        </w:trPr>
        <w:tc>
          <w:tcPr>
            <w:tcW w:w="4920" w:type="dxa"/>
            <w:vAlign w:val="bottom"/>
          </w:tcPr>
          <w:p>
            <w:pPr>
              <w:ind w:left="280"/>
              <w:spacing w:after="0" w:line="158" w:lineRule="exact"/>
              <w:rPr>
                <w:sz w:val="20"/>
                <w:szCs w:val="20"/>
                <w:color w:val="auto"/>
              </w:rPr>
            </w:pPr>
            <w:r>
              <w:rPr>
                <w:rFonts w:ascii="Arial" w:cs="Arial" w:eastAsia="Arial" w:hAnsi="Arial"/>
                <w:sz w:val="14"/>
                <w:szCs w:val="14"/>
                <w:color w:val="auto"/>
              </w:rPr>
              <w:t>Options authorized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3,300,000</w:t>
            </w:r>
          </w:p>
        </w:tc>
        <w:tc>
          <w:tcPr>
            <w:tcW w:w="88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Options granted</w:t>
            </w:r>
          </w:p>
        </w:tc>
        <w:tc>
          <w:tcPr>
            <w:tcW w:w="96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(5,188,219)</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5,188,219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920" w:type="dxa"/>
            <w:vAlign w:val="bottom"/>
          </w:tcPr>
          <w:p>
            <w:pPr>
              <w:ind w:left="280"/>
              <w:spacing w:after="0" w:line="158" w:lineRule="exact"/>
              <w:rPr>
                <w:sz w:val="20"/>
                <w:szCs w:val="20"/>
                <w:color w:val="auto"/>
              </w:rPr>
            </w:pPr>
            <w:r>
              <w:rPr>
                <w:rFonts w:ascii="Arial" w:cs="Arial" w:eastAsia="Arial" w:hAnsi="Arial"/>
                <w:sz w:val="14"/>
                <w:szCs w:val="14"/>
                <w:color w:val="auto"/>
              </w:rPr>
              <w:t>Options exercised</w:t>
            </w:r>
          </w:p>
        </w:tc>
        <w:tc>
          <w:tcPr>
            <w:tcW w:w="960" w:type="dxa"/>
            <w:vAlign w:val="bottom"/>
            <w:gridSpan w:val="2"/>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(272,244)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Options cancelled and forfeited</w:t>
            </w:r>
          </w:p>
        </w:tc>
        <w:tc>
          <w:tcPr>
            <w:tcW w:w="7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706,934</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(706,934)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0"/>
        </w:trPr>
        <w:tc>
          <w:tcPr>
            <w:tcW w:w="4920" w:type="dxa"/>
            <w:vAlign w:val="bottom"/>
          </w:tcPr>
          <w:p>
            <w:pPr>
              <w:spacing w:after="0"/>
              <w:rPr>
                <w:sz w:val="20"/>
                <w:szCs w:val="20"/>
                <w:color w:val="auto"/>
              </w:rPr>
            </w:pPr>
            <w:r>
              <w:rPr>
                <w:rFonts w:ascii="Arial" w:cs="Arial" w:eastAsia="Arial" w:hAnsi="Arial"/>
                <w:sz w:val="14"/>
                <w:szCs w:val="14"/>
                <w:color w:val="auto"/>
              </w:rPr>
              <w:t>Balances at December 31, 2019</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1,319,666</w:t>
            </w:r>
          </w:p>
        </w:tc>
        <w:tc>
          <w:tcPr>
            <w:tcW w:w="260" w:type="dxa"/>
            <w:vAlign w:val="bottom"/>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16,502,206</w:t>
            </w:r>
          </w:p>
        </w:tc>
        <w:tc>
          <w:tcPr>
            <w:tcW w:w="160" w:type="dxa"/>
            <w:vAlign w:val="bottom"/>
          </w:tcPr>
          <w:p>
            <w:pPr>
              <w:spacing w:after="0"/>
              <w:rPr>
                <w:sz w:val="13"/>
                <w:szCs w:val="13"/>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1.86</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115,764</w:t>
            </w: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Options authorized (unaudited)</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5,600,000</w:t>
            </w:r>
          </w:p>
        </w:tc>
        <w:tc>
          <w:tcPr>
            <w:tcW w:w="8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920" w:type="dxa"/>
            <w:vAlign w:val="bottom"/>
          </w:tcPr>
          <w:p>
            <w:pPr>
              <w:spacing w:after="0" w:line="158" w:lineRule="exact"/>
              <w:rPr>
                <w:sz w:val="20"/>
                <w:szCs w:val="20"/>
                <w:color w:val="auto"/>
              </w:rPr>
            </w:pPr>
            <w:r>
              <w:rPr>
                <w:rFonts w:ascii="Arial" w:cs="Arial" w:eastAsia="Arial" w:hAnsi="Arial"/>
                <w:sz w:val="14"/>
                <w:szCs w:val="14"/>
                <w:color w:val="auto"/>
              </w:rPr>
              <w:t>Options granted (unaudited)</w:t>
            </w:r>
          </w:p>
        </w:tc>
        <w:tc>
          <w:tcPr>
            <w:tcW w:w="96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(3,847,132)</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3,847,132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Options exercised (unaudited)</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(200,559)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8"/>
        </w:trPr>
        <w:tc>
          <w:tcPr>
            <w:tcW w:w="4920" w:type="dxa"/>
            <w:vAlign w:val="bottom"/>
          </w:tcPr>
          <w:p>
            <w:pPr>
              <w:spacing w:after="0" w:line="158" w:lineRule="exact"/>
              <w:rPr>
                <w:sz w:val="20"/>
                <w:szCs w:val="20"/>
                <w:color w:val="auto"/>
              </w:rPr>
            </w:pPr>
            <w:r>
              <w:rPr>
                <w:rFonts w:ascii="Arial" w:cs="Arial" w:eastAsia="Arial" w:hAnsi="Arial"/>
                <w:sz w:val="14"/>
                <w:szCs w:val="14"/>
                <w:color w:val="auto"/>
              </w:rPr>
              <w:t>Options cancelled and forfeited (unaudited)</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792,737</w:t>
            </w:r>
          </w:p>
        </w:tc>
        <w:tc>
          <w:tcPr>
            <w:tcW w:w="260" w:type="dxa"/>
            <w:vAlign w:val="bottom"/>
          </w:tcPr>
          <w:p>
            <w:pPr>
              <w:spacing w:after="0"/>
              <w:rPr>
                <w:sz w:val="13"/>
                <w:szCs w:val="13"/>
                <w:color w:val="auto"/>
              </w:rPr>
            </w:pPr>
          </w:p>
        </w:tc>
        <w:tc>
          <w:tcPr>
            <w:tcW w:w="88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(792,737)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8"/>
        </w:trPr>
        <w:tc>
          <w:tcPr>
            <w:tcW w:w="49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Balances at September 30, 2020</w:t>
            </w:r>
          </w:p>
        </w:tc>
        <w:tc>
          <w:tcPr>
            <w:tcW w:w="960" w:type="dxa"/>
            <w:vAlign w:val="bottom"/>
            <w:gridSpan w:val="2"/>
            <w:shd w:val="clear" w:color="auto" w:fill="CCEEFF"/>
          </w:tcPr>
          <w:p>
            <w:pPr>
              <w:jc w:val="right"/>
              <w:ind w:right="260"/>
              <w:spacing w:after="0" w:line="158" w:lineRule="exact"/>
              <w:rPr>
                <w:sz w:val="20"/>
                <w:szCs w:val="20"/>
                <w:color w:val="auto"/>
              </w:rPr>
            </w:pPr>
            <w:r>
              <w:rPr>
                <w:rFonts w:ascii="Arial" w:cs="Arial" w:eastAsia="Arial" w:hAnsi="Arial"/>
                <w:sz w:val="14"/>
                <w:szCs w:val="14"/>
                <w:color w:val="auto"/>
              </w:rPr>
              <w:t>3,865,271</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9"/>
              </w:rPr>
              <w:t>19,356,042</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ind w:left="100"/>
              <w:spacing w:after="0" w:line="158"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58" w:lineRule="exact"/>
              <w:rPr>
                <w:sz w:val="20"/>
                <w:szCs w:val="20"/>
                <w:color w:val="auto"/>
              </w:rPr>
            </w:pPr>
            <w:r>
              <w:rPr>
                <w:rFonts w:ascii="Arial" w:cs="Arial" w:eastAsia="Arial" w:hAnsi="Arial"/>
                <w:sz w:val="14"/>
                <w:szCs w:val="14"/>
                <w:color w:val="auto"/>
              </w:rPr>
              <w:t>3.11</w:t>
            </w:r>
          </w:p>
        </w:tc>
        <w:tc>
          <w:tcPr>
            <w:tcW w:w="9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166,484</w:t>
            </w:r>
          </w:p>
        </w:tc>
        <w:tc>
          <w:tcPr>
            <w:tcW w:w="40" w:type="dxa"/>
            <w:vAlign w:val="bottom"/>
            <w:shd w:val="clear" w:color="auto" w:fill="CCEEFF"/>
          </w:tcPr>
          <w:p>
            <w:pPr>
              <w:spacing w:after="0"/>
              <w:rPr>
                <w:sz w:val="13"/>
                <w:szCs w:val="13"/>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4920" w:type="dxa"/>
            <w:vAlign w:val="bottom"/>
          </w:tcPr>
          <w:p>
            <w:pPr>
              <w:spacing w:after="0" w:line="143" w:lineRule="exact"/>
              <w:rPr>
                <w:sz w:val="20"/>
                <w:szCs w:val="20"/>
                <w:color w:val="auto"/>
              </w:rPr>
            </w:pPr>
            <w:r>
              <w:rPr>
                <w:rFonts w:ascii="Arial" w:cs="Arial" w:eastAsia="Arial" w:hAnsi="Arial"/>
                <w:sz w:val="14"/>
                <w:szCs w:val="14"/>
                <w:color w:val="auto"/>
              </w:rPr>
              <w:t>Options exercisable – September 30, 2020 (unaudited)</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99"/>
              </w:rPr>
              <w:t>11,422,684</w:t>
            </w:r>
          </w:p>
        </w:tc>
        <w:tc>
          <w:tcPr>
            <w:tcW w:w="160" w:type="dxa"/>
            <w:vAlign w:val="bottom"/>
          </w:tcPr>
          <w:p>
            <w:pPr>
              <w:spacing w:after="0"/>
              <w:rPr>
                <w:sz w:val="12"/>
                <w:szCs w:val="12"/>
                <w:color w:val="auto"/>
              </w:rPr>
            </w:pPr>
          </w:p>
        </w:tc>
        <w:tc>
          <w:tcPr>
            <w:tcW w:w="200" w:type="dxa"/>
            <w:vAlign w:val="bottom"/>
            <w:gridSpan w:val="2"/>
          </w:tcPr>
          <w:p>
            <w:pPr>
              <w:ind w:left="1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1.21</w:t>
            </w:r>
          </w:p>
        </w:tc>
        <w:tc>
          <w:tcPr>
            <w:tcW w:w="90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5.1</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w w:val="94"/>
              </w:rPr>
              <w:t>119,997</w:t>
            </w:r>
          </w:p>
        </w:tc>
        <w:tc>
          <w:tcPr>
            <w:tcW w:w="40" w:type="dxa"/>
            <w:vAlign w:val="bottom"/>
          </w:tcPr>
          <w:p>
            <w:pPr>
              <w:spacing w:after="0"/>
              <w:rPr>
                <w:sz w:val="12"/>
                <w:szCs w:val="12"/>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49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Options vested and expected to vest – September 30, 2020 (unaudited)</w:t>
            </w: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99"/>
              </w:rPr>
              <w:t>17,810,692</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2.81</w:t>
            </w:r>
          </w:p>
        </w:tc>
        <w:tc>
          <w:tcPr>
            <w:tcW w:w="90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4"/>
              </w:rPr>
              <w:t>158,673</w:t>
            </w:r>
          </w:p>
        </w:tc>
        <w:tc>
          <w:tcPr>
            <w:tcW w:w="40" w:type="dxa"/>
            <w:vAlign w:val="bottom"/>
            <w:shd w:val="clear" w:color="auto" w:fill="CCEEFF"/>
          </w:tcPr>
          <w:p>
            <w:pPr>
              <w:spacing w:after="0"/>
              <w:rPr>
                <w:sz w:val="12"/>
                <w:szCs w:val="12"/>
                <w:color w:val="auto"/>
              </w:rPr>
            </w:pPr>
          </w:p>
        </w:tc>
      </w:tr>
      <w:tr>
        <w:trPr>
          <w:trHeight w:val="20"/>
        </w:trPr>
        <w:tc>
          <w:tcPr>
            <w:tcW w:w="4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fair value of the Company’s stock as of December 31, 2019. The aggregate intrinsic value of options exercised for the years ended December 31, 2017, 2018 and 2019, and nine months ended September 30, 2019 (unaudited) and 2020 (unaudited) was $0.5 million, $0.6 million, and $2.1 million, $0.2 million, and $2.0 million, respectively. The weighted-average grant date fair value of options granted during the years ended December 31, 2017, 2018 and 2019, and nine months ended September 30, 2020 (unaudited), was $1.21, $1.68, $ 3.99, and $5.76 per share, respectively. The total fair value of options vested for the years ended December 31, 2017, 2018 and 2019, and nine months ended September 30, 2020 (unaudited), was $0.9 million, $1.8 million, $2.7 million, and $4.5 million, respectively.</w:t>
      </w:r>
    </w:p>
    <w:p>
      <w:pPr>
        <w:spacing w:after="0" w:line="171" w:lineRule="exact"/>
        <w:rPr>
          <w:sz w:val="20"/>
          <w:szCs w:val="20"/>
          <w:color w:val="auto"/>
        </w:rPr>
      </w:pPr>
    </w:p>
    <w:p>
      <w:pPr>
        <w:ind w:left="1020" w:right="60" w:firstLine="460"/>
        <w:spacing w:after="0" w:line="245" w:lineRule="auto"/>
        <w:rPr>
          <w:sz w:val="20"/>
          <w:szCs w:val="20"/>
          <w:color w:val="auto"/>
        </w:rPr>
      </w:pPr>
      <w:r>
        <w:rPr>
          <w:rFonts w:ascii="Arial" w:cs="Arial" w:eastAsia="Arial" w:hAnsi="Arial"/>
          <w:sz w:val="15"/>
          <w:szCs w:val="15"/>
          <w:color w:val="auto"/>
        </w:rPr>
        <w:t>As of December 31, 2019, and September 30, 2020, total unrecognized stock-based compensation expense was $15.3 million and $22.9 million, respectively, which is expected to be recognized over a weighted-average period of 2.5 years and 1.3 years, respectively.</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Non-Employee Stock-Based Compensation</w:t>
      </w:r>
    </w:p>
    <w:p>
      <w:pPr>
        <w:spacing w:after="0" w:line="105" w:lineRule="exact"/>
        <w:rPr>
          <w:sz w:val="20"/>
          <w:szCs w:val="20"/>
          <w:color w:val="auto"/>
        </w:rPr>
      </w:pPr>
    </w:p>
    <w:p>
      <w:pPr>
        <w:ind w:left="1020" w:right="20" w:firstLine="460"/>
        <w:spacing w:after="0" w:line="238" w:lineRule="auto"/>
        <w:rPr>
          <w:sz w:val="20"/>
          <w:szCs w:val="20"/>
          <w:color w:val="auto"/>
        </w:rPr>
      </w:pPr>
      <w:r>
        <w:rPr>
          <w:rFonts w:ascii="Arial" w:cs="Arial" w:eastAsia="Arial" w:hAnsi="Arial"/>
          <w:sz w:val="15"/>
          <w:szCs w:val="15"/>
          <w:color w:val="auto"/>
        </w:rPr>
        <w:t>During the years ended December 31, 2017, 2018 and 2019, and the nine months ended September 30, 2020 (unaudited), the Company granted non-qualified options to non-employees to purchase 149,037, 148,295, 135,969, and 0 shares, respectively, of common stock under the 2012 Equity Incentive Plan. Non-employee options were issued with various vesting periods depending on the specific terms of each option and services provided by non-employees.</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0220"/>
          </w:cols>
          <w:pgMar w:left="320" w:top="407" w:right="1359" w:bottom="1440" w:gutter="0" w:footer="0" w:header="0"/>
        </w:sectPr>
      </w:pPr>
    </w:p>
    <w:bookmarkStart w:id="292" w:name="page293"/>
    <w:bookmarkEnd w:id="29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Fair Value of Options Granted</w:t>
      </w:r>
    </w:p>
    <w:p>
      <w:pPr>
        <w:spacing w:after="0" w:line="105" w:lineRule="exact"/>
        <w:rPr>
          <w:sz w:val="20"/>
          <w:szCs w:val="20"/>
          <w:color w:val="auto"/>
        </w:rPr>
      </w:pPr>
    </w:p>
    <w:p>
      <w:pPr>
        <w:ind w:left="1020" w:right="820" w:firstLine="460"/>
        <w:spacing w:after="0" w:line="245" w:lineRule="auto"/>
        <w:rPr>
          <w:sz w:val="20"/>
          <w:szCs w:val="20"/>
          <w:color w:val="auto"/>
        </w:rPr>
      </w:pPr>
      <w:r>
        <w:rPr>
          <w:rFonts w:ascii="Arial" w:cs="Arial" w:eastAsia="Arial" w:hAnsi="Arial"/>
          <w:sz w:val="15"/>
          <w:szCs w:val="15"/>
          <w:color w:val="auto"/>
        </w:rPr>
        <w:t>In determining the fair value of the stock-based awards, the Company uses the Black-Scholes option-pricing model and assumptions discussed below. Each of these inputs is subjective and generally requires significant judgment.</w:t>
      </w:r>
    </w:p>
    <w:p>
      <w:pPr>
        <w:spacing w:after="0" w:line="150" w:lineRule="exact"/>
        <w:rPr>
          <w:sz w:val="20"/>
          <w:szCs w:val="20"/>
          <w:color w:val="auto"/>
        </w:rPr>
      </w:pPr>
    </w:p>
    <w:p>
      <w:pPr>
        <w:ind w:left="1300" w:right="120" w:firstLine="268"/>
        <w:spacing w:after="0" w:line="243" w:lineRule="auto"/>
        <w:rPr>
          <w:sz w:val="20"/>
          <w:szCs w:val="20"/>
          <w:color w:val="auto"/>
        </w:rPr>
      </w:pPr>
      <w:r>
        <w:rPr>
          <w:rFonts w:ascii="Arial" w:cs="Arial" w:eastAsia="Arial" w:hAnsi="Arial"/>
          <w:sz w:val="15"/>
          <w:szCs w:val="15"/>
          <w:i w:val="1"/>
          <w:iCs w:val="1"/>
          <w:color w:val="auto"/>
        </w:rPr>
        <w:t>Fair Value of Common Stock—</w:t>
      </w:r>
      <w:r>
        <w:rPr>
          <w:rFonts w:ascii="Arial" w:cs="Arial" w:eastAsia="Arial" w:hAnsi="Arial"/>
          <w:sz w:val="15"/>
          <w:szCs w:val="15"/>
          <w:color w:val="auto"/>
        </w:rPr>
        <w:t>The fair value of the shares of common stock has historically been determined by the Company’s</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as there is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 specific economic outlook, among other factors.</w:t>
      </w:r>
    </w:p>
    <w:p>
      <w:pPr>
        <w:spacing w:after="0" w:line="152" w:lineRule="exact"/>
        <w:rPr>
          <w:sz w:val="20"/>
          <w:szCs w:val="20"/>
          <w:color w:val="auto"/>
        </w:rPr>
      </w:pPr>
    </w:p>
    <w:p>
      <w:pPr>
        <w:ind w:left="1300" w:right="40" w:firstLine="268"/>
        <w:spacing w:after="0" w:line="243"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—The expected term represents the period that the Company’s stock options are expected to be outstanding.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years ended December 31, 2017, 2018 and 2019, and nine months ended September 30, 2020 (unaudited), the Company determined the expected term for employee stock options based on historical terminations and exercise behavior, which factors in an extended post-termination exercise provision for vested awards for certain employees that provide more than three years of service to the Company. The Company uses the contractual term for all nonemployee awards.</w:t>
      </w:r>
    </w:p>
    <w:p>
      <w:pPr>
        <w:spacing w:after="0" w:line="152" w:lineRule="exact"/>
        <w:rPr>
          <w:sz w:val="20"/>
          <w:szCs w:val="20"/>
          <w:color w:val="auto"/>
        </w:rPr>
      </w:pPr>
    </w:p>
    <w:p>
      <w:pPr>
        <w:jc w:val="both"/>
        <w:ind w:left="1300" w:right="200" w:firstLine="268"/>
        <w:spacing w:after="0" w:line="251" w:lineRule="auto"/>
        <w:rPr>
          <w:sz w:val="20"/>
          <w:szCs w:val="20"/>
          <w:color w:val="auto"/>
        </w:rPr>
      </w:pPr>
      <w:r>
        <w:rPr>
          <w:rFonts w:ascii="Arial" w:cs="Arial" w:eastAsia="Arial" w:hAnsi="Arial"/>
          <w:sz w:val="15"/>
          <w:szCs w:val="15"/>
          <w:i w:val="1"/>
          <w:iCs w:val="1"/>
          <w:color w:val="auto"/>
        </w:rPr>
        <w:t>Volatility</w:t>
      </w:r>
      <w:r>
        <w:rPr>
          <w:rFonts w:ascii="Arial" w:cs="Arial" w:eastAsia="Arial" w:hAnsi="Arial"/>
          <w:sz w:val="15"/>
          <w:szCs w:val="15"/>
          <w:color w:val="auto"/>
        </w:rPr>
        <w:t>—Since the Company is privately held and does not have an active trading market for its common stock, the expected</w:t>
      </w:r>
      <w:r>
        <w:rPr>
          <w:rFonts w:ascii="Arial" w:cs="Arial" w:eastAsia="Arial" w:hAnsi="Arial"/>
          <w:sz w:val="15"/>
          <w:szCs w:val="15"/>
          <w:i w:val="1"/>
          <w:iCs w:val="1"/>
          <w:color w:val="auto"/>
        </w:rPr>
        <w:t xml:space="preserve"> </w:t>
      </w:r>
      <w:r>
        <w:rPr>
          <w:rFonts w:ascii="Arial" w:cs="Arial" w:eastAsia="Arial" w:hAnsi="Arial"/>
          <w:sz w:val="15"/>
          <w:szCs w:val="15"/>
          <w:color w:val="auto"/>
        </w:rPr>
        <w:t>volatility is estimated based on the average volatility for comparable publicly-traded companies, over a period equal to the expected term of the stock option grants.</w:t>
      </w:r>
    </w:p>
    <w:p>
      <w:pPr>
        <w:spacing w:after="0" w:line="146" w:lineRule="exact"/>
        <w:rPr>
          <w:sz w:val="20"/>
          <w:szCs w:val="20"/>
          <w:color w:val="auto"/>
        </w:rPr>
      </w:pPr>
    </w:p>
    <w:p>
      <w:pPr>
        <w:ind w:left="1300" w:right="160" w:firstLine="268"/>
        <w:spacing w:after="0" w:line="267" w:lineRule="auto"/>
        <w:rPr>
          <w:sz w:val="20"/>
          <w:szCs w:val="20"/>
          <w:color w:val="auto"/>
        </w:rPr>
      </w:pPr>
      <w:r>
        <w:rPr>
          <w:rFonts w:ascii="Arial" w:cs="Arial" w:eastAsia="Arial" w:hAnsi="Arial"/>
          <w:sz w:val="15"/>
          <w:szCs w:val="15"/>
          <w:i w:val="1"/>
          <w:iCs w:val="1"/>
          <w:color w:val="auto"/>
        </w:rPr>
        <w:t>Risk-free Rate</w:t>
      </w:r>
      <w:r>
        <w:rPr>
          <w:rFonts w:ascii="Arial" w:cs="Arial" w:eastAsia="Arial" w:hAnsi="Arial"/>
          <w:sz w:val="15"/>
          <w:szCs w:val="15"/>
          <w:color w:val="auto"/>
        </w:rPr>
        <w:t>—The risk-free rate assumption is based on the U.S. Treasury zero coupon issues in effect at the time of grant for</w:t>
      </w:r>
      <w:r>
        <w:rPr>
          <w:rFonts w:ascii="Arial" w:cs="Arial" w:eastAsia="Arial" w:hAnsi="Arial"/>
          <w:sz w:val="15"/>
          <w:szCs w:val="15"/>
          <w:i w:val="1"/>
          <w:iCs w:val="1"/>
          <w:color w:val="auto"/>
        </w:rPr>
        <w:t xml:space="preserve"> </w:t>
      </w:r>
      <w:r>
        <w:rPr>
          <w:rFonts w:ascii="Arial" w:cs="Arial" w:eastAsia="Arial" w:hAnsi="Arial"/>
          <w:sz w:val="15"/>
          <w:szCs w:val="15"/>
          <w:color w:val="auto"/>
        </w:rPr>
        <w:t>periods corresponding with the expected term of the option.</w:t>
      </w:r>
    </w:p>
    <w:p>
      <w:pPr>
        <w:spacing w:after="0" w:line="135" w:lineRule="exact"/>
        <w:rPr>
          <w:sz w:val="20"/>
          <w:szCs w:val="20"/>
          <w:color w:val="auto"/>
        </w:rPr>
      </w:pPr>
    </w:p>
    <w:p>
      <w:pPr>
        <w:ind w:left="1300" w:right="200" w:firstLine="268"/>
        <w:spacing w:after="0" w:line="267" w:lineRule="auto"/>
        <w:rPr>
          <w:sz w:val="20"/>
          <w:szCs w:val="20"/>
          <w:color w:val="auto"/>
        </w:rPr>
      </w:pPr>
      <w:r>
        <w:rPr>
          <w:rFonts w:ascii="Arial" w:cs="Arial" w:eastAsia="Arial" w:hAnsi="Arial"/>
          <w:sz w:val="15"/>
          <w:szCs w:val="15"/>
          <w:i w:val="1"/>
          <w:iCs w:val="1"/>
          <w:color w:val="auto"/>
        </w:rPr>
        <w:t>Dividends</w:t>
      </w:r>
      <w:r>
        <w:rPr>
          <w:rFonts w:ascii="Arial" w:cs="Arial" w:eastAsia="Arial" w:hAnsi="Arial"/>
          <w:sz w:val="15"/>
          <w:szCs w:val="15"/>
          <w:color w:val="auto"/>
        </w:rPr>
        <w:t>—The Company has never paid dividends on its common stock and does not anticipate paying dividends on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Therefore, the Company uses an expected dividend yield of zero.</w:t>
      </w:r>
    </w:p>
    <w:p>
      <w:pPr>
        <w:spacing w:after="0" w:line="151" w:lineRule="exact"/>
        <w:rPr>
          <w:sz w:val="20"/>
          <w:szCs w:val="20"/>
          <w:color w:val="auto"/>
        </w:rPr>
      </w:pPr>
    </w:p>
    <w:p>
      <w:pPr>
        <w:ind w:left="1020" w:right="440" w:firstLine="460"/>
        <w:spacing w:after="0" w:line="245" w:lineRule="auto"/>
        <w:rPr>
          <w:sz w:val="20"/>
          <w:szCs w:val="20"/>
          <w:color w:val="auto"/>
        </w:rPr>
      </w:pPr>
      <w:r>
        <w:rPr>
          <w:rFonts w:ascii="Arial" w:cs="Arial" w:eastAsia="Arial" w:hAnsi="Arial"/>
          <w:sz w:val="15"/>
          <w:szCs w:val="15"/>
          <w:color w:val="auto"/>
        </w:rPr>
        <w:t>The following assumptions were used to estimate the fair value of employee and nonemployee stock options granted and the resulting fair values: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14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99"/>
              </w:rPr>
              <w:t>Year ended December 31,</w:t>
            </w:r>
          </w:p>
        </w:tc>
        <w:tc>
          <w:tcPr>
            <w:tcW w:w="6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2"/>
                <w:szCs w:val="12"/>
                <w:b w:val="1"/>
                <w:bCs w:val="1"/>
                <w:color w:val="auto"/>
              </w:rPr>
              <w:t>Nine months ended September 30,</w:t>
            </w:r>
          </w:p>
        </w:tc>
      </w:tr>
      <w:tr>
        <w:trPr>
          <w:trHeight w:val="126"/>
        </w:trPr>
        <w:tc>
          <w:tcPr>
            <w:tcW w:w="1480" w:type="dxa"/>
            <w:vAlign w:val="bottom"/>
          </w:tcPr>
          <w:p>
            <w:pPr>
              <w:spacing w:after="0"/>
              <w:rPr>
                <w:sz w:val="10"/>
                <w:szCs w:val="10"/>
                <w:color w:val="auto"/>
              </w:rPr>
            </w:pPr>
          </w:p>
        </w:tc>
        <w:tc>
          <w:tcPr>
            <w:tcW w:w="146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2017</w:t>
            </w:r>
          </w:p>
        </w:tc>
        <w:tc>
          <w:tcPr>
            <w:tcW w:w="80" w:type="dxa"/>
            <w:vAlign w:val="bottom"/>
          </w:tcPr>
          <w:p>
            <w:pPr>
              <w:spacing w:after="0"/>
              <w:rPr>
                <w:sz w:val="10"/>
                <w:szCs w:val="10"/>
                <w:color w:val="auto"/>
              </w:rPr>
            </w:pPr>
          </w:p>
        </w:tc>
        <w:tc>
          <w:tcPr>
            <w:tcW w:w="148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0"/>
                <w:szCs w:val="10"/>
                <w:color w:val="auto"/>
              </w:rPr>
            </w:pPr>
          </w:p>
        </w:tc>
        <w:tc>
          <w:tcPr>
            <w:tcW w:w="146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0"/>
                <w:szCs w:val="10"/>
                <w:color w:val="auto"/>
              </w:rPr>
            </w:pPr>
          </w:p>
        </w:tc>
        <w:tc>
          <w:tcPr>
            <w:tcW w:w="1520" w:type="dxa"/>
            <w:vAlign w:val="bottom"/>
            <w:tcBorders>
              <w:bottom w:val="single" w:sz="8" w:color="auto"/>
            </w:tcBorders>
            <w:gridSpan w:val="2"/>
          </w:tcPr>
          <w:p>
            <w:pPr>
              <w:jc w:val="right"/>
              <w:ind w:right="574"/>
              <w:spacing w:after="0" w:line="126" w:lineRule="exact"/>
              <w:rPr>
                <w:sz w:val="20"/>
                <w:szCs w:val="20"/>
                <w:color w:val="auto"/>
              </w:rPr>
            </w:pPr>
            <w:r>
              <w:rPr>
                <w:rFonts w:ascii="Arial" w:cs="Arial" w:eastAsia="Arial" w:hAnsi="Arial"/>
                <w:sz w:val="12"/>
                <w:szCs w:val="12"/>
                <w:b w:val="1"/>
                <w:bCs w:val="1"/>
                <w:color w:val="auto"/>
              </w:rPr>
              <w:t>2019</w:t>
            </w:r>
          </w:p>
        </w:tc>
        <w:tc>
          <w:tcPr>
            <w:tcW w:w="1520" w:type="dxa"/>
            <w:vAlign w:val="bottom"/>
            <w:tcBorders>
              <w:bottom w:val="single" w:sz="8" w:color="auto"/>
            </w:tcBorders>
            <w:gridSpan w:val="2"/>
          </w:tcPr>
          <w:p>
            <w:pPr>
              <w:jc w:val="right"/>
              <w:ind w:right="532"/>
              <w:spacing w:after="0" w:line="126" w:lineRule="exact"/>
              <w:rPr>
                <w:sz w:val="20"/>
                <w:szCs w:val="20"/>
                <w:color w:val="auto"/>
              </w:rPr>
            </w:pPr>
            <w:r>
              <w:rPr>
                <w:rFonts w:ascii="Arial" w:cs="Arial" w:eastAsia="Arial" w:hAnsi="Arial"/>
                <w:sz w:val="12"/>
                <w:szCs w:val="12"/>
                <w:b w:val="1"/>
                <w:bCs w:val="1"/>
                <w:color w:val="auto"/>
              </w:rPr>
              <w:t>2020</w:t>
            </w:r>
          </w:p>
        </w:tc>
      </w:tr>
      <w:tr>
        <w:trPr>
          <w:trHeight w:val="126"/>
        </w:trPr>
        <w:tc>
          <w:tcPr>
            <w:tcW w:w="1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gridSpan w:val="2"/>
          </w:tcPr>
          <w:p>
            <w:pPr>
              <w:ind w:left="520"/>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800" w:type="dxa"/>
            <w:vAlign w:val="bottom"/>
          </w:tcPr>
          <w:p>
            <w:pPr>
              <w:spacing w:after="0"/>
              <w:rPr>
                <w:sz w:val="10"/>
                <w:szCs w:val="10"/>
                <w:color w:val="auto"/>
              </w:rPr>
            </w:pPr>
          </w:p>
        </w:tc>
      </w:tr>
      <w:tr>
        <w:trPr>
          <w:trHeight w:val="159"/>
        </w:trPr>
        <w:tc>
          <w:tcPr>
            <w:tcW w:w="14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Expected term</w:t>
            </w:r>
          </w:p>
        </w:tc>
        <w:tc>
          <w:tcPr>
            <w:tcW w:w="6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6"/>
        </w:trPr>
        <w:tc>
          <w:tcPr>
            <w:tcW w:w="1480" w:type="dxa"/>
            <w:vAlign w:val="bottom"/>
            <w:shd w:val="clear" w:color="auto" w:fill="CCEEFF"/>
          </w:tcPr>
          <w:p>
            <w:pPr>
              <w:ind w:left="140"/>
              <w:spacing w:after="0" w:line="156" w:lineRule="exact"/>
              <w:rPr>
                <w:sz w:val="20"/>
                <w:szCs w:val="20"/>
                <w:color w:val="auto"/>
              </w:rPr>
            </w:pPr>
            <w:r>
              <w:rPr>
                <w:rFonts w:ascii="Arial" w:cs="Arial" w:eastAsia="Arial" w:hAnsi="Arial"/>
                <w:sz w:val="14"/>
                <w:szCs w:val="14"/>
                <w:color w:val="auto"/>
              </w:rPr>
              <w:t>(in years)</w:t>
            </w:r>
          </w:p>
        </w:tc>
        <w:tc>
          <w:tcPr>
            <w:tcW w:w="6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5.0</w:t>
            </w:r>
          </w:p>
        </w:tc>
        <w:tc>
          <w:tcPr>
            <w:tcW w:w="88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5.9</w:t>
            </w:r>
          </w:p>
        </w:tc>
        <w:tc>
          <w:tcPr>
            <w:tcW w:w="90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c>
          <w:tcPr>
            <w:tcW w:w="1560" w:type="dxa"/>
            <w:vAlign w:val="bottom"/>
            <w:gridSpan w:val="3"/>
            <w:shd w:val="clear" w:color="auto" w:fill="CCEEFF"/>
          </w:tcPr>
          <w:p>
            <w:pPr>
              <w:jc w:val="center"/>
              <w:ind w:right="80"/>
              <w:spacing w:after="0" w:line="156" w:lineRule="exact"/>
              <w:rPr>
                <w:sz w:val="20"/>
                <w:szCs w:val="20"/>
                <w:color w:val="auto"/>
              </w:rPr>
            </w:pPr>
            <w:r>
              <w:rPr>
                <w:rFonts w:ascii="Arial" w:cs="Arial" w:eastAsia="Arial" w:hAnsi="Arial"/>
                <w:sz w:val="14"/>
                <w:szCs w:val="14"/>
                <w:color w:val="auto"/>
                <w:w w:val="96"/>
              </w:rPr>
              <w:t>5.5 – 10.0</w:t>
            </w:r>
          </w:p>
        </w:tc>
        <w:tc>
          <w:tcPr>
            <w:tcW w:w="6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5.6</w:t>
            </w:r>
          </w:p>
        </w:tc>
        <w:tc>
          <w:tcPr>
            <w:tcW w:w="8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c>
          <w:tcPr>
            <w:tcW w:w="7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5.3</w:t>
            </w:r>
          </w:p>
        </w:tc>
        <w:tc>
          <w:tcPr>
            <w:tcW w:w="8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 10.0</w:t>
            </w:r>
          </w:p>
        </w:tc>
      </w:tr>
      <w:tr>
        <w:trPr>
          <w:trHeight w:val="158"/>
        </w:trPr>
        <w:tc>
          <w:tcPr>
            <w:tcW w:w="1480" w:type="dxa"/>
            <w:vAlign w:val="bottom"/>
          </w:tcPr>
          <w:p>
            <w:pPr>
              <w:spacing w:after="0" w:line="158" w:lineRule="exact"/>
              <w:rPr>
                <w:sz w:val="20"/>
                <w:szCs w:val="20"/>
                <w:color w:val="auto"/>
              </w:rPr>
            </w:pPr>
            <w:r>
              <w:rPr>
                <w:rFonts w:ascii="Arial" w:cs="Arial" w:eastAsia="Arial" w:hAnsi="Arial"/>
                <w:sz w:val="14"/>
                <w:szCs w:val="14"/>
                <w:color w:val="auto"/>
              </w:rPr>
              <w:t>Expected volatility</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54.14%</w:t>
            </w:r>
          </w:p>
        </w:tc>
        <w:tc>
          <w:tcPr>
            <w:tcW w:w="88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 56.84%</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54.70%</w:t>
            </w:r>
          </w:p>
        </w:tc>
        <w:tc>
          <w:tcPr>
            <w:tcW w:w="900" w:type="dxa"/>
            <w:vAlign w:val="bottom"/>
            <w:gridSpan w:val="2"/>
          </w:tcPr>
          <w:p>
            <w:pPr>
              <w:ind w:left="20"/>
              <w:spacing w:after="0" w:line="158" w:lineRule="exact"/>
              <w:rPr>
                <w:sz w:val="20"/>
                <w:szCs w:val="20"/>
                <w:color w:val="auto"/>
              </w:rPr>
            </w:pPr>
            <w:r>
              <w:rPr>
                <w:rFonts w:ascii="Arial" w:cs="Arial" w:eastAsia="Arial" w:hAnsi="Arial"/>
                <w:sz w:val="14"/>
                <w:szCs w:val="14"/>
                <w:color w:val="auto"/>
              </w:rPr>
              <w:t>– 58.59%</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55.69%</w:t>
            </w:r>
          </w:p>
        </w:tc>
        <w:tc>
          <w:tcPr>
            <w:tcW w:w="900" w:type="dxa"/>
            <w:vAlign w:val="bottom"/>
            <w:gridSpan w:val="2"/>
          </w:tcPr>
          <w:p>
            <w:pPr>
              <w:ind w:left="40"/>
              <w:spacing w:after="0" w:line="158" w:lineRule="exact"/>
              <w:rPr>
                <w:sz w:val="20"/>
                <w:szCs w:val="20"/>
                <w:color w:val="auto"/>
              </w:rPr>
            </w:pPr>
            <w:r>
              <w:rPr>
                <w:rFonts w:ascii="Arial" w:cs="Arial" w:eastAsia="Arial" w:hAnsi="Arial"/>
                <w:sz w:val="14"/>
                <w:szCs w:val="14"/>
                <w:color w:val="auto"/>
              </w:rPr>
              <w:t>– 59.23%</w:t>
            </w: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56.50%</w:t>
            </w:r>
          </w:p>
        </w:tc>
        <w:tc>
          <w:tcPr>
            <w:tcW w:w="840" w:type="dxa"/>
            <w:vAlign w:val="bottom"/>
          </w:tcPr>
          <w:p>
            <w:pPr>
              <w:ind w:left="20"/>
              <w:spacing w:after="0" w:line="158" w:lineRule="exact"/>
              <w:rPr>
                <w:sz w:val="20"/>
                <w:szCs w:val="20"/>
                <w:color w:val="auto"/>
              </w:rPr>
            </w:pPr>
            <w:r>
              <w:rPr>
                <w:rFonts w:ascii="Arial" w:cs="Arial" w:eastAsia="Arial" w:hAnsi="Arial"/>
                <w:sz w:val="14"/>
                <w:szCs w:val="14"/>
                <w:color w:val="auto"/>
              </w:rPr>
              <w:t>– 58.91%</w:t>
            </w:r>
          </w:p>
        </w:tc>
        <w:tc>
          <w:tcPr>
            <w:tcW w:w="720" w:type="dxa"/>
            <w:vAlign w:val="bottom"/>
          </w:tcPr>
          <w:p>
            <w:pPr>
              <w:jc w:val="right"/>
              <w:spacing w:after="0" w:line="158" w:lineRule="exact"/>
              <w:rPr>
                <w:sz w:val="20"/>
                <w:szCs w:val="20"/>
                <w:color w:val="auto"/>
              </w:rPr>
            </w:pPr>
            <w:r>
              <w:rPr>
                <w:rFonts w:ascii="Arial" w:cs="Arial" w:eastAsia="Arial" w:hAnsi="Arial"/>
                <w:sz w:val="14"/>
                <w:szCs w:val="14"/>
                <w:color w:val="auto"/>
              </w:rPr>
              <w:t>53.23%</w:t>
            </w:r>
          </w:p>
        </w:tc>
        <w:tc>
          <w:tcPr>
            <w:tcW w:w="800" w:type="dxa"/>
            <w:vAlign w:val="bottom"/>
          </w:tcPr>
          <w:p>
            <w:pPr>
              <w:ind w:left="20"/>
              <w:spacing w:after="0" w:line="158" w:lineRule="exact"/>
              <w:rPr>
                <w:sz w:val="20"/>
                <w:szCs w:val="20"/>
                <w:color w:val="auto"/>
              </w:rPr>
            </w:pPr>
            <w:r>
              <w:rPr>
                <w:rFonts w:ascii="Arial" w:cs="Arial" w:eastAsia="Arial" w:hAnsi="Arial"/>
                <w:sz w:val="14"/>
                <w:szCs w:val="14"/>
                <w:color w:val="auto"/>
              </w:rPr>
              <w:t>– 72.02%</w:t>
            </w:r>
          </w:p>
        </w:tc>
      </w:tr>
      <w:tr>
        <w:trPr>
          <w:trHeight w:val="158"/>
        </w:trPr>
        <w:tc>
          <w:tcPr>
            <w:tcW w:w="1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Risk-free rate</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1.80%</w:t>
            </w:r>
          </w:p>
        </w:tc>
        <w:tc>
          <w:tcPr>
            <w:tcW w:w="88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 2.38%</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2.16%</w:t>
            </w:r>
          </w:p>
        </w:tc>
        <w:tc>
          <w:tcPr>
            <w:tcW w:w="90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4"/>
                <w:szCs w:val="14"/>
                <w:color w:val="auto"/>
              </w:rPr>
              <w:t>– 3.13%</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1.67%</w:t>
            </w:r>
          </w:p>
        </w:tc>
        <w:tc>
          <w:tcPr>
            <w:tcW w:w="900" w:type="dxa"/>
            <w:vAlign w:val="bottom"/>
            <w:gridSpan w:val="2"/>
            <w:shd w:val="clear" w:color="auto" w:fill="CCEEFF"/>
          </w:tcPr>
          <w:p>
            <w:pPr>
              <w:ind w:left="40"/>
              <w:spacing w:after="0" w:line="158" w:lineRule="exact"/>
              <w:rPr>
                <w:sz w:val="20"/>
                <w:szCs w:val="20"/>
                <w:color w:val="auto"/>
              </w:rPr>
            </w:pPr>
            <w:r>
              <w:rPr>
                <w:rFonts w:ascii="Arial" w:cs="Arial" w:eastAsia="Arial" w:hAnsi="Arial"/>
                <w:sz w:val="14"/>
                <w:szCs w:val="14"/>
                <w:color w:val="auto"/>
              </w:rPr>
              <w:t>– 2.40%</w:t>
            </w: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1.78%</w:t>
            </w:r>
          </w:p>
        </w:tc>
        <w:tc>
          <w:tcPr>
            <w:tcW w:w="8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 2.40%</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0.33%</w:t>
            </w:r>
          </w:p>
        </w:tc>
        <w:tc>
          <w:tcPr>
            <w:tcW w:w="8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 1.50%</w:t>
            </w:r>
          </w:p>
        </w:tc>
      </w:tr>
      <w:tr>
        <w:trPr>
          <w:trHeight w:val="164"/>
        </w:trPr>
        <w:tc>
          <w:tcPr>
            <w:tcW w:w="1480" w:type="dxa"/>
            <w:vAlign w:val="bottom"/>
          </w:tcPr>
          <w:p>
            <w:pPr>
              <w:spacing w:after="0"/>
              <w:rPr>
                <w:sz w:val="20"/>
                <w:szCs w:val="20"/>
                <w:color w:val="auto"/>
              </w:rPr>
            </w:pPr>
            <w:r>
              <w:rPr>
                <w:rFonts w:ascii="Arial" w:cs="Arial" w:eastAsia="Arial" w:hAnsi="Arial"/>
                <w:sz w:val="14"/>
                <w:szCs w:val="14"/>
                <w:color w:val="auto"/>
              </w:rPr>
              <w:t>Dividend yield</w:t>
            </w:r>
          </w:p>
        </w:tc>
        <w:tc>
          <w:tcPr>
            <w:tcW w:w="66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4"/>
                <w:szCs w:val="14"/>
                <w:color w:val="auto"/>
              </w:rPr>
            </w:pPr>
          </w:p>
        </w:tc>
        <w:tc>
          <w:tcPr>
            <w:tcW w:w="800" w:type="dxa"/>
            <w:vAlign w:val="bottom"/>
          </w:tcPr>
          <w:p>
            <w:pPr>
              <w:jc w:val="right"/>
              <w:ind w:right="472"/>
              <w:spacing w:after="0"/>
              <w:rPr>
                <w:sz w:val="20"/>
                <w:szCs w:val="20"/>
                <w:color w:val="auto"/>
              </w:rPr>
            </w:pPr>
            <w:r>
              <w:rPr>
                <w:rFonts w:ascii="Arial" w:cs="Arial" w:eastAsia="Arial" w:hAnsi="Arial"/>
                <w:sz w:val="14"/>
                <w:szCs w:val="14"/>
                <w:color w:val="auto"/>
                <w:w w:val="90"/>
              </w:rPr>
              <w:t>—%</w:t>
            </w:r>
          </w:p>
        </w:tc>
      </w:tr>
    </w:tbl>
    <w:p>
      <w:pPr>
        <w:spacing w:after="0" w:line="117"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F-58</w:t>
      </w:r>
    </w:p>
    <w:p>
      <w:pPr>
        <w:sectPr>
          <w:pgSz w:w="11900" w:h="16838" w:orient="portrait"/>
          <w:cols w:equalWidth="0" w:num="1">
            <w:col w:w="10220"/>
          </w:cols>
          <w:pgMar w:left="320" w:top="407" w:right="1359" w:bottom="1440" w:gutter="0" w:footer="0" w:header="0"/>
        </w:sectPr>
      </w:pPr>
    </w:p>
    <w:bookmarkStart w:id="293" w:name="page294"/>
    <w:bookmarkEnd w:id="29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0" w:firstLine="460"/>
        <w:spacing w:after="0" w:line="245" w:lineRule="auto"/>
        <w:rPr>
          <w:sz w:val="20"/>
          <w:szCs w:val="20"/>
          <w:color w:val="auto"/>
        </w:rPr>
      </w:pPr>
      <w:r>
        <w:rPr>
          <w:rFonts w:ascii="Arial" w:cs="Arial" w:eastAsia="Arial" w:hAnsi="Arial"/>
          <w:sz w:val="15"/>
          <w:szCs w:val="15"/>
          <w:color w:val="auto"/>
        </w:rPr>
        <w:t>The Company recorded stock-based compensation in the following expense categories in its consolidated statements of operations and comprehensive income (loss) for employees and non-employees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jc w:val="center"/>
              <w:ind w:right="40"/>
              <w:spacing w:after="0"/>
              <w:rPr>
                <w:sz w:val="20"/>
                <w:szCs w:val="20"/>
                <w:color w:val="auto"/>
              </w:rPr>
            </w:pPr>
            <w:r>
              <w:rPr>
                <w:rFonts w:ascii="Arial" w:cs="Arial" w:eastAsia="Arial" w:hAnsi="Arial"/>
                <w:sz w:val="12"/>
                <w:szCs w:val="12"/>
                <w:b w:val="1"/>
                <w:bCs w:val="1"/>
                <w:color w:val="auto"/>
              </w:rPr>
              <w:t>Nine months ended</w:t>
            </w:r>
          </w:p>
        </w:tc>
      </w:tr>
      <w:tr>
        <w:trPr>
          <w:trHeight w:val="145"/>
        </w:trPr>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9"/>
          </w:tcPr>
          <w:p>
            <w:pPr>
              <w:jc w:val="right"/>
              <w:ind w:right="380"/>
              <w:spacing w:after="0"/>
              <w:rPr>
                <w:sz w:val="20"/>
                <w:szCs w:val="20"/>
                <w:color w:val="auto"/>
              </w:rPr>
            </w:pPr>
            <w:r>
              <w:rPr>
                <w:rFonts w:ascii="Arial" w:cs="Arial" w:eastAsia="Arial" w:hAnsi="Arial"/>
                <w:sz w:val="12"/>
                <w:szCs w:val="12"/>
                <w:b w:val="1"/>
                <w:bCs w:val="1"/>
                <w:color w:val="auto"/>
              </w:rPr>
              <w:t>Year ended December 31,</w:t>
            </w:r>
          </w:p>
        </w:tc>
        <w:tc>
          <w:tcPr>
            <w:tcW w:w="80" w:type="dxa"/>
            <w:vAlign w:val="bottom"/>
          </w:tcPr>
          <w:p>
            <w:pPr>
              <w:spacing w:after="0"/>
              <w:rPr>
                <w:sz w:val="12"/>
                <w:szCs w:val="12"/>
                <w:color w:val="auto"/>
              </w:rPr>
            </w:pPr>
          </w:p>
        </w:tc>
        <w:tc>
          <w:tcPr>
            <w:tcW w:w="116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9"/>
              </w:rPr>
              <w:t>September 30,</w:t>
            </w:r>
          </w:p>
        </w:tc>
      </w:tr>
      <w:tr>
        <w:trPr>
          <w:trHeight w:val="126"/>
        </w:trPr>
        <w:tc>
          <w:tcPr>
            <w:tcW w:w="59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5"/>
              <w:spacing w:after="0" w:line="126" w:lineRule="exact"/>
              <w:rPr>
                <w:sz w:val="20"/>
                <w:szCs w:val="20"/>
                <w:color w:val="auto"/>
              </w:rPr>
            </w:pPr>
            <w:r>
              <w:rPr>
                <w:rFonts w:ascii="Arial" w:cs="Arial" w:eastAsia="Arial" w:hAnsi="Arial"/>
                <w:sz w:val="12"/>
                <w:szCs w:val="12"/>
                <w:b w:val="1"/>
                <w:bCs w:val="1"/>
                <w:color w:val="auto"/>
                <w:w w:val="97"/>
              </w:rPr>
              <w:t>2017</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97"/>
              </w:rPr>
              <w:t>2018</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89"/>
              </w:rPr>
              <w:t>2019</w:t>
            </w:r>
          </w:p>
        </w:tc>
        <w:tc>
          <w:tcPr>
            <w:tcW w:w="2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jc w:val="right"/>
              <w:ind w:right="35"/>
              <w:spacing w:after="0" w:line="126" w:lineRule="exact"/>
              <w:rPr>
                <w:sz w:val="20"/>
                <w:szCs w:val="20"/>
                <w:color w:val="auto"/>
              </w:rPr>
            </w:pPr>
            <w:r>
              <w:rPr>
                <w:rFonts w:ascii="Arial" w:cs="Arial" w:eastAsia="Arial" w:hAnsi="Arial"/>
                <w:sz w:val="12"/>
                <w:szCs w:val="12"/>
                <w:b w:val="1"/>
                <w:bCs w:val="1"/>
                <w:color w:val="auto"/>
                <w:w w:val="97"/>
              </w:rPr>
              <w:t>2019</w:t>
            </w:r>
          </w:p>
        </w:tc>
        <w:tc>
          <w:tcPr>
            <w:tcW w:w="2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54"/>
              <w:spacing w:after="0" w:line="126" w:lineRule="exact"/>
              <w:rPr>
                <w:sz w:val="20"/>
                <w:szCs w:val="20"/>
                <w:color w:val="auto"/>
              </w:rPr>
            </w:pPr>
            <w:r>
              <w:rPr>
                <w:rFonts w:ascii="Arial" w:cs="Arial" w:eastAsia="Arial" w:hAnsi="Arial"/>
                <w:sz w:val="12"/>
                <w:szCs w:val="12"/>
                <w:b w:val="1"/>
                <w:bCs w:val="1"/>
                <w:color w:val="auto"/>
              </w:rPr>
              <w:t>2020</w:t>
            </w:r>
          </w:p>
        </w:tc>
        <w:tc>
          <w:tcPr>
            <w:tcW w:w="40" w:type="dxa"/>
            <w:vAlign w:val="bottom"/>
          </w:tcPr>
          <w:p>
            <w:pPr>
              <w:spacing w:after="0"/>
              <w:rPr>
                <w:sz w:val="10"/>
                <w:szCs w:val="10"/>
                <w:color w:val="auto"/>
              </w:rPr>
            </w:pPr>
          </w:p>
        </w:tc>
      </w:tr>
      <w:tr>
        <w:trPr>
          <w:trHeight w:val="126"/>
        </w:trPr>
        <w:tc>
          <w:tcPr>
            <w:tcW w:w="5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4"/>
          </w:tcPr>
          <w:p>
            <w:pPr>
              <w:jc w:val="center"/>
              <w:ind w:right="3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5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Sales and marketing</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32</w:t>
            </w:r>
          </w:p>
        </w:tc>
        <w:tc>
          <w:tcPr>
            <w:tcW w:w="18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183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278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1,136</w:t>
            </w:r>
          </w:p>
        </w:tc>
      </w:tr>
      <w:tr>
        <w:trPr>
          <w:trHeight w:val="158"/>
        </w:trPr>
        <w:tc>
          <w:tcPr>
            <w:tcW w:w="5980" w:type="dxa"/>
            <w:vAlign w:val="bottom"/>
          </w:tcPr>
          <w:p>
            <w:pPr>
              <w:spacing w:after="0" w:line="158" w:lineRule="exact"/>
              <w:rPr>
                <w:sz w:val="20"/>
                <w:szCs w:val="20"/>
                <w:color w:val="auto"/>
              </w:rPr>
            </w:pPr>
            <w:r>
              <w:rPr>
                <w:rFonts w:ascii="Arial" w:cs="Arial" w:eastAsia="Arial" w:hAnsi="Arial"/>
                <w:sz w:val="14"/>
                <w:szCs w:val="14"/>
                <w:color w:val="auto"/>
              </w:rPr>
              <w:t>Customer operations</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line="158" w:lineRule="exact"/>
              <w:rPr>
                <w:sz w:val="20"/>
                <w:szCs w:val="20"/>
                <w:color w:val="auto"/>
              </w:rPr>
            </w:pPr>
            <w:r>
              <w:rPr>
                <w:rFonts w:ascii="Arial" w:cs="Arial" w:eastAsia="Arial" w:hAnsi="Arial"/>
                <w:sz w:val="14"/>
                <w:szCs w:val="14"/>
                <w:color w:val="auto"/>
              </w:rPr>
              <w:t>124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178</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433</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625</w:t>
            </w:r>
          </w:p>
        </w:tc>
      </w:tr>
      <w:tr>
        <w:trPr>
          <w:trHeight w:val="158"/>
        </w:trPr>
        <w:tc>
          <w:tcPr>
            <w:tcW w:w="59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Engineering and product development</w:t>
            </w: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20"/>
              <w:spacing w:after="0" w:line="158" w:lineRule="exact"/>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753</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w w:val="91"/>
              </w:rPr>
              <w:t>1,803</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3,181</w:t>
            </w:r>
          </w:p>
        </w:tc>
      </w:tr>
      <w:tr>
        <w:trPr>
          <w:trHeight w:val="158"/>
        </w:trPr>
        <w:tc>
          <w:tcPr>
            <w:tcW w:w="5980" w:type="dxa"/>
            <w:vAlign w:val="bottom"/>
          </w:tcPr>
          <w:p>
            <w:pPr>
              <w:spacing w:after="0" w:line="158" w:lineRule="exact"/>
              <w:rPr>
                <w:sz w:val="20"/>
                <w:szCs w:val="20"/>
                <w:color w:val="auto"/>
              </w:rPr>
            </w:pPr>
            <w:r>
              <w:rPr>
                <w:rFonts w:ascii="Arial" w:cs="Arial" w:eastAsia="Arial" w:hAnsi="Arial"/>
                <w:sz w:val="14"/>
                <w:szCs w:val="14"/>
                <w:color w:val="auto"/>
              </w:rPr>
              <w:t>General, administrative, and other</w:t>
            </w: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560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8" w:lineRule="exact"/>
              <w:rPr>
                <w:sz w:val="20"/>
                <w:szCs w:val="20"/>
                <w:color w:val="auto"/>
              </w:rPr>
            </w:pPr>
            <w:r>
              <w:rPr>
                <w:rFonts w:ascii="Arial" w:cs="Arial" w:eastAsia="Arial" w:hAnsi="Arial"/>
                <w:sz w:val="14"/>
                <w:szCs w:val="14"/>
                <w:color w:val="auto"/>
              </w:rPr>
              <w:t>931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w w:val="91"/>
              </w:rPr>
              <w:t>1,292</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863</w:t>
            </w:r>
          </w:p>
        </w:tc>
        <w:tc>
          <w:tcPr>
            <w:tcW w:w="10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2,160</w:t>
            </w:r>
          </w:p>
        </w:tc>
      </w:tr>
      <w:tr>
        <w:trPr>
          <w:trHeight w:val="23"/>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598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1,290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3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6"/>
              </w:rPr>
              <w:t>2,045</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u w:val="single" w:color="auto"/>
                <w:color w:val="auto"/>
                <w:w w:val="76"/>
              </w:rPr>
              <w:t>$</w:t>
            </w:r>
          </w:p>
        </w:tc>
        <w:tc>
          <w:tcPr>
            <w:tcW w:w="58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w w:val="91"/>
              </w:rPr>
              <w:t>3,806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2,204</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7,102</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6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12. Leases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Company’s operating leases are primarily for its corporate headquarters in San Mateo, California and Columbus, Ohio. Both operating leases include early termination options, and one of the leases includes renewal options for two successive five-year periods. The exercise of these options was not recognized as part of the ROU assets and lease liabilities, as the Company did not conclude, at the commencement date of the leases, that the exercise of renewal options or termination options was reasonably certain. In connection with one of the leases, a letter of credit was issued on behalf of the Company for the benefit of the landlord in the amount of $2.0 million. The letter of credit is secured by a certificate of deposit which is included in restricted cash on the consolidated balance sheet. In connection with the Columbus lease, the Company is entitled to receive tenant improvement allowances of up to $0.7 million.</w:t>
      </w:r>
    </w:p>
    <w:p>
      <w:pPr>
        <w:spacing w:after="0" w:line="171"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As of December 31, 2019, future minimum noncancelable lease payments are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3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Operating</w:t>
            </w:r>
          </w:p>
        </w:tc>
      </w:tr>
      <w:tr>
        <w:trPr>
          <w:trHeight w:val="145"/>
        </w:trPr>
        <w:tc>
          <w:tcPr>
            <w:tcW w:w="53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Year ending December 31,</w:t>
            </w:r>
          </w:p>
        </w:tc>
        <w:tc>
          <w:tcPr>
            <w:tcW w:w="3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3"/>
              <w:spacing w:after="0"/>
              <w:rPr>
                <w:sz w:val="20"/>
                <w:szCs w:val="20"/>
                <w:color w:val="auto"/>
              </w:rPr>
            </w:pPr>
            <w:r>
              <w:rPr>
                <w:rFonts w:ascii="Arial" w:cs="Arial" w:eastAsia="Arial" w:hAnsi="Arial"/>
                <w:sz w:val="12"/>
                <w:szCs w:val="12"/>
                <w:b w:val="1"/>
                <w:bCs w:val="1"/>
                <w:color w:val="auto"/>
                <w:w w:val="93"/>
              </w:rPr>
              <w:t>Leases</w:t>
            </w:r>
          </w:p>
        </w:tc>
        <w:tc>
          <w:tcPr>
            <w:tcW w:w="80" w:type="dxa"/>
            <w:vAlign w:val="bottom"/>
            <w:tcBorders>
              <w:bottom w:val="single" w:sz="8" w:color="CCEEFF"/>
            </w:tcBorders>
          </w:tcPr>
          <w:p>
            <w:pPr>
              <w:spacing w:after="0"/>
              <w:rPr>
                <w:sz w:val="12"/>
                <w:szCs w:val="12"/>
                <w:color w:val="auto"/>
              </w:rPr>
            </w:pPr>
          </w:p>
        </w:tc>
      </w:tr>
      <w:tr>
        <w:trPr>
          <w:trHeight w:val="149"/>
        </w:trPr>
        <w:tc>
          <w:tcPr>
            <w:tcW w:w="532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2020</w:t>
            </w:r>
          </w:p>
        </w:tc>
        <w:tc>
          <w:tcPr>
            <w:tcW w:w="3300" w:type="dxa"/>
            <w:vAlign w:val="bottom"/>
            <w:gridSpan w:val="2"/>
            <w:shd w:val="clear" w:color="auto" w:fill="CCEEFF"/>
          </w:tcPr>
          <w:p>
            <w:pPr>
              <w:ind w:left="3220"/>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4,117</w:t>
            </w: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2021</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4,236</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2022</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4,357</w:t>
            </w: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2023</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4,483</w:t>
            </w: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2024</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1,476</w:t>
            </w:r>
          </w:p>
        </w:tc>
      </w:tr>
      <w:tr>
        <w:trPr>
          <w:trHeight w:val="160"/>
        </w:trPr>
        <w:tc>
          <w:tcPr>
            <w:tcW w:w="5320" w:type="dxa"/>
            <w:vAlign w:val="bottom"/>
          </w:tcPr>
          <w:p>
            <w:pPr>
              <w:spacing w:after="0" w:line="158" w:lineRule="exact"/>
              <w:rPr>
                <w:sz w:val="20"/>
                <w:szCs w:val="20"/>
                <w:color w:val="auto"/>
              </w:rPr>
            </w:pPr>
            <w:r>
              <w:rPr>
                <w:rFonts w:ascii="Arial" w:cs="Arial" w:eastAsia="Arial" w:hAnsi="Arial"/>
                <w:sz w:val="14"/>
                <w:szCs w:val="14"/>
                <w:color w:val="auto"/>
              </w:rPr>
              <w:t>Thereafter</w:t>
            </w:r>
          </w:p>
        </w:tc>
        <w:tc>
          <w:tcPr>
            <w:tcW w:w="3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897</w:t>
            </w:r>
          </w:p>
        </w:tc>
        <w:tc>
          <w:tcPr>
            <w:tcW w:w="80" w:type="dxa"/>
            <w:vAlign w:val="bottom"/>
          </w:tcPr>
          <w:p>
            <w:pPr>
              <w:spacing w:after="0"/>
              <w:rPr>
                <w:sz w:val="13"/>
                <w:szCs w:val="13"/>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undiscounted lease payments</w:t>
            </w:r>
          </w:p>
        </w:tc>
        <w:tc>
          <w:tcPr>
            <w:tcW w:w="3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19,566</w:t>
            </w:r>
          </w:p>
        </w:tc>
        <w:tc>
          <w:tcPr>
            <w:tcW w:w="80" w:type="dxa"/>
            <w:vAlign w:val="bottom"/>
            <w:shd w:val="clear" w:color="auto" w:fill="CCEEFF"/>
          </w:tcPr>
          <w:p>
            <w:pPr>
              <w:spacing w:after="0"/>
              <w:rPr>
                <w:sz w:val="13"/>
                <w:szCs w:val="13"/>
                <w:color w:val="auto"/>
              </w:rPr>
            </w:pPr>
          </w:p>
        </w:tc>
      </w:tr>
      <w:tr>
        <w:trPr>
          <w:trHeight w:val="158"/>
        </w:trPr>
        <w:tc>
          <w:tcPr>
            <w:tcW w:w="5320" w:type="dxa"/>
            <w:vAlign w:val="bottom"/>
          </w:tcPr>
          <w:p>
            <w:pPr>
              <w:spacing w:after="0" w:line="158" w:lineRule="exact"/>
              <w:rPr>
                <w:sz w:val="20"/>
                <w:szCs w:val="20"/>
                <w:color w:val="auto"/>
              </w:rPr>
            </w:pPr>
            <w:r>
              <w:rPr>
                <w:rFonts w:ascii="Arial" w:cs="Arial" w:eastAsia="Arial" w:hAnsi="Arial"/>
                <w:sz w:val="14"/>
                <w:szCs w:val="14"/>
                <w:color w:val="auto"/>
              </w:rPr>
              <w:t>Less: Present value adjustment</w:t>
            </w:r>
          </w:p>
        </w:tc>
        <w:tc>
          <w:tcPr>
            <w:tcW w:w="3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(2,505)</w:t>
            </w:r>
          </w:p>
        </w:tc>
      </w:tr>
      <w:tr>
        <w:trPr>
          <w:trHeight w:val="23"/>
        </w:trPr>
        <w:tc>
          <w:tcPr>
            <w:tcW w:w="5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53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Operating lease liabilities</w:t>
            </w:r>
          </w:p>
        </w:tc>
        <w:tc>
          <w:tcPr>
            <w:tcW w:w="3300" w:type="dxa"/>
            <w:vAlign w:val="bottom"/>
            <w:gridSpan w:val="2"/>
            <w:shd w:val="clear" w:color="auto" w:fill="CCEEFF"/>
          </w:tcPr>
          <w:p>
            <w:pPr>
              <w:ind w:left="3220"/>
              <w:spacing w:after="0" w:line="158"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17,061</w:t>
            </w:r>
          </w:p>
        </w:tc>
        <w:tc>
          <w:tcPr>
            <w:tcW w:w="80" w:type="dxa"/>
            <w:vAlign w:val="bottom"/>
            <w:shd w:val="clear" w:color="auto" w:fill="CCEEFF"/>
          </w:tcPr>
          <w:p>
            <w:pPr>
              <w:spacing w:after="0"/>
              <w:rPr>
                <w:sz w:val="13"/>
                <w:szCs w:val="13"/>
                <w:color w:val="auto"/>
              </w:rPr>
            </w:pPr>
          </w:p>
        </w:tc>
      </w:tr>
      <w:tr>
        <w:trPr>
          <w:trHeight w:val="20"/>
        </w:trPr>
        <w:tc>
          <w:tcPr>
            <w:tcW w:w="5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60" w:firstLine="460"/>
        <w:spacing w:after="0" w:line="245" w:lineRule="auto"/>
        <w:rPr>
          <w:sz w:val="20"/>
          <w:szCs w:val="20"/>
          <w:color w:val="auto"/>
        </w:rPr>
      </w:pPr>
      <w:r>
        <w:rPr>
          <w:rFonts w:ascii="Arial" w:cs="Arial" w:eastAsia="Arial" w:hAnsi="Arial"/>
          <w:sz w:val="15"/>
          <w:szCs w:val="15"/>
          <w:color w:val="auto"/>
        </w:rPr>
        <w:t>As of December 31, 2019 and September 30, 2020 (unaudited), the Company does not have any operating leases which are yet to commence.</w:t>
      </w:r>
    </w:p>
    <w:p>
      <w:pPr>
        <w:spacing w:after="0" w:line="166" w:lineRule="exact"/>
        <w:rPr>
          <w:sz w:val="20"/>
          <w:szCs w:val="20"/>
          <w:color w:val="auto"/>
        </w:rPr>
      </w:pPr>
    </w:p>
    <w:p>
      <w:pPr>
        <w:ind w:left="1020" w:right="160" w:firstLine="460"/>
        <w:spacing w:after="0"/>
        <w:rPr>
          <w:sz w:val="20"/>
          <w:szCs w:val="20"/>
          <w:color w:val="auto"/>
        </w:rPr>
      </w:pPr>
      <w:r>
        <w:rPr>
          <w:rFonts w:ascii="Arial" w:cs="Arial" w:eastAsia="Arial" w:hAnsi="Arial"/>
          <w:sz w:val="15"/>
          <w:szCs w:val="15"/>
          <w:color w:val="auto"/>
        </w:rPr>
        <w:t>As of December 31, 2018, the Company leased one office space under a noncancelable operating lease agreement. The agreement had an expiration date in October 2019. This lease was also in place as of December 31, 2017, in addition to another leasing contract that expired during 2018.</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0220"/>
          </w:cols>
          <w:pgMar w:left="320" w:top="407" w:right="1359" w:bottom="1440" w:gutter="0" w:footer="0" w:header="0"/>
        </w:sectPr>
      </w:pPr>
    </w:p>
    <w:bookmarkStart w:id="294" w:name="page295"/>
    <w:bookmarkEnd w:id="29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120"/>
        <w:spacing w:after="0" w:line="238" w:lineRule="auto"/>
        <w:rPr>
          <w:sz w:val="20"/>
          <w:szCs w:val="20"/>
          <w:color w:val="auto"/>
        </w:rPr>
      </w:pPr>
      <w:r>
        <w:rPr>
          <w:rFonts w:ascii="Arial" w:cs="Arial" w:eastAsia="Arial" w:hAnsi="Arial"/>
          <w:sz w:val="15"/>
          <w:szCs w:val="15"/>
          <w:color w:val="auto"/>
        </w:rPr>
        <w:t>This space was sub-leased to a third party through the expiration date of the related contract. The sub-leasing agreement included terms that are not materially different from the original lease and did not relieve the Company from its obligations to the lessor. As of December 31, 2018, the remaining future minimum lease payments related to this lease were $1.0 million through its expiration date in October 2019.</w:t>
      </w:r>
    </w:p>
    <w:p>
      <w:pPr>
        <w:spacing w:after="0" w:line="172"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Rent expense for the Company’s operating leases was $1.3 million, $1.3 million, $3.4 million, $2.2 million, and $3.9 million for the years ended December 31, 2017, 2018 and 2019, and nine months ended September 30, 2019 (unaudited) and 2020 (unaudited), respectively. Variable lease payments such as common area maintenance and parking fees were included in operating expenses and were $1.0 million for both the year ended December 31, 2019 and nine months ended September 30, 2020 (unaudited). Rent expense for the Company’s short-term leases was immaterial for the year ended December 31, 2019 and September 30, 2020 (unaudited).</w:t>
      </w:r>
    </w:p>
    <w:p>
      <w:pPr>
        <w:spacing w:after="0" w:line="170"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Supplemental cash flow and noncash information related to the Company’s operating leases was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9"/>
              </w:rPr>
              <w:t>Nine Months</w:t>
            </w:r>
          </w:p>
        </w:tc>
      </w:tr>
      <w:tr>
        <w:trPr>
          <w:trHeight w:val="135"/>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gridSpan w:val="3"/>
          </w:tcPr>
          <w:p>
            <w:pPr>
              <w:ind w:left="80"/>
              <w:spacing w:after="0" w:line="136" w:lineRule="exact"/>
              <w:rPr>
                <w:sz w:val="20"/>
                <w:szCs w:val="20"/>
                <w:color w:val="auto"/>
              </w:rPr>
            </w:pPr>
            <w:r>
              <w:rPr>
                <w:rFonts w:ascii="Arial" w:cs="Arial" w:eastAsia="Arial" w:hAnsi="Arial"/>
                <w:sz w:val="12"/>
                <w:szCs w:val="12"/>
                <w:b w:val="1"/>
                <w:bCs w:val="1"/>
                <w:color w:val="auto"/>
              </w:rPr>
              <w:t>Year Ended</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8"/>
              </w:rPr>
              <w:t>Ended</w:t>
            </w:r>
          </w:p>
        </w:tc>
      </w:tr>
      <w:tr>
        <w:trPr>
          <w:trHeight w:val="135"/>
        </w:trPr>
        <w:tc>
          <w:tcPr>
            <w:tcW w:w="5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20" w:type="dxa"/>
            <w:vAlign w:val="bottom"/>
            <w:gridSpan w:val="3"/>
          </w:tcPr>
          <w:p>
            <w:pPr>
              <w:spacing w:after="0" w:line="136" w:lineRule="exact"/>
              <w:rPr>
                <w:sz w:val="20"/>
                <w:szCs w:val="20"/>
                <w:color w:val="auto"/>
              </w:rPr>
            </w:pPr>
            <w:r>
              <w:rPr>
                <w:rFonts w:ascii="Arial" w:cs="Arial" w:eastAsia="Arial" w:hAnsi="Arial"/>
                <w:sz w:val="12"/>
                <w:szCs w:val="12"/>
                <w:b w:val="1"/>
                <w:bCs w:val="1"/>
                <w:color w:val="auto"/>
              </w:rPr>
              <w:t>December 31,</w:t>
            </w:r>
          </w:p>
        </w:tc>
        <w:tc>
          <w:tcPr>
            <w:tcW w:w="320" w:type="dxa"/>
            <w:vAlign w:val="bottom"/>
          </w:tcPr>
          <w:p>
            <w:pPr>
              <w:spacing w:after="0"/>
              <w:rPr>
                <w:sz w:val="11"/>
                <w:szCs w:val="11"/>
                <w:color w:val="auto"/>
              </w:rPr>
            </w:pPr>
          </w:p>
        </w:tc>
        <w:tc>
          <w:tcPr>
            <w:tcW w:w="860" w:type="dxa"/>
            <w:vAlign w:val="bottom"/>
            <w:gridSpan w:val="3"/>
          </w:tcPr>
          <w:p>
            <w:pPr>
              <w:jc w:val="center"/>
              <w:ind w:right="4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5"/>
        </w:trPr>
        <w:tc>
          <w:tcPr>
            <w:tcW w:w="55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2"/>
                <w:szCs w:val="12"/>
                <w:b w:val="1"/>
                <w:bCs w:val="1"/>
                <w:color w:val="auto"/>
              </w:rPr>
              <w:t>2019</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97"/>
              </w:rPr>
              <w:t>2020</w:t>
            </w:r>
          </w:p>
        </w:tc>
        <w:tc>
          <w:tcPr>
            <w:tcW w:w="40" w:type="dxa"/>
            <w:vAlign w:val="bottom"/>
          </w:tcPr>
          <w:p>
            <w:pPr>
              <w:spacing w:after="0"/>
              <w:rPr>
                <w:sz w:val="12"/>
                <w:szCs w:val="12"/>
                <w:color w:val="auto"/>
              </w:rPr>
            </w:pPr>
          </w:p>
        </w:tc>
      </w:tr>
      <w:tr>
        <w:trPr>
          <w:trHeight w:val="126"/>
        </w:trPr>
        <w:tc>
          <w:tcPr>
            <w:tcW w:w="55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center"/>
              <w:ind w:right="17"/>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40" w:type="dxa"/>
            <w:vAlign w:val="bottom"/>
          </w:tcPr>
          <w:p>
            <w:pPr>
              <w:spacing w:after="0"/>
              <w:rPr>
                <w:sz w:val="10"/>
                <w:szCs w:val="10"/>
                <w:color w:val="auto"/>
              </w:rPr>
            </w:pPr>
          </w:p>
        </w:tc>
      </w:tr>
      <w:tr>
        <w:trPr>
          <w:trHeight w:val="158"/>
        </w:trPr>
        <w:tc>
          <w:tcPr>
            <w:tcW w:w="55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Cash flows from operating activities</w:t>
            </w: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54"/>
        </w:trPr>
        <w:tc>
          <w:tcPr>
            <w:tcW w:w="5560" w:type="dxa"/>
            <w:vAlign w:val="bottom"/>
          </w:tcPr>
          <w:p>
            <w:pPr>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15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rPr>
              <w:t>1,905</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3,101</w:t>
            </w:r>
          </w:p>
        </w:tc>
      </w:tr>
      <w:tr>
        <w:trPr>
          <w:trHeight w:val="84"/>
        </w:trPr>
        <w:tc>
          <w:tcPr>
            <w:tcW w:w="5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58"/>
        </w:trPr>
        <w:tc>
          <w:tcPr>
            <w:tcW w:w="55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Right-of-use assets obtained in exchange for lease obligations</w:t>
            </w:r>
          </w:p>
        </w:tc>
        <w:tc>
          <w:tcPr>
            <w:tcW w:w="13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254"/>
        </w:trPr>
        <w:tc>
          <w:tcPr>
            <w:tcW w:w="5560" w:type="dxa"/>
            <w:vAlign w:val="bottom"/>
          </w:tcPr>
          <w:p>
            <w:pPr>
              <w:spacing w:after="0"/>
              <w:rPr>
                <w:sz w:val="20"/>
                <w:szCs w:val="20"/>
                <w:color w:val="auto"/>
              </w:rPr>
            </w:pPr>
            <w:r>
              <w:rPr>
                <w:rFonts w:ascii="Arial" w:cs="Arial" w:eastAsia="Arial" w:hAnsi="Arial"/>
                <w:sz w:val="14"/>
                <w:szCs w:val="14"/>
                <w:color w:val="auto"/>
              </w:rPr>
              <w:t>Total right-of-use assets capitalized</w:t>
            </w:r>
          </w:p>
        </w:tc>
        <w:tc>
          <w:tcPr>
            <w:tcW w:w="1520" w:type="dxa"/>
            <w:vAlign w:val="bottom"/>
            <w:gridSpan w:val="2"/>
          </w:tcPr>
          <w:p>
            <w:pPr>
              <w:ind w:left="13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16,190</w:t>
            </w:r>
          </w:p>
        </w:tc>
        <w:tc>
          <w:tcPr>
            <w:tcW w:w="320" w:type="dxa"/>
            <w:vAlign w:val="bottom"/>
          </w:tcPr>
          <w:p>
            <w:pPr>
              <w:spacing w:after="0"/>
              <w:rPr>
                <w:sz w:val="22"/>
                <w:szCs w:val="22"/>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187</w:t>
            </w: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summarizes additional information related to the Company’s operating leases: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9"/>
              </w:rPr>
              <w:t>Nine months</w:t>
            </w:r>
          </w:p>
        </w:tc>
      </w:tr>
      <w:tr>
        <w:trPr>
          <w:trHeight w:val="135"/>
        </w:trPr>
        <w:tc>
          <w:tcPr>
            <w:tcW w:w="6480" w:type="dxa"/>
            <w:vAlign w:val="bottom"/>
          </w:tcPr>
          <w:p>
            <w:pPr>
              <w:spacing w:after="0"/>
              <w:rPr>
                <w:sz w:val="11"/>
                <w:szCs w:val="11"/>
                <w:color w:val="auto"/>
              </w:rPr>
            </w:pPr>
          </w:p>
        </w:tc>
        <w:tc>
          <w:tcPr>
            <w:tcW w:w="1720" w:type="dxa"/>
            <w:vAlign w:val="bottom"/>
            <w:gridSpan w:val="2"/>
          </w:tcPr>
          <w:p>
            <w:pPr>
              <w:jc w:val="center"/>
              <w:ind w:right="920"/>
              <w:spacing w:after="0" w:line="136" w:lineRule="exact"/>
              <w:rPr>
                <w:sz w:val="20"/>
                <w:szCs w:val="20"/>
                <w:color w:val="auto"/>
              </w:rPr>
            </w:pPr>
            <w:r>
              <w:rPr>
                <w:rFonts w:ascii="Arial" w:cs="Arial" w:eastAsia="Arial" w:hAnsi="Arial"/>
                <w:sz w:val="12"/>
                <w:szCs w:val="12"/>
                <w:b w:val="1"/>
                <w:bCs w:val="1"/>
                <w:color w:val="auto"/>
                <w:w w:val="98"/>
              </w:rPr>
              <w:t>Year ended</w:t>
            </w:r>
          </w:p>
        </w:tc>
        <w:tc>
          <w:tcPr>
            <w:tcW w:w="10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rPr>
              <w:t>ended</w:t>
            </w:r>
          </w:p>
        </w:tc>
      </w:tr>
      <w:tr>
        <w:trPr>
          <w:trHeight w:val="135"/>
        </w:trPr>
        <w:tc>
          <w:tcPr>
            <w:tcW w:w="6480" w:type="dxa"/>
            <w:vAlign w:val="bottom"/>
          </w:tcPr>
          <w:p>
            <w:pPr>
              <w:spacing w:after="0"/>
              <w:rPr>
                <w:sz w:val="11"/>
                <w:szCs w:val="11"/>
                <w:color w:val="auto"/>
              </w:rPr>
            </w:pPr>
          </w:p>
        </w:tc>
        <w:tc>
          <w:tcPr>
            <w:tcW w:w="1720" w:type="dxa"/>
            <w:vAlign w:val="bottom"/>
            <w:gridSpan w:val="2"/>
          </w:tcPr>
          <w:p>
            <w:pPr>
              <w:jc w:val="center"/>
              <w:ind w:right="920"/>
              <w:spacing w:after="0" w:line="136" w:lineRule="exact"/>
              <w:rPr>
                <w:sz w:val="20"/>
                <w:szCs w:val="20"/>
                <w:color w:val="auto"/>
              </w:rPr>
            </w:pPr>
            <w:r>
              <w:rPr>
                <w:rFonts w:ascii="Arial" w:cs="Arial" w:eastAsia="Arial" w:hAnsi="Arial"/>
                <w:sz w:val="12"/>
                <w:szCs w:val="12"/>
                <w:b w:val="1"/>
                <w:bCs w:val="1"/>
                <w:color w:val="auto"/>
              </w:rPr>
              <w:t>December 31,</w:t>
            </w:r>
          </w:p>
        </w:tc>
        <w:tc>
          <w:tcPr>
            <w:tcW w:w="10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9"/>
              </w:rPr>
              <w:t>September 30,</w:t>
            </w:r>
          </w:p>
        </w:tc>
      </w:tr>
      <w:tr>
        <w:trPr>
          <w:trHeight w:val="145"/>
        </w:trPr>
        <w:tc>
          <w:tcPr>
            <w:tcW w:w="6480" w:type="dxa"/>
            <w:vAlign w:val="bottom"/>
          </w:tcPr>
          <w:p>
            <w:pPr>
              <w:spacing w:after="0"/>
              <w:rPr>
                <w:sz w:val="12"/>
                <w:szCs w:val="1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2019</w:t>
            </w:r>
          </w:p>
        </w:tc>
        <w:tc>
          <w:tcPr>
            <w:tcW w:w="92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r>
      <w:tr>
        <w:trPr>
          <w:trHeight w:val="126"/>
        </w:trPr>
        <w:tc>
          <w:tcPr>
            <w:tcW w:w="6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Arial" w:cs="Arial" w:eastAsia="Arial" w:hAnsi="Arial"/>
                <w:sz w:val="12"/>
                <w:szCs w:val="12"/>
                <w:b w:val="1"/>
                <w:bCs w:val="1"/>
                <w:i w:val="1"/>
                <w:iCs w:val="1"/>
                <w:color w:val="auto"/>
                <w:w w:val="97"/>
              </w:rPr>
              <w:t>(unaudited)</w:t>
            </w:r>
          </w:p>
        </w:tc>
        <w:tc>
          <w:tcPr>
            <w:tcW w:w="160" w:type="dxa"/>
            <w:vAlign w:val="bottom"/>
          </w:tcPr>
          <w:p>
            <w:pPr>
              <w:spacing w:after="0"/>
              <w:rPr>
                <w:sz w:val="10"/>
                <w:szCs w:val="10"/>
                <w:color w:val="auto"/>
              </w:rPr>
            </w:pPr>
          </w:p>
        </w:tc>
      </w:tr>
      <w:tr>
        <w:trPr>
          <w:trHeight w:val="158"/>
        </w:trPr>
        <w:tc>
          <w:tcPr>
            <w:tcW w:w="648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Weighted average remaining lease term (in years)</w:t>
            </w:r>
          </w:p>
        </w:tc>
        <w:tc>
          <w:tcPr>
            <w:tcW w:w="1720" w:type="dxa"/>
            <w:vAlign w:val="bottom"/>
            <w:gridSpan w:val="2"/>
            <w:shd w:val="clear" w:color="auto" w:fill="CCEEFF"/>
          </w:tcPr>
          <w:p>
            <w:pPr>
              <w:jc w:val="right"/>
              <w:ind w:right="920"/>
              <w:spacing w:after="0" w:line="158" w:lineRule="exact"/>
              <w:rPr>
                <w:sz w:val="20"/>
                <w:szCs w:val="20"/>
                <w:color w:val="auto"/>
              </w:rPr>
            </w:pPr>
            <w:r>
              <w:rPr>
                <w:rFonts w:ascii="Arial" w:cs="Arial" w:eastAsia="Arial" w:hAnsi="Arial"/>
                <w:sz w:val="14"/>
                <w:szCs w:val="14"/>
                <w:color w:val="auto"/>
              </w:rPr>
              <w:t>4.6</w:t>
            </w:r>
          </w:p>
        </w:tc>
        <w:tc>
          <w:tcPr>
            <w:tcW w:w="100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4.9</w:t>
            </w:r>
          </w:p>
        </w:tc>
      </w:tr>
      <w:tr>
        <w:trPr>
          <w:trHeight w:val="164"/>
        </w:trPr>
        <w:tc>
          <w:tcPr>
            <w:tcW w:w="6480" w:type="dxa"/>
            <w:vAlign w:val="bottom"/>
          </w:tcPr>
          <w:p>
            <w:pPr>
              <w:spacing w:after="0"/>
              <w:rPr>
                <w:sz w:val="20"/>
                <w:szCs w:val="20"/>
                <w:color w:val="auto"/>
              </w:rPr>
            </w:pPr>
            <w:r>
              <w:rPr>
                <w:rFonts w:ascii="Arial" w:cs="Arial" w:eastAsia="Arial" w:hAnsi="Arial"/>
                <w:sz w:val="14"/>
                <w:szCs w:val="14"/>
                <w:color w:val="auto"/>
              </w:rPr>
              <w:t>Weighted average discount rate</w:t>
            </w:r>
          </w:p>
        </w:tc>
        <w:tc>
          <w:tcPr>
            <w:tcW w:w="1720" w:type="dxa"/>
            <w:vAlign w:val="bottom"/>
            <w:gridSpan w:val="2"/>
          </w:tcPr>
          <w:p>
            <w:pPr>
              <w:jc w:val="right"/>
              <w:ind w:right="800"/>
              <w:spacing w:after="0"/>
              <w:rPr>
                <w:sz w:val="20"/>
                <w:szCs w:val="20"/>
                <w:color w:val="auto"/>
              </w:rPr>
            </w:pPr>
            <w:r>
              <w:rPr>
                <w:rFonts w:ascii="Arial" w:cs="Arial" w:eastAsia="Arial" w:hAnsi="Arial"/>
                <w:sz w:val="14"/>
                <w:szCs w:val="14"/>
                <w:color w:val="auto"/>
              </w:rPr>
              <w:t>5.84%</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color w:val="auto"/>
              </w:rPr>
              <w:t>5.84%</w:t>
            </w:r>
          </w:p>
        </w:tc>
      </w:tr>
    </w:tbl>
    <w:p>
      <w:pPr>
        <w:spacing w:after="0" w:line="246" w:lineRule="exact"/>
        <w:rPr>
          <w:sz w:val="20"/>
          <w:szCs w:val="20"/>
          <w:color w:val="auto"/>
        </w:rPr>
      </w:pPr>
    </w:p>
    <w:p>
      <w:pPr>
        <w:ind w:left="1480" w:right="6560" w:hanging="453"/>
        <w:spacing w:after="0" w:line="373" w:lineRule="auto"/>
        <w:tabs>
          <w:tab w:leader="none" w:pos="1271" w:val="left"/>
        </w:tabs>
        <w:numPr>
          <w:ilvl w:val="0"/>
          <w:numId w:val="15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Commitments and Contingencies Loan Purchase Obligation</w:t>
      </w:r>
    </w:p>
    <w:p>
      <w:pPr>
        <w:ind w:left="1020" w:right="280" w:firstLine="460"/>
        <w:spacing w:after="0" w:line="238" w:lineRule="auto"/>
        <w:rPr>
          <w:sz w:val="20"/>
          <w:szCs w:val="20"/>
          <w:color w:val="auto"/>
        </w:rPr>
      </w:pPr>
      <w:r>
        <w:rPr>
          <w:rFonts w:ascii="Arial" w:cs="Arial" w:eastAsia="Arial" w:hAnsi="Arial"/>
          <w:sz w:val="15"/>
          <w:szCs w:val="15"/>
          <w:color w:val="auto"/>
        </w:rPr>
        <w:t>Under the Company’s loan agreements with certain bank partners, the banks retain ownership of the loans facilitated through Upstart’s platform for three days or longer (the “holding period”) after origination, as required under the respective agreements. The Company has committed to purchase the loans at the unpaid principal balance, plus accrued interest, at the conclusion of the required holding period. As of December 31, 2018 and 2019, and September 30, 2020 (unaudited), respectively, the total loan purchase commitment included the outstanding principal balance of $14.7 million, $51.9 million, and $59.3 million plus accrued interest.</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F-60</w:t>
      </w:r>
    </w:p>
    <w:p>
      <w:pPr>
        <w:sectPr>
          <w:pgSz w:w="11900" w:h="16838" w:orient="portrait"/>
          <w:cols w:equalWidth="0" w:num="1">
            <w:col w:w="10220"/>
          </w:cols>
          <w:pgMar w:left="320" w:top="407" w:right="1359" w:bottom="1440" w:gutter="0" w:footer="0" w:header="0"/>
        </w:sectPr>
      </w:pPr>
    </w:p>
    <w:bookmarkStart w:id="295" w:name="page296"/>
    <w:bookmarkEnd w:id="295"/>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3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Repurchase and Indemnification Contingency</w:t>
      </w:r>
    </w:p>
    <w:p>
      <w:pPr>
        <w:spacing w:after="0" w:line="105"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Under the terms of the loan purchase and loan servicing agreements between the Company and institutional investors, as well as in agreements with investors in securitizations where the Company is not the sponsor,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172"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The maximum potential amount of future payments associated under this obligation is the outstanding balances of the loans sold to the investors, which at December 31, 2018 and 2019, and September 30, 2020 (unaudited), is $1,818.4 million, $3,498.1 million and $4,411.7 million, respectively. The Company recognizes a liability for the repurchase obligation based on historical experience when the loans are issued. The liability is subsequently remeasured when a related loss is probable and can be reasonably estimated. Actual payments made relating to the Company’s repurchase and indemnification obligations were immaterial historically. The Company has recorded contingent liabilities as of December 31, 2018 and 2019 of immaterial amounts to cover estimated future obligations related to these contractual terms. These amounts are included in other liabilities on the Company’s consolidated balance sheets.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Legal</w:t>
      </w:r>
    </w:p>
    <w:p>
      <w:pPr>
        <w:spacing w:after="0" w:line="105" w:lineRule="exact"/>
        <w:rPr>
          <w:sz w:val="20"/>
          <w:szCs w:val="20"/>
          <w:color w:val="auto"/>
        </w:rPr>
      </w:pPr>
    </w:p>
    <w:p>
      <w:pPr>
        <w:ind w:left="1020" w:right="80" w:firstLine="460"/>
        <w:spacing w:after="0" w:line="238" w:lineRule="auto"/>
        <w:rPr>
          <w:sz w:val="20"/>
          <w:szCs w:val="20"/>
          <w:color w:val="auto"/>
        </w:rPr>
      </w:pPr>
      <w:r>
        <w:rPr>
          <w:rFonts w:ascii="Arial" w:cs="Arial" w:eastAsia="Arial" w:hAnsi="Arial"/>
          <w:sz w:val="15"/>
          <w:szCs w:val="15"/>
          <w:color w:val="auto"/>
        </w:rPr>
        <w:t>From time to time the Company is subject to, and it is presently involved in, litigation and other legal proceedings. 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As of December 31, 2018 and 2019, and September 30, 2020 (unaudited), no loss contingency has been recorded in connection with legal proceedings arising in the ordinary course of business.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Contingencies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Although the Company cannot reasonably determine the outcome of any litigation or tax matters, it does not believe there are currently any such actions that, if resolved unfavorably, would have a material impact on its consolidated financial statements.</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Indemnifications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F-61</w:t>
      </w:r>
    </w:p>
    <w:p>
      <w:pPr>
        <w:sectPr>
          <w:pgSz w:w="11900" w:h="16838" w:orient="portrait"/>
          <w:cols w:equalWidth="0" w:num="1">
            <w:col w:w="10220"/>
          </w:cols>
          <w:pgMar w:left="320" w:top="407" w:right="1359" w:bottom="1440" w:gutter="0" w:footer="0" w:header="0"/>
        </w:sectPr>
      </w:pPr>
    </w:p>
    <w:bookmarkStart w:id="296" w:name="page297"/>
    <w:bookmarkEnd w:id="296"/>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660"/>
        <w:spacing w:after="0" w:line="245" w:lineRule="auto"/>
        <w:rPr>
          <w:sz w:val="20"/>
          <w:szCs w:val="20"/>
          <w:color w:val="auto"/>
        </w:rPr>
      </w:pPr>
      <w:r>
        <w:rPr>
          <w:rFonts w:ascii="Arial" w:cs="Arial" w:eastAsia="Arial" w:hAnsi="Arial"/>
          <w:sz w:val="15"/>
          <w:szCs w:val="15"/>
          <w:color w:val="auto"/>
        </w:rPr>
        <w:t>thus, there are no claims that the Company is aware of that could have a material effect on the Company’s consolidated financial statements.</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14. Income Taxes</w:t>
      </w:r>
    </w:p>
    <w:p>
      <w:pPr>
        <w:spacing w:after="0" w:line="105"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Income tax expense included in the statements of income and comprehensive income consisted of the following (in thousands):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6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Year Ended December 31,</w:t>
            </w:r>
          </w:p>
        </w:tc>
        <w:tc>
          <w:tcPr>
            <w:tcW w:w="4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68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89"/>
              </w:rPr>
              <w:t>2017</w:t>
            </w:r>
          </w:p>
        </w:tc>
        <w:tc>
          <w:tcPr>
            <w:tcW w:w="4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line="126" w:lineRule="exact"/>
              <w:rPr>
                <w:sz w:val="20"/>
                <w:szCs w:val="20"/>
                <w:color w:val="auto"/>
              </w:rPr>
            </w:pPr>
            <w:r>
              <w:rPr>
                <w:rFonts w:ascii="Arial" w:cs="Arial" w:eastAsia="Arial" w:hAnsi="Arial"/>
                <w:sz w:val="12"/>
                <w:szCs w:val="12"/>
                <w:b w:val="1"/>
                <w:bCs w:val="1"/>
                <w:color w:val="auto"/>
              </w:rPr>
              <w:t>2018</w:t>
            </w:r>
          </w:p>
        </w:tc>
        <w:tc>
          <w:tcPr>
            <w:tcW w:w="4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Borders>
              <w:bottom w:val="single" w:sz="8" w:color="CCEEFF"/>
            </w:tcBorders>
          </w:tcPr>
          <w:p>
            <w:pPr>
              <w:spacing w:after="0"/>
              <w:rPr>
                <w:sz w:val="10"/>
                <w:szCs w:val="10"/>
                <w:color w:val="auto"/>
              </w:rPr>
            </w:pPr>
          </w:p>
        </w:tc>
      </w:tr>
      <w:tr>
        <w:trPr>
          <w:trHeight w:val="138"/>
        </w:trPr>
        <w:tc>
          <w:tcPr>
            <w:tcW w:w="68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8"/>
        </w:trPr>
        <w:tc>
          <w:tcPr>
            <w:tcW w:w="6820" w:type="dxa"/>
            <w:vAlign w:val="bottom"/>
          </w:tcPr>
          <w:p>
            <w:pPr>
              <w:ind w:left="280"/>
              <w:spacing w:after="0" w:line="158" w:lineRule="exact"/>
              <w:rPr>
                <w:sz w:val="20"/>
                <w:szCs w:val="20"/>
                <w:color w:val="auto"/>
              </w:rPr>
            </w:pPr>
            <w:r>
              <w:rPr>
                <w:rFonts w:ascii="Arial" w:cs="Arial" w:eastAsia="Arial" w:hAnsi="Arial"/>
                <w:sz w:val="14"/>
                <w:szCs w:val="14"/>
                <w:color w:val="auto"/>
              </w:rPr>
              <w:t>Federal</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820" w:type="dxa"/>
            <w:vAlign w:val="bottom"/>
          </w:tcPr>
          <w:p>
            <w:pPr>
              <w:spacing w:after="0"/>
              <w:rPr>
                <w:sz w:val="20"/>
                <w:szCs w:val="20"/>
                <w:color w:val="auto"/>
              </w:rPr>
            </w:pPr>
            <w:r>
              <w:rPr>
                <w:rFonts w:ascii="Arial" w:cs="Arial" w:eastAsia="Arial" w:hAnsi="Arial"/>
                <w:sz w:val="14"/>
                <w:szCs w:val="14"/>
                <w:color w:val="auto"/>
              </w:rPr>
              <w:t>Total current tax expense</w:t>
            </w:r>
          </w:p>
        </w:tc>
        <w:tc>
          <w:tcPr>
            <w:tcW w:w="100" w:type="dxa"/>
            <w:vAlign w:val="bottom"/>
          </w:tcPr>
          <w:p>
            <w:pPr>
              <w:spacing w:after="0"/>
              <w:rPr>
                <w:sz w:val="13"/>
                <w:szCs w:val="13"/>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8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74</w:t>
            </w:r>
          </w:p>
        </w:tc>
      </w:tr>
      <w:tr>
        <w:trPr>
          <w:trHeight w:val="23"/>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tcPr>
          <w:p>
            <w:pPr>
              <w:ind w:left="280"/>
              <w:spacing w:after="0" w:line="158" w:lineRule="exact"/>
              <w:rPr>
                <w:sz w:val="20"/>
                <w:szCs w:val="20"/>
                <w:color w:val="auto"/>
              </w:rPr>
            </w:pPr>
            <w:r>
              <w:rPr>
                <w:rFonts w:ascii="Arial" w:cs="Arial" w:eastAsia="Arial" w:hAnsi="Arial"/>
                <w:sz w:val="14"/>
                <w:szCs w:val="14"/>
                <w:color w:val="auto"/>
              </w:rPr>
              <w:t>Federal</w:t>
            </w:r>
          </w:p>
        </w:tc>
        <w:tc>
          <w:tcPr>
            <w:tcW w:w="100" w:type="dxa"/>
            <w:vAlign w:val="bottom"/>
          </w:tcPr>
          <w:p>
            <w:pPr>
              <w:spacing w:after="0"/>
              <w:rPr>
                <w:sz w:val="13"/>
                <w:szCs w:val="13"/>
                <w:color w:val="auto"/>
              </w:rPr>
            </w:pPr>
          </w:p>
        </w:tc>
        <w:tc>
          <w:tcPr>
            <w:tcW w:w="780" w:type="dxa"/>
            <w:vAlign w:val="bottom"/>
            <w:gridSpan w:val="2"/>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20" w:type="dxa"/>
            <w:vAlign w:val="bottom"/>
            <w:gridSpan w:val="2"/>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158"/>
        </w:trPr>
        <w:tc>
          <w:tcPr>
            <w:tcW w:w="682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State</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w:t>
            </w: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6820" w:type="dxa"/>
            <w:vAlign w:val="bottom"/>
          </w:tcPr>
          <w:p>
            <w:pPr>
              <w:spacing w:after="0"/>
              <w:rPr>
                <w:sz w:val="20"/>
                <w:szCs w:val="20"/>
                <w:color w:val="auto"/>
              </w:rPr>
            </w:pPr>
            <w:r>
              <w:rPr>
                <w:rFonts w:ascii="Arial" w:cs="Arial" w:eastAsia="Arial" w:hAnsi="Arial"/>
                <w:sz w:val="14"/>
                <w:szCs w:val="14"/>
                <w:color w:val="auto"/>
              </w:rPr>
              <w:t>Total deferred tax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r>
      <w:tr>
        <w:trPr>
          <w:trHeight w:val="23"/>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8"/>
        </w:trPr>
        <w:tc>
          <w:tcPr>
            <w:tcW w:w="682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provision for income taxes</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20"/>
              <w:spacing w:after="0" w:line="158"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ind w:left="280"/>
              <w:spacing w:after="0" w:line="15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rPr>
              <w:t>74</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firstLine="460"/>
        <w:spacing w:after="0" w:line="245" w:lineRule="auto"/>
        <w:rPr>
          <w:sz w:val="20"/>
          <w:szCs w:val="20"/>
          <w:color w:val="auto"/>
        </w:rPr>
      </w:pPr>
      <w:r>
        <w:rPr>
          <w:rFonts w:ascii="Arial" w:cs="Arial" w:eastAsia="Arial" w:hAnsi="Arial"/>
          <w:sz w:val="15"/>
          <w:szCs w:val="15"/>
          <w:color w:val="auto"/>
        </w:rPr>
        <w:t>Income tax expense differed from the amount computed by applying the federal statutory income tax rate of 21% to pretax loss as a result of the following (in thousands):</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9"/>
          </w:tcPr>
          <w:p>
            <w:pPr>
              <w:jc w:val="right"/>
              <w:ind w:right="340"/>
              <w:spacing w:after="0"/>
              <w:rPr>
                <w:sz w:val="20"/>
                <w:szCs w:val="20"/>
                <w:color w:val="auto"/>
              </w:rPr>
            </w:pPr>
            <w:r>
              <w:rPr>
                <w:rFonts w:ascii="Arial" w:cs="Arial" w:eastAsia="Arial" w:hAnsi="Arial"/>
                <w:sz w:val="12"/>
                <w:szCs w:val="12"/>
                <w:b w:val="1"/>
                <w:bCs w:val="1"/>
                <w:color w:val="auto"/>
              </w:rPr>
              <w:t>Year Ended December 31,</w:t>
            </w:r>
          </w:p>
        </w:tc>
      </w:tr>
      <w:tr>
        <w:trPr>
          <w:trHeight w:val="145"/>
        </w:trPr>
        <w:tc>
          <w:tcPr>
            <w:tcW w:w="7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w w:val="97"/>
              </w:rPr>
              <w:t>2019</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26"/>
        </w:trPr>
        <w:tc>
          <w:tcPr>
            <w:tcW w:w="71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97"/>
              </w:rPr>
              <w:t>2017</w:t>
            </w: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4"/>
              <w:spacing w:after="0" w:line="126" w:lineRule="exact"/>
              <w:rPr>
                <w:sz w:val="20"/>
                <w:szCs w:val="20"/>
                <w:color w:val="auto"/>
              </w:rPr>
            </w:pPr>
            <w:r>
              <w:rPr>
                <w:rFonts w:ascii="Arial" w:cs="Arial" w:eastAsia="Arial" w:hAnsi="Arial"/>
                <w:sz w:val="12"/>
                <w:szCs w:val="12"/>
                <w:b w:val="1"/>
                <w:bCs w:val="1"/>
                <w:color w:val="auto"/>
                <w:w w:val="97"/>
              </w:rPr>
              <w:t>2018</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w w:val="97"/>
              </w:rPr>
              <w:t>2019</w:t>
            </w:r>
          </w:p>
        </w:tc>
        <w:tc>
          <w:tcPr>
            <w:tcW w:w="80" w:type="dxa"/>
            <w:vAlign w:val="bottom"/>
            <w:tcBorders>
              <w:bottom w:val="single" w:sz="8" w:color="CCEEFF"/>
            </w:tcBorders>
          </w:tcPr>
          <w:p>
            <w:pPr>
              <w:spacing w:after="0"/>
              <w:rPr>
                <w:sz w:val="10"/>
                <w:szCs w:val="10"/>
                <w:color w:val="auto"/>
              </w:rPr>
            </w:pPr>
          </w:p>
        </w:tc>
      </w:tr>
      <w:tr>
        <w:trPr>
          <w:trHeight w:val="149"/>
        </w:trPr>
        <w:tc>
          <w:tcPr>
            <w:tcW w:w="71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Federal tax at statutory rate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(2,721)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(2,681)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(1,039)</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State income taxes, net of federal tax benefit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411</w:t>
            </w:r>
          </w:p>
        </w:tc>
        <w:tc>
          <w:tcPr>
            <w:tcW w:w="80" w:type="dxa"/>
            <w:vAlign w:val="bottom"/>
            <w:shd w:val="clear" w:color="auto" w:fill="CCEEFF"/>
          </w:tcPr>
          <w:p>
            <w:pPr>
              <w:spacing w:after="0"/>
              <w:rPr>
                <w:sz w:val="13"/>
                <w:szCs w:val="13"/>
                <w:color w:val="auto"/>
              </w:rPr>
            </w:pP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Fair value adjustment on preferred warrants</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345</w:t>
            </w:r>
          </w:p>
        </w:tc>
        <w:tc>
          <w:tcPr>
            <w:tcW w:w="80" w:type="dxa"/>
            <w:vAlign w:val="bottom"/>
          </w:tcPr>
          <w:p>
            <w:pPr>
              <w:spacing w:after="0"/>
              <w:rPr>
                <w:sz w:val="13"/>
                <w:szCs w:val="13"/>
                <w:color w:val="auto"/>
              </w:rPr>
            </w:pPr>
          </w:p>
        </w:tc>
        <w:tc>
          <w:tcPr>
            <w:tcW w:w="380" w:type="dxa"/>
            <w:vAlign w:val="bottom"/>
          </w:tcPr>
          <w:p>
            <w:pPr>
              <w:jc w:val="right"/>
              <w:spacing w:after="0" w:line="158" w:lineRule="exact"/>
              <w:rPr>
                <w:sz w:val="20"/>
                <w:szCs w:val="20"/>
                <w:color w:val="auto"/>
              </w:rPr>
            </w:pPr>
            <w:r>
              <w:rPr>
                <w:rFonts w:ascii="Arial" w:cs="Arial" w:eastAsia="Arial" w:hAnsi="Arial"/>
                <w:sz w:val="14"/>
                <w:szCs w:val="14"/>
                <w:color w:val="auto"/>
              </w:rPr>
              <w:t>320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(253)</w:t>
            </w: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Noncontrolling interests</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956</w:t>
            </w:r>
          </w:p>
        </w:tc>
        <w:tc>
          <w:tcPr>
            <w:tcW w:w="80" w:type="dxa"/>
            <w:vAlign w:val="bottom"/>
            <w:shd w:val="clear" w:color="auto" w:fill="CCEEFF"/>
          </w:tcPr>
          <w:p>
            <w:pPr>
              <w:spacing w:after="0"/>
              <w:rPr>
                <w:sz w:val="13"/>
                <w:szCs w:val="13"/>
                <w:color w:val="auto"/>
              </w:rPr>
            </w:pP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Research and development credit</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line="158" w:lineRule="exact"/>
              <w:rPr>
                <w:sz w:val="20"/>
                <w:szCs w:val="20"/>
                <w:color w:val="auto"/>
              </w:rPr>
            </w:pPr>
            <w:r>
              <w:rPr>
                <w:rFonts w:ascii="Arial" w:cs="Arial" w:eastAsia="Arial" w:hAnsi="Arial"/>
                <w:sz w:val="14"/>
                <w:szCs w:val="14"/>
                <w:color w:val="auto"/>
              </w:rPr>
              <w:t>(143)</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(300)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(372)</w:t>
            </w: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Tax Return to Tax Provision Adjustment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line="158" w:lineRule="exact"/>
              <w:rPr>
                <w:sz w:val="20"/>
                <w:szCs w:val="20"/>
                <w:color w:val="auto"/>
              </w:rPr>
            </w:pPr>
            <w:r>
              <w:rPr>
                <w:rFonts w:ascii="Arial" w:cs="Arial" w:eastAsia="Arial" w:hAnsi="Arial"/>
                <w:sz w:val="14"/>
                <w:szCs w:val="14"/>
                <w:color w:val="auto"/>
              </w:rPr>
              <w:t>(658)</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8" w:lineRule="exact"/>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1,028</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Federal revaluation of deferred tax due to tax reform</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7,070</w:t>
            </w:r>
          </w:p>
        </w:tc>
        <w:tc>
          <w:tcPr>
            <w:tcW w:w="80" w:type="dxa"/>
            <w:vAlign w:val="bottom"/>
          </w:tcPr>
          <w:p>
            <w:pPr>
              <w:spacing w:after="0"/>
              <w:rPr>
                <w:sz w:val="13"/>
                <w:szCs w:val="13"/>
                <w:color w:val="auto"/>
              </w:rPr>
            </w:pPr>
          </w:p>
        </w:tc>
        <w:tc>
          <w:tcPr>
            <w:tcW w:w="540" w:type="dxa"/>
            <w:vAlign w:val="bottom"/>
            <w:gridSpan w:val="2"/>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9"/>
        </w:trPr>
        <w:tc>
          <w:tcPr>
            <w:tcW w:w="7160" w:type="dxa"/>
            <w:vAlign w:val="bottom"/>
            <w:shd w:val="clear" w:color="auto" w:fill="CCEEFF"/>
          </w:tcPr>
          <w:p>
            <w:pPr>
              <w:spacing w:after="0"/>
              <w:rPr>
                <w:sz w:val="20"/>
                <w:szCs w:val="20"/>
                <w:color w:val="auto"/>
              </w:rPr>
            </w:pPr>
            <w:r>
              <w:rPr>
                <w:rFonts w:ascii="Arial" w:cs="Arial" w:eastAsia="Arial" w:hAnsi="Arial"/>
                <w:sz w:val="14"/>
                <w:szCs w:val="14"/>
                <w:color w:val="auto"/>
              </w:rPr>
              <w:t>Change in valuation allowance</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0"/>
              </w:rPr>
              <w:t>(4,117)</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(844)</w:t>
            </w:r>
          </w:p>
        </w:tc>
      </w:tr>
      <w:tr>
        <w:trPr>
          <w:trHeight w:val="158"/>
        </w:trPr>
        <w:tc>
          <w:tcPr>
            <w:tcW w:w="7160" w:type="dxa"/>
            <w:vAlign w:val="bottom"/>
          </w:tcPr>
          <w:p>
            <w:pPr>
              <w:spacing w:after="0" w:line="158"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66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54</w:t>
            </w:r>
          </w:p>
        </w:tc>
        <w:tc>
          <w:tcPr>
            <w:tcW w:w="80" w:type="dxa"/>
            <w:vAlign w:val="bottom"/>
          </w:tcPr>
          <w:p>
            <w:pPr>
              <w:spacing w:after="0"/>
              <w:rPr>
                <w:sz w:val="13"/>
                <w:szCs w:val="13"/>
                <w:color w:val="auto"/>
              </w:rPr>
            </w:pPr>
          </w:p>
        </w:tc>
        <w:tc>
          <w:tcPr>
            <w:tcW w:w="540" w:type="dxa"/>
            <w:vAlign w:val="bottom"/>
            <w:gridSpan w:val="2"/>
          </w:tcPr>
          <w:p>
            <w:pPr>
              <w:jc w:val="right"/>
              <w:ind w:right="100"/>
              <w:spacing w:after="0" w:line="158"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jc w:val="right"/>
              <w:spacing w:after="0" w:line="158"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3"/>
                <w:szCs w:val="13"/>
                <w:color w:val="auto"/>
              </w:rPr>
            </w:pPr>
          </w:p>
        </w:tc>
      </w:tr>
      <w:tr>
        <w:trPr>
          <w:trHeight w:val="23"/>
        </w:trPr>
        <w:tc>
          <w:tcPr>
            <w:tcW w:w="7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8"/>
        </w:trPr>
        <w:tc>
          <w:tcPr>
            <w:tcW w:w="71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Provision for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58"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r>
      <w:tr>
        <w:trPr>
          <w:trHeight w:val="20"/>
        </w:trPr>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F-62</w:t>
      </w:r>
    </w:p>
    <w:p>
      <w:pPr>
        <w:sectPr>
          <w:pgSz w:w="11900" w:h="16838" w:orient="portrait"/>
          <w:cols w:equalWidth="0" w:num="1">
            <w:col w:w="10220"/>
          </w:cols>
          <w:pgMar w:left="320" w:top="407" w:right="1359" w:bottom="1440" w:gutter="0" w:footer="0" w:header="0"/>
        </w:sectPr>
      </w:pPr>
    </w:p>
    <w:bookmarkStart w:id="297" w:name="page298"/>
    <w:bookmarkEnd w:id="297"/>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260" w:firstLine="460"/>
        <w:spacing w:after="0" w:line="245" w:lineRule="auto"/>
        <w:rPr>
          <w:sz w:val="20"/>
          <w:szCs w:val="20"/>
          <w:color w:val="auto"/>
        </w:rPr>
      </w:pPr>
      <w:r>
        <w:rPr>
          <w:rFonts w:ascii="Arial" w:cs="Arial" w:eastAsia="Arial" w:hAnsi="Arial"/>
          <w:sz w:val="15"/>
          <w:szCs w:val="15"/>
          <w:color w:val="auto"/>
        </w:rPr>
        <w:t>The tax effects of temporary differences that gave rise to significant portions of the Company’s deferred tax assets and liabilities related to the following (in thousands):</w:t>
      </w:r>
    </w:p>
    <w:p>
      <w:pPr>
        <w:spacing w:after="0" w:line="179"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7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2"/>
                <w:szCs w:val="12"/>
                <w:b w:val="1"/>
                <w:bCs w:val="1"/>
                <w:color w:val="auto"/>
              </w:rPr>
              <w:t>December 31,</w:t>
            </w:r>
          </w:p>
        </w:tc>
      </w:tr>
      <w:tr>
        <w:trPr>
          <w:trHeight w:val="126"/>
        </w:trPr>
        <w:tc>
          <w:tcPr>
            <w:tcW w:w="766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jc w:val="right"/>
              <w:ind w:right="53"/>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top w:val="single" w:sz="8" w:color="auto"/>
              <w:bottom w:val="single" w:sz="8" w:color="CCEEFF"/>
            </w:tcBorders>
          </w:tcPr>
          <w:p>
            <w:pPr>
              <w:spacing w:after="0"/>
              <w:rPr>
                <w:sz w:val="10"/>
                <w:szCs w:val="10"/>
                <w:color w:val="auto"/>
              </w:rPr>
            </w:pPr>
          </w:p>
        </w:tc>
        <w:tc>
          <w:tcPr>
            <w:tcW w:w="220" w:type="dxa"/>
            <w:vAlign w:val="bottom"/>
            <w:tcBorders>
              <w:top w:val="single" w:sz="8" w:color="auto"/>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ind w:right="73"/>
              <w:spacing w:after="0" w:line="126" w:lineRule="exact"/>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38"/>
        </w:trPr>
        <w:tc>
          <w:tcPr>
            <w:tcW w:w="7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Net operating loss carryforwards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23,768</w:t>
            </w:r>
          </w:p>
        </w:tc>
        <w:tc>
          <w:tcPr>
            <w:tcW w:w="220" w:type="dxa"/>
            <w:vAlign w:val="bottom"/>
          </w:tcPr>
          <w:p>
            <w:pPr>
              <w:spacing w:after="0"/>
              <w:rPr>
                <w:sz w:val="13"/>
                <w:szCs w:val="13"/>
                <w:color w:val="auto"/>
              </w:rPr>
            </w:pPr>
          </w:p>
        </w:tc>
        <w:tc>
          <w:tcPr>
            <w:tcW w:w="2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17,180</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Stock-based compensation</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772</w:t>
            </w: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1,151</w:t>
            </w: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Accruals and reserves</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585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313</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Operating lease liabilities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4,961</w:t>
            </w: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Research and development credits</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2,399</w:t>
            </w: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2,274</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Investment in partnerships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Amortization</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171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jc w:val="right"/>
              <w:spacing w:after="0" w:line="158" w:lineRule="exact"/>
              <w:rPr>
                <w:sz w:val="20"/>
                <w:szCs w:val="20"/>
                <w:color w:val="auto"/>
              </w:rPr>
            </w:pPr>
            <w:r>
              <w:rPr>
                <w:rFonts w:ascii="Arial" w:cs="Arial" w:eastAsia="Arial" w:hAnsi="Arial"/>
                <w:sz w:val="14"/>
                <w:szCs w:val="14"/>
                <w:color w:val="auto"/>
              </w:rPr>
              <w:t>145</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Servicing assets</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481</w:t>
            </w: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120</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Depreciation</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69"/>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4"/>
                <w:szCs w:val="14"/>
                <w:color w:val="auto"/>
              </w:rPr>
            </w:pPr>
          </w:p>
        </w:tc>
      </w:tr>
      <w:tr>
        <w:trPr>
          <w:trHeight w:val="172"/>
        </w:trPr>
        <w:tc>
          <w:tcPr>
            <w:tcW w:w="7660" w:type="dxa"/>
            <w:vAlign w:val="bottom"/>
          </w:tcPr>
          <w:p>
            <w:pPr>
              <w:spacing w:after="0"/>
              <w:rPr>
                <w:sz w:val="20"/>
                <w:szCs w:val="20"/>
                <w:color w:val="auto"/>
              </w:rPr>
            </w:pPr>
            <w:r>
              <w:rPr>
                <w:rFonts w:ascii="Arial" w:cs="Arial" w:eastAsia="Arial" w:hAnsi="Arial"/>
                <w:sz w:val="14"/>
                <w:szCs w:val="14"/>
                <w:color w:val="auto"/>
              </w:rPr>
              <w:t>Total deferred tax assets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28,253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26,947</w:t>
            </w:r>
          </w:p>
        </w:tc>
        <w:tc>
          <w:tcPr>
            <w:tcW w:w="80" w:type="dxa"/>
            <w:vAlign w:val="bottom"/>
          </w:tcPr>
          <w:p>
            <w:pPr>
              <w:spacing w:after="0"/>
              <w:rPr>
                <w:sz w:val="14"/>
                <w:szCs w:val="14"/>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Less: valuation allowance</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60"/>
              <w:spacing w:after="0" w:line="158" w:lineRule="exact"/>
              <w:rPr>
                <w:sz w:val="20"/>
                <w:szCs w:val="20"/>
                <w:color w:val="auto"/>
              </w:rPr>
            </w:pPr>
            <w:r>
              <w:rPr>
                <w:rFonts w:ascii="Arial" w:cs="Arial" w:eastAsia="Arial" w:hAnsi="Arial"/>
                <w:sz w:val="14"/>
                <w:szCs w:val="14"/>
                <w:color w:val="auto"/>
                <w:w w:val="95"/>
              </w:rPr>
              <w:t>(21,800)</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4"/>
                <w:szCs w:val="14"/>
                <w:color w:val="auto"/>
                <w:w w:val="95"/>
              </w:rPr>
              <w:t>(20,720)</w:t>
            </w:r>
          </w:p>
        </w:tc>
      </w:tr>
      <w:tr>
        <w:trPr>
          <w:trHeight w:val="20"/>
        </w:trPr>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7660" w:type="dxa"/>
            <w:vAlign w:val="bottom"/>
          </w:tcPr>
          <w:p>
            <w:pPr>
              <w:spacing w:after="0"/>
              <w:rPr>
                <w:sz w:val="20"/>
                <w:szCs w:val="20"/>
                <w:color w:val="auto"/>
              </w:rPr>
            </w:pPr>
            <w:r>
              <w:rPr>
                <w:rFonts w:ascii="Arial" w:cs="Arial" w:eastAsia="Arial" w:hAnsi="Arial"/>
                <w:sz w:val="14"/>
                <w:szCs w:val="14"/>
                <w:color w:val="auto"/>
              </w:rPr>
              <w:t>Deferred tax assets – net of valuation allowance</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6,453</w:t>
            </w:r>
          </w:p>
        </w:tc>
        <w:tc>
          <w:tcPr>
            <w:tcW w:w="2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6,227</w:t>
            </w: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Deferred tax liabilities:</w:t>
            </w: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Fair adjustment – residual certificates</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6,218</w:t>
            </w: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1,165</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Depreciation</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4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354</w:t>
            </w:r>
          </w:p>
        </w:tc>
        <w:tc>
          <w:tcPr>
            <w:tcW w:w="80" w:type="dxa"/>
            <w:vAlign w:val="bottom"/>
            <w:shd w:val="clear" w:color="auto" w:fill="CCEEFF"/>
          </w:tcPr>
          <w:p>
            <w:pPr>
              <w:spacing w:after="0"/>
              <w:rPr>
                <w:sz w:val="13"/>
                <w:szCs w:val="13"/>
                <w:color w:val="auto"/>
              </w:rPr>
            </w:pPr>
          </w:p>
        </w:tc>
      </w:tr>
      <w:tr>
        <w:trPr>
          <w:trHeight w:val="158"/>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Investment in partnerships</w:t>
            </w:r>
          </w:p>
        </w:tc>
        <w:tc>
          <w:tcPr>
            <w:tcW w:w="80" w:type="dxa"/>
            <w:vAlign w:val="bottom"/>
          </w:tcPr>
          <w:p>
            <w:pPr>
              <w:spacing w:after="0"/>
              <w:rPr>
                <w:sz w:val="13"/>
                <w:szCs w:val="13"/>
                <w:color w:val="auto"/>
              </w:rPr>
            </w:pPr>
          </w:p>
        </w:tc>
        <w:tc>
          <w:tcPr>
            <w:tcW w:w="460" w:type="dxa"/>
            <w:vAlign w:val="bottom"/>
          </w:tcPr>
          <w:p>
            <w:pPr>
              <w:jc w:val="right"/>
              <w:spacing w:after="0" w:line="158" w:lineRule="exact"/>
              <w:rPr>
                <w:sz w:val="20"/>
                <w:szCs w:val="20"/>
                <w:color w:val="auto"/>
              </w:rPr>
            </w:pPr>
            <w:r>
              <w:rPr>
                <w:rFonts w:ascii="Arial" w:cs="Arial" w:eastAsia="Arial" w:hAnsi="Arial"/>
                <w:sz w:val="14"/>
                <w:szCs w:val="14"/>
                <w:color w:val="auto"/>
              </w:rPr>
              <w:t>230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r>
      <w:tr>
        <w:trPr>
          <w:trHeight w:val="158"/>
        </w:trPr>
        <w:tc>
          <w:tcPr>
            <w:tcW w:w="76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Right of use asset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4,708</w:t>
            </w:r>
          </w:p>
        </w:tc>
      </w:tr>
      <w:tr>
        <w:trPr>
          <w:trHeight w:val="160"/>
        </w:trPr>
        <w:tc>
          <w:tcPr>
            <w:tcW w:w="7660" w:type="dxa"/>
            <w:vAlign w:val="bottom"/>
          </w:tcPr>
          <w:p>
            <w:pPr>
              <w:ind w:left="280"/>
              <w:spacing w:after="0" w:line="158" w:lineRule="exact"/>
              <w:rPr>
                <w:sz w:val="20"/>
                <w:szCs w:val="20"/>
                <w:color w:val="auto"/>
              </w:rPr>
            </w:pPr>
            <w:r>
              <w:rPr>
                <w:rFonts w:ascii="Arial" w:cs="Arial" w:eastAsia="Arial" w:hAnsi="Arial"/>
                <w:sz w:val="14"/>
                <w:szCs w:val="14"/>
                <w:color w:val="auto"/>
              </w:rPr>
              <w:t>Other</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r>
      <w:tr>
        <w:trPr>
          <w:trHeight w:val="158"/>
        </w:trPr>
        <w:tc>
          <w:tcPr>
            <w:tcW w:w="766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Total deferred tax liabilities</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line="158" w:lineRule="exact"/>
              <w:rPr>
                <w:sz w:val="20"/>
                <w:szCs w:val="20"/>
                <w:color w:val="auto"/>
              </w:rPr>
            </w:pPr>
            <w:r>
              <w:rPr>
                <w:rFonts w:ascii="Arial" w:cs="Arial" w:eastAsia="Arial" w:hAnsi="Arial"/>
                <w:sz w:val="14"/>
                <w:szCs w:val="14"/>
                <w:color w:val="auto"/>
              </w:rPr>
              <w:t>6,453</w:t>
            </w:r>
          </w:p>
        </w:tc>
        <w:tc>
          <w:tcPr>
            <w:tcW w:w="22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6,227</w:t>
            </w:r>
          </w:p>
        </w:tc>
      </w:tr>
      <w:tr>
        <w:trPr>
          <w:trHeight w:val="20"/>
        </w:trPr>
        <w:tc>
          <w:tcPr>
            <w:tcW w:w="7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7660" w:type="dxa"/>
            <w:vAlign w:val="bottom"/>
          </w:tcPr>
          <w:p>
            <w:pPr>
              <w:spacing w:after="0"/>
              <w:rPr>
                <w:sz w:val="20"/>
                <w:szCs w:val="20"/>
                <w:color w:val="auto"/>
              </w:rPr>
            </w:pPr>
            <w:r>
              <w:rPr>
                <w:rFonts w:ascii="Arial" w:cs="Arial" w:eastAsia="Arial" w:hAnsi="Arial"/>
                <w:sz w:val="14"/>
                <w:szCs w:val="14"/>
                <w:color w:val="auto"/>
              </w:rPr>
              <w:t>Net deferred tax assets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0"/>
        </w:trPr>
        <w:tc>
          <w:tcPr>
            <w:tcW w:w="7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left="1020" w:right="100" w:firstLine="460"/>
        <w:spacing w:after="0"/>
        <w:rPr>
          <w:sz w:val="20"/>
          <w:szCs w:val="20"/>
          <w:color w:val="auto"/>
        </w:rPr>
      </w:pPr>
      <w:r>
        <w:rPr>
          <w:rFonts w:ascii="Arial" w:cs="Arial" w:eastAsia="Arial" w:hAnsi="Arial"/>
          <w:sz w:val="15"/>
          <w:szCs w:val="15"/>
          <w:color w:val="auto"/>
        </w:rPr>
        <w:t>Management believes that, based on available evidence, both positive and negative, it is more likely than not that the deferred tax assets will not be utilized, and as such the Company maintains a full valuation allowance at December 31, 2019. The valuation allowance decreased by $1.1 million for the years ended December 31, 2018 and 2019, respectively, primarily as a result of current year activities.</w:t>
      </w:r>
    </w:p>
    <w:p>
      <w:pPr>
        <w:spacing w:after="0" w:line="170" w:lineRule="exact"/>
        <w:rPr>
          <w:sz w:val="20"/>
          <w:szCs w:val="20"/>
          <w:color w:val="auto"/>
        </w:rPr>
      </w:pPr>
    </w:p>
    <w:p>
      <w:pPr>
        <w:ind w:left="1020" w:right="20" w:firstLine="460"/>
        <w:spacing w:after="0" w:line="236" w:lineRule="auto"/>
        <w:rPr>
          <w:sz w:val="20"/>
          <w:szCs w:val="20"/>
          <w:color w:val="auto"/>
        </w:rPr>
      </w:pPr>
      <w:r>
        <w:rPr>
          <w:rFonts w:ascii="Arial" w:cs="Arial" w:eastAsia="Arial" w:hAnsi="Arial"/>
          <w:sz w:val="15"/>
          <w:szCs w:val="15"/>
          <w:color w:val="auto"/>
        </w:rPr>
        <w:t>As of December 31, 2019, the Company had approximately $61.3 million and $ 53.0 million of federal and state (post-apportioned) net operating losses, respectively, that will begin to expire in 2034. The Company also has federal and California research and development tax credits of approximately $2.0 million and $ 1.5 million, respectively. The federal research credits will begin to expire in 2032 and the California research credits have no expiration date. The Internal Revenue Code (“IRC”) limits the amount of net operating loss carryforwards that a company may use in a given year in the event of certain cumulative changes in ownership over a three-year period as described in Section 382 of the IRC. Utilization of net operating loss carryforwards and credits may be subject to a substantial annual limitation due to the ownership change limitations provided by the IRC, as amended, and similar state provisions. The annual limitation may result in the expiration of net operating losses and credits before utilization. The Company performed an ownership analysis and identified two previous ownership changes in 2013 and 2015, as defined under Section 382 and 383 of the IRC, however neither resulted in a material limitation that will reduce the total amount of net operating loss carryforwards and credits that can be utilized.</w:t>
      </w:r>
    </w:p>
    <w:p>
      <w:pPr>
        <w:spacing w:after="0" w:line="11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F-63</w:t>
      </w:r>
    </w:p>
    <w:p>
      <w:pPr>
        <w:sectPr>
          <w:pgSz w:w="11900" w:h="16838" w:orient="portrait"/>
          <w:cols w:equalWidth="0" w:num="1">
            <w:col w:w="10220"/>
          </w:cols>
          <w:pgMar w:left="320" w:top="407" w:right="1359" w:bottom="1440" w:gutter="0" w:footer="0" w:header="0"/>
        </w:sectPr>
      </w:pPr>
    </w:p>
    <w:bookmarkStart w:id="298" w:name="page299"/>
    <w:bookmarkEnd w:id="298"/>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69150" cy="20955"/>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A reconciliation of the beginning and ending balances of gross unrecognized tax benefits is as follows (in thousands):</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2"/>
                <w:szCs w:val="12"/>
                <w:b w:val="1"/>
                <w:bCs w:val="1"/>
                <w:color w:val="auto"/>
              </w:rPr>
              <w:t>December 31,</w:t>
            </w:r>
          </w:p>
        </w:tc>
        <w:tc>
          <w:tcPr>
            <w:tcW w:w="3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76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w w:val="97"/>
              </w:rPr>
              <w:t>2017</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spacing w:after="0" w:line="126"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14"/>
              <w:spacing w:after="0" w:line="126" w:lineRule="exact"/>
              <w:rPr>
                <w:sz w:val="20"/>
                <w:szCs w:val="20"/>
                <w:color w:val="auto"/>
              </w:rPr>
            </w:pPr>
            <w:r>
              <w:rPr>
                <w:rFonts w:ascii="Arial" w:cs="Arial" w:eastAsia="Arial" w:hAnsi="Arial"/>
                <w:sz w:val="12"/>
                <w:szCs w:val="12"/>
                <w:b w:val="1"/>
                <w:bCs w:val="1"/>
                <w:color w:val="auto"/>
                <w:w w:val="97"/>
              </w:rPr>
              <w:t>2019</w:t>
            </w:r>
          </w:p>
        </w:tc>
        <w:tc>
          <w:tcPr>
            <w:tcW w:w="40" w:type="dxa"/>
            <w:vAlign w:val="bottom"/>
            <w:tcBorders>
              <w:bottom w:val="single" w:sz="8" w:color="CCEEFF"/>
            </w:tcBorders>
          </w:tcPr>
          <w:p>
            <w:pPr>
              <w:spacing w:after="0"/>
              <w:rPr>
                <w:sz w:val="10"/>
                <w:szCs w:val="10"/>
                <w:color w:val="auto"/>
              </w:rPr>
            </w:pPr>
          </w:p>
        </w:tc>
      </w:tr>
      <w:tr>
        <w:trPr>
          <w:trHeight w:val="149"/>
        </w:trPr>
        <w:tc>
          <w:tcPr>
            <w:tcW w:w="764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Balance at beginning of year</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$286</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697</w:t>
            </w:r>
          </w:p>
        </w:tc>
      </w:tr>
      <w:tr>
        <w:trPr>
          <w:trHeight w:val="158"/>
        </w:trPr>
        <w:tc>
          <w:tcPr>
            <w:tcW w:w="7640" w:type="dxa"/>
            <w:vAlign w:val="bottom"/>
          </w:tcPr>
          <w:p>
            <w:pPr>
              <w:ind w:left="280"/>
              <w:spacing w:after="0" w:line="158" w:lineRule="exact"/>
              <w:rPr>
                <w:sz w:val="20"/>
                <w:szCs w:val="20"/>
                <w:color w:val="auto"/>
              </w:rPr>
            </w:pPr>
            <w:r>
              <w:rPr>
                <w:rFonts w:ascii="Arial" w:cs="Arial" w:eastAsia="Arial" w:hAnsi="Arial"/>
                <w:sz w:val="14"/>
                <w:szCs w:val="14"/>
                <w:color w:val="auto"/>
              </w:rPr>
              <w:t>Additions for tax positions of prior years</w:t>
            </w:r>
          </w:p>
        </w:tc>
        <w:tc>
          <w:tcPr>
            <w:tcW w:w="20" w:type="dxa"/>
            <w:vAlign w:val="bottom"/>
          </w:tcPr>
          <w:p>
            <w:pPr>
              <w:spacing w:after="0"/>
              <w:rPr>
                <w:sz w:val="13"/>
                <w:szCs w:val="13"/>
                <w:color w:val="auto"/>
              </w:rPr>
            </w:pPr>
          </w:p>
        </w:tc>
        <w:tc>
          <w:tcPr>
            <w:tcW w:w="3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4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69</w:t>
            </w:r>
          </w:p>
        </w:tc>
      </w:tr>
      <w:tr>
        <w:trPr>
          <w:trHeight w:val="158"/>
        </w:trPr>
        <w:tc>
          <w:tcPr>
            <w:tcW w:w="76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Tax positions related to the current year</w:t>
            </w: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162</w:t>
            </w:r>
          </w:p>
        </w:tc>
        <w:tc>
          <w:tcPr>
            <w:tcW w:w="2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249</w:t>
            </w:r>
          </w:p>
        </w:tc>
        <w:tc>
          <w:tcPr>
            <w:tcW w:w="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265</w:t>
            </w:r>
          </w:p>
        </w:tc>
        <w:tc>
          <w:tcPr>
            <w:tcW w:w="40" w:type="dxa"/>
            <w:vAlign w:val="bottom"/>
            <w:shd w:val="clear" w:color="auto" w:fill="CCEEFF"/>
          </w:tcPr>
          <w:p>
            <w:pPr>
              <w:spacing w:after="0"/>
              <w:rPr>
                <w:sz w:val="13"/>
                <w:szCs w:val="13"/>
                <w:color w:val="auto"/>
              </w:rPr>
            </w:pPr>
          </w:p>
        </w:tc>
      </w:tr>
      <w:tr>
        <w:trPr>
          <w:trHeight w:val="160"/>
        </w:trPr>
        <w:tc>
          <w:tcPr>
            <w:tcW w:w="7640" w:type="dxa"/>
            <w:vAlign w:val="bottom"/>
          </w:tcPr>
          <w:p>
            <w:pPr>
              <w:spacing w:after="0"/>
              <w:rPr>
                <w:sz w:val="20"/>
                <w:szCs w:val="20"/>
                <w:color w:val="auto"/>
              </w:rPr>
            </w:pPr>
            <w:r>
              <w:rPr>
                <w:rFonts w:ascii="Arial" w:cs="Arial" w:eastAsia="Arial" w:hAnsi="Arial"/>
                <w:sz w:val="14"/>
                <w:szCs w:val="14"/>
                <w:color w:val="auto"/>
              </w:rPr>
              <w:t>Balance at end of year</w:t>
            </w:r>
          </w:p>
        </w:tc>
        <w:tc>
          <w:tcPr>
            <w:tcW w:w="32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448</w:t>
            </w:r>
          </w:p>
        </w:tc>
        <w:tc>
          <w:tcPr>
            <w:tcW w:w="5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697</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4"/>
                <w:szCs w:val="14"/>
                <w:u w:val="single" w:color="auto"/>
                <w:color w:val="auto"/>
                <w:w w:val="76"/>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1,031</w:t>
            </w: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1" w:lineRule="exact"/>
        <w:rPr>
          <w:sz w:val="20"/>
          <w:szCs w:val="20"/>
          <w:color w:val="auto"/>
        </w:rPr>
      </w:pPr>
    </w:p>
    <w:p>
      <w:pPr>
        <w:ind w:left="1020" w:right="40" w:firstLine="460"/>
        <w:spacing w:after="0" w:line="237" w:lineRule="auto"/>
        <w:rPr>
          <w:sz w:val="20"/>
          <w:szCs w:val="20"/>
          <w:color w:val="auto"/>
        </w:rPr>
      </w:pPr>
      <w:r>
        <w:rPr>
          <w:rFonts w:ascii="Arial" w:cs="Arial" w:eastAsia="Arial" w:hAnsi="Arial"/>
          <w:sz w:val="15"/>
          <w:szCs w:val="15"/>
          <w:color w:val="auto"/>
        </w:rPr>
        <w:t>If recognized, substantially all of the balance would unfavorably affect the Company’s effective income tax rate in future periods. As of December 31, 2019, the Company had $1.0 million in unrecognized income tax benefits and there were increases of $0.3 million to the Company’s unrecognized tax benefits during the year. The Company does not anticipate any significant increases to unrecognized tax benefit during the next 12 months. The Company’s policy is to classify interest and penalties associated with unrecognized tax benefits as income tax expense. The Company had no interest or penalty accruals associated with uncertain tax benefits in its consolidated balance sheet and consolidated statement of operations and comprehensive income (loss) for the tax year ended December 31, 2019.</w:t>
      </w:r>
    </w:p>
    <w:p>
      <w:pPr>
        <w:spacing w:after="0" w:line="172" w:lineRule="exact"/>
        <w:rPr>
          <w:sz w:val="20"/>
          <w:szCs w:val="20"/>
          <w:color w:val="auto"/>
        </w:rPr>
      </w:pPr>
    </w:p>
    <w:p>
      <w:pPr>
        <w:ind w:left="1020" w:right="20" w:firstLine="460"/>
        <w:spacing w:after="0" w:line="237" w:lineRule="auto"/>
        <w:rPr>
          <w:sz w:val="20"/>
          <w:szCs w:val="20"/>
          <w:color w:val="auto"/>
        </w:rPr>
      </w:pPr>
      <w:r>
        <w:rPr>
          <w:rFonts w:ascii="Arial" w:cs="Arial" w:eastAsia="Arial" w:hAnsi="Arial"/>
          <w:sz w:val="15"/>
          <w:szCs w:val="15"/>
          <w:color w:val="auto"/>
        </w:rPr>
        <w:t>The Company files income tax returns in the U.S. federal jurisdiction and various state jurisdictions and has identified its federal, California, and New York tax returns as “major” tax filings. The Company is not currently under examination by income tax authorities in federal or state jurisdictions. However, because the Company has net operating losses and credits carried forward in several jurisdictions, including the United States federal, California, and New York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net operating loss carryforwards or research and development credits.</w:t>
      </w:r>
    </w:p>
    <w:p>
      <w:pPr>
        <w:spacing w:after="0" w:line="24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For the nine months ended September 30, 2019 and 2020 (unaudited)</w:t>
      </w:r>
    </w:p>
    <w:p>
      <w:pPr>
        <w:spacing w:after="0" w:line="10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Company’s income tax provision for the nine months ended September 30, 2019 and 2020 reflects an estimate of the corresponding year’s annual effective tax rate and includes, when applicable, adjustments for discrete items. The Company’s provision for income taxes has not been historically significant to the business as the Company was in a cumulative loss position in prior years. The provision for income taxes consists primarily of state taxes in jurisdictions in which the Company conducts business.</w:t>
      </w:r>
    </w:p>
    <w:p>
      <w:pPr>
        <w:spacing w:after="0" w:line="82" w:lineRule="exact"/>
        <w:rPr>
          <w:sz w:val="20"/>
          <w:szCs w:val="20"/>
          <w:color w:val="auto"/>
        </w:rPr>
      </w:pPr>
    </w:p>
    <w:p>
      <w:pPr>
        <w:ind w:left="1020" w:right="140" w:firstLine="460"/>
        <w:spacing w:after="0" w:line="238" w:lineRule="auto"/>
        <w:rPr>
          <w:sz w:val="20"/>
          <w:szCs w:val="20"/>
          <w:color w:val="auto"/>
        </w:rPr>
      </w:pPr>
      <w:r>
        <w:rPr>
          <w:rFonts w:ascii="Arial" w:cs="Arial" w:eastAsia="Arial" w:hAnsi="Arial"/>
          <w:sz w:val="15"/>
          <w:szCs w:val="15"/>
          <w:color w:val="auto"/>
        </w:rPr>
        <w:t>The Company did not recognize any income tax expense for the nine months ended September 30, 2019 and 2020. As such, the Company’s net effective tax rate is 0.0% for the nine months ended September 30, 2019 and 2020. The effective tax rate differs from the U.S. statutory tax rate primarily due to the valuation allowances on the Company’s deferred tax assets as it is more likely than not that some or all of the Company’s deferred tax assets will not be realized.</w:t>
      </w:r>
    </w:p>
    <w:p>
      <w:pPr>
        <w:spacing w:after="0" w:line="82" w:lineRule="exact"/>
        <w:rPr>
          <w:sz w:val="20"/>
          <w:szCs w:val="20"/>
          <w:color w:val="auto"/>
        </w:rPr>
      </w:pPr>
    </w:p>
    <w:p>
      <w:pPr>
        <w:ind w:left="1020" w:right="400" w:firstLine="460"/>
        <w:spacing w:after="0" w:line="245" w:lineRule="auto"/>
        <w:rPr>
          <w:sz w:val="20"/>
          <w:szCs w:val="20"/>
          <w:color w:val="auto"/>
        </w:rPr>
      </w:pPr>
      <w:r>
        <w:rPr>
          <w:rFonts w:ascii="Arial" w:cs="Arial" w:eastAsia="Arial" w:hAnsi="Arial"/>
          <w:sz w:val="15"/>
          <w:szCs w:val="15"/>
          <w:color w:val="auto"/>
        </w:rPr>
        <w:t>As of September 30, 2020, the Company retains a full valuation allowance on its deferred tax assets in the United States. The realization of the Company’s deferred tax assets depends primarily on</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F-64</w:t>
      </w:r>
    </w:p>
    <w:p>
      <w:pPr>
        <w:sectPr>
          <w:pgSz w:w="11900" w:h="16838" w:orient="portrait"/>
          <w:cols w:equalWidth="0" w:num="1">
            <w:col w:w="10220"/>
          </w:cols>
          <w:pgMar w:left="320" w:top="407" w:right="1359" w:bottom="1440" w:gutter="0" w:footer="0" w:header="0"/>
        </w:sectPr>
      </w:pPr>
    </w:p>
    <w:bookmarkStart w:id="299" w:name="page300"/>
    <w:bookmarkEnd w:id="299"/>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7" w:lineRule="exact"/>
        <w:rPr>
          <w:sz w:val="20"/>
          <w:szCs w:val="20"/>
          <w:color w:val="auto"/>
        </w:rPr>
      </w:pPr>
    </w:p>
    <w:p>
      <w:pPr>
        <w:ind w:left="1020" w:right="360"/>
        <w:spacing w:after="0" w:line="245" w:lineRule="auto"/>
        <w:rPr>
          <w:sz w:val="20"/>
          <w:szCs w:val="20"/>
          <w:color w:val="auto"/>
        </w:rPr>
      </w:pPr>
      <w:r>
        <w:rPr>
          <w:rFonts w:ascii="Arial" w:cs="Arial" w:eastAsia="Arial" w:hAnsi="Arial"/>
          <w:sz w:val="15"/>
          <w:szCs w:val="15"/>
          <w:color w:val="auto"/>
        </w:rPr>
        <w:t>its ability to generate taxable income in future periods. The amount of deferred tax assets considered realizable in future periods may change as management continues to reassess the underlying factors it uses in estimating future taxable income.</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15. Related Party Transactions</w:t>
      </w:r>
    </w:p>
    <w:p>
      <w:pPr>
        <w:spacing w:after="0" w:line="105" w:lineRule="exact"/>
        <w:rPr>
          <w:sz w:val="20"/>
          <w:szCs w:val="20"/>
          <w:color w:val="auto"/>
        </w:rPr>
      </w:pPr>
    </w:p>
    <w:p>
      <w:pPr>
        <w:ind w:left="1020" w:firstLine="460"/>
        <w:spacing w:after="0" w:line="245" w:lineRule="auto"/>
        <w:rPr>
          <w:sz w:val="20"/>
          <w:szCs w:val="20"/>
          <w:color w:val="auto"/>
        </w:rPr>
      </w:pPr>
      <w:r>
        <w:rPr>
          <w:rFonts w:ascii="Arial" w:cs="Arial" w:eastAsia="Arial" w:hAnsi="Arial"/>
          <w:sz w:val="15"/>
          <w:szCs w:val="15"/>
          <w:color w:val="auto"/>
        </w:rPr>
        <w:t>Since the Company’s inception, it has engaged in various transactions with its executive officers and directors, holders of more than 10% of its voting securities, and their affiliates.</w:t>
      </w:r>
    </w:p>
    <w:p>
      <w:pPr>
        <w:spacing w:after="0" w:line="238"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Convertible Promissory Notes</w:t>
      </w:r>
    </w:p>
    <w:p>
      <w:pPr>
        <w:spacing w:after="0" w:line="10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2017, the Company issued $20.0 million of subordinated convertible promissory notes to two investors, of which $ 10.0 million was issued to a related party equity investor of the Company. On June 30, 2018, the outstanding principal and accrued and unpaid interest on the convertible promissory notes were converted into shares of Series C-1 convertible preferred stock. As such, no convertible promissory notes were outstanding as of December 31, 2018 and 2019, and September 30, 2020 (unaudited).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Securitization Transactions</w:t>
      </w:r>
    </w:p>
    <w:p>
      <w:pPr>
        <w:spacing w:after="0" w:line="105" w:lineRule="exact"/>
        <w:rPr>
          <w:sz w:val="20"/>
          <w:szCs w:val="20"/>
          <w:color w:val="auto"/>
        </w:rPr>
      </w:pPr>
    </w:p>
    <w:p>
      <w:pPr>
        <w:ind w:left="1020" w:right="60" w:firstLine="460"/>
        <w:spacing w:after="0" w:line="238" w:lineRule="auto"/>
        <w:rPr>
          <w:sz w:val="20"/>
          <w:szCs w:val="20"/>
          <w:color w:val="auto"/>
        </w:rPr>
      </w:pPr>
      <w:r>
        <w:rPr>
          <w:rFonts w:ascii="Arial" w:cs="Arial" w:eastAsia="Arial" w:hAnsi="Arial"/>
          <w:sz w:val="15"/>
          <w:szCs w:val="15"/>
          <w:color w:val="auto"/>
        </w:rPr>
        <w:t>The related party investor and its affiliates also participated in securitization transactions sponsored and serviced by the Company in the years ended December 31, 2017, 2018 and 2019, and nine months ended September 30, 2020 (unaudited) by contributing loans and purchasing securitization notes or residual certificates. As of December 31, 2018 and 2019, and September 30, 2020 (unaudited), the balance of payable to securitization note holders and residual certificate holders due to the related party investor and its affiliates was $61.4 million, $41.3 million, and $0 million, respectively.</w:t>
      </w:r>
    </w:p>
    <w:p>
      <w:pPr>
        <w:spacing w:after="0" w:line="242"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Other Transactions</w:t>
      </w:r>
    </w:p>
    <w:p>
      <w:pPr>
        <w:spacing w:after="0" w:line="105" w:lineRule="exact"/>
        <w:rPr>
          <w:sz w:val="20"/>
          <w:szCs w:val="20"/>
          <w:color w:val="auto"/>
        </w:rPr>
      </w:pPr>
    </w:p>
    <w:p>
      <w:pPr>
        <w:ind w:left="1020" w:right="60" w:firstLine="460"/>
        <w:spacing w:after="0" w:line="237" w:lineRule="auto"/>
        <w:rPr>
          <w:sz w:val="20"/>
          <w:szCs w:val="20"/>
          <w:color w:val="auto"/>
        </w:rPr>
      </w:pPr>
      <w:r>
        <w:rPr>
          <w:rFonts w:ascii="Arial" w:cs="Arial" w:eastAsia="Arial" w:hAnsi="Arial"/>
          <w:sz w:val="15"/>
          <w:szCs w:val="15"/>
          <w:color w:val="auto"/>
        </w:rPr>
        <w:t>The Company’s executive officers and non-officer directors participate on Upstart’s platform by purchasing fractional interest in loans, which are included in notes payable on the Company’s consolidated balance sheet as of December 31, 2018. As of December 31, 2019 and September 30, 2020 (unaudited), as a result of the deconsolidation of UNT, the notes payable is not included in the Company’s consolidated balance sheets. The fair value of such notes payable purchased by executive officers and non-officer directors and included in the consolidated balance sheets were $ 2.4 million as of December 31, 2018 and $0 as of December 31, 2019 and September 30, 2020 (unaudited). Interest income and expense and servicing fees related to the notes payable held by the Company’s executive officers and non-officer directors were immaterial in all periods presented.</w:t>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16. Net (Loss) Income Per Share Attributable to Upstart Holdings, Inc. Common Stockholders</w:t>
      </w:r>
    </w:p>
    <w:p>
      <w:pPr>
        <w:spacing w:after="0" w:line="105" w:lineRule="exact"/>
        <w:rPr>
          <w:sz w:val="20"/>
          <w:szCs w:val="20"/>
          <w:color w:val="auto"/>
        </w:rPr>
      </w:pPr>
    </w:p>
    <w:p>
      <w:pPr>
        <w:jc w:val="both"/>
        <w:ind w:left="1020" w:right="240" w:firstLine="460"/>
        <w:spacing w:after="0"/>
        <w:rPr>
          <w:sz w:val="20"/>
          <w:szCs w:val="20"/>
          <w:color w:val="auto"/>
        </w:rPr>
      </w:pPr>
      <w:r>
        <w:rPr>
          <w:rFonts w:ascii="Arial" w:cs="Arial" w:eastAsia="Arial" w:hAnsi="Arial"/>
          <w:sz w:val="15"/>
          <w:szCs w:val="15"/>
          <w:color w:val="auto"/>
        </w:rPr>
        <w:t>For periods in which the Company reports net losses, basic and diluted net loss per share attributable to Upstart Holdings, Inc.’s common stockholders are the same because potentially dilutive common shares are not assumed to have been issued if their effect is anti-dilutive.</w:t>
      </w:r>
    </w:p>
    <w:p>
      <w:pPr>
        <w:spacing w:after="0" w:line="11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F-65</w:t>
      </w:r>
    </w:p>
    <w:p>
      <w:pPr>
        <w:sectPr>
          <w:pgSz w:w="11900" w:h="16838" w:orient="portrait"/>
          <w:cols w:equalWidth="0" w:num="1">
            <w:col w:w="10220"/>
          </w:cols>
          <w:pgMar w:left="320" w:top="407" w:right="1359" w:bottom="1440" w:gutter="0" w:footer="0" w:header="0"/>
        </w:sectPr>
      </w:pPr>
    </w:p>
    <w:bookmarkStart w:id="300" w:name="page301"/>
    <w:bookmarkEnd w:id="300"/>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jc w:val="center"/>
        <w:ind w:right="-1019"/>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14"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The following securities were excluded from the computation of diluted net loss per share attributable to Upstart Holdings, Inc.</w:t>
      </w:r>
    </w:p>
    <w:p>
      <w:pPr>
        <w:ind w:left="1020"/>
        <w:spacing w:after="0"/>
        <w:rPr>
          <w:sz w:val="20"/>
          <w:szCs w:val="20"/>
          <w:color w:val="auto"/>
        </w:rPr>
      </w:pPr>
      <w:r>
        <w:rPr>
          <w:rFonts w:ascii="Arial" w:cs="Arial" w:eastAsia="Arial" w:hAnsi="Arial"/>
          <w:sz w:val="15"/>
          <w:szCs w:val="15"/>
          <w:color w:val="auto"/>
        </w:rPr>
        <w:t>common stockholders for the periods presented, because including them would have been anti-dilutive (on an as-converted basis):</w:t>
      </w:r>
    </w:p>
    <w:p>
      <w:pPr>
        <w:spacing w:after="0" w:line="190" w:lineRule="exact"/>
        <w:rPr>
          <w:sz w:val="20"/>
          <w:szCs w:val="20"/>
          <w:color w:val="auto"/>
        </w:rPr>
      </w:pPr>
    </w:p>
    <w:tbl>
      <w:tblPr>
        <w:tblLayout w:type="fixed"/>
        <w:tblInd w:w="1020" w:type="dxa"/>
        <w:tblCellMar>
          <w:top w:w="0" w:type="dxa"/>
          <w:left w:w="0" w:type="dxa"/>
          <w:bottom w:w="0" w:type="dxa"/>
          <w:right w:w="0" w:type="dxa"/>
        </w:tblCellMar>
      </w:tblPr>
      <w:tr>
        <w:trPr>
          <w:trHeight w:val="145"/>
        </w:trPr>
        <w:tc>
          <w:tcPr>
            <w:tcW w:w="4240" w:type="dxa"/>
            <w:vAlign w:val="bottom"/>
          </w:tcPr>
          <w:p>
            <w:pPr>
              <w:spacing w:after="0"/>
              <w:rPr>
                <w:sz w:val="12"/>
                <w:szCs w:val="12"/>
                <w:color w:val="auto"/>
              </w:rPr>
            </w:pPr>
          </w:p>
        </w:tc>
        <w:tc>
          <w:tcPr>
            <w:tcW w:w="2160" w:type="dxa"/>
            <w:vAlign w:val="bottom"/>
            <w:gridSpan w:val="5"/>
          </w:tcPr>
          <w:p>
            <w:pPr>
              <w:ind w:left="700"/>
              <w:spacing w:after="0"/>
              <w:rPr>
                <w:sz w:val="20"/>
                <w:szCs w:val="20"/>
                <w:color w:val="auto"/>
              </w:rPr>
            </w:pPr>
            <w:r>
              <w:rPr>
                <w:rFonts w:ascii="Arial" w:cs="Arial" w:eastAsia="Arial" w:hAnsi="Arial"/>
                <w:sz w:val="12"/>
                <w:szCs w:val="12"/>
                <w:b w:val="1"/>
                <w:bCs w:val="1"/>
                <w:color w:val="auto"/>
                <w:w w:val="98"/>
              </w:rPr>
              <w:t>Year ended December 31,</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4"/>
          </w:tcPr>
          <w:p>
            <w:pPr>
              <w:ind w:left="540"/>
              <w:spacing w:after="0"/>
              <w:rPr>
                <w:sz w:val="20"/>
                <w:szCs w:val="20"/>
                <w:color w:val="auto"/>
              </w:rPr>
            </w:pPr>
            <w:r>
              <w:rPr>
                <w:rFonts w:ascii="Arial" w:cs="Arial" w:eastAsia="Arial" w:hAnsi="Arial"/>
                <w:sz w:val="12"/>
                <w:szCs w:val="12"/>
                <w:b w:val="1"/>
                <w:bCs w:val="1"/>
                <w:color w:val="auto"/>
              </w:rPr>
              <w:t>September 30,</w:t>
            </w:r>
          </w:p>
        </w:tc>
      </w:tr>
      <w:tr>
        <w:trPr>
          <w:trHeight w:val="126"/>
        </w:trPr>
        <w:tc>
          <w:tcPr>
            <w:tcW w:w="424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215"/>
              <w:spacing w:after="0" w:line="126" w:lineRule="exact"/>
              <w:rPr>
                <w:sz w:val="20"/>
                <w:szCs w:val="20"/>
                <w:color w:val="auto"/>
              </w:rPr>
            </w:pPr>
            <w:r>
              <w:rPr>
                <w:rFonts w:ascii="Arial" w:cs="Arial" w:eastAsia="Arial" w:hAnsi="Arial"/>
                <w:sz w:val="12"/>
                <w:szCs w:val="12"/>
                <w:b w:val="1"/>
                <w:bCs w:val="1"/>
                <w:color w:val="auto"/>
              </w:rPr>
              <w:t>2017</w:t>
            </w: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234"/>
              <w:spacing w:after="0" w:line="126"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34"/>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0"/>
                <w:szCs w:val="10"/>
                <w:color w:val="auto"/>
              </w:rPr>
            </w:pPr>
          </w:p>
        </w:tc>
        <w:tc>
          <w:tcPr>
            <w:tcW w:w="880" w:type="dxa"/>
            <w:vAlign w:val="bottom"/>
            <w:tcBorders>
              <w:top w:val="single" w:sz="8" w:color="auto"/>
              <w:bottom w:val="single" w:sz="8" w:color="auto"/>
            </w:tcBorders>
          </w:tcPr>
          <w:p>
            <w:pPr>
              <w:jc w:val="right"/>
              <w:ind w:right="235"/>
              <w:spacing w:after="0" w:line="126" w:lineRule="exact"/>
              <w:rPr>
                <w:sz w:val="20"/>
                <w:szCs w:val="20"/>
                <w:color w:val="auto"/>
              </w:rPr>
            </w:pPr>
            <w:r>
              <w:rPr>
                <w:rFonts w:ascii="Arial" w:cs="Arial" w:eastAsia="Arial" w:hAnsi="Arial"/>
                <w:sz w:val="12"/>
                <w:szCs w:val="12"/>
                <w:b w:val="1"/>
                <w:bCs w:val="1"/>
                <w:color w:val="auto"/>
              </w:rPr>
              <w:t>2019</w:t>
            </w: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54"/>
              <w:spacing w:after="0" w:line="126" w:lineRule="exact"/>
              <w:rPr>
                <w:sz w:val="20"/>
                <w:szCs w:val="20"/>
                <w:color w:val="auto"/>
              </w:rPr>
            </w:pPr>
            <w:r>
              <w:rPr>
                <w:rFonts w:ascii="Arial" w:cs="Arial" w:eastAsia="Arial" w:hAnsi="Arial"/>
                <w:sz w:val="12"/>
                <w:szCs w:val="12"/>
                <w:b w:val="1"/>
                <w:bCs w:val="1"/>
                <w:color w:val="auto"/>
              </w:rPr>
              <w:t>2020</w:t>
            </w:r>
          </w:p>
        </w:tc>
        <w:tc>
          <w:tcPr>
            <w:tcW w:w="60" w:type="dxa"/>
            <w:vAlign w:val="bottom"/>
          </w:tcPr>
          <w:p>
            <w:pPr>
              <w:spacing w:after="0"/>
              <w:rPr>
                <w:sz w:val="10"/>
                <w:szCs w:val="10"/>
                <w:color w:val="auto"/>
              </w:rPr>
            </w:pPr>
          </w:p>
        </w:tc>
      </w:tr>
      <w:tr>
        <w:trPr>
          <w:trHeight w:val="126"/>
        </w:trPr>
        <w:tc>
          <w:tcPr>
            <w:tcW w:w="4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3"/>
          </w:tcPr>
          <w:p>
            <w:pPr>
              <w:jc w:val="right"/>
              <w:ind w:right="574"/>
              <w:spacing w:after="0" w:line="126" w:lineRule="exact"/>
              <w:rPr>
                <w:sz w:val="20"/>
                <w:szCs w:val="20"/>
                <w:color w:val="auto"/>
              </w:rPr>
            </w:pPr>
            <w:r>
              <w:rPr>
                <w:rFonts w:ascii="Arial" w:cs="Arial" w:eastAsia="Arial" w:hAnsi="Arial"/>
                <w:sz w:val="12"/>
                <w:szCs w:val="12"/>
                <w:b w:val="1"/>
                <w:bCs w:val="1"/>
                <w:i w:val="1"/>
                <w:iCs w:val="1"/>
                <w:color w:val="auto"/>
              </w:rPr>
              <w:t>(unaudited)</w:t>
            </w:r>
          </w:p>
        </w:tc>
        <w:tc>
          <w:tcPr>
            <w:tcW w:w="60" w:type="dxa"/>
            <w:vAlign w:val="bottom"/>
          </w:tcPr>
          <w:p>
            <w:pPr>
              <w:spacing w:after="0"/>
              <w:rPr>
                <w:sz w:val="10"/>
                <w:szCs w:val="10"/>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Convertible preferred stock</w:t>
            </w:r>
          </w:p>
        </w:tc>
        <w:tc>
          <w:tcPr>
            <w:tcW w:w="9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35,445,012</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46,882,877</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4"/>
              </w:rPr>
              <w:t>47,349,577</w:t>
            </w: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47,627,408</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47,349,577</w:t>
            </w:r>
          </w:p>
        </w:tc>
        <w:tc>
          <w:tcPr>
            <w:tcW w:w="60" w:type="dxa"/>
            <w:vAlign w:val="bottom"/>
            <w:shd w:val="clear" w:color="auto" w:fill="CCEEFF"/>
          </w:tcPr>
          <w:p>
            <w:pPr>
              <w:spacing w:after="0"/>
              <w:rPr>
                <w:sz w:val="13"/>
                <w:szCs w:val="13"/>
                <w:color w:val="auto"/>
              </w:rPr>
            </w:pPr>
          </w:p>
        </w:tc>
      </w:tr>
      <w:tr>
        <w:trPr>
          <w:trHeight w:val="158"/>
        </w:trPr>
        <w:tc>
          <w:tcPr>
            <w:tcW w:w="4240" w:type="dxa"/>
            <w:vAlign w:val="bottom"/>
          </w:tcPr>
          <w:p>
            <w:pPr>
              <w:spacing w:after="0" w:line="158" w:lineRule="exact"/>
              <w:rPr>
                <w:sz w:val="20"/>
                <w:szCs w:val="20"/>
                <w:color w:val="auto"/>
              </w:rPr>
            </w:pPr>
            <w:r>
              <w:rPr>
                <w:rFonts w:ascii="Arial" w:cs="Arial" w:eastAsia="Arial" w:hAnsi="Arial"/>
                <w:sz w:val="14"/>
                <w:szCs w:val="14"/>
                <w:color w:val="auto"/>
              </w:rPr>
              <w:t>Options to purchase common stock</w:t>
            </w:r>
          </w:p>
        </w:tc>
        <w:tc>
          <w:tcPr>
            <w:tcW w:w="9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11,920,884</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12,293,165</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w w:val="94"/>
              </w:rPr>
              <w:t>16,502,206</w:t>
            </w:r>
          </w:p>
        </w:tc>
        <w:tc>
          <w:tcPr>
            <w:tcW w:w="10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14,656,713</w:t>
            </w: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19,356,042</w:t>
            </w:r>
          </w:p>
        </w:tc>
        <w:tc>
          <w:tcPr>
            <w:tcW w:w="60" w:type="dxa"/>
            <w:vAlign w:val="bottom"/>
          </w:tcPr>
          <w:p>
            <w:pPr>
              <w:spacing w:after="0"/>
              <w:rPr>
                <w:sz w:val="13"/>
                <w:szCs w:val="13"/>
                <w:color w:val="auto"/>
              </w:rPr>
            </w:pPr>
          </w:p>
        </w:tc>
      </w:tr>
      <w:tr>
        <w:trPr>
          <w:trHeight w:val="158"/>
        </w:trPr>
        <w:tc>
          <w:tcPr>
            <w:tcW w:w="4240" w:type="dxa"/>
            <w:vAlign w:val="bottom"/>
            <w:shd w:val="clear" w:color="auto" w:fill="CCEEFF"/>
          </w:tcPr>
          <w:p>
            <w:pPr>
              <w:spacing w:after="0" w:line="158" w:lineRule="exact"/>
              <w:rPr>
                <w:sz w:val="20"/>
                <w:szCs w:val="20"/>
                <w:color w:val="auto"/>
              </w:rPr>
            </w:pPr>
            <w:r>
              <w:rPr>
                <w:rFonts w:ascii="Arial" w:cs="Arial" w:eastAsia="Arial" w:hAnsi="Arial"/>
                <w:sz w:val="14"/>
                <w:szCs w:val="14"/>
                <w:color w:val="auto"/>
              </w:rPr>
              <w:t>Warrants to purchase convertible preferred stock</w:t>
            </w:r>
          </w:p>
        </w:tc>
        <w:tc>
          <w:tcPr>
            <w:tcW w:w="9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1,500,519</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1,500,519</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600,208</w:t>
            </w:r>
          </w:p>
        </w:tc>
        <w:tc>
          <w:tcPr>
            <w:tcW w:w="14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1,200,416</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600,208</w:t>
            </w:r>
          </w:p>
        </w:tc>
        <w:tc>
          <w:tcPr>
            <w:tcW w:w="60" w:type="dxa"/>
            <w:vAlign w:val="bottom"/>
            <w:shd w:val="clear" w:color="auto" w:fill="CCEEFF"/>
          </w:tcPr>
          <w:p>
            <w:pPr>
              <w:spacing w:after="0"/>
              <w:rPr>
                <w:sz w:val="13"/>
                <w:szCs w:val="13"/>
                <w:color w:val="auto"/>
              </w:rPr>
            </w:pPr>
          </w:p>
        </w:tc>
      </w:tr>
      <w:tr>
        <w:trPr>
          <w:trHeight w:val="158"/>
        </w:trPr>
        <w:tc>
          <w:tcPr>
            <w:tcW w:w="4240" w:type="dxa"/>
            <w:vAlign w:val="bottom"/>
          </w:tcPr>
          <w:p>
            <w:pPr>
              <w:spacing w:after="0" w:line="158" w:lineRule="exact"/>
              <w:rPr>
                <w:sz w:val="20"/>
                <w:szCs w:val="20"/>
                <w:color w:val="auto"/>
              </w:rPr>
            </w:pPr>
            <w:r>
              <w:rPr>
                <w:rFonts w:ascii="Arial" w:cs="Arial" w:eastAsia="Arial" w:hAnsi="Arial"/>
                <w:sz w:val="14"/>
                <w:szCs w:val="14"/>
                <w:color w:val="auto"/>
              </w:rPr>
              <w:t>Warrants to purchase common stock</w:t>
            </w:r>
          </w:p>
        </w:tc>
        <w:tc>
          <w:tcPr>
            <w:tcW w:w="98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1,467,553</w:t>
            </w:r>
          </w:p>
        </w:tc>
        <w:tc>
          <w:tcPr>
            <w:tcW w:w="860" w:type="dxa"/>
            <w:vAlign w:val="bottom"/>
          </w:tcPr>
          <w:p>
            <w:pPr>
              <w:jc w:val="right"/>
              <w:spacing w:after="0" w:line="158" w:lineRule="exact"/>
              <w:rPr>
                <w:sz w:val="20"/>
                <w:szCs w:val="20"/>
                <w:color w:val="auto"/>
              </w:rPr>
            </w:pPr>
            <w:r>
              <w:rPr>
                <w:rFonts w:ascii="Arial" w:cs="Arial" w:eastAsia="Arial" w:hAnsi="Arial"/>
                <w:sz w:val="14"/>
                <w:szCs w:val="14"/>
                <w:color w:val="auto"/>
              </w:rPr>
              <w:t>1,617,553</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8" w:lineRule="exact"/>
              <w:rPr>
                <w:sz w:val="20"/>
                <w:szCs w:val="20"/>
                <w:color w:val="auto"/>
              </w:rPr>
            </w:pPr>
            <w:r>
              <w:rPr>
                <w:rFonts w:ascii="Arial" w:cs="Arial" w:eastAsia="Arial" w:hAnsi="Arial"/>
                <w:sz w:val="14"/>
                <w:szCs w:val="14"/>
                <w:color w:val="auto"/>
              </w:rPr>
              <w:t>319,669</w:t>
            </w:r>
          </w:p>
        </w:tc>
        <w:tc>
          <w:tcPr>
            <w:tcW w:w="140" w:type="dxa"/>
            <w:vAlign w:val="bottom"/>
          </w:tcPr>
          <w:p>
            <w:pPr>
              <w:spacing w:after="0"/>
              <w:rPr>
                <w:sz w:val="13"/>
                <w:szCs w:val="13"/>
                <w:color w:val="auto"/>
              </w:rPr>
            </w:pPr>
          </w:p>
        </w:tc>
        <w:tc>
          <w:tcPr>
            <w:tcW w:w="1020" w:type="dxa"/>
            <w:vAlign w:val="bottom"/>
            <w:gridSpan w:val="2"/>
          </w:tcPr>
          <w:p>
            <w:pPr>
              <w:jc w:val="right"/>
              <w:ind w:right="140"/>
              <w:spacing w:after="0" w:line="158" w:lineRule="exact"/>
              <w:rPr>
                <w:sz w:val="20"/>
                <w:szCs w:val="20"/>
                <w:color w:val="auto"/>
              </w:rPr>
            </w:pPr>
            <w:r>
              <w:rPr>
                <w:rFonts w:ascii="Arial" w:cs="Arial" w:eastAsia="Arial" w:hAnsi="Arial"/>
                <w:sz w:val="14"/>
                <w:szCs w:val="14"/>
                <w:color w:val="auto"/>
              </w:rPr>
              <w:t>319,669</w:t>
            </w:r>
          </w:p>
        </w:tc>
        <w:tc>
          <w:tcPr>
            <w:tcW w:w="900" w:type="dxa"/>
            <w:vAlign w:val="bottom"/>
          </w:tcPr>
          <w:p>
            <w:pPr>
              <w:jc w:val="right"/>
              <w:spacing w:after="0" w:line="158" w:lineRule="exact"/>
              <w:rPr>
                <w:sz w:val="20"/>
                <w:szCs w:val="20"/>
                <w:color w:val="auto"/>
              </w:rPr>
            </w:pPr>
            <w:r>
              <w:rPr>
                <w:rFonts w:ascii="Arial" w:cs="Arial" w:eastAsia="Arial" w:hAnsi="Arial"/>
                <w:sz w:val="14"/>
                <w:szCs w:val="14"/>
                <w:color w:val="auto"/>
              </w:rPr>
              <w:t>319,669</w:t>
            </w:r>
          </w:p>
        </w:tc>
        <w:tc>
          <w:tcPr>
            <w:tcW w:w="60" w:type="dxa"/>
            <w:vAlign w:val="bottom"/>
          </w:tcPr>
          <w:p>
            <w:pPr>
              <w:spacing w:after="0"/>
              <w:rPr>
                <w:sz w:val="13"/>
                <w:szCs w:val="13"/>
                <w:color w:val="auto"/>
              </w:rPr>
            </w:pPr>
          </w:p>
        </w:tc>
      </w:tr>
      <w:tr>
        <w:trPr>
          <w:trHeight w:val="23"/>
        </w:trPr>
        <w:tc>
          <w:tcPr>
            <w:tcW w:w="4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424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Total</w:t>
            </w:r>
          </w:p>
        </w:tc>
        <w:tc>
          <w:tcPr>
            <w:tcW w:w="98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50,333,968</w:t>
            </w:r>
          </w:p>
        </w:tc>
        <w:tc>
          <w:tcPr>
            <w:tcW w:w="8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62,294,114</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w w:val="94"/>
              </w:rPr>
              <w:t>64,771,660</w:t>
            </w:r>
          </w:p>
        </w:tc>
        <w:tc>
          <w:tcPr>
            <w:tcW w:w="1020" w:type="dxa"/>
            <w:vAlign w:val="bottom"/>
            <w:gridSpan w:val="2"/>
            <w:shd w:val="clear" w:color="auto" w:fill="CCEEFF"/>
          </w:tcPr>
          <w:p>
            <w:pPr>
              <w:jc w:val="right"/>
              <w:ind w:right="140"/>
              <w:spacing w:after="0" w:line="158" w:lineRule="exact"/>
              <w:rPr>
                <w:sz w:val="20"/>
                <w:szCs w:val="20"/>
                <w:color w:val="auto"/>
              </w:rPr>
            </w:pPr>
            <w:r>
              <w:rPr>
                <w:rFonts w:ascii="Arial" w:cs="Arial" w:eastAsia="Arial" w:hAnsi="Arial"/>
                <w:sz w:val="14"/>
                <w:szCs w:val="14"/>
                <w:color w:val="auto"/>
              </w:rPr>
              <w:t>63,804,206</w:t>
            </w:r>
          </w:p>
        </w:tc>
        <w:tc>
          <w:tcPr>
            <w:tcW w:w="9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67,625,496</w:t>
            </w:r>
          </w:p>
        </w:tc>
        <w:tc>
          <w:tcPr>
            <w:tcW w:w="60" w:type="dxa"/>
            <w:vAlign w:val="bottom"/>
            <w:shd w:val="clear" w:color="auto" w:fill="CCEEFF"/>
          </w:tcPr>
          <w:p>
            <w:pPr>
              <w:spacing w:after="0"/>
              <w:rPr>
                <w:sz w:val="13"/>
                <w:szCs w:val="13"/>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1480"/>
        <w:spacing w:after="0"/>
        <w:rPr>
          <w:sz w:val="20"/>
          <w:szCs w:val="20"/>
          <w:color w:val="auto"/>
        </w:rPr>
      </w:pPr>
      <w:r>
        <w:rPr>
          <w:rFonts w:ascii="Arial" w:cs="Arial" w:eastAsia="Arial" w:hAnsi="Arial"/>
          <w:sz w:val="15"/>
          <w:szCs w:val="15"/>
          <w:b w:val="1"/>
          <w:bCs w:val="1"/>
          <w:i w:val="1"/>
          <w:iCs w:val="1"/>
          <w:color w:val="auto"/>
        </w:rPr>
        <w:t>Unaudited Pro Forma Net Income Per Share Attributable to Upstart Holdings, Inc. Common Stockholders</w:t>
      </w:r>
    </w:p>
    <w:p>
      <w:pPr>
        <w:spacing w:after="0" w:line="195"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The following table sets forth the computation of the Company’s unaudited pro forma basic and diluted net income per share attributable to Upstart Holdings, Inc. common stockholders (in thousands, except share and per share data) assuming the exercise of the convertible preferred stock warrant prior to the completion of an IPO and the subsequent automatic conversion of all convertible preferred stock upon consummation of an IPO as if such an event had occurred as of the beginning of the respective period, or the issuance date of the convertible preferred stock, if later:</w:t>
      </w:r>
    </w:p>
    <w:p>
      <w:pPr>
        <w:spacing w:after="0" w:line="181" w:lineRule="exact"/>
        <w:rPr>
          <w:sz w:val="20"/>
          <w:szCs w:val="20"/>
          <w:color w:val="auto"/>
        </w:rPr>
      </w:pPr>
    </w:p>
    <w:tbl>
      <w:tblPr>
        <w:tblLayout w:type="fixed"/>
        <w:tblInd w:w="1020" w:type="dxa"/>
        <w:tblCellMar>
          <w:top w:w="0" w:type="dxa"/>
          <w:left w:w="0" w:type="dxa"/>
          <w:bottom w:w="0" w:type="dxa"/>
          <w:right w:w="0" w:type="dxa"/>
        </w:tblCellMar>
      </w:tblPr>
      <w:tr>
        <w:trPr>
          <w:trHeight w:val="138"/>
        </w:trPr>
        <w:tc>
          <w:tcPr>
            <w:tcW w:w="6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Nine Months</w:t>
            </w:r>
          </w:p>
        </w:tc>
      </w:tr>
      <w:tr>
        <w:trPr>
          <w:trHeight w:val="135"/>
        </w:trPr>
        <w:tc>
          <w:tcPr>
            <w:tcW w:w="6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4"/>
              <w:spacing w:after="0" w:line="136" w:lineRule="exact"/>
              <w:rPr>
                <w:sz w:val="20"/>
                <w:szCs w:val="20"/>
                <w:color w:val="auto"/>
              </w:rPr>
            </w:pPr>
            <w:r>
              <w:rPr>
                <w:rFonts w:ascii="Arial" w:cs="Arial" w:eastAsia="Arial" w:hAnsi="Arial"/>
                <w:sz w:val="12"/>
                <w:szCs w:val="12"/>
                <w:b w:val="1"/>
                <w:bCs w:val="1"/>
                <w:color w:val="auto"/>
                <w:w w:val="99"/>
              </w:rPr>
              <w:t>Year Ended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
              <w:spacing w:after="0" w:line="136" w:lineRule="exact"/>
              <w:rPr>
                <w:sz w:val="20"/>
                <w:szCs w:val="20"/>
                <w:color w:val="auto"/>
              </w:rPr>
            </w:pPr>
            <w:r>
              <w:rPr>
                <w:rFonts w:ascii="Arial" w:cs="Arial" w:eastAsia="Arial" w:hAnsi="Arial"/>
                <w:sz w:val="12"/>
                <w:szCs w:val="12"/>
                <w:b w:val="1"/>
                <w:bCs w:val="1"/>
                <w:color w:val="auto"/>
              </w:rPr>
              <w:t>Ended</w:t>
            </w:r>
          </w:p>
        </w:tc>
      </w:tr>
      <w:tr>
        <w:trPr>
          <w:trHeight w:val="135"/>
        </w:trPr>
        <w:tc>
          <w:tcPr>
            <w:tcW w:w="6860" w:type="dxa"/>
            <w:vAlign w:val="bottom"/>
          </w:tcPr>
          <w:p>
            <w:pPr>
              <w:spacing w:after="0"/>
              <w:rPr>
                <w:sz w:val="11"/>
                <w:szCs w:val="11"/>
                <w:color w:val="auto"/>
              </w:rPr>
            </w:pPr>
          </w:p>
        </w:tc>
        <w:tc>
          <w:tcPr>
            <w:tcW w:w="860" w:type="dxa"/>
            <w:vAlign w:val="bottom"/>
            <w:gridSpan w:val="2"/>
          </w:tcPr>
          <w:p>
            <w:pPr>
              <w:jc w:val="center"/>
              <w:spacing w:after="0" w:line="136" w:lineRule="exact"/>
              <w:rPr>
                <w:sz w:val="20"/>
                <w:szCs w:val="20"/>
                <w:color w:val="auto"/>
              </w:rPr>
            </w:pPr>
            <w:r>
              <w:rPr>
                <w:rFonts w:ascii="Arial" w:cs="Arial" w:eastAsia="Arial" w:hAnsi="Arial"/>
                <w:sz w:val="12"/>
                <w:szCs w:val="12"/>
                <w:b w:val="1"/>
                <w:bCs w:val="1"/>
                <w:color w:val="auto"/>
                <w:w w:val="99"/>
              </w:rPr>
              <w:t>December 31,</w:t>
            </w:r>
          </w:p>
        </w:tc>
        <w:tc>
          <w:tcPr>
            <w:tcW w:w="660" w:type="dxa"/>
            <w:vAlign w:val="bottom"/>
          </w:tcPr>
          <w:p>
            <w:pPr>
              <w:spacing w:after="0"/>
              <w:rPr>
                <w:sz w:val="11"/>
                <w:szCs w:val="11"/>
                <w:color w:val="auto"/>
              </w:rPr>
            </w:pPr>
          </w:p>
        </w:tc>
        <w:tc>
          <w:tcPr>
            <w:tcW w:w="82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w w:val="97"/>
              </w:rPr>
              <w:t>September 30,</w:t>
            </w:r>
          </w:p>
        </w:tc>
      </w:tr>
      <w:tr>
        <w:trPr>
          <w:trHeight w:val="145"/>
        </w:trPr>
        <w:tc>
          <w:tcPr>
            <w:tcW w:w="68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7"/>
              </w:rPr>
              <w:t>2019</w:t>
            </w: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7"/>
              </w:rPr>
              <w:t>2020</w:t>
            </w:r>
          </w:p>
        </w:tc>
      </w:tr>
      <w:tr>
        <w:trPr>
          <w:trHeight w:val="138"/>
        </w:trPr>
        <w:tc>
          <w:tcPr>
            <w:tcW w:w="6860" w:type="dxa"/>
            <w:vAlign w:val="bottom"/>
            <w:shd w:val="clear" w:color="auto" w:fill="CCEEFF"/>
          </w:tcPr>
          <w:p>
            <w:pPr>
              <w:spacing w:after="0" w:line="138" w:lineRule="exact"/>
              <w:rPr>
                <w:sz w:val="20"/>
                <w:szCs w:val="20"/>
                <w:color w:val="auto"/>
              </w:rPr>
            </w:pPr>
            <w:r>
              <w:rPr>
                <w:rFonts w:ascii="Arial" w:cs="Arial" w:eastAsia="Arial" w:hAnsi="Arial"/>
                <w:sz w:val="14"/>
                <w:szCs w:val="14"/>
                <w:b w:val="1"/>
                <w:bCs w:val="1"/>
                <w:color w:val="auto"/>
              </w:rPr>
              <w:t>Numerator</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6860" w:type="dxa"/>
            <w:vAlign w:val="bottom"/>
          </w:tcPr>
          <w:p>
            <w:pPr>
              <w:ind w:left="280"/>
              <w:spacing w:after="0" w:line="158" w:lineRule="exact"/>
              <w:rPr>
                <w:sz w:val="20"/>
                <w:szCs w:val="20"/>
                <w:color w:val="auto"/>
              </w:rPr>
            </w:pPr>
            <w:r>
              <w:rPr>
                <w:rFonts w:ascii="Arial" w:cs="Arial" w:eastAsia="Arial" w:hAnsi="Arial"/>
                <w:sz w:val="14"/>
                <w:szCs w:val="14"/>
                <w:color w:val="auto"/>
              </w:rPr>
              <w:t>Net (loss) income attributable to Upstart Holdings, Inc. common stockholders</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8" w:lineRule="exact"/>
              <w:rPr>
                <w:sz w:val="20"/>
                <w:szCs w:val="20"/>
                <w:color w:val="auto"/>
              </w:rPr>
            </w:pPr>
            <w:r>
              <w:rPr>
                <w:rFonts w:ascii="Arial" w:cs="Arial" w:eastAsia="Arial" w:hAnsi="Arial"/>
                <w:sz w:val="14"/>
                <w:szCs w:val="14"/>
                <w:color w:val="auto"/>
              </w:rPr>
              <w:t>(466)</w:t>
            </w:r>
          </w:p>
        </w:tc>
        <w:tc>
          <w:tcPr>
            <w:tcW w:w="740" w:type="dxa"/>
            <w:vAlign w:val="bottom"/>
            <w:gridSpan w:val="2"/>
          </w:tcPr>
          <w:p>
            <w:pPr>
              <w:ind w:left="66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4,956</w:t>
            </w:r>
          </w:p>
        </w:tc>
      </w:tr>
      <w:tr>
        <w:trPr>
          <w:trHeight w:val="158"/>
        </w:trPr>
        <w:tc>
          <w:tcPr>
            <w:tcW w:w="6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Add: Change in fair value of convertible preferred stock warrant liability</w:t>
            </w: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4"/>
              <w:spacing w:after="0" w:line="158" w:lineRule="exact"/>
              <w:rPr>
                <w:sz w:val="20"/>
                <w:szCs w:val="20"/>
                <w:color w:val="auto"/>
              </w:rPr>
            </w:pPr>
            <w:r>
              <w:rPr>
                <w:rFonts w:ascii="Arial" w:cs="Arial" w:eastAsia="Arial" w:hAnsi="Arial"/>
                <w:sz w:val="14"/>
                <w:szCs w:val="14"/>
                <w:color w:val="auto"/>
              </w:rPr>
              <w:t>4,301</w:t>
            </w:r>
          </w:p>
        </w:tc>
        <w:tc>
          <w:tcPr>
            <w:tcW w:w="6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8" w:lineRule="exact"/>
              <w:rPr>
                <w:sz w:val="20"/>
                <w:szCs w:val="20"/>
                <w:color w:val="auto"/>
              </w:rPr>
            </w:pPr>
            <w:r>
              <w:rPr>
                <w:rFonts w:ascii="Arial" w:cs="Arial" w:eastAsia="Arial" w:hAnsi="Arial"/>
                <w:sz w:val="14"/>
                <w:szCs w:val="14"/>
                <w:color w:val="auto"/>
              </w:rPr>
              <w:t>1,792</w:t>
            </w:r>
          </w:p>
        </w:tc>
      </w:tr>
      <w:tr>
        <w:trPr>
          <w:trHeight w:val="162"/>
        </w:trPr>
        <w:tc>
          <w:tcPr>
            <w:tcW w:w="6860" w:type="dxa"/>
            <w:vAlign w:val="bottom"/>
          </w:tcPr>
          <w:p>
            <w:pPr>
              <w:ind w:left="280"/>
              <w:spacing w:after="0"/>
              <w:rPr>
                <w:sz w:val="20"/>
                <w:szCs w:val="20"/>
                <w:color w:val="auto"/>
              </w:rPr>
            </w:pPr>
            <w:r>
              <w:rPr>
                <w:rFonts w:ascii="Arial" w:cs="Arial" w:eastAsia="Arial" w:hAnsi="Arial"/>
                <w:sz w:val="14"/>
                <w:szCs w:val="14"/>
                <w:color w:val="auto"/>
              </w:rPr>
              <w:t>Net income used in calculating pro forma earnings per share attributable to common stockholders,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6"/>
        </w:trPr>
        <w:tc>
          <w:tcPr>
            <w:tcW w:w="6860" w:type="dxa"/>
            <w:vAlign w:val="bottom"/>
          </w:tcPr>
          <w:p>
            <w:pPr>
              <w:ind w:left="420"/>
              <w:spacing w:after="0" w:line="156" w:lineRule="exact"/>
              <w:rPr>
                <w:sz w:val="20"/>
                <w:szCs w:val="20"/>
                <w:color w:val="auto"/>
              </w:rPr>
            </w:pPr>
            <w:r>
              <w:rPr>
                <w:rFonts w:ascii="Arial" w:cs="Arial" w:eastAsia="Arial" w:hAnsi="Arial"/>
                <w:sz w:val="14"/>
                <w:szCs w:val="14"/>
                <w:color w:val="auto"/>
              </w:rPr>
              <w:t>basic and diluted</w:t>
            </w:r>
          </w:p>
        </w:tc>
        <w:tc>
          <w:tcPr>
            <w:tcW w:w="8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34"/>
              <w:spacing w:after="0" w:line="156" w:lineRule="exact"/>
              <w:rPr>
                <w:sz w:val="20"/>
                <w:szCs w:val="20"/>
                <w:color w:val="auto"/>
              </w:rPr>
            </w:pPr>
            <w:r>
              <w:rPr>
                <w:rFonts w:ascii="Arial" w:cs="Arial" w:eastAsia="Arial" w:hAnsi="Arial"/>
                <w:sz w:val="14"/>
                <w:szCs w:val="14"/>
                <w:color w:val="auto"/>
              </w:rPr>
              <w:t>3,835</w:t>
            </w:r>
          </w:p>
        </w:tc>
        <w:tc>
          <w:tcPr>
            <w:tcW w:w="740" w:type="dxa"/>
            <w:vAlign w:val="bottom"/>
            <w:gridSpan w:val="2"/>
          </w:tcPr>
          <w:p>
            <w:pPr>
              <w:ind w:left="660"/>
              <w:spacing w:after="0" w:line="156"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rPr>
              <w:t>6,748</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8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Denominator</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9"/>
        </w:trPr>
        <w:tc>
          <w:tcPr>
            <w:tcW w:w="6860" w:type="dxa"/>
            <w:vAlign w:val="bottom"/>
          </w:tcPr>
          <w:p>
            <w:pPr>
              <w:ind w:left="280"/>
              <w:spacing w:after="0" w:line="159" w:lineRule="exact"/>
              <w:rPr>
                <w:sz w:val="20"/>
                <w:szCs w:val="20"/>
                <w:color w:val="auto"/>
              </w:rPr>
            </w:pPr>
            <w:r>
              <w:rPr>
                <w:rFonts w:ascii="Arial" w:cs="Arial" w:eastAsia="Arial" w:hAnsi="Arial"/>
                <w:sz w:val="14"/>
                <w:szCs w:val="14"/>
                <w:color w:val="auto"/>
              </w:rPr>
              <w:t>Weighted-average common shares outstanding used to calculate net income per share attributable</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8"/>
        </w:trPr>
        <w:tc>
          <w:tcPr>
            <w:tcW w:w="6860" w:type="dxa"/>
            <w:vAlign w:val="bottom"/>
          </w:tcPr>
          <w:p>
            <w:pPr>
              <w:ind w:left="420"/>
              <w:spacing w:after="0" w:line="158" w:lineRule="exact"/>
              <w:rPr>
                <w:sz w:val="20"/>
                <w:szCs w:val="20"/>
                <w:color w:val="auto"/>
              </w:rPr>
            </w:pPr>
            <w:r>
              <w:rPr>
                <w:rFonts w:ascii="Arial" w:cs="Arial" w:eastAsia="Arial" w:hAnsi="Arial"/>
                <w:sz w:val="14"/>
                <w:szCs w:val="14"/>
                <w:color w:val="auto"/>
              </w:rPr>
              <w:t>to Upstart Holdings, Inc. common stockholders,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56"/>
        </w:trPr>
        <w:tc>
          <w:tcPr>
            <w:tcW w:w="6860" w:type="dxa"/>
            <w:vAlign w:val="bottom"/>
          </w:tcPr>
          <w:p>
            <w:pPr>
              <w:ind w:left="420"/>
              <w:spacing w:after="0" w:line="156" w:lineRule="exact"/>
              <w:rPr>
                <w:sz w:val="20"/>
                <w:szCs w:val="20"/>
                <w:color w:val="auto"/>
              </w:rPr>
            </w:pPr>
            <w:r>
              <w:rPr>
                <w:rFonts w:ascii="Arial" w:cs="Arial" w:eastAsia="Arial" w:hAnsi="Arial"/>
                <w:sz w:val="14"/>
                <w:szCs w:val="14"/>
                <w:color w:val="auto"/>
              </w:rPr>
              <w:t>basic</w:t>
            </w:r>
          </w:p>
        </w:tc>
        <w:tc>
          <w:tcPr>
            <w:tcW w:w="80" w:type="dxa"/>
            <w:vAlign w:val="bottom"/>
          </w:tcPr>
          <w:p>
            <w:pPr>
              <w:spacing w:after="0"/>
              <w:rPr>
                <w:sz w:val="13"/>
                <w:szCs w:val="13"/>
                <w:color w:val="auto"/>
              </w:rPr>
            </w:pPr>
          </w:p>
        </w:tc>
        <w:tc>
          <w:tcPr>
            <w:tcW w:w="780" w:type="dxa"/>
            <w:vAlign w:val="bottom"/>
          </w:tcPr>
          <w:p>
            <w:pPr>
              <w:jc w:val="right"/>
              <w:ind w:right="34"/>
              <w:spacing w:after="0" w:line="156" w:lineRule="exact"/>
              <w:rPr>
                <w:sz w:val="20"/>
                <w:szCs w:val="20"/>
                <w:color w:val="auto"/>
              </w:rPr>
            </w:pPr>
            <w:r>
              <w:rPr>
                <w:rFonts w:ascii="Arial" w:cs="Arial" w:eastAsia="Arial" w:hAnsi="Arial"/>
                <w:sz w:val="14"/>
                <w:szCs w:val="14"/>
                <w:color w:val="auto"/>
                <w:w w:val="94"/>
              </w:rPr>
              <w:t>14,335,611</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line="156" w:lineRule="exact"/>
              <w:rPr>
                <w:sz w:val="20"/>
                <w:szCs w:val="20"/>
                <w:color w:val="auto"/>
              </w:rPr>
            </w:pPr>
            <w:r>
              <w:rPr>
                <w:rFonts w:ascii="Arial" w:cs="Arial" w:eastAsia="Arial" w:hAnsi="Arial"/>
                <w:sz w:val="14"/>
                <w:szCs w:val="14"/>
                <w:color w:val="auto"/>
                <w:w w:val="94"/>
              </w:rPr>
              <w:t>14,663,623</w:t>
            </w:r>
          </w:p>
        </w:tc>
      </w:tr>
      <w:tr>
        <w:trPr>
          <w:trHeight w:val="158"/>
        </w:trPr>
        <w:tc>
          <w:tcPr>
            <w:tcW w:w="6860" w:type="dxa"/>
            <w:vAlign w:val="bottom"/>
            <w:shd w:val="clear" w:color="auto" w:fill="CCEEFF"/>
          </w:tcPr>
          <w:p>
            <w:pPr>
              <w:ind w:left="280"/>
              <w:spacing w:after="0" w:line="158" w:lineRule="exact"/>
              <w:rPr>
                <w:sz w:val="20"/>
                <w:szCs w:val="20"/>
                <w:color w:val="auto"/>
              </w:rPr>
            </w:pPr>
            <w:r>
              <w:rPr>
                <w:rFonts w:ascii="Arial" w:cs="Arial" w:eastAsia="Arial" w:hAnsi="Arial"/>
                <w:sz w:val="14"/>
                <w:szCs w:val="14"/>
                <w:color w:val="auto"/>
              </w:rPr>
              <w:t>Pro forma adjustment to reflect assumed conversion of convertible preferred stock</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4"/>
              <w:spacing w:after="0" w:line="158" w:lineRule="exact"/>
              <w:rPr>
                <w:sz w:val="20"/>
                <w:szCs w:val="20"/>
                <w:color w:val="auto"/>
              </w:rPr>
            </w:pPr>
            <w:r>
              <w:rPr>
                <w:rFonts w:ascii="Arial" w:cs="Arial" w:eastAsia="Arial" w:hAnsi="Arial"/>
                <w:sz w:val="14"/>
                <w:szCs w:val="14"/>
                <w:color w:val="auto"/>
                <w:w w:val="94"/>
              </w:rPr>
              <w:t>47,314,075</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4"/>
              </w:rPr>
              <w:t>47,349,577</w:t>
            </w:r>
          </w:p>
        </w:tc>
      </w:tr>
      <w:tr>
        <w:trPr>
          <w:trHeight w:val="160"/>
        </w:trPr>
        <w:tc>
          <w:tcPr>
            <w:tcW w:w="6860" w:type="dxa"/>
            <w:vAlign w:val="bottom"/>
          </w:tcPr>
          <w:p>
            <w:pPr>
              <w:ind w:left="280"/>
              <w:spacing w:after="0" w:line="158" w:lineRule="exact"/>
              <w:rPr>
                <w:sz w:val="20"/>
                <w:szCs w:val="20"/>
                <w:color w:val="auto"/>
              </w:rPr>
            </w:pPr>
            <w:r>
              <w:rPr>
                <w:rFonts w:ascii="Arial" w:cs="Arial" w:eastAsia="Arial" w:hAnsi="Arial"/>
                <w:sz w:val="14"/>
                <w:szCs w:val="14"/>
                <w:color w:val="auto"/>
              </w:rPr>
              <w:t>Pro forma adjustment to reflect assumed conversion of convertible preferred stock warrants</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4"/>
              <w:spacing w:after="0" w:line="158" w:lineRule="exact"/>
              <w:rPr>
                <w:sz w:val="20"/>
                <w:szCs w:val="20"/>
                <w:color w:val="auto"/>
              </w:rPr>
            </w:pPr>
            <w:r>
              <w:rPr>
                <w:rFonts w:ascii="Arial" w:cs="Arial" w:eastAsia="Arial" w:hAnsi="Arial"/>
                <w:sz w:val="14"/>
                <w:szCs w:val="14"/>
                <w:color w:val="auto"/>
              </w:rPr>
              <w:t>600,208</w:t>
            </w:r>
          </w:p>
        </w:tc>
        <w:tc>
          <w:tcPr>
            <w:tcW w:w="6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8" w:lineRule="exact"/>
              <w:rPr>
                <w:sz w:val="20"/>
                <w:szCs w:val="20"/>
                <w:color w:val="auto"/>
              </w:rPr>
            </w:pPr>
            <w:r>
              <w:rPr>
                <w:rFonts w:ascii="Arial" w:cs="Arial" w:eastAsia="Arial" w:hAnsi="Arial"/>
                <w:sz w:val="14"/>
                <w:szCs w:val="14"/>
                <w:color w:val="auto"/>
              </w:rPr>
              <w:t>600,208</w:t>
            </w:r>
          </w:p>
        </w:tc>
      </w:tr>
      <w:tr>
        <w:trPr>
          <w:trHeight w:val="159"/>
        </w:trPr>
        <w:tc>
          <w:tcPr>
            <w:tcW w:w="68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Weighted-average number of shares used to compute pro forma net income per share attributable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68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to Upstart Holdings, Inc. common stockholders, basic</w:t>
            </w: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4"/>
              <w:spacing w:after="0" w:line="156" w:lineRule="exact"/>
              <w:rPr>
                <w:sz w:val="20"/>
                <w:szCs w:val="20"/>
                <w:color w:val="auto"/>
              </w:rPr>
            </w:pPr>
            <w:r>
              <w:rPr>
                <w:rFonts w:ascii="Arial" w:cs="Arial" w:eastAsia="Arial" w:hAnsi="Arial"/>
                <w:sz w:val="14"/>
                <w:szCs w:val="14"/>
                <w:color w:val="auto"/>
                <w:w w:val="94"/>
              </w:rPr>
              <w:t>62,249,893</w:t>
            </w:r>
          </w:p>
        </w:tc>
        <w:tc>
          <w:tcPr>
            <w:tcW w:w="6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62,613,408</w:t>
            </w:r>
          </w:p>
        </w:tc>
      </w:tr>
      <w:tr>
        <w:trPr>
          <w:trHeight w:val="20"/>
        </w:trPr>
        <w:tc>
          <w:tcPr>
            <w:tcW w:w="6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3"/>
        </w:trPr>
        <w:tc>
          <w:tcPr>
            <w:tcW w:w="6860" w:type="dxa"/>
            <w:vAlign w:val="bottom"/>
          </w:tcPr>
          <w:p>
            <w:pPr>
              <w:ind w:left="280"/>
              <w:spacing w:after="0" w:line="143" w:lineRule="exact"/>
              <w:rPr>
                <w:sz w:val="20"/>
                <w:szCs w:val="20"/>
                <w:color w:val="auto"/>
              </w:rPr>
            </w:pPr>
            <w:r>
              <w:rPr>
                <w:rFonts w:ascii="Arial" w:cs="Arial" w:eastAsia="Arial" w:hAnsi="Arial"/>
                <w:sz w:val="14"/>
                <w:szCs w:val="14"/>
                <w:color w:val="auto"/>
              </w:rPr>
              <w:t>Pro forma net income per share attributable to Upstart Holdings, Inc. common stockholders, basic</w:t>
            </w:r>
          </w:p>
        </w:tc>
        <w:tc>
          <w:tcPr>
            <w:tcW w:w="8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34"/>
              <w:spacing w:after="0" w:line="143" w:lineRule="exact"/>
              <w:rPr>
                <w:sz w:val="20"/>
                <w:szCs w:val="20"/>
                <w:color w:val="auto"/>
              </w:rPr>
            </w:pPr>
            <w:r>
              <w:rPr>
                <w:rFonts w:ascii="Arial" w:cs="Arial" w:eastAsia="Arial" w:hAnsi="Arial"/>
                <w:sz w:val="14"/>
                <w:szCs w:val="14"/>
                <w:color w:val="auto"/>
              </w:rPr>
              <w:t>0.06</w:t>
            </w:r>
          </w:p>
        </w:tc>
        <w:tc>
          <w:tcPr>
            <w:tcW w:w="740" w:type="dxa"/>
            <w:vAlign w:val="bottom"/>
            <w:gridSpan w:val="2"/>
          </w:tcPr>
          <w:p>
            <w:pPr>
              <w:ind w:left="660"/>
              <w:spacing w:after="0" w:line="143"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0.11</w:t>
            </w:r>
          </w:p>
        </w:tc>
      </w:tr>
      <w:tr>
        <w:trPr>
          <w:trHeight w:val="159"/>
        </w:trPr>
        <w:tc>
          <w:tcPr>
            <w:tcW w:w="686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Weighted-average number of shares used to compute pro forma net income per share attributable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56"/>
        </w:trPr>
        <w:tc>
          <w:tcPr>
            <w:tcW w:w="6860" w:type="dxa"/>
            <w:vAlign w:val="bottom"/>
            <w:shd w:val="clear" w:color="auto" w:fill="CCEEFF"/>
          </w:tcPr>
          <w:p>
            <w:pPr>
              <w:ind w:left="420"/>
              <w:spacing w:after="0" w:line="156" w:lineRule="exact"/>
              <w:rPr>
                <w:sz w:val="20"/>
                <w:szCs w:val="20"/>
                <w:color w:val="auto"/>
              </w:rPr>
            </w:pPr>
            <w:r>
              <w:rPr>
                <w:rFonts w:ascii="Arial" w:cs="Arial" w:eastAsia="Arial" w:hAnsi="Arial"/>
                <w:sz w:val="14"/>
                <w:szCs w:val="14"/>
                <w:color w:val="auto"/>
              </w:rPr>
              <w:t>to Upstart Holdings, Inc. common stockholders, diluted</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4"/>
              <w:spacing w:after="0" w:line="156" w:lineRule="exact"/>
              <w:rPr>
                <w:sz w:val="20"/>
                <w:szCs w:val="20"/>
                <w:color w:val="auto"/>
              </w:rPr>
            </w:pPr>
            <w:r>
              <w:rPr>
                <w:rFonts w:ascii="Arial" w:cs="Arial" w:eastAsia="Arial" w:hAnsi="Arial"/>
                <w:sz w:val="14"/>
                <w:szCs w:val="14"/>
                <w:color w:val="auto"/>
                <w:w w:val="94"/>
              </w:rPr>
              <w:t>71,497,924</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94"/>
              </w:rPr>
              <w:t>71,733,580</w:t>
            </w:r>
          </w:p>
        </w:tc>
      </w:tr>
      <w:tr>
        <w:trPr>
          <w:trHeight w:val="158"/>
        </w:trPr>
        <w:tc>
          <w:tcPr>
            <w:tcW w:w="6860" w:type="dxa"/>
            <w:vAlign w:val="bottom"/>
          </w:tcPr>
          <w:p>
            <w:pPr>
              <w:ind w:left="280"/>
              <w:spacing w:after="0" w:line="158" w:lineRule="exact"/>
              <w:rPr>
                <w:sz w:val="20"/>
                <w:szCs w:val="20"/>
                <w:color w:val="auto"/>
              </w:rPr>
            </w:pPr>
            <w:r>
              <w:rPr>
                <w:rFonts w:ascii="Arial" w:cs="Arial" w:eastAsia="Arial" w:hAnsi="Arial"/>
                <w:sz w:val="14"/>
                <w:szCs w:val="14"/>
                <w:color w:val="auto"/>
              </w:rPr>
              <w:t>Pro forma net income per share attributable to Upstart Holdings, Inc. common stockholders, diluted</w:t>
            </w: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34"/>
              <w:spacing w:after="0" w:line="158" w:lineRule="exact"/>
              <w:rPr>
                <w:sz w:val="20"/>
                <w:szCs w:val="20"/>
                <w:color w:val="auto"/>
              </w:rPr>
            </w:pPr>
            <w:r>
              <w:rPr>
                <w:rFonts w:ascii="Arial" w:cs="Arial" w:eastAsia="Arial" w:hAnsi="Arial"/>
                <w:sz w:val="14"/>
                <w:szCs w:val="14"/>
                <w:color w:val="auto"/>
              </w:rPr>
              <w:t>0.05</w:t>
            </w:r>
          </w:p>
        </w:tc>
        <w:tc>
          <w:tcPr>
            <w:tcW w:w="740" w:type="dxa"/>
            <w:vAlign w:val="bottom"/>
            <w:gridSpan w:val="2"/>
          </w:tcPr>
          <w:p>
            <w:pPr>
              <w:ind w:left="660"/>
              <w:spacing w:after="0" w:line="158"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8" w:lineRule="exact"/>
              <w:rPr>
                <w:sz w:val="20"/>
                <w:szCs w:val="20"/>
                <w:color w:val="auto"/>
              </w:rPr>
            </w:pPr>
            <w:r>
              <w:rPr>
                <w:rFonts w:ascii="Arial" w:cs="Arial" w:eastAsia="Arial" w:hAnsi="Arial"/>
                <w:sz w:val="14"/>
                <w:szCs w:val="14"/>
                <w:color w:val="auto"/>
              </w:rPr>
              <w:t>0.09</w:t>
            </w:r>
          </w:p>
        </w:tc>
      </w:tr>
      <w:tr>
        <w:trPr>
          <w:trHeight w:val="20"/>
        </w:trPr>
        <w:tc>
          <w:tcPr>
            <w:tcW w:w="6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F-66</w:t>
      </w:r>
    </w:p>
    <w:p>
      <w:pPr>
        <w:sectPr>
          <w:pgSz w:w="11900" w:h="16838" w:orient="portrait"/>
          <w:cols w:equalWidth="0" w:num="1">
            <w:col w:w="10220"/>
          </w:cols>
          <w:pgMar w:left="320" w:top="407" w:right="1359" w:bottom="1440" w:gutter="0" w:footer="0" w:header="0"/>
        </w:sectPr>
      </w:pPr>
    </w:p>
    <w:bookmarkStart w:id="301" w:name="page302"/>
    <w:bookmarkEnd w:id="301"/>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51" w:lineRule="exact"/>
        <w:rPr>
          <w:sz w:val="20"/>
          <w:szCs w:val="20"/>
          <w:color w:val="auto"/>
        </w:rPr>
      </w:pPr>
    </w:p>
    <w:p>
      <w:pPr>
        <w:jc w:val="center"/>
        <w:ind w:right="-1079"/>
        <w:spacing w:after="0"/>
        <w:rPr>
          <w:sz w:val="20"/>
          <w:szCs w:val="20"/>
          <w:color w:val="auto"/>
        </w:rPr>
      </w:pPr>
      <w:r>
        <w:rPr>
          <w:rFonts w:ascii="Arial" w:cs="Arial" w:eastAsia="Arial" w:hAnsi="Arial"/>
          <w:sz w:val="15"/>
          <w:szCs w:val="15"/>
          <w:b w:val="1"/>
          <w:bCs w:val="1"/>
          <w:color w:val="auto"/>
        </w:rPr>
        <w:t>Upstart Holdings, Inc.</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99" w:lineRule="exact"/>
        <w:rPr>
          <w:sz w:val="20"/>
          <w:szCs w:val="20"/>
          <w:color w:val="auto"/>
        </w:rPr>
      </w:pPr>
    </w:p>
    <w:p>
      <w:pPr>
        <w:ind w:left="1020" w:right="7060" w:firstLine="7"/>
        <w:spacing w:after="0" w:line="373" w:lineRule="auto"/>
        <w:tabs>
          <w:tab w:leader="none" w:pos="1270" w:val="left"/>
        </w:tabs>
        <w:numPr>
          <w:ilvl w:val="0"/>
          <w:numId w:val="15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Subsequent Events Subsequent Events (audited)</w:t>
      </w:r>
    </w:p>
    <w:p>
      <w:pPr>
        <w:jc w:val="both"/>
        <w:ind w:left="1020" w:right="40" w:firstLine="460"/>
        <w:spacing w:after="0"/>
        <w:rPr>
          <w:sz w:val="20"/>
          <w:szCs w:val="20"/>
          <w:color w:val="auto"/>
        </w:rPr>
      </w:pPr>
      <w:r>
        <w:rPr>
          <w:rFonts w:ascii="Arial" w:cs="Arial" w:eastAsia="Arial" w:hAnsi="Arial"/>
          <w:sz w:val="15"/>
          <w:szCs w:val="15"/>
          <w:color w:val="auto"/>
        </w:rPr>
        <w:t>The Company has evaluated the impact of events that have occurred subsequent to December 31, 2019, through March 3, 2020, the date at which the consolidated financial statements as of and for the years ended December 31, 2017, 2018 and 2019 were available to be issued. Based on the evaluation, the Company has determined no subsequent events were required to be recognized or disclosed.</w:t>
      </w:r>
    </w:p>
    <w:p>
      <w:pPr>
        <w:spacing w:after="0" w:line="242" w:lineRule="exact"/>
        <w:rPr>
          <w:sz w:val="20"/>
          <w:szCs w:val="20"/>
          <w:color w:val="auto"/>
        </w:rPr>
      </w:pPr>
    </w:p>
    <w:p>
      <w:pPr>
        <w:ind w:left="1020"/>
        <w:spacing w:after="0"/>
        <w:rPr>
          <w:sz w:val="20"/>
          <w:szCs w:val="20"/>
          <w:color w:val="auto"/>
        </w:rPr>
      </w:pPr>
      <w:r>
        <w:rPr>
          <w:rFonts w:ascii="Arial" w:cs="Arial" w:eastAsia="Arial" w:hAnsi="Arial"/>
          <w:sz w:val="15"/>
          <w:szCs w:val="15"/>
          <w:b w:val="1"/>
          <w:bCs w:val="1"/>
          <w:i w:val="1"/>
          <w:iCs w:val="1"/>
          <w:color w:val="auto"/>
        </w:rPr>
        <w:t>Subsequent Events (unaudited)</w:t>
      </w:r>
    </w:p>
    <w:p>
      <w:pPr>
        <w:spacing w:after="0" w:line="195"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The Company has evaluated the impact of events that have occurred subsequent to September 30, 2020, through December 15, 2020, the date at which the consolidated interim financial statements as of September 30, 2020 and for the nine months ended September 30, 2019 and 2020 were available to be issued. Based on the evaluation, the Company has determined no subsequent events were required to be recognized or disclosed except the matters below.</w:t>
      </w:r>
    </w:p>
    <w:p>
      <w:pPr>
        <w:spacing w:after="0" w:line="172" w:lineRule="exact"/>
        <w:rPr>
          <w:sz w:val="20"/>
          <w:szCs w:val="20"/>
          <w:color w:val="auto"/>
        </w:rPr>
      </w:pPr>
    </w:p>
    <w:p>
      <w:pPr>
        <w:ind w:left="1020" w:firstLine="460"/>
        <w:spacing w:after="0" w:line="238" w:lineRule="auto"/>
        <w:rPr>
          <w:sz w:val="20"/>
          <w:szCs w:val="20"/>
          <w:color w:val="auto"/>
        </w:rPr>
      </w:pPr>
      <w:r>
        <w:rPr>
          <w:rFonts w:ascii="Arial" w:cs="Arial" w:eastAsia="Arial" w:hAnsi="Arial"/>
          <w:sz w:val="15"/>
          <w:szCs w:val="15"/>
          <w:color w:val="auto"/>
        </w:rPr>
        <w:t>In October 2020, the Company paid down $13.5 million on the UWT Warehouse Credit Facility. On November 2, 2020, the Company paid in full the remaining outstanding borrowings and accrued interest under the UWT Warehouse Credit Facility of $4.0 million. The UWT Warehouse Credit Facility had an original maturity date of May 21, 2021. The Company terminated the UWT Warehouse Credit Facility in November 2020.</w:t>
      </w:r>
    </w:p>
    <w:p>
      <w:pPr>
        <w:spacing w:after="0" w:line="172" w:lineRule="exact"/>
        <w:rPr>
          <w:sz w:val="20"/>
          <w:szCs w:val="20"/>
          <w:color w:val="auto"/>
        </w:rPr>
      </w:pPr>
    </w:p>
    <w:p>
      <w:pPr>
        <w:ind w:left="1020" w:right="40" w:firstLine="460"/>
        <w:spacing w:after="0" w:line="238" w:lineRule="auto"/>
        <w:rPr>
          <w:sz w:val="20"/>
          <w:szCs w:val="20"/>
          <w:color w:val="auto"/>
        </w:rPr>
      </w:pPr>
      <w:r>
        <w:rPr>
          <w:rFonts w:ascii="Arial" w:cs="Arial" w:eastAsia="Arial" w:hAnsi="Arial"/>
          <w:sz w:val="15"/>
          <w:szCs w:val="15"/>
          <w:color w:val="auto"/>
        </w:rPr>
        <w:t>In November 2020, the Company’s Board of Directors approved an option grant under the 2012 Plan to Dave Girouard, Co-Founder, Chief Executive Officer and a member of the Board of Directors. Mr. Girouard received an option to purchase 550,000 shares of the Company’s common stock, which vests in 28 equal monthly installments beginning on September 1, 2020, subject to Mr. Girouard’s continued employment in the current role with the Company.</w:t>
      </w:r>
    </w:p>
    <w:p>
      <w:pPr>
        <w:spacing w:after="0" w:line="172" w:lineRule="exact"/>
        <w:rPr>
          <w:sz w:val="20"/>
          <w:szCs w:val="20"/>
          <w:color w:val="auto"/>
        </w:rPr>
      </w:pPr>
    </w:p>
    <w:p>
      <w:pPr>
        <w:ind w:left="1020" w:right="140" w:firstLine="460"/>
        <w:spacing w:after="0" w:line="245" w:lineRule="auto"/>
        <w:rPr>
          <w:sz w:val="20"/>
          <w:szCs w:val="20"/>
          <w:color w:val="auto"/>
        </w:rPr>
      </w:pPr>
      <w:r>
        <w:rPr>
          <w:rFonts w:ascii="Arial" w:cs="Arial" w:eastAsia="Arial" w:hAnsi="Arial"/>
          <w:sz w:val="15"/>
          <w:szCs w:val="15"/>
          <w:color w:val="auto"/>
        </w:rPr>
        <w:t>In November 2020, the Company agreed to extend the maturity date of the UNI Credit Facility from December 1, 2020 to June 1, 2021. All outstanding principal, and any accrued and unpaid interest, are due and payable in full at maturity.</w:t>
      </w:r>
    </w:p>
    <w:p>
      <w:pPr>
        <w:spacing w:after="0" w:line="110"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F-67</w:t>
      </w:r>
    </w:p>
    <w:p>
      <w:pPr>
        <w:sectPr>
          <w:pgSz w:w="11900" w:h="16838" w:orient="portrait"/>
          <w:cols w:equalWidth="0" w:num="1">
            <w:col w:w="10160"/>
          </w:cols>
          <w:pgMar w:left="320" w:top="407" w:right="1419" w:bottom="1440" w:gutter="0" w:footer="0" w:header="0"/>
        </w:sectPr>
      </w:pPr>
    </w:p>
    <w:bookmarkStart w:id="302" w:name="page303"/>
    <w:bookmarkEnd w:id="30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8116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51755" cy="681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6939"/>
        <w:spacing w:after="0"/>
        <w:rPr>
          <w:sz w:val="20"/>
          <w:szCs w:val="20"/>
          <w:color w:val="auto"/>
        </w:rPr>
      </w:pPr>
      <w:r>
        <w:rPr>
          <w:rFonts w:ascii="Arial" w:cs="Arial" w:eastAsia="Arial" w:hAnsi="Arial"/>
          <w:sz w:val="11"/>
          <w:szCs w:val="11"/>
          <w:color w:val="FFFFFF"/>
        </w:rPr>
        <w:t>^^^^^^^^^^^^^^^^^^^^^^^^^^^^^^^^^^^^^^^^^</w:t>
      </w:r>
    </w:p>
    <w:p>
      <w:pPr>
        <w:sectPr>
          <w:pgSz w:w="11900" w:h="16838" w:orient="portrait"/>
          <w:cols w:equalWidth="0" w:num="1">
            <w:col w:w="10139"/>
          </w:cols>
          <w:pgMar w:left="320" w:top="407" w:right="1440" w:bottom="1440" w:gutter="0" w:footer="0" w:header="0"/>
        </w:sectPr>
      </w:pPr>
    </w:p>
    <w:bookmarkStart w:id="303" w:name="page304"/>
    <w:bookmarkEnd w:id="30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196850</wp:posOffset>
            </wp:positionH>
            <wp:positionV relativeFrom="page">
              <wp:posOffset>88900</wp:posOffset>
            </wp:positionV>
            <wp:extent cx="716915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69150" cy="21590"/>
                    </a:xfrm>
                    <a:prstGeom prst="rect">
                      <a:avLst/>
                    </a:prstGeom>
                    <a:noFill/>
                  </pic:spPr>
                </pic:pic>
              </a:graphicData>
            </a:graphic>
          </wp:anchor>
        </w:drawing>
      </w:r>
      <w:hyperlink w:anchor="page10">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995680</wp:posOffset>
            </wp:positionH>
            <wp:positionV relativeFrom="paragraph">
              <wp:posOffset>171450</wp:posOffset>
            </wp:positionV>
            <wp:extent cx="5151755" cy="67113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151755" cy="671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8779"/>
        <w:spacing w:after="0"/>
        <w:rPr>
          <w:sz w:val="20"/>
          <w:szCs w:val="20"/>
          <w:color w:val="auto"/>
        </w:rPr>
      </w:pPr>
      <w:r>
        <w:rPr>
          <w:rFonts w:ascii="Arial" w:cs="Arial" w:eastAsia="Arial" w:hAnsi="Arial"/>
          <w:sz w:val="11"/>
          <w:szCs w:val="11"/>
          <w:color w:val="FFFFFF"/>
        </w:rPr>
        <w:t>Upstart</w:t>
      </w:r>
    </w:p>
    <w:sectPr>
      <w:pgSz w:w="11900" w:h="16838" w:orient="portrait"/>
      <w:cols w:equalWidth="0" w:num="1">
        <w:col w:w="10139"/>
      </w:cols>
      <w:pgMar w:left="320" w:top="4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2963E5A"/>
    <w:multiLevelType w:val="hybridMultilevel"/>
    <w:lvl w:ilvl="0">
      <w:lvlJc w:val="left"/>
      <w:lvlText w:val="(%1)"/>
      <w:numFmt w:val="decimal"/>
      <w:start w:val="1"/>
    </w:lvl>
  </w:abstractNum>
  <w:abstractNum w:abstractNumId="1">
    <w:nsid w:val="A0382C5"/>
    <w:multiLevelType w:val="hybridMultilevel"/>
    <w:lvl w:ilvl="0">
      <w:lvlJc w:val="left"/>
      <w:lvlText w:val="%1"/>
      <w:numFmt w:val="decimal"/>
      <w:start w:val="12"/>
    </w:lvl>
  </w:abstractNum>
  <w:abstractNum w:abstractNumId="2">
    <w:nsid w:val="8F2B15E"/>
    <w:multiLevelType w:val="hybridMultilevel"/>
    <w:lvl w:ilvl="0">
      <w:lvlJc w:val="left"/>
      <w:lvlText w:val="%1"/>
      <w:numFmt w:val="decimal"/>
      <w:start w:val="14"/>
    </w:lvl>
  </w:abstractNum>
  <w:abstractNum w:abstractNumId="3">
    <w:nsid w:val="1A32234B"/>
    <w:multiLevelType w:val="hybridMultilevel"/>
    <w:lvl w:ilvl="0">
      <w:lvlJc w:val="left"/>
      <w:lvlText w:val="%1"/>
      <w:numFmt w:val="decimal"/>
      <w:start w:val="19"/>
    </w:lvl>
  </w:abstractNum>
  <w:abstractNum w:abstractNumId="4">
    <w:nsid w:val="3B0FD379"/>
    <w:multiLevelType w:val="hybridMultilevel"/>
    <w:lvl w:ilvl="0">
      <w:lvlJc w:val="left"/>
      <w:lvlText w:val="%1"/>
      <w:numFmt w:val="decimal"/>
      <w:start w:val="25"/>
    </w:lvl>
  </w:abstractNum>
  <w:abstractNum w:abstractNumId="5">
    <w:nsid w:val="68EB2F63"/>
    <w:multiLevelType w:val="hybridMultilevel"/>
    <w:lvl w:ilvl="0">
      <w:lvlJc w:val="left"/>
      <w:lvlText w:val="%1"/>
      <w:numFmt w:val="decimal"/>
      <w:start w:val="31"/>
    </w:lvl>
  </w:abstractNum>
  <w:abstractNum w:abstractNumId="6">
    <w:nsid w:val="4962813B"/>
    <w:multiLevelType w:val="hybridMultilevel"/>
    <w:lvl w:ilvl="0">
      <w:lvlJc w:val="left"/>
      <w:lvlText w:val="%1"/>
      <w:numFmt w:val="decimal"/>
      <w:start w:val="39"/>
    </w:lvl>
  </w:abstractNum>
  <w:abstractNum w:abstractNumId="7">
    <w:nsid w:val="60B6DF70"/>
    <w:multiLevelType w:val="hybridMultilevel"/>
    <w:lvl w:ilvl="0">
      <w:lvlJc w:val="left"/>
      <w:lvlText w:val="•"/>
      <w:numFmt w:val="bullet"/>
      <w:start w:val="1"/>
    </w:lvl>
  </w:abstractNum>
  <w:abstractNum w:abstractNumId="8">
    <w:nsid w:val="6A5EE64"/>
    <w:multiLevelType w:val="hybridMultilevel"/>
    <w:lvl w:ilvl="0">
      <w:lvlJc w:val="left"/>
      <w:lvlText w:val="%1"/>
      <w:numFmt w:val="decimal"/>
      <w:start w:val="47"/>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
      <w:numFmt w:val="bullet"/>
      <w:start w:val="1"/>
    </w:lvl>
  </w:abstractNum>
  <w:abstractNum w:abstractNumId="11">
    <w:nsid w:val="1A27709E"/>
    <w:multiLevelType w:val="hybridMultilevel"/>
    <w:lvl w:ilvl="0">
      <w:lvlJc w:val="left"/>
      <w:lvlText w:val="%1"/>
      <w:numFmt w:val="decimal"/>
      <w:start w:val="49"/>
    </w:lvl>
  </w:abstractNum>
  <w:abstractNum w:abstractNumId="12">
    <w:nsid w:val="71EA1109"/>
    <w:multiLevelType w:val="hybridMultilevel"/>
    <w:lvl w:ilvl="0">
      <w:lvlJc w:val="left"/>
      <w:lvlText w:val="%1"/>
      <w:numFmt w:val="decimal"/>
      <w:start w:val="52"/>
    </w:lvl>
  </w:abstractNum>
  <w:abstractNum w:abstractNumId="13">
    <w:nsid w:val="100F59DC"/>
    <w:multiLevelType w:val="hybridMultilevel"/>
    <w:lvl w:ilvl="0">
      <w:lvlJc w:val="left"/>
      <w:lvlText w:val="•"/>
      <w:numFmt w:val="bullet"/>
      <w:start w:val="1"/>
    </w:lvl>
  </w:abstractNum>
  <w:abstractNum w:abstractNumId="14">
    <w:nsid w:val="7FB7E0AA"/>
    <w:multiLevelType w:val="hybridMultilevel"/>
    <w:lvl w:ilvl="0">
      <w:lvlJc w:val="left"/>
      <w:lvlText w:val="%1"/>
      <w:numFmt w:val="decimal"/>
      <w:start w:val="55"/>
    </w:lvl>
  </w:abstractNum>
  <w:abstractNum w:abstractNumId="15">
    <w:nsid w:val="6EB5BD4"/>
    <w:multiLevelType w:val="hybridMultilevel"/>
    <w:lvl w:ilvl="0">
      <w:lvlJc w:val="left"/>
      <w:lvlText w:val="•"/>
      <w:numFmt w:val="bullet"/>
      <w:start w:val="1"/>
    </w:lvl>
  </w:abstractNum>
  <w:abstractNum w:abstractNumId="16">
    <w:nsid w:val="6F6DD9AC"/>
    <w:multiLevelType w:val="hybridMultilevel"/>
    <w:lvl w:ilvl="0">
      <w:lvlJc w:val="left"/>
      <w:lvlText w:val="•"/>
      <w:numFmt w:val="bullet"/>
      <w:start w:val="1"/>
    </w:lvl>
  </w:abstractNum>
  <w:abstractNum w:abstractNumId="17">
    <w:nsid w:val="94211F2"/>
    <w:multiLevelType w:val="hybridMultilevel"/>
    <w:lvl w:ilvl="0">
      <w:lvlJc w:val="left"/>
      <w:lvlText w:val="•"/>
      <w:numFmt w:val="bullet"/>
      <w:start w:val="1"/>
    </w:lvl>
  </w:abstractNum>
  <w:abstractNum w:abstractNumId="18">
    <w:nsid w:val="885E1B"/>
    <w:multiLevelType w:val="hybridMultilevel"/>
    <w:lvl w:ilvl="0">
      <w:lvlJc w:val="left"/>
      <w:lvlText w:val="•"/>
      <w:numFmt w:val="bullet"/>
      <w:start w:val="1"/>
    </w:lvl>
    <w:lvl w:ilvl="1">
      <w:lvlJc w:val="left"/>
      <w:lvlText w:val="•"/>
      <w:numFmt w:val="bullet"/>
      <w:start w:val="1"/>
    </w:lvl>
  </w:abstractNum>
  <w:abstractNum w:abstractNumId="19">
    <w:nsid w:val="76272110"/>
    <w:multiLevelType w:val="hybridMultilevel"/>
    <w:lvl w:ilvl="0">
      <w:lvlJc w:val="left"/>
      <w:lvlText w:val="•"/>
      <w:numFmt w:val="bullet"/>
      <w:start w:val="1"/>
    </w:lvl>
  </w:abstractNum>
  <w:abstractNum w:abstractNumId="20">
    <w:nsid w:val="4C04A8AF"/>
    <w:multiLevelType w:val="hybridMultilevel"/>
    <w:lvl w:ilvl="0">
      <w:lvlJc w:val="left"/>
      <w:lvlText w:val="•"/>
      <w:numFmt w:val="bullet"/>
      <w:start w:val="1"/>
    </w:lvl>
  </w:abstractNum>
  <w:abstractNum w:abstractNumId="21">
    <w:nsid w:val="1716703B"/>
    <w:multiLevelType w:val="hybridMultilevel"/>
    <w:lvl w:ilvl="0">
      <w:lvlJc w:val="left"/>
      <w:lvlText w:val="(%1)"/>
      <w:numFmt w:val="decimal"/>
      <w:start w:val="1"/>
    </w:lvl>
  </w:abstractNum>
  <w:abstractNum w:abstractNumId="22">
    <w:nsid w:val="14E17E33"/>
    <w:multiLevelType w:val="hybridMultilevel"/>
    <w:lvl w:ilvl="0">
      <w:lvlJc w:val="left"/>
      <w:lvlText w:val="(%1)"/>
      <w:numFmt w:val="decimal"/>
      <w:start w:val="2"/>
    </w:lvl>
  </w:abstractNum>
  <w:abstractNum w:abstractNumId="23">
    <w:nsid w:val="3222E7CD"/>
    <w:multiLevelType w:val="hybridMultilevel"/>
    <w:lvl w:ilvl="0">
      <w:lvlJc w:val="left"/>
      <w:lvlText w:val="(%1)"/>
      <w:numFmt w:val="decimal"/>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
      <w:numFmt w:val="bullet"/>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1"/>
      <w:numFmt w:val="decimal"/>
      <w:start w:val="57"/>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1"/>
      <w:numFmt w:val="decimal"/>
      <w:start w:val="58"/>
    </w:lvl>
  </w:abstractNum>
  <w:abstractNum w:abstractNumId="31">
    <w:nsid w:val="CC1016F"/>
    <w:multiLevelType w:val="hybridMultilevel"/>
    <w:lvl w:ilvl="0">
      <w:lvlJc w:val="left"/>
      <w:lvlText w:val="•"/>
      <w:numFmt w:val="bullet"/>
      <w:start w:val="1"/>
    </w:lvl>
  </w:abstractNum>
  <w:abstractNum w:abstractNumId="32">
    <w:nsid w:val="43F18422"/>
    <w:multiLevelType w:val="hybridMultilevel"/>
    <w:lvl w:ilvl="0">
      <w:lvlJc w:val="left"/>
      <w:lvlText w:val="•"/>
      <w:numFmt w:val="bullet"/>
      <w:start w:val="1"/>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1"/>
      <w:numFmt w:val="decimal"/>
      <w:start w:val="59"/>
    </w:lvl>
  </w:abstractNum>
  <w:abstractNum w:abstractNumId="38">
    <w:nsid w:val="5FB8370B"/>
    <w:multiLevelType w:val="hybridMultilevel"/>
    <w:lvl w:ilvl="0">
      <w:lvlJc w:val="left"/>
      <w:lvlText w:val="•"/>
      <w:numFmt w:val="bullet"/>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
      <w:numFmt w:val="bullet"/>
      <w:start w:val="1"/>
    </w:lvl>
  </w:abstractNum>
  <w:abstractNum w:abstractNumId="41">
    <w:nsid w:val="5FB8011C"/>
    <w:multiLevelType w:val="hybridMultilevel"/>
    <w:lvl w:ilvl="0">
      <w:lvlJc w:val="left"/>
      <w:lvlText w:val="•"/>
      <w:numFmt w:val="bullet"/>
      <w:start w:val="1"/>
    </w:lvl>
  </w:abstractNum>
  <w:abstractNum w:abstractNumId="42">
    <w:nsid w:val="6AA78F7F"/>
    <w:multiLevelType w:val="hybridMultilevel"/>
    <w:lvl w:ilvl="0">
      <w:lvlJc w:val="left"/>
      <w:lvlText w:val="(%1)"/>
      <w:numFmt w:val="lowerRoman"/>
      <w:start w:val="1"/>
    </w:lvl>
  </w:abstractNum>
  <w:abstractNum w:abstractNumId="43">
    <w:nsid w:val="7672BD23"/>
    <w:multiLevelType w:val="hybridMultilevel"/>
    <w:lvl w:ilvl="0">
      <w:lvlJc w:val="left"/>
      <w:lvlText w:val="•"/>
      <w:numFmt w:val="bullet"/>
      <w:start w:val="1"/>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abstractNum>
  <w:abstractNum w:abstractNumId="47">
    <w:nsid w:val="5F3534A4"/>
    <w:multiLevelType w:val="hybridMultilevel"/>
    <w:lvl w:ilvl="0">
      <w:lvlJc w:val="left"/>
      <w:lvlText w:val="•"/>
      <w:numFmt w:val="bullet"/>
      <w:start w:val="1"/>
    </w:lvl>
  </w:abstractNum>
  <w:abstractNum w:abstractNumId="48">
    <w:nsid w:val="73A1821B"/>
    <w:multiLevelType w:val="hybridMultilevel"/>
    <w:lvl w:ilvl="0">
      <w:lvlJc w:val="left"/>
      <w:lvlText w:val="(%1)"/>
      <w:numFmt w:val="decimal"/>
      <w:start w:val="1"/>
    </w:lvl>
  </w:abstractNum>
  <w:abstractNum w:abstractNumId="49">
    <w:nsid w:val="7DE67713"/>
    <w:multiLevelType w:val="hybridMultilevel"/>
    <w:lvl w:ilvl="0">
      <w:lvlJc w:val="left"/>
      <w:lvlText w:val="•"/>
      <w:numFmt w:val="bullet"/>
      <w:start w:val="1"/>
    </w:lvl>
    <w:lvl w:ilvl="1">
      <w:lvlJc w:val="left"/>
      <w:lvlText w:val="•"/>
      <w:numFmt w:val="bullet"/>
      <w:start w:val="1"/>
    </w:lvl>
  </w:abstractNum>
  <w:abstractNum w:abstractNumId="50">
    <w:nsid w:val="555C55B5"/>
    <w:multiLevelType w:val="hybridMultilevel"/>
    <w:lvl w:ilvl="0">
      <w:lvlJc w:val="left"/>
      <w:lvlText w:val="•"/>
      <w:numFmt w:val="bullet"/>
      <w:start w:val="1"/>
    </w:lvl>
    <w:lvl w:ilvl="1">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1)"/>
      <w:numFmt w:val="decimal"/>
      <w:start w:val="1"/>
    </w:lvl>
  </w:abstractNum>
  <w:abstractNum w:abstractNumId="53">
    <w:nsid w:val="6A3DD3E8"/>
    <w:multiLevelType w:val="hybridMultilevel"/>
    <w:lvl w:ilvl="0">
      <w:lvlJc w:val="left"/>
      <w:lvlText w:val="(%1)"/>
      <w:numFmt w:val="decimal"/>
      <w:start w:val="2"/>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1"/>
      <w:numFmt w:val="decimal"/>
      <w:start w:val="60"/>
    </w:lvl>
  </w:abstractNum>
  <w:abstractNum w:abstractNumId="56">
    <w:nsid w:val="53299938"/>
    <w:multiLevelType w:val="hybridMultilevel"/>
    <w:lvl w:ilvl="0">
      <w:lvlJc w:val="left"/>
      <w:lvlText w:val="%1"/>
      <w:numFmt w:val="decimal"/>
      <w:start w:val="62"/>
    </w:lvl>
  </w:abstractNum>
  <w:abstractNum w:abstractNumId="57">
    <w:nsid w:val="1FBFE8E0"/>
    <w:multiLevelType w:val="hybridMultilevel"/>
    <w:lvl w:ilvl="0">
      <w:lvlJc w:val="left"/>
      <w:lvlText w:val="%1"/>
      <w:numFmt w:val="decimal"/>
      <w:start w:val="63"/>
    </w:lvl>
  </w:abstractNum>
  <w:abstractNum w:abstractNumId="58">
    <w:nsid w:val="5092CA79"/>
    <w:multiLevelType w:val="hybridMultilevel"/>
    <w:lvl w:ilvl="0">
      <w:lvlJc w:val="left"/>
      <w:lvlText w:val="(%1)"/>
      <w:numFmt w:val="decimal"/>
      <w:start w:val="1"/>
    </w:lvl>
  </w:abstractNum>
  <w:abstractNum w:abstractNumId="59">
    <w:nsid w:val="1D545C4D"/>
    <w:multiLevelType w:val="hybridMultilevel"/>
    <w:lvl w:ilvl="0">
      <w:lvlJc w:val="left"/>
      <w:lvlText w:val="(%1)"/>
      <w:numFmt w:val="decimal"/>
      <w:start w:val="1"/>
    </w:lvl>
  </w:abstractNum>
  <w:abstractNum w:abstractNumId="60">
    <w:nsid w:val="59ADEA3D"/>
    <w:multiLevelType w:val="hybridMultilevel"/>
    <w:lvl w:ilvl="0">
      <w:lvlJc w:val="left"/>
      <w:lvlText w:val="(%1)"/>
      <w:numFmt w:val="decimal"/>
      <w:start w:val="1"/>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1)"/>
      <w:numFmt w:val="decimal"/>
      <w:start w:val="1"/>
    </w:lvl>
  </w:abstractNum>
  <w:abstractNum w:abstractNumId="63">
    <w:nsid w:val="1D9F6E5F"/>
    <w:multiLevelType w:val="hybridMultilevel"/>
    <w:lvl w:ilvl="0">
      <w:lvlJc w:val="left"/>
      <w:lvlText w:val="(%1)"/>
      <w:numFmt w:val="decimal"/>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
      <w:numFmt w:val="bullet"/>
      <w:start w:val="1"/>
    </w:lvl>
  </w:abstractNum>
  <w:abstractNum w:abstractNumId="66">
    <w:nsid w:val="1CA0C5FA"/>
    <w:multiLevelType w:val="hybridMultilevel"/>
    <w:lvl w:ilvl="0">
      <w:lvlJc w:val="left"/>
      <w:lvlText w:val="(%1)"/>
      <w:numFmt w:val="decimal"/>
      <w:start w:val="1"/>
    </w:lvl>
  </w:abstractNum>
  <w:abstractNum w:abstractNumId="67">
    <w:nsid w:val="53584BCB"/>
    <w:multiLevelType w:val="hybridMultilevel"/>
    <w:lvl w:ilvl="0">
      <w:lvlJc w:val="left"/>
      <w:lvlText w:val="(%1)"/>
      <w:numFmt w:val="decimal"/>
      <w:start w:val="1"/>
    </w:lvl>
  </w:abstractNum>
  <w:abstractNum w:abstractNumId="68">
    <w:nsid w:val="415E286C"/>
    <w:multiLevelType w:val="hybridMultilevel"/>
    <w:lvl w:ilvl="0">
      <w:lvlJc w:val="left"/>
      <w:lvlText w:val="(%1)"/>
      <w:numFmt w:val="decimal"/>
      <w:start w:val="1"/>
    </w:lvl>
  </w:abstractNum>
  <w:abstractNum w:abstractNumId="69">
    <w:nsid w:val="7C58FD05"/>
    <w:multiLevelType w:val="hybridMultilevel"/>
    <w:lvl w:ilvl="0">
      <w:lvlJc w:val="left"/>
      <w:lvlText w:val="•"/>
      <w:numFmt w:val="bullet"/>
      <w:start w:val="1"/>
    </w:lvl>
  </w:abstractNum>
  <w:abstractNum w:abstractNumId="70">
    <w:nsid w:val="23D86AAC"/>
    <w:multiLevelType w:val="hybridMultilevel"/>
    <w:lvl w:ilvl="0">
      <w:lvlJc w:val="left"/>
      <w:lvlText w:val="•"/>
      <w:numFmt w:val="bullet"/>
      <w:start w:val="1"/>
    </w:lvl>
  </w:abstractNum>
  <w:abstractNum w:abstractNumId="71">
    <w:nsid w:val="45E6D486"/>
    <w:multiLevelType w:val="hybridMultilevel"/>
    <w:lvl w:ilvl="0">
      <w:lvlJc w:val="left"/>
      <w:lvlText w:val="%1)"/>
      <w:numFmt w:val="decimal"/>
      <w:start w:val="842"/>
    </w:lvl>
  </w:abstractNum>
  <w:abstractNum w:abstractNumId="72">
    <w:nsid w:val="5C10FE21"/>
    <w:multiLevelType w:val="hybridMultilevel"/>
    <w:lvl w:ilvl="0">
      <w:lvlJc w:val="left"/>
      <w:lvlText w:val="%1"/>
      <w:numFmt w:val="decimal"/>
      <w:start w:val="64"/>
    </w:lvl>
  </w:abstractNum>
  <w:abstractNum w:abstractNumId="73">
    <w:nsid w:val="E7FFA2B"/>
    <w:multiLevelType w:val="hybridMultilevel"/>
    <w:lvl w:ilvl="0">
      <w:lvlJc w:val="left"/>
      <w:lvlText w:val="%1"/>
      <w:numFmt w:val="decimal"/>
      <w:start w:val="68"/>
    </w:lvl>
  </w:abstractNum>
  <w:abstractNum w:abstractNumId="74">
    <w:nsid w:val="3C5991AA"/>
    <w:multiLevelType w:val="hybridMultilevel"/>
    <w:lvl w:ilvl="0">
      <w:lvlJc w:val="left"/>
      <w:lvlText w:val="%1"/>
      <w:numFmt w:val="decimal"/>
      <w:start w:val="71"/>
    </w:lvl>
  </w:abstractNum>
  <w:abstractNum w:abstractNumId="75">
    <w:nsid w:val="4BD8591A"/>
    <w:multiLevelType w:val="hybridMultilevel"/>
    <w:lvl w:ilvl="0">
      <w:lvlJc w:val="left"/>
      <w:lvlText w:val="%1"/>
      <w:numFmt w:val="decimal"/>
      <w:start w:val="80"/>
    </w:lvl>
  </w:abstractNum>
  <w:abstractNum w:abstractNumId="76">
    <w:nsid w:val="78DF6A55"/>
    <w:multiLevelType w:val="hybridMultilevel"/>
    <w:lvl w:ilvl="0">
      <w:lvlJc w:val="left"/>
      <w:lvlText w:val="%1"/>
      <w:numFmt w:val="decimal"/>
      <w:start w:val="86"/>
    </w:lvl>
  </w:abstractNum>
  <w:abstractNum w:abstractNumId="77">
    <w:nsid w:val="39B7AAA2"/>
    <w:multiLevelType w:val="hybridMultilevel"/>
    <w:lvl w:ilvl="0">
      <w:lvlJc w:val="left"/>
      <w:lvlText w:val="%1"/>
      <w:numFmt w:val="decimal"/>
      <w:start w:val="95"/>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1"/>
      <w:numFmt w:val="decimal"/>
      <w:start w:val="97"/>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1"/>
      <w:numFmt w:val="decimal"/>
      <w:start w:val="100"/>
    </w:lvl>
  </w:abstractNum>
  <w:abstractNum w:abstractNumId="83">
    <w:nsid w:val="4C9B0904"/>
    <w:multiLevelType w:val="hybridMultilevel"/>
    <w:lvl w:ilvl="0">
      <w:lvlJc w:val="left"/>
      <w:lvlText w:val="%1"/>
      <w:numFmt w:val="decimal"/>
      <w:start w:val="102"/>
    </w:lvl>
  </w:abstractNum>
  <w:abstractNum w:abstractNumId="84">
    <w:nsid w:val="6AA7B75C"/>
    <w:multiLevelType w:val="hybridMultilevel"/>
    <w:lvl w:ilvl="0">
      <w:lvlJc w:val="left"/>
      <w:lvlText w:val="•"/>
      <w:numFmt w:val="bullet"/>
      <w:start w:val="1"/>
    </w:lvl>
  </w:abstractNum>
  <w:abstractNum w:abstractNumId="85">
    <w:nsid w:val="1DF029D3"/>
    <w:multiLevelType w:val="hybridMultilevel"/>
    <w:lvl w:ilvl="0">
      <w:lvlJc w:val="left"/>
      <w:lvlText w:val="•"/>
      <w:numFmt w:val="bullet"/>
      <w:start w:val="1"/>
    </w:lvl>
  </w:abstractNum>
  <w:abstractNum w:abstractNumId="86">
    <w:nsid w:val="5675FF36"/>
    <w:multiLevelType w:val="hybridMultilevel"/>
    <w:lvl w:ilvl="0">
      <w:lvlJc w:val="left"/>
      <w:lvlText w:val="%1"/>
      <w:numFmt w:val="decimal"/>
      <w:start w:val="107"/>
    </w:lvl>
  </w:abstractNum>
  <w:abstractNum w:abstractNumId="87">
    <w:nsid w:val="3DD15094"/>
    <w:multiLevelType w:val="hybridMultilevel"/>
    <w:lvl w:ilvl="0">
      <w:lvlJc w:val="left"/>
      <w:lvlText w:val="•"/>
      <w:numFmt w:val="bullet"/>
      <w:start w:val="1"/>
    </w:lvl>
  </w:abstractNum>
  <w:abstractNum w:abstractNumId="88">
    <w:nsid w:val="3DB012B3"/>
    <w:multiLevelType w:val="hybridMultilevel"/>
    <w:lvl w:ilvl="0">
      <w:lvlJc w:val="left"/>
      <w:lvlText w:val="•"/>
      <w:numFmt w:val="bullet"/>
      <w:start w:val="1"/>
    </w:lvl>
  </w:abstractNum>
  <w:abstractNum w:abstractNumId="89">
    <w:nsid w:val="2708C9AF"/>
    <w:multiLevelType w:val="hybridMultilevel"/>
    <w:lvl w:ilvl="0">
      <w:lvlJc w:val="left"/>
      <w:lvlText w:val="•"/>
      <w:numFmt w:val="bullet"/>
      <w:start w:val="1"/>
    </w:lvl>
  </w:abstractNum>
  <w:abstractNum w:abstractNumId="90">
    <w:nsid w:val="5B25ACE2"/>
    <w:multiLevelType w:val="hybridMultilevel"/>
    <w:lvl w:ilvl="0">
      <w:lvlJc w:val="left"/>
      <w:lvlText w:val="%1"/>
      <w:numFmt w:val="decimal"/>
      <w:start w:val="108"/>
    </w:lvl>
  </w:abstractNum>
  <w:abstractNum w:abstractNumId="91">
    <w:nsid w:val="175DFCF0"/>
    <w:multiLevelType w:val="hybridMultilevel"/>
    <w:lvl w:ilvl="0">
      <w:lvlJc w:val="left"/>
      <w:lvlText w:val="%1"/>
      <w:numFmt w:val="decimal"/>
      <w:start w:val="109"/>
    </w:lvl>
  </w:abstractNum>
  <w:abstractNum w:abstractNumId="92">
    <w:nsid w:val="4F97E3E4"/>
    <w:multiLevelType w:val="hybridMultilevel"/>
    <w:lvl w:ilvl="0">
      <w:lvlJc w:val="left"/>
      <w:lvlText w:val="•"/>
      <w:numFmt w:val="bullet"/>
      <w:start w:val="1"/>
    </w:lvl>
  </w:abstractNum>
  <w:abstractNum w:abstractNumId="93">
    <w:nsid w:val="53B0A9E"/>
    <w:multiLevelType w:val="hybridMultilevel"/>
    <w:lvl w:ilvl="0">
      <w:lvlJc w:val="left"/>
      <w:lvlText w:val="%1"/>
      <w:numFmt w:val="decimal"/>
      <w:start w:val="110"/>
    </w:lvl>
  </w:abstractNum>
  <w:abstractNum w:abstractNumId="94">
    <w:nsid w:val="34FD6B4F"/>
    <w:multiLevelType w:val="hybridMultilevel"/>
    <w:lvl w:ilvl="0">
      <w:lvlJc w:val="left"/>
      <w:lvlText w:val="•"/>
      <w:numFmt w:val="bullet"/>
      <w:start w:val="1"/>
    </w:lvl>
  </w:abstractNum>
  <w:abstractNum w:abstractNumId="95">
    <w:nsid w:val="5915FF32"/>
    <w:multiLevelType w:val="hybridMultilevel"/>
    <w:lvl w:ilvl="0">
      <w:lvlJc w:val="left"/>
      <w:lvlText w:val="•"/>
      <w:numFmt w:val="bullet"/>
      <w:start w:val="1"/>
    </w:lvl>
  </w:abstractNum>
  <w:abstractNum w:abstractNumId="96">
    <w:nsid w:val="56438D15"/>
    <w:multiLevelType w:val="hybridMultilevel"/>
    <w:lvl w:ilvl="0">
      <w:lvlJc w:val="left"/>
      <w:lvlText w:val="%1"/>
      <w:numFmt w:val="decimal"/>
      <w:start w:val="111"/>
    </w:lvl>
  </w:abstractNum>
  <w:abstractNum w:abstractNumId="97">
    <w:nsid w:val="519E3149"/>
    <w:multiLevelType w:val="hybridMultilevel"/>
    <w:lvl w:ilvl="0">
      <w:lvlJc w:val="left"/>
      <w:lvlText w:val="•"/>
      <w:numFmt w:val="bullet"/>
      <w:start w:val="1"/>
    </w:lvl>
  </w:abstractNum>
  <w:abstractNum w:abstractNumId="98">
    <w:nsid w:val="2C6E4AFD"/>
    <w:multiLevelType w:val="hybridMultilevel"/>
    <w:lvl w:ilvl="0">
      <w:lvlJc w:val="left"/>
      <w:lvlText w:val="•"/>
      <w:numFmt w:val="bullet"/>
      <w:start w:val="1"/>
    </w:lvl>
  </w:abstractNum>
  <w:abstractNum w:abstractNumId="99">
    <w:nsid w:val="17A1B582"/>
    <w:multiLevelType w:val="hybridMultilevel"/>
    <w:lvl w:ilvl="0">
      <w:lvlJc w:val="left"/>
      <w:lvlText w:val="•"/>
      <w:numFmt w:val="bullet"/>
      <w:start w:val="1"/>
    </w:lvl>
  </w:abstractNum>
  <w:abstractNum w:abstractNumId="100">
    <w:nsid w:val="4DF72E4E"/>
    <w:multiLevelType w:val="hybridMultilevel"/>
    <w:lvl w:ilvl="0">
      <w:lvlJc w:val="left"/>
      <w:lvlText w:val="•"/>
      <w:numFmt w:val="bullet"/>
      <w:start w:val="1"/>
    </w:lvl>
  </w:abstractNum>
  <w:abstractNum w:abstractNumId="101">
    <w:nsid w:val="5046B5A9"/>
    <w:multiLevelType w:val="hybridMultilevel"/>
    <w:lvl w:ilvl="0">
      <w:lvlJc w:val="left"/>
      <w:lvlText w:val="•"/>
      <w:numFmt w:val="bullet"/>
      <w:start w:val="1"/>
    </w:lvl>
  </w:abstractNum>
  <w:abstractNum w:abstractNumId="102">
    <w:nsid w:val="5D888A08"/>
    <w:multiLevelType w:val="hybridMultilevel"/>
    <w:lvl w:ilvl="0">
      <w:lvlJc w:val="left"/>
      <w:lvlText w:val="(%1)"/>
      <w:numFmt w:val="decimal"/>
      <w:start w:val="1"/>
    </w:lvl>
  </w:abstractNum>
  <w:abstractNum w:abstractNumId="103">
    <w:nsid w:val="2A082C70"/>
    <w:multiLevelType w:val="hybridMultilevel"/>
    <w:lvl w:ilvl="0">
      <w:lvlJc w:val="left"/>
      <w:lvlText w:val="%1"/>
      <w:numFmt w:val="decimal"/>
      <w:start w:val="1"/>
    </w:lvl>
    <w:lvl w:ilvl="1">
      <w:lvlJc w:val="left"/>
      <w:lvlText w:val="(%2)"/>
      <w:numFmt w:val="lowerLetter"/>
      <w:start w:val="1"/>
    </w:lvl>
  </w:abstractNum>
  <w:abstractNum w:abstractNumId="104">
    <w:nsid w:val="5EC6AFD4"/>
    <w:multiLevelType w:val="hybridMultilevel"/>
    <w:lvl w:ilvl="0">
      <w:lvlJc w:val="left"/>
      <w:lvlText w:val="(%1)"/>
      <w:numFmt w:val="decimal"/>
      <w:start w:val="3"/>
    </w:lvl>
    <w:lvl w:ilvl="1">
      <w:lvlJc w:val="left"/>
      <w:lvlText w:val="%2"/>
      <w:numFmt w:val="lowerLetter"/>
      <w:start w:val="1"/>
    </w:lvl>
  </w:abstractNum>
  <w:abstractNum w:abstractNumId="105">
    <w:nsid w:val="19E21BB2"/>
    <w:multiLevelType w:val="hybridMultilevel"/>
    <w:lvl w:ilvl="0">
      <w:lvlJc w:val="left"/>
      <w:lvlText w:val="•"/>
      <w:numFmt w:val="bullet"/>
      <w:start w:val="1"/>
    </w:lvl>
  </w:abstractNum>
  <w:abstractNum w:abstractNumId="106">
    <w:nsid w:val="75E0858A"/>
    <w:multiLevelType w:val="hybridMultilevel"/>
    <w:lvl w:ilvl="0">
      <w:lvlJc w:val="left"/>
      <w:lvlText w:val="•"/>
      <w:numFmt w:val="bullet"/>
      <w:start w:val="1"/>
    </w:lvl>
  </w:abstractNum>
  <w:abstractNum w:abstractNumId="107">
    <w:nsid w:val="57A61A29"/>
    <w:multiLevelType w:val="hybridMultilevel"/>
    <w:lvl w:ilvl="0">
      <w:lvlJc w:val="left"/>
      <w:lvlText w:val="(%1)"/>
      <w:numFmt w:val="decimal"/>
      <w:start w:val="1"/>
    </w:lvl>
  </w:abstractNum>
  <w:abstractNum w:abstractNumId="108">
    <w:nsid w:val="5399C654"/>
    <w:multiLevelType w:val="hybridMultilevel"/>
    <w:lvl w:ilvl="0">
      <w:lvlJc w:val="left"/>
      <w:lvlText w:val="(%1)"/>
      <w:numFmt w:val="decimal"/>
      <w:start w:val="1"/>
    </w:lvl>
  </w:abstractNum>
  <w:abstractNum w:abstractNumId="109">
    <w:nsid w:val="20EE1348"/>
    <w:multiLevelType w:val="hybridMultilevel"/>
    <w:lvl w:ilvl="0">
      <w:lvlJc w:val="left"/>
      <w:lvlText w:val="•"/>
      <w:numFmt w:val="bullet"/>
      <w:start w:val="1"/>
    </w:lvl>
  </w:abstractNum>
  <w:abstractNum w:abstractNumId="110">
    <w:nsid w:val="4427069A"/>
    <w:multiLevelType w:val="hybridMultilevel"/>
    <w:lvl w:ilvl="0">
      <w:lvlJc w:val="left"/>
      <w:lvlText w:val="•"/>
      <w:numFmt w:val="bullet"/>
      <w:start w:val="1"/>
    </w:lvl>
  </w:abstractNum>
  <w:abstractNum w:abstractNumId="111">
    <w:nsid w:val="B37E80A"/>
    <w:multiLevelType w:val="hybridMultilevel"/>
    <w:lvl w:ilvl="0">
      <w:lvlJc w:val="left"/>
      <w:lvlText w:val="•"/>
      <w:numFmt w:val="bullet"/>
      <w:start w:val="1"/>
    </w:lvl>
  </w:abstractNum>
  <w:abstractNum w:abstractNumId="112">
    <w:nsid w:val="2157F6BC"/>
    <w:multiLevelType w:val="hybridMultilevel"/>
    <w:lvl w:ilvl="0">
      <w:lvlJc w:val="left"/>
      <w:lvlText w:val="(%1)"/>
      <w:numFmt w:val="lowerLetter"/>
      <w:start w:val="3"/>
    </w:lvl>
  </w:abstractNum>
  <w:abstractNum w:abstractNumId="113">
    <w:nsid w:val="704E1DD5"/>
    <w:multiLevelType w:val="hybridMultilevel"/>
    <w:lvl w:ilvl="0">
      <w:lvlJc w:val="left"/>
      <w:lvlText w:val="•"/>
      <w:numFmt w:val="bullet"/>
      <w:start w:val="1"/>
    </w:lvl>
  </w:abstractNum>
  <w:abstractNum w:abstractNumId="114">
    <w:nsid w:val="57D2F10E"/>
    <w:multiLevelType w:val="hybridMultilevel"/>
    <w:lvl w:ilvl="0">
      <w:lvlJc w:val="left"/>
      <w:lvlText w:val="(%1)"/>
      <w:numFmt w:val="decimal"/>
      <w:start w:val="1"/>
    </w:lvl>
  </w:abstractNum>
  <w:abstractNum w:abstractNumId="115">
    <w:nsid w:val="BFFAE18"/>
    <w:multiLevelType w:val="hybridMultilevel"/>
    <w:lvl w:ilvl="0">
      <w:lvlJc w:val="left"/>
      <w:lvlText w:val="•"/>
      <w:numFmt w:val="bullet"/>
      <w:start w:val="1"/>
    </w:lvl>
  </w:abstractNum>
  <w:abstractNum w:abstractNumId="116">
    <w:nsid w:val="E3E47A8"/>
    <w:multiLevelType w:val="hybridMultilevel"/>
    <w:lvl w:ilvl="0">
      <w:lvlJc w:val="left"/>
      <w:lvlText w:val="•"/>
      <w:numFmt w:val="bullet"/>
      <w:start w:val="1"/>
    </w:lvl>
  </w:abstractNum>
  <w:abstractNum w:abstractNumId="117">
    <w:nsid w:val="2E48F044"/>
    <w:multiLevelType w:val="hybridMultilevel"/>
    <w:lvl w:ilvl="0">
      <w:lvlJc w:val="left"/>
      <w:lvlText w:val="*"/>
      <w:numFmt w:val="bullet"/>
      <w:start w:val="1"/>
    </w:lvl>
  </w:abstractNum>
  <w:abstractNum w:abstractNumId="118">
    <w:nsid w:val="49D0FEAC"/>
    <w:multiLevelType w:val="hybridMultilevel"/>
    <w:lvl w:ilvl="0">
      <w:lvlJc w:val="left"/>
      <w:lvlText w:val="(%1)"/>
      <w:numFmt w:val="decimal"/>
      <w:start w:val="1"/>
    </w:lvl>
  </w:abstractNum>
  <w:abstractNum w:abstractNumId="119">
    <w:nsid w:val="4BEE5A5B"/>
    <w:multiLevelType w:val="hybridMultilevel"/>
    <w:lvl w:ilvl="0">
      <w:lvlJc w:val="left"/>
      <w:lvlText w:val="(%1)"/>
      <w:numFmt w:val="decimal"/>
      <w:start w:val="8"/>
    </w:lvl>
  </w:abstractNum>
  <w:abstractNum w:abstractNumId="120">
    <w:nsid w:val="5551B9F3"/>
    <w:multiLevelType w:val="hybridMultilevel"/>
    <w:lvl w:ilvl="0">
      <w:lvlJc w:val="left"/>
      <w:lvlText w:val="(%1)"/>
      <w:numFmt w:val="decimal"/>
      <w:start w:val="21"/>
    </w:lvl>
  </w:abstractNum>
  <w:abstractNum w:abstractNumId="121">
    <w:nsid w:val="24F6AB8E"/>
    <w:multiLevelType w:val="hybridMultilevel"/>
    <w:lvl w:ilvl="0">
      <w:lvlJc w:val="left"/>
      <w:lvlText w:val="•"/>
      <w:numFmt w:val="bullet"/>
      <w:start w:val="1"/>
    </w:lvl>
  </w:abstractNum>
  <w:abstractNum w:abstractNumId="122">
    <w:nsid w:val="634C574C"/>
    <w:multiLevelType w:val="hybridMultilevel"/>
    <w:lvl w:ilvl="0">
      <w:lvlJc w:val="left"/>
      <w:lvlText w:val="•"/>
      <w:numFmt w:val="bullet"/>
      <w:start w:val="1"/>
    </w:lvl>
  </w:abstractNum>
  <w:abstractNum w:abstractNumId="123">
    <w:nsid w:val="24E99DD7"/>
    <w:multiLevelType w:val="hybridMultilevel"/>
    <w:lvl w:ilvl="0">
      <w:lvlJc w:val="left"/>
      <w:lvlText w:val="•"/>
      <w:numFmt w:val="bullet"/>
      <w:start w:val="1"/>
    </w:lvl>
  </w:abstractNum>
  <w:abstractNum w:abstractNumId="124">
    <w:nsid w:val="2A31B62D"/>
    <w:multiLevelType w:val="hybridMultilevel"/>
    <w:lvl w:ilvl="0">
      <w:lvlJc w:val="left"/>
      <w:lvlText w:val="•"/>
      <w:numFmt w:val="bullet"/>
      <w:start w:val="1"/>
    </w:lvl>
  </w:abstractNum>
  <w:abstractNum w:abstractNumId="125">
    <w:nsid w:val="1849C29B"/>
    <w:multiLevelType w:val="hybridMultilevel"/>
    <w:lvl w:ilvl="0">
      <w:lvlJc w:val="left"/>
      <w:lvlText w:val="•"/>
      <w:numFmt w:val="bullet"/>
      <w:start w:val="1"/>
    </w:lvl>
  </w:abstractNum>
  <w:abstractNum w:abstractNumId="126">
    <w:nsid w:val="7DFF9D09"/>
    <w:multiLevelType w:val="hybridMultilevel"/>
    <w:lvl w:ilvl="0">
      <w:lvlJc w:val="left"/>
      <w:lvlText w:val="•"/>
      <w:numFmt w:val="bullet"/>
      <w:start w:val="1"/>
    </w:lvl>
  </w:abstractNum>
  <w:abstractNum w:abstractNumId="127">
    <w:nsid w:val="754342"/>
    <w:multiLevelType w:val="hybridMultilevel"/>
    <w:lvl w:ilvl="0">
      <w:lvlJc w:val="left"/>
      <w:lvlText w:val="•"/>
      <w:numFmt w:val="bullet"/>
      <w:start w:val="1"/>
    </w:lvl>
  </w:abstractNum>
  <w:abstractNum w:abstractNumId="128">
    <w:nsid w:val="69E7F3E5"/>
    <w:multiLevelType w:val="hybridMultilevel"/>
    <w:lvl w:ilvl="0">
      <w:lvlJc w:val="left"/>
      <w:lvlText w:val="•"/>
      <w:numFmt w:val="bullet"/>
      <w:start w:val="1"/>
    </w:lvl>
  </w:abstractNum>
  <w:abstractNum w:abstractNumId="129">
    <w:nsid w:val="2A6DE806"/>
    <w:multiLevelType w:val="hybridMultilevel"/>
    <w:lvl w:ilvl="0">
      <w:lvlJc w:val="left"/>
      <w:lvlText w:val="&amp;"/>
      <w:numFmt w:val="bullet"/>
      <w:start w:val="1"/>
    </w:lvl>
  </w:abstractNum>
  <w:abstractNum w:abstractNumId="130">
    <w:nsid w:val="1816F8C4"/>
    <w:multiLevelType w:val="hybridMultilevel"/>
    <w:lvl w:ilvl="0">
      <w:lvlJc w:val="left"/>
      <w:lvlText w:val="(%1)"/>
      <w:numFmt w:val="lowerLetter"/>
      <w:start w:val="1"/>
    </w:lvl>
  </w:abstractNum>
  <w:abstractNum w:abstractNumId="131">
    <w:nsid w:val="37DF2233"/>
    <w:multiLevelType w:val="hybridMultilevel"/>
    <w:lvl w:ilvl="0">
      <w:lvlJc w:val="left"/>
      <w:lvlText w:val="(%1)"/>
      <w:numFmt w:val="lowerLetter"/>
      <w:start w:val="2"/>
    </w:lvl>
  </w:abstractNum>
  <w:abstractNum w:abstractNumId="132">
    <w:nsid w:val="7AB49DAF"/>
    <w:multiLevelType w:val="hybridMultilevel"/>
    <w:lvl w:ilvl="0">
      <w:lvlJc w:val="left"/>
      <w:lvlText w:val="(%1)"/>
      <w:numFmt w:val="lowerLetter"/>
      <w:start w:val="1"/>
    </w:lvl>
  </w:abstractNum>
  <w:abstractNum w:abstractNumId="133">
    <w:nsid w:val="759F82CD"/>
    <w:multiLevelType w:val="hybridMultilevel"/>
    <w:lvl w:ilvl="0">
      <w:lvlJc w:val="left"/>
      <w:lvlText w:val="(%1)"/>
      <w:numFmt w:val="lowerLetter"/>
      <w:start w:val="1"/>
    </w:lvl>
  </w:abstractNum>
  <w:abstractNum w:abstractNumId="134">
    <w:nsid w:val="61E74EA3"/>
    <w:multiLevelType w:val="hybridMultilevel"/>
    <w:lvl w:ilvl="0">
      <w:lvlJc w:val="left"/>
      <w:lvlText w:val="%1."/>
      <w:numFmt w:val="decimal"/>
      <w:start w:val="1"/>
    </w:lvl>
  </w:abstractNum>
  <w:abstractNum w:abstractNumId="135">
    <w:nsid w:val="597B4D84"/>
    <w:multiLevelType w:val="hybridMultilevel"/>
    <w:lvl w:ilvl="0">
      <w:lvlJc w:val="left"/>
      <w:lvlText w:val="(%1)"/>
      <w:numFmt w:val="lowerRoman"/>
      <w:start w:val="3"/>
    </w:lvl>
  </w:abstractNum>
  <w:abstractNum w:abstractNumId="136">
    <w:nsid w:val="F819E7F"/>
    <w:multiLevelType w:val="hybridMultilevel"/>
    <w:lvl w:ilvl="0">
      <w:lvlJc w:val="left"/>
      <w:lvlText w:val="*"/>
      <w:numFmt w:val="bullet"/>
      <w:start w:val="1"/>
    </w:lvl>
  </w:abstractNum>
  <w:abstractNum w:abstractNumId="137">
    <w:nsid w:val="57C7D42D"/>
    <w:multiLevelType w:val="hybridMultilevel"/>
    <w:lvl w:ilvl="0">
      <w:lvlJc w:val="left"/>
      <w:lvlText w:val="(%1)"/>
      <w:numFmt w:val="lowerRoman"/>
      <w:start w:val="2"/>
    </w:lvl>
  </w:abstractNum>
  <w:abstractNum w:abstractNumId="138">
    <w:nsid w:val="312167AD"/>
    <w:multiLevelType w:val="hybridMultilevel"/>
    <w:lvl w:ilvl="0">
      <w:lvlJc w:val="left"/>
      <w:lvlText w:val="(%1)"/>
      <w:numFmt w:val="decimal"/>
      <w:start w:val="1"/>
    </w:lvl>
  </w:abstractNum>
  <w:abstractNum w:abstractNumId="139">
    <w:nsid w:val="631B64D4"/>
    <w:multiLevelType w:val="hybridMultilevel"/>
    <w:lvl w:ilvl="0">
      <w:lvlJc w:val="left"/>
      <w:lvlText w:val="%1."/>
      <w:numFmt w:val="decimal"/>
      <w:start w:val="3"/>
    </w:lvl>
  </w:abstractNum>
  <w:abstractNum w:abstractNumId="140">
    <w:nsid w:val="78B5E776"/>
    <w:multiLevelType w:val="hybridMultilevel"/>
    <w:lvl w:ilvl="0">
      <w:lvlJc w:val="left"/>
      <w:lvlText w:val="(%1)"/>
      <w:numFmt w:val="decimal"/>
      <w:start w:val="1"/>
    </w:lvl>
  </w:abstractNum>
  <w:abstractNum w:abstractNumId="141">
    <w:nsid w:val="75486E47"/>
    <w:multiLevelType w:val="hybridMultilevel"/>
    <w:lvl w:ilvl="0">
      <w:lvlJc w:val="left"/>
      <w:lvlText w:val="(%1)"/>
      <w:numFmt w:val="decimal"/>
      <w:start w:val="1"/>
    </w:lvl>
  </w:abstractNum>
  <w:abstractNum w:abstractNumId="142">
    <w:nsid w:val="6E534CDE"/>
    <w:multiLevelType w:val="hybridMultilevel"/>
    <w:lvl w:ilvl="0">
      <w:lvlJc w:val="left"/>
      <w:lvlText w:val="*"/>
      <w:numFmt w:val="bullet"/>
      <w:start w:val="1"/>
    </w:lvl>
  </w:abstractNum>
  <w:abstractNum w:abstractNumId="143">
    <w:nsid w:val="1A0DDE32"/>
    <w:multiLevelType w:val="hybridMultilevel"/>
    <w:lvl w:ilvl="0">
      <w:lvlJc w:val="left"/>
      <w:lvlText w:val="$"/>
      <w:numFmt w:val="bullet"/>
      <w:start w:val="1"/>
    </w:lvl>
  </w:abstractNum>
  <w:abstractNum w:abstractNumId="144">
    <w:nsid w:val="65968C1C"/>
    <w:multiLevelType w:val="hybridMultilevel"/>
    <w:lvl w:ilvl="0">
      <w:lvlJc w:val="left"/>
      <w:lvlText w:val="$"/>
      <w:numFmt w:val="bullet"/>
      <w:start w:val="1"/>
    </w:lvl>
  </w:abstractNum>
  <w:abstractNum w:abstractNumId="145">
    <w:nsid w:val="46263DEC"/>
    <w:multiLevelType w:val="hybridMultilevel"/>
    <w:lvl w:ilvl="0">
      <w:lvlJc w:val="left"/>
      <w:lvlText w:val="$"/>
      <w:numFmt w:val="bullet"/>
      <w:start w:val="1"/>
    </w:lvl>
  </w:abstractNum>
  <w:abstractNum w:abstractNumId="146">
    <w:nsid w:val="260D8C4A"/>
    <w:multiLevelType w:val="hybridMultilevel"/>
    <w:lvl w:ilvl="0">
      <w:lvlJc w:val="left"/>
      <w:lvlText w:val="$"/>
      <w:numFmt w:val="bullet"/>
      <w:start w:val="1"/>
    </w:lvl>
  </w:abstractNum>
  <w:abstractNum w:abstractNumId="147">
    <w:nsid w:val="73D4D3C4"/>
    <w:multiLevelType w:val="hybridMultilevel"/>
    <w:lvl w:ilvl="0">
      <w:lvlJc w:val="left"/>
      <w:lvlText w:val="(%1)"/>
      <w:numFmt w:val="decimal"/>
      <w:start w:val="1"/>
    </w:lvl>
  </w:abstractNum>
  <w:abstractNum w:abstractNumId="148">
    <w:nsid w:val="746F2E30"/>
    <w:multiLevelType w:val="hybridMultilevel"/>
    <w:lvl w:ilvl="0">
      <w:lvlJc w:val="left"/>
      <w:lvlText w:val="(%1)"/>
      <w:numFmt w:val="decimal"/>
      <w:start w:val="1"/>
    </w:lvl>
  </w:abstractNum>
  <w:abstractNum w:abstractNumId="149">
    <w:nsid w:val="6FDE8AF6"/>
    <w:multiLevelType w:val="hybridMultilevel"/>
    <w:lvl w:ilvl="0">
      <w:lvlJc w:val="left"/>
      <w:lvlText w:val="(%1)"/>
      <w:numFmt w:val="decimal"/>
      <w:start w:val="1"/>
    </w:lvl>
  </w:abstractNum>
  <w:abstractNum w:abstractNumId="150">
    <w:nsid w:val="3FC32E20"/>
    <w:multiLevelType w:val="hybridMultilevel"/>
    <w:lvl w:ilvl="0">
      <w:lvlJc w:val="left"/>
      <w:lvlText w:val="*"/>
      <w:numFmt w:val="bullet"/>
      <w:start w:val="1"/>
    </w:lvl>
  </w:abstractNum>
  <w:abstractNum w:abstractNumId="151">
    <w:nsid w:val="49C0E823"/>
    <w:multiLevelType w:val="hybridMultilevel"/>
    <w:lvl w:ilvl="0">
      <w:lvlJc w:val="left"/>
      <w:lvlText w:val="(%1)"/>
      <w:numFmt w:val="lowerRoman"/>
      <w:start w:val="2"/>
    </w:lvl>
  </w:abstractNum>
  <w:abstractNum w:abstractNumId="152">
    <w:nsid w:val="14D53685"/>
    <w:multiLevelType w:val="hybridMultilevel"/>
    <w:lvl w:ilvl="0">
      <w:lvlJc w:val="left"/>
      <w:lvlText w:val="%1."/>
      <w:numFmt w:val="decimal"/>
      <w:start w:val="13"/>
    </w:lvl>
  </w:abstractNum>
  <w:abstractNum w:abstractNumId="153">
    <w:nsid w:val="230F856C"/>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2020-12-16T15:24:35Z</dcterms:created>
  <dcterms:modified xsi:type="dcterms:W3CDTF">2020-12-16T15:24:35Z</dcterms:modified>
</cp:coreProperties>
</file>