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FORM 10-Q</w:t>
      </w:r>
    </w:p>
    <w:tbl>
      <w:tblPr>
        <w:tblW w:w="9914" w:type="dxa"/>
        <w:jc w:val="center"/>
        <w:tblInd w:w="0" w:type="dxa"/>
        <w:tblLayout w:type="fixed"/>
        <w:tblCellMar>
          <w:top w:w="28" w:type="dxa"/>
          <w:left w:w="28" w:type="dxa"/>
          <w:bottom w:w="28" w:type="dxa"/>
          <w:right w:w="28" w:type="dxa"/>
        </w:tblCellMar>
      </w:tblPr>
      <w:tblGrid>
        <w:gridCol w:w="353"/>
        <w:gridCol w:w="309"/>
        <w:gridCol w:w="312"/>
        <w:gridCol w:w="2619"/>
        <w:gridCol w:w="2619"/>
        <w:gridCol w:w="3702"/>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 One)</w:t>
            </w:r>
          </w:p>
        </w:tc>
        <w:tc>
          <w:tcPr>
            <w:tcW w:w="8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QUARTERLY REPORT PURSUANT TO SECTION 13 OR 15(d) OF THE SECURITIES EXCHANGE ACT OF 1934</w:t>
            </w:r>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quarterly period ended September 30, 2025</w:t>
            </w:r>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TRANSITION REPORT PURSUANT TO SECTION 13 OR 15(d) OF THE SECURITIES EXCHANGE ACT OF 1934</w:t>
            </w:r>
          </w:p>
        </w:tc>
      </w:tr>
    </w:tbl>
    <w:p>
      <w:pPr>
        <w:pStyle w:val="TextBody"/>
        <w:bidi w:val="0"/>
        <w:spacing w:lineRule="auto" w:line="276" w:before="0" w:after="0"/>
        <w:jc w:val="center"/>
        <w:rPr/>
      </w:pPr>
      <w:r>
        <w:rPr>
          <w:rFonts w:ascii="Times New Roman;serif" w:hAnsi="Times New Roman;serif"/>
          <w:b/>
          <w:color w:val="000000"/>
          <w:sz w:val="18"/>
        </w:rPr>
        <w:t>For the transition period from</w:t>
      </w:r>
      <w:r>
        <w:rPr>
          <w:rFonts w:ascii="Times New Roman;serif" w:hAnsi="Times New Roman;serif"/>
          <w:b/>
          <w:color w:val="000000"/>
          <w:sz w:val="18"/>
          <w:u w:val="single"/>
        </w:rPr>
        <w:t>_________</w:t>
      </w:r>
      <w:r>
        <w:rPr>
          <w:rFonts w:ascii="Times New Roman;serif" w:hAnsi="Times New Roman;serif"/>
          <w:b/>
          <w:color w:val="000000"/>
          <w:sz w:val="18"/>
        </w:rPr>
        <w:t>to</w:t>
      </w:r>
      <w:r>
        <w:rPr>
          <w:color w:val="000000"/>
          <w:u w:val="single"/>
        </w:rPr>
        <w:t xml:space="preserve"> </w:t>
      </w:r>
      <w:r>
        <w:rPr>
          <w:rFonts w:ascii="Times New Roman;serif" w:hAnsi="Times New Roman;serif"/>
          <w:b/>
          <w:color w:val="000000"/>
          <w:sz w:val="18"/>
          <w:u w:val="single"/>
        </w:rPr>
        <w:t>________</w:t>
      </w:r>
    </w:p>
    <w:p>
      <w:pPr>
        <w:pStyle w:val="TextBody"/>
        <w:bidi w:val="0"/>
        <w:spacing w:lineRule="auto" w:line="417" w:before="0" w:after="120"/>
        <w:jc w:val="center"/>
        <w:rPr>
          <w:rFonts w:ascii="Times New Roman;serif" w:hAnsi="Times New Roman;serif"/>
          <w:b/>
          <w:color w:val="000000"/>
          <w:sz w:val="18"/>
        </w:rPr>
      </w:pPr>
      <w:r>
        <w:rPr>
          <w:rFonts w:ascii="Times New Roman;serif" w:hAnsi="Times New Roman;serif"/>
          <w:b/>
          <w:color w:val="000000"/>
          <w:sz w:val="18"/>
        </w:rPr>
        <w:t>Commission File Number: 001-39797</w:t>
      </w:r>
    </w:p>
    <w:p>
      <w:pPr>
        <w:pStyle w:val="TextBody"/>
        <w:bidi w:val="0"/>
        <w:spacing w:lineRule="auto" w:line="417" w:before="0" w:after="0"/>
        <w:jc w:val="center"/>
        <w:rPr/>
      </w:pPr>
      <w:r>
        <w:rPr/>
        <w:drawing>
          <wp:inline distT="0" distB="0" distL="0" distR="0">
            <wp:extent cx="20002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361950"/>
                    </a:xfrm>
                    <a:prstGeom prst="rect">
                      <a:avLst/>
                    </a:prstGeom>
                  </pic:spPr>
                </pic:pic>
              </a:graphicData>
            </a:graphic>
          </wp:inline>
        </w:drawing>
      </w:r>
      <w:bookmarkStart w:id="0" w:name="i-1"/>
      <w:bookmarkEnd w:id="0"/>
      <w:r>
        <w:rPr>
          <w:color w:val="000000"/>
        </w:rPr>
        <w:t xml:space="preserve"> </w:t>
      </w:r>
    </w:p>
    <w:p>
      <w:pPr>
        <w:pStyle w:val="TextBody"/>
        <w:bidi w:val="0"/>
        <w:spacing w:lineRule="auto" w:line="288" w:before="40" w:after="283"/>
        <w:jc w:val="center"/>
        <w:rPr>
          <w:rFonts w:ascii="Times New Roman;serif" w:hAnsi="Times New Roman;serif"/>
          <w:b/>
          <w:color w:val="000000"/>
          <w:sz w:val="34"/>
        </w:rPr>
      </w:pPr>
      <w:r>
        <w:rPr>
          <w:rFonts w:ascii="Times New Roman;serif" w:hAnsi="Times New Roman;serif"/>
          <w:b/>
          <w:color w:val="000000"/>
          <w:sz w:val="34"/>
        </w:rPr>
        <w:t>Upstart Holdings,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before="0" w:after="0"/>
        <w:jc w:val="center"/>
        <w:rPr/>
      </w:pPr>
      <w:r>
        <w:rPr/>
      </w:r>
    </w:p>
    <w:tbl>
      <w:tblPr>
        <w:tblW w:w="4016" w:type="dxa"/>
        <w:jc w:val="center"/>
        <w:tblInd w:w="0" w:type="dxa"/>
        <w:tblLayout w:type="fixed"/>
        <w:tblCellMar>
          <w:top w:w="28" w:type="dxa"/>
          <w:left w:w="28" w:type="dxa"/>
          <w:bottom w:w="28" w:type="dxa"/>
          <w:right w:w="28" w:type="dxa"/>
        </w:tblCellMar>
      </w:tblPr>
      <w:tblGrid>
        <w:gridCol w:w="809"/>
        <w:gridCol w:w="711"/>
        <w:gridCol w:w="715"/>
        <w:gridCol w:w="109"/>
        <w:gridCol w:w="109"/>
        <w:gridCol w:w="109"/>
        <w:gridCol w:w="425"/>
        <w:gridCol w:w="425"/>
        <w:gridCol w:w="60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46-4332431</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tbl>
      <w:tblPr>
        <w:tblW w:w="4279" w:type="dxa"/>
        <w:jc w:val="center"/>
        <w:tblInd w:w="0" w:type="dxa"/>
        <w:tblLayout w:type="fixed"/>
        <w:tblCellMar>
          <w:top w:w="28" w:type="dxa"/>
          <w:left w:w="28" w:type="dxa"/>
          <w:bottom w:w="28" w:type="dxa"/>
          <w:right w:w="28" w:type="dxa"/>
        </w:tblCellMar>
      </w:tblPr>
      <w:tblGrid>
        <w:gridCol w:w="314"/>
        <w:gridCol w:w="275"/>
        <w:gridCol w:w="275"/>
        <w:gridCol w:w="275"/>
        <w:gridCol w:w="275"/>
        <w:gridCol w:w="275"/>
        <w:gridCol w:w="275"/>
        <w:gridCol w:w="275"/>
        <w:gridCol w:w="275"/>
        <w:gridCol w:w="275"/>
        <w:gridCol w:w="275"/>
        <w:gridCol w:w="275"/>
        <w:gridCol w:w="275"/>
        <w:gridCol w:w="275"/>
        <w:gridCol w:w="390"/>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Upstart Holdings, Inc.</w:t>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2950 S. Delaware Street, Suite 410</w:t>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San Mateo, CA 94403</w:t>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(833) 212-2461</w:t>
            </w:r>
          </w:p>
        </w:tc>
      </w:tr>
      <w:tr>
        <w:trPr/>
        <w:tc>
          <w:tcPr>
            <w:tcW w:w="42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r>
    </w:tbl>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754" w:type="dxa"/>
        <w:jc w:val="center"/>
        <w:tblInd w:w="0" w:type="dxa"/>
        <w:tblLayout w:type="fixed"/>
        <w:tblCellMar>
          <w:top w:w="28" w:type="dxa"/>
          <w:left w:w="28" w:type="dxa"/>
          <w:bottom w:w="28" w:type="dxa"/>
          <w:right w:w="28" w:type="dxa"/>
        </w:tblCellMar>
      </w:tblPr>
      <w:tblGrid>
        <w:gridCol w:w="1174"/>
        <w:gridCol w:w="1025"/>
        <w:gridCol w:w="1041"/>
        <w:gridCol w:w="414"/>
        <w:gridCol w:w="414"/>
        <w:gridCol w:w="416"/>
        <w:gridCol w:w="958"/>
        <w:gridCol w:w="958"/>
        <w:gridCol w:w="1354"/>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Trading Symbol</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Name of each exchange on which registered:</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Nasdaq Global Select Market </w:t>
            </w:r>
          </w:p>
        </w:tc>
      </w:tr>
    </w:tbl>
    <w:p>
      <w:pPr>
        <w:pStyle w:val="TextBody"/>
        <w:bidi w:val="0"/>
        <w:spacing w:lineRule="auto" w:line="288" w:before="120" w:after="283"/>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No ☐</w:t>
      </w:r>
    </w:p>
    <w:p>
      <w:pPr>
        <w:pStyle w:val="TextBody"/>
        <w:bidi w:val="0"/>
        <w:spacing w:lineRule="auto" w:line="288" w:before="120" w:after="283"/>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No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41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84"/>
        <w:gridCol w:w="684"/>
        <w:gridCol w:w="68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Indicate by check mark whether the registrant is a shell company (as defined in Rule 12b-2 of the Exchange Act). Yes ☐ No ☒</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As of October 28, 2025 there were 97,286,484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65"/>
        <w:gridCol w:w="938"/>
        <w:gridCol w:w="938"/>
        <w:gridCol w:w="2252"/>
        <w:gridCol w:w="2214"/>
        <w:gridCol w:w="2225"/>
        <w:gridCol w:w="167"/>
        <w:gridCol w:w="167"/>
        <w:gridCol w:w="239"/>
      </w:tblGrid>
      <w:tr>
        <w:trPr/>
        <w:tc>
          <w:tcPr>
            <w:tcW w:w="106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63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2a40b956322447e08a7eb781591fe5c0_10">
              <w:r>
                <w:rPr>
                  <w:rStyle w:val="InternetLink"/>
                  <w:rFonts w:ascii="Times New Roman;serif" w:hAnsi="Times New Roman;serif"/>
                  <w:b/>
                  <w:color w:val="0000FF"/>
                  <w:sz w:val="20"/>
                  <w:u w:val="single"/>
                </w:rPr>
                <w:t>SPECIAL NOTE REGARDING FORWARD-LOOKING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10">
              <w:r>
                <w:rPr>
                  <w:rStyle w:val="InternetLink"/>
                  <w:rFonts w:ascii="Times New Roman;serif" w:hAnsi="Times New Roman;serif"/>
                  <w:b w:val="false"/>
                  <w:strike w:val="false"/>
                  <w:dstrike w:val="false"/>
                  <w:color w:val="000000"/>
                  <w:sz w:val="20"/>
                  <w:u w:val="none"/>
                  <w:effect w:val="none"/>
                </w:rPr>
                <w:t>4</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13">
              <w:r>
                <w:rPr>
                  <w:rStyle w:val="InternetLink"/>
                  <w:rFonts w:ascii="Times New Roman;serif" w:hAnsi="Times New Roman;serif"/>
                  <w:b/>
                  <w:color w:val="0000FF"/>
                  <w:sz w:val="20"/>
                  <w:u w:val="single"/>
                </w:rPr>
                <w:t>PART I. FINANCIAL INFORMATION</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268">
              <w:r>
                <w:rPr>
                  <w:rStyle w:val="InternetLink"/>
                  <w:rFonts w:ascii="Times New Roman;serif" w:hAnsi="Times New Roman;serif"/>
                  <w:b w:val="false"/>
                  <w:strike w:val="false"/>
                  <w:dstrike w:val="false"/>
                  <w:color w:val="000000"/>
                  <w:sz w:val="20"/>
                  <w:u w:val="none"/>
                  <w:effect w:val="none"/>
                </w:rPr>
                <w:t xml:space="preserve">Item 1. </w:t>
              </w:r>
            </w:hyperlink>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19">
              <w:r>
                <w:rPr>
                  <w:rStyle w:val="InternetLink"/>
                  <w:rFonts w:ascii="Times New Roman;serif" w:hAnsi="Times New Roman;serif"/>
                  <w:b w:val="false"/>
                  <w:color w:val="0000FF"/>
                  <w:sz w:val="20"/>
                  <w:u w:val="single"/>
                </w:rPr>
                <w:t>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19">
              <w:r>
                <w:rPr>
                  <w:rStyle w:val="InternetLink"/>
                  <w:rFonts w:ascii="Times New Roman;serif" w:hAnsi="Times New Roman;serif"/>
                  <w:b w:val="false"/>
                  <w:strike w:val="false"/>
                  <w:dstrike w:val="false"/>
                  <w:color w:val="000000"/>
                  <w:sz w:val="20"/>
                  <w:u w:val="none"/>
                  <w:effect w:val="none"/>
                </w:rPr>
                <w:t>7</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19">
              <w:r>
                <w:rPr>
                  <w:rStyle w:val="InternetLink"/>
                  <w:rFonts w:ascii="Times New Roman;serif" w:hAnsi="Times New Roman;serif"/>
                  <w:b w:val="false"/>
                  <w:color w:val="0000FF"/>
                  <w:sz w:val="20"/>
                  <w:u w:val="single"/>
                </w:rPr>
                <w:t>Condensed Consolidated Balance Sheets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19">
              <w:r>
                <w:rPr>
                  <w:rStyle w:val="InternetLink"/>
                  <w:rFonts w:ascii="Times New Roman;serif" w:hAnsi="Times New Roman;serif"/>
                  <w:b w:val="false"/>
                  <w:strike w:val="false"/>
                  <w:dstrike w:val="false"/>
                  <w:color w:val="000000"/>
                  <w:sz w:val="20"/>
                  <w:u w:val="none"/>
                  <w:effect w:val="none"/>
                </w:rPr>
                <w:t>7</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22">
              <w:r>
                <w:rPr>
                  <w:rStyle w:val="InternetLink"/>
                  <w:rFonts w:ascii="Times New Roman;serif" w:hAnsi="Times New Roman;serif"/>
                  <w:b w:val="false"/>
                  <w:color w:val="0000FF"/>
                  <w:sz w:val="20"/>
                  <w:u w:val="single"/>
                </w:rPr>
                <w:t>Condensed Consolidated Statements of Operations and Comprehensive Income (Loss)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22">
              <w:r>
                <w:rPr>
                  <w:rStyle w:val="InternetLink"/>
                  <w:rFonts w:ascii="Times New Roman;serif" w:hAnsi="Times New Roman;serif"/>
                  <w:b w:val="false"/>
                  <w:strike w:val="false"/>
                  <w:dstrike w:val="false"/>
                  <w:color w:val="000000"/>
                  <w:sz w:val="20"/>
                  <w:u w:val="none"/>
                  <w:effect w:val="none"/>
                </w:rPr>
                <w:t>9</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25">
              <w:r>
                <w:rPr>
                  <w:rStyle w:val="InternetLink"/>
                  <w:rFonts w:ascii="Times New Roman;serif" w:hAnsi="Times New Roman;serif"/>
                  <w:b w:val="false"/>
                  <w:color w:val="0000FF"/>
                  <w:sz w:val="20"/>
                  <w:u w:val="single"/>
                </w:rPr>
                <w:t>Condensed Consolidated Statements of Stockholders’ Equity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25">
              <w:r>
                <w:rPr>
                  <w:rStyle w:val="InternetLink"/>
                  <w:rFonts w:ascii="Times New Roman;serif" w:hAnsi="Times New Roman;serif"/>
                  <w:b w:val="false"/>
                  <w:strike w:val="false"/>
                  <w:dstrike w:val="false"/>
                  <w:color w:val="000000"/>
                  <w:sz w:val="20"/>
                  <w:u w:val="none"/>
                  <w:effect w:val="none"/>
                </w:rPr>
                <w:t>10</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31">
              <w:r>
                <w:rPr>
                  <w:rStyle w:val="InternetLink"/>
                  <w:rFonts w:ascii="Times New Roman;serif" w:hAnsi="Times New Roman;serif"/>
                  <w:b w:val="false"/>
                  <w:color w:val="0000FF"/>
                  <w:sz w:val="20"/>
                  <w:u w:val="single"/>
                </w:rPr>
                <w:t>Condensed Consolidated Statements of Cash Flows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31">
              <w:r>
                <w:rPr>
                  <w:rStyle w:val="InternetLink"/>
                  <w:rFonts w:ascii="Times New Roman;serif" w:hAnsi="Times New Roman;serif"/>
                  <w:b w:val="false"/>
                  <w:strike w:val="false"/>
                  <w:dstrike w:val="false"/>
                  <w:color w:val="000000"/>
                  <w:sz w:val="20"/>
                  <w:u w:val="none"/>
                  <w:effect w:val="none"/>
                </w:rPr>
                <w:t>12</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34">
              <w:r>
                <w:rPr>
                  <w:rStyle w:val="InternetLink"/>
                  <w:rFonts w:ascii="Times New Roman;serif" w:hAnsi="Times New Roman;serif"/>
                  <w:b w:val="false"/>
                  <w:color w:val="0000FF"/>
                  <w:sz w:val="20"/>
                  <w:u w:val="single"/>
                </w:rPr>
                <w:t>Notes to the Condensed Consolidated 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34">
              <w:r>
                <w:rPr>
                  <w:rStyle w:val="InternetLink"/>
                  <w:rFonts w:ascii="Times New Roman;serif" w:hAnsi="Times New Roman;serif"/>
                  <w:b w:val="false"/>
                  <w:strike w:val="false"/>
                  <w:dstrike w:val="false"/>
                  <w:color w:val="000000"/>
                  <w:sz w:val="20"/>
                  <w:u w:val="none"/>
                  <w:effect w:val="none"/>
                </w:rPr>
                <w:t>15</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16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166">
              <w:r>
                <w:rPr>
                  <w:rStyle w:val="InternetLink"/>
                  <w:rFonts w:ascii="Times New Roman;serif" w:hAnsi="Times New Roman;serif"/>
                  <w:b w:val="false"/>
                  <w:strike w:val="false"/>
                  <w:dstrike w:val="false"/>
                  <w:color w:val="000000"/>
                  <w:sz w:val="20"/>
                  <w:u w:val="none"/>
                  <w:effect w:val="none"/>
                </w:rPr>
                <w:t>66</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214">
              <w:r>
                <w:rPr>
                  <w:rStyle w:val="InternetLink"/>
                  <w:rFonts w:ascii="Times New Roman;serif" w:hAnsi="Times New Roman;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214">
              <w:r>
                <w:rPr>
                  <w:rStyle w:val="InternetLink"/>
                  <w:rFonts w:ascii="Times New Roman;serif" w:hAnsi="Times New Roman;serif"/>
                  <w:b w:val="false"/>
                  <w:strike w:val="false"/>
                  <w:dstrike w:val="false"/>
                  <w:color w:val="000000"/>
                  <w:sz w:val="20"/>
                  <w:u w:val="none"/>
                  <w:effect w:val="none"/>
                </w:rPr>
                <w:t>86</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4.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217">
              <w:r>
                <w:rPr>
                  <w:rStyle w:val="InternetLink"/>
                  <w:rFonts w:ascii="Times New Roman;serif" w:hAnsi="Times New Roman;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217">
              <w:r>
                <w:rPr>
                  <w:rStyle w:val="InternetLink"/>
                  <w:rFonts w:ascii="Times New Roman;serif" w:hAnsi="Times New Roman;serif"/>
                  <w:b w:val="false"/>
                  <w:strike w:val="false"/>
                  <w:dstrike w:val="false"/>
                  <w:color w:val="000000"/>
                  <w:sz w:val="20"/>
                  <w:u w:val="none"/>
                  <w:effect w:val="none"/>
                </w:rPr>
                <w:t>89</w:t>
              </w:r>
            </w:hyperlink>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220">
              <w:r>
                <w:rPr>
                  <w:rStyle w:val="InternetLink"/>
                  <w:rFonts w:ascii="Times New Roman;serif" w:hAnsi="Times New Roman;serif"/>
                  <w:b/>
                  <w:color w:val="0000FF"/>
                  <w:sz w:val="20"/>
                  <w:u w:val="single"/>
                </w:rPr>
                <w:t>PART II. OTHER INFORMATION</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223">
              <w:r>
                <w:rPr>
                  <w:rStyle w:val="InternetLink"/>
                  <w:rFonts w:ascii="Times New Roman;serif" w:hAnsi="Times New Roman;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223">
              <w:r>
                <w:rPr>
                  <w:rStyle w:val="InternetLink"/>
                  <w:rFonts w:ascii="Times New Roman;serif" w:hAnsi="Times New Roman;serif"/>
                  <w:b w:val="false"/>
                  <w:strike w:val="false"/>
                  <w:dstrike w:val="false"/>
                  <w:color w:val="000000"/>
                  <w:sz w:val="20"/>
                  <w:u w:val="none"/>
                  <w:effect w:val="none"/>
                </w:rPr>
                <w:t>90</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1A.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226">
              <w:r>
                <w:rPr>
                  <w:rStyle w:val="InternetLink"/>
                  <w:rFonts w:ascii="Times New Roman;serif" w:hAnsi="Times New Roman;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226">
              <w:r>
                <w:rPr>
                  <w:rStyle w:val="InternetLink"/>
                  <w:rFonts w:ascii="Times New Roman;serif" w:hAnsi="Times New Roman;serif"/>
                  <w:b w:val="false"/>
                  <w:strike w:val="false"/>
                  <w:dstrike w:val="false"/>
                  <w:color w:val="000000"/>
                  <w:sz w:val="20"/>
                  <w:u w:val="none"/>
                  <w:effect w:val="none"/>
                </w:rPr>
                <w:t>91</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229">
              <w:r>
                <w:rPr>
                  <w:rStyle w:val="InternetLink"/>
                  <w:rFonts w:ascii="Times New Roman;serif" w:hAnsi="Times New Roman;serif"/>
                  <w:b w:val="false"/>
                  <w:color w:val="0000FF"/>
                  <w:sz w:val="20"/>
                  <w:u w:val="single"/>
                </w:rPr>
                <w:t>Unregistered Sales of Equity Securities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229">
              <w:r>
                <w:rPr>
                  <w:rStyle w:val="InternetLink"/>
                  <w:rFonts w:ascii="Times New Roman;serif" w:hAnsi="Times New Roman;serif"/>
                  <w:b w:val="false"/>
                  <w:strike w:val="false"/>
                  <w:dstrike w:val="false"/>
                  <w:color w:val="000000"/>
                  <w:sz w:val="20"/>
                  <w:u w:val="none"/>
                  <w:effect w:val="none"/>
                </w:rPr>
                <w:t>154</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232">
              <w:r>
                <w:rPr>
                  <w:rStyle w:val="InternetLink"/>
                  <w:rFonts w:ascii="Times New Roman;serif" w:hAnsi="Times New Roman;serif"/>
                  <w:b w:val="false"/>
                  <w:color w:val="0000FF"/>
                  <w:sz w:val="20"/>
                  <w:u w:val="singl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232">
              <w:r>
                <w:rPr>
                  <w:rStyle w:val="InternetLink"/>
                  <w:rFonts w:ascii="Times New Roman;serif" w:hAnsi="Times New Roman;serif"/>
                  <w:b w:val="false"/>
                  <w:strike w:val="false"/>
                  <w:dstrike w:val="false"/>
                  <w:color w:val="000000"/>
                  <w:sz w:val="20"/>
                  <w:u w:val="none"/>
                  <w:effect w:val="none"/>
                </w:rPr>
                <w:t>154</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4.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235">
              <w:r>
                <w:rPr>
                  <w:rStyle w:val="InternetLink"/>
                  <w:rFonts w:ascii="Times New Roman;serif" w:hAnsi="Times New Roman;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235">
              <w:r>
                <w:rPr>
                  <w:rStyle w:val="InternetLink"/>
                  <w:rFonts w:ascii="Times New Roman;serif" w:hAnsi="Times New Roman;serif"/>
                  <w:b w:val="false"/>
                  <w:strike w:val="false"/>
                  <w:dstrike w:val="false"/>
                  <w:color w:val="000000"/>
                  <w:sz w:val="20"/>
                  <w:u w:val="none"/>
                  <w:effect w:val="none"/>
                </w:rPr>
                <w:t>154</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5.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238">
              <w:r>
                <w:rPr>
                  <w:rStyle w:val="InternetLink"/>
                  <w:rFonts w:ascii="Times New Roman;serif" w:hAnsi="Times New Roman;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238">
              <w:r>
                <w:rPr>
                  <w:rStyle w:val="InternetLink"/>
                  <w:rFonts w:ascii="Times New Roman;serif" w:hAnsi="Times New Roman;serif"/>
                  <w:b w:val="false"/>
                  <w:strike w:val="false"/>
                  <w:dstrike w:val="false"/>
                  <w:color w:val="000000"/>
                  <w:sz w:val="20"/>
                  <w:u w:val="none"/>
                  <w:effect w:val="none"/>
                </w:rPr>
                <w:t>155</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6. </w:t>
            </w:r>
          </w:p>
        </w:tc>
        <w:tc>
          <w:tcPr>
            <w:tcW w:w="66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244">
              <w:r>
                <w:rPr>
                  <w:rStyle w:val="InternetLink"/>
                  <w:rFonts w:ascii="Times New Roman;serif" w:hAnsi="Times New Roman;serif"/>
                  <w:b w:val="false"/>
                  <w:color w:val="0000FF"/>
                  <w:sz w:val="20"/>
                  <w:u w:val="singl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244">
              <w:r>
                <w:rPr>
                  <w:rStyle w:val="InternetLink"/>
                  <w:rFonts w:ascii="Times New Roman;serif" w:hAnsi="Times New Roman;serif"/>
                  <w:b w:val="false"/>
                  <w:strike w:val="false"/>
                  <w:dstrike w:val="false"/>
                  <w:color w:val="000000"/>
                  <w:sz w:val="20"/>
                  <w:u w:val="none"/>
                  <w:effect w:val="none"/>
                </w:rPr>
                <w:t>156</w:t>
              </w:r>
            </w:hyperlink>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40b956322447e08a7eb781591fe5c0_247">
              <w:r>
                <w:rPr>
                  <w:rStyle w:val="InternetLink"/>
                  <w:rFonts w:ascii="Times New Roman;serif" w:hAnsi="Times New Roman;serif"/>
                  <w:b w:val="false"/>
                  <w:color w:val="0000FF"/>
                  <w:sz w:val="20"/>
                  <w:u w:val="single"/>
                </w:rPr>
                <w:t>Signatures</w:t>
              </w:r>
            </w:hyperlink>
          </w:p>
        </w:tc>
        <w:tc>
          <w:tcPr>
            <w:tcW w:w="6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40b956322447e08a7eb781591fe5c0_247">
              <w:r>
                <w:rPr>
                  <w:rStyle w:val="InternetLink"/>
                  <w:rFonts w:ascii="Times New Roman;serif" w:hAnsi="Times New Roman;serif"/>
                  <w:b w:val="false"/>
                  <w:strike w:val="false"/>
                  <w:dstrike w:val="false"/>
                  <w:color w:val="000000"/>
                  <w:sz w:val="20"/>
                  <w:u w:val="none"/>
                  <w:effect w:val="none"/>
                </w:rPr>
                <w:t>157</w:t>
              </w:r>
            </w:hyperlink>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“would,”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future financial performance, including our expectations regarding our revenue, operating expenses, and our ability to determine reserves and achieve and maintain profitability;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improve the effectiveness and predictiveness of our AI models and our expectations that improvements in our AI models can lead to higher approval rates and lower interest rates;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increase the volume of loans facilitated through our AI lending marketplace;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successfully maintain a diversified and resilient loan funding strategy, including lending partnerships, whole loan sales, committed capital, and other co-investment</w:t>
      </w:r>
      <w:r>
        <w:rPr>
          <w:color w:val="3051F2"/>
        </w:rPr>
        <w:t xml:space="preserve"> </w:t>
      </w:r>
      <w:r>
        <w:rPr>
          <w:rFonts w:ascii="Times New Roman;serif" w:hAnsi="Times New Roman;serif"/>
          <w:b w:val="false"/>
          <w:color w:val="000000"/>
          <w:sz w:val="20"/>
        </w:rPr>
        <w:t xml:space="preserve">arrangements and securitization transactions;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capital allocation plans, including expectations regarding funding loans through our balance sheet and allocations of cash and timing for any share repurchases and other investments;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maintain competitive interest rates offered to borrowers on our platform, while enabling our lending partners and institutional investors to achieve an adequate return over their cost of funding;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successfully build our brand and protect our reputation from negative publicity;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increase the effectiveness of our marketing strategies, including our direct consumer marketing initiatives;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macroeconomic events, including inflation and related changes in interest rates and monetary policy;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the credit performance of Upstart-powered loans;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impact of disruption in the banking industry, and any associated effects on our business and industry;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expectations and management of future growth, including expanding the number of potential borrowers;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successfully adjust our proprietary AI models, products, and services, and provide up-to-date information to our lending partners, in a timely manner in response to changing macroeconomic conditions and fluctuations in the credit market;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compliance with applicable local, state, and federal laws;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comply with and successfully adapt to complex and evolving regulatory environments, including regulation of artificial intelligence and machine learning technology;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expectations regarding regulatory support of our approach to AI-based lending;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the success of our strategic investments and acquisitions, including the integration of acquired operations, products, technology, internal controls, and personnel;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new and evolving markets and our ability to enter into new markets and introduce new products and services;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concerning relationships with third parties;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protect against increasingly sophisticated fraudulent borrowing and online theft;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service our loans and pursue collection of delinquent and defaulted loans;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successfully compete with companies that are currently in, or may in the future enter, the markets in which we operate;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effectively secure and maintain the confidentiality of the information received, accessed, stored, provided, and used across our systems;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successfully obtain and maintain corporate funding and liquidity to support continued growth and for general corporate purposes, which includes our ability to manage existing and future indebtedness;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attract, integrate, and retain qualified employees;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maintain an effective system of disclosure controls and internal control over financial reporting and operations;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effectively manage and expand the capabilities of our operations teams, outsourcing relationships, and other business operations;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maintain, protect, and enhance our intellectual property;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outstanding litigation and regulatory investigations;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manage the increased expenses associated with being a public company. </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caution you that the foregoing list may not contain all of the forward-looking statements made in this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and elsewhere in this report. Readers are urged to carefully review and consider the various disclosures made in this report and in other documents we file from time to time with the Securities and Exchange Commission (the “SEC”)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looking statements. Our forward-looking statements do not reflect the potential impact of any future acquisitions, mergers, dispositions, joint ventures, or investments we may make.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terms the “Company,” “we,” “our,” “us,” and similar terms used herein refer collectively to Upstart Holdings, Inc., a Delaware corporation, and its consolidated subsidiaries, unless otherwise stated.</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website is located at www.upstart.com and our investor relations website at ir.upstart.com.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they are electronically filed with, or furnished to, the SEC. The SEC also maintains a website that contains our SEC filings at www.sec.gov. The content of our websites and information that can be accessed through our websites is not incorporated by reference into this Quarterly Report on Form 10-Q or in any other report or document we file with the SEC, and any references to our websites are intended to be inactive textual references only.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announce material information to the public about us, our products and services and other matters through a variety of means, including SEC filings, press releases, public conference calls, webcasts, the investor relations (ir.upstart.com) and newsroom (upstart.com/news) sections of our website, and our X (formerly known as Twitter) account @Upstart, in order to achieve broad, non-exclusionary distribution of information to the public and for complying with our disclosure obligations under Regulation FD.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50"/>
        <w:gridCol w:w="2233"/>
        <w:gridCol w:w="2253"/>
        <w:gridCol w:w="211"/>
        <w:gridCol w:w="976"/>
        <w:gridCol w:w="109"/>
        <w:gridCol w:w="109"/>
        <w:gridCol w:w="109"/>
        <w:gridCol w:w="109"/>
        <w:gridCol w:w="211"/>
        <w:gridCol w:w="978"/>
        <w:gridCol w:w="157"/>
      </w:tblGrid>
      <w:tr>
        <w:trPr/>
        <w:tc>
          <w:tcPr>
            <w:tcW w:w="2750"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 (at fair value)</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assets (at fair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(includes $107,627 and $229,214 at fair value as of December 31, 2024 and September 30,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w:t>
            </w:r>
            <w:r>
              <w:rPr>
                <w:rFonts w:ascii="Times New Roman;serif" w:hAnsi="Times New Roman;serif"/>
                <w:b w:val="false"/>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2,904,848 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investors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1,855,754 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securitization note holders (at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 (includes $15,883 and $20,492 at fair value as of December 31, 2024 and September 30,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liabilities</w:t>
            </w:r>
            <w:r>
              <w:rPr>
                <w:rFonts w:ascii="Times New Roman;serif" w:hAnsi="Times New Roman;serif"/>
                <w:b w:val="false"/>
                <w:color w:val="000000"/>
                <w:sz w:val="13"/>
              </w:rPr>
              <w:t>(2)</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700,000,000 shares authorized; 93,469,721 and 97,275,544 shares issued and outstanding as of December 31, 2024 and September 30,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1,119,900 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2,904,848 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before="0" w:after="0"/>
        <w:jc w:val="left"/>
        <w:rPr/>
      </w:pPr>
      <w:r>
        <w:rPr/>
      </w:r>
    </w:p>
    <w:p>
      <w:pPr>
        <w:pStyle w:val="TextBody"/>
        <w:bidi w:val="0"/>
        <w:spacing w:lineRule="auto" w:line="288" w:before="0" w:after="0"/>
        <w:ind w:left="0" w:right="0" w:hanging="540"/>
        <w:jc w:val="both"/>
        <w:rPr/>
      </w:pPr>
      <w:r>
        <w:rPr>
          <w:rFonts w:ascii="Times New Roman;serif" w:hAnsi="Times New Roman;serif"/>
          <w:b w:val="false"/>
          <w:color w:val="000000"/>
          <w:sz w:val="16"/>
        </w:rPr>
        <w:t>(1)Includes $102.9 million and $64.1 million of loans, at fair value, contributed as collateral for the consolidated securitization as of December 31, 2024 and September 30, 2025, respectively. Refer to “</w:t>
      </w:r>
      <w:r>
        <w:rPr>
          <w:rFonts w:ascii="Times New Roman;serif" w:hAnsi="Times New Roman;serif"/>
          <w:b w:val="false"/>
          <w:i/>
          <w:color w:val="000000"/>
          <w:sz w:val="16"/>
        </w:rPr>
        <w:t>Note 5. Fair Value Measurement</w:t>
      </w:r>
      <w:r>
        <w:rPr>
          <w:color w:val="000000"/>
        </w:rPr>
        <w:t xml:space="preserve">” </w:t>
      </w:r>
      <w:r>
        <w:rPr>
          <w:rFonts w:ascii="Times New Roman;serif" w:hAnsi="Times New Roman;serif"/>
          <w:b w:val="false"/>
          <w:color w:val="000000"/>
          <w:sz w:val="16"/>
        </w:rPr>
        <w:t>for details.</w:t>
      </w:r>
    </w:p>
    <w:p>
      <w:pPr>
        <w:pStyle w:val="TextBody"/>
        <w:bidi w:val="0"/>
        <w:spacing w:before="0" w:after="0"/>
        <w:ind w:left="0" w:right="0" w:hanging="18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(2)The following table presents information on assets and liabilities related to variable interest entities (“VIEs”) that are consolidated by Upstart Holdings, Inc. at December 31, 2024 and September 30, 2025, respectively. The liabilities of each VIE can only be settled using the assets of the corresponding VIE and creditors of these entities do not have recourse to the general credit of Upstart Holdings, Inc. The assets and liabilities in the table below exclude intercompany balances that eliminate in consolidation.</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Upstart Holdings, Inc. </w: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(Continued)</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2673"/>
        <w:gridCol w:w="2304"/>
        <w:gridCol w:w="2323"/>
        <w:gridCol w:w="226"/>
        <w:gridCol w:w="886"/>
        <w:gridCol w:w="116"/>
        <w:gridCol w:w="109"/>
        <w:gridCol w:w="109"/>
        <w:gridCol w:w="109"/>
        <w:gridCol w:w="211"/>
        <w:gridCol w:w="981"/>
        <w:gridCol w:w="158"/>
      </w:tblGrid>
      <w:tr>
        <w:trPr/>
        <w:tc>
          <w:tcPr>
            <w:tcW w:w="2673"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(at fair value)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750,184 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1,052,786 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(includes $1,864 and $824 at fair value as of December 31, 2024 and September 30, 2025, respectively)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812,109 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1,151,253 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investors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securitization note holders (at fair value)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524,535 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953,064 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center"/>
        <w:rPr/>
      </w:pPr>
      <w:r>
        <w:rPr>
          <w:rFonts w:ascii="Times New Roman;serif" w:hAnsi="Times New Roman;serif"/>
          <w:b w:val="false"/>
          <w:color w:val="000000"/>
          <w:sz w:val="20"/>
        </w:rPr>
        <w:t>The accompanying notes are an integral part of these unaudited condensed consolidated financial statements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1694"/>
        <w:gridCol w:w="1032"/>
        <w:gridCol w:w="1036"/>
        <w:gridCol w:w="109"/>
        <w:gridCol w:w="109"/>
        <w:gridCol w:w="109"/>
        <w:gridCol w:w="219"/>
        <w:gridCol w:w="862"/>
        <w:gridCol w:w="109"/>
        <w:gridCol w:w="109"/>
        <w:gridCol w:w="109"/>
        <w:gridCol w:w="109"/>
        <w:gridCol w:w="240"/>
        <w:gridCol w:w="946"/>
        <w:gridCol w:w="109"/>
        <w:gridCol w:w="109"/>
        <w:gridCol w:w="109"/>
        <w:gridCol w:w="109"/>
        <w:gridCol w:w="109"/>
        <w:gridCol w:w="211"/>
        <w:gridCol w:w="879"/>
        <w:gridCol w:w="109"/>
        <w:gridCol w:w="109"/>
        <w:gridCol w:w="109"/>
        <w:gridCol w:w="109"/>
        <w:gridCol w:w="240"/>
        <w:gridCol w:w="946"/>
        <w:gridCol w:w="156"/>
      </w:tblGrid>
      <w:tr>
        <w:trPr/>
        <w:tc>
          <w:tcPr>
            <w:tcW w:w="169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and other adjustments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used in computing net income (loss)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90,119,481 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95,503,380 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used in computing net income (loss)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90,119,481 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109,724,669 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105,921,585 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76" w:before="0" w:after="160"/>
        <w:ind w:left="0" w:right="0" w:hanging="540"/>
        <w:jc w:val="both"/>
        <w:rPr/>
      </w:pPr>
      <w:r>
        <w:rPr>
          <w:rFonts w:ascii="Times New Roman;serif" w:hAnsi="Times New Roman;serif"/>
          <w:b w:val="false"/>
          <w:color w:val="000000"/>
          <w:sz w:val="16"/>
        </w:rPr>
        <w:t>(1)Balances for the three and nine months ended September 30, 2024 and 2025 include amounts related to the consolidated securitization. Refer to “</w:t>
      </w:r>
      <w:r>
        <w:rPr>
          <w:rFonts w:ascii="Times New Roman;serif" w:hAnsi="Times New Roman;serif"/>
          <w:b w:val="false"/>
          <w:i/>
          <w:color w:val="000000"/>
          <w:sz w:val="16"/>
        </w:rPr>
        <w:t>Note 2. Revenue</w:t>
      </w:r>
      <w:r>
        <w:rPr>
          <w:color w:val="000000"/>
        </w:rPr>
        <w:t xml:space="preserve">” </w:t>
      </w:r>
      <w:r>
        <w:rPr>
          <w:rFonts w:ascii="Times New Roman;serif" w:hAnsi="Times New Roman;serif"/>
          <w:b w:val="false"/>
          <w:color w:val="000000"/>
          <w:sz w:val="16"/>
        </w:rPr>
        <w:t>for details.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Upstart Holdings, Inc. </w: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622" w:type="dxa"/>
        <w:jc w:val="center"/>
        <w:tblInd w:w="0" w:type="dxa"/>
        <w:tblLayout w:type="fixed"/>
        <w:tblCellMar>
          <w:top w:w="28" w:type="dxa"/>
          <w:left w:w="28" w:type="dxa"/>
          <w:bottom w:w="28" w:type="dxa"/>
          <w:right w:w="28" w:type="dxa"/>
        </w:tblCellMar>
      </w:tblPr>
      <w:tblGrid>
        <w:gridCol w:w="636"/>
        <w:gridCol w:w="229"/>
        <w:gridCol w:w="231"/>
        <w:gridCol w:w="109"/>
        <w:gridCol w:w="109"/>
        <w:gridCol w:w="109"/>
        <w:gridCol w:w="109"/>
        <w:gridCol w:w="109"/>
        <w:gridCol w:w="165"/>
        <w:gridCol w:w="165"/>
        <w:gridCol w:w="545"/>
        <w:gridCol w:w="431"/>
        <w:gridCol w:w="166"/>
        <w:gridCol w:w="109"/>
        <w:gridCol w:w="109"/>
        <w:gridCol w:w="109"/>
        <w:gridCol w:w="325"/>
        <w:gridCol w:w="424"/>
        <w:gridCol w:w="182"/>
        <w:gridCol w:w="250"/>
        <w:gridCol w:w="250"/>
        <w:gridCol w:w="251"/>
        <w:gridCol w:w="196"/>
        <w:gridCol w:w="886"/>
        <w:gridCol w:w="109"/>
        <w:gridCol w:w="109"/>
        <w:gridCol w:w="109"/>
        <w:gridCol w:w="109"/>
        <w:gridCol w:w="196"/>
        <w:gridCol w:w="751"/>
        <w:gridCol w:w="109"/>
        <w:gridCol w:w="109"/>
        <w:gridCol w:w="109"/>
        <w:gridCol w:w="109"/>
        <w:gridCol w:w="1171"/>
        <w:gridCol w:w="109"/>
        <w:gridCol w:w="109"/>
        <w:gridCol w:w="109"/>
        <w:gridCol w:w="196"/>
        <w:gridCol w:w="751"/>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943"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c>
          <w:tcPr>
            <w:tcW w:w="2708" w:type="dxa"/>
            <w:gridSpan w:val="8"/>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142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89,084,180</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996,345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(401,644)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594,710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867,016 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912,103 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Settlement of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90,998,255</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1,003,929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(408,402)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595,536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482" w:type="dxa"/>
        <w:jc w:val="center"/>
        <w:tblInd w:w="0" w:type="dxa"/>
        <w:tblLayout w:type="fixed"/>
        <w:tblCellMar>
          <w:top w:w="28" w:type="dxa"/>
          <w:left w:w="28" w:type="dxa"/>
          <w:bottom w:w="28" w:type="dxa"/>
          <w:right w:w="28" w:type="dxa"/>
        </w:tblCellMar>
      </w:tblPr>
      <w:tblGrid>
        <w:gridCol w:w="531"/>
        <w:gridCol w:w="282"/>
        <w:gridCol w:w="283"/>
        <w:gridCol w:w="109"/>
        <w:gridCol w:w="109"/>
        <w:gridCol w:w="118"/>
        <w:gridCol w:w="118"/>
        <w:gridCol w:w="118"/>
        <w:gridCol w:w="118"/>
        <w:gridCol w:w="488"/>
        <w:gridCol w:w="488"/>
        <w:gridCol w:w="211"/>
        <w:gridCol w:w="109"/>
        <w:gridCol w:w="109"/>
        <w:gridCol w:w="109"/>
        <w:gridCol w:w="325"/>
        <w:gridCol w:w="424"/>
        <w:gridCol w:w="182"/>
        <w:gridCol w:w="250"/>
        <w:gridCol w:w="250"/>
        <w:gridCol w:w="251"/>
        <w:gridCol w:w="196"/>
        <w:gridCol w:w="886"/>
        <w:gridCol w:w="109"/>
        <w:gridCol w:w="109"/>
        <w:gridCol w:w="109"/>
        <w:gridCol w:w="109"/>
        <w:gridCol w:w="196"/>
        <w:gridCol w:w="751"/>
        <w:gridCol w:w="109"/>
        <w:gridCol w:w="109"/>
        <w:gridCol w:w="109"/>
        <w:gridCol w:w="109"/>
        <w:gridCol w:w="1171"/>
        <w:gridCol w:w="109"/>
        <w:gridCol w:w="109"/>
        <w:gridCol w:w="109"/>
        <w:gridCol w:w="196"/>
        <w:gridCol w:w="75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c>
          <w:tcPr>
            <w:tcW w:w="2708" w:type="dxa"/>
            <w:gridSpan w:val="8"/>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142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86,330,303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917,872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(282,576)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635,305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1,488,118 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2,846,811 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capped calls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Settlement of capped calls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90,998,255</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1,003,929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(408,402)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595,536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Upstart Holdings, Inc. </w: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482" w:type="dxa"/>
        <w:jc w:val="center"/>
        <w:tblInd w:w="0" w:type="dxa"/>
        <w:tblLayout w:type="fixed"/>
        <w:tblCellMar>
          <w:top w:w="28" w:type="dxa"/>
          <w:left w:w="28" w:type="dxa"/>
          <w:bottom w:w="28" w:type="dxa"/>
          <w:right w:w="28" w:type="dxa"/>
        </w:tblCellMar>
      </w:tblPr>
      <w:tblGrid>
        <w:gridCol w:w="636"/>
        <w:gridCol w:w="229"/>
        <w:gridCol w:w="231"/>
        <w:gridCol w:w="109"/>
        <w:gridCol w:w="109"/>
        <w:gridCol w:w="118"/>
        <w:gridCol w:w="118"/>
        <w:gridCol w:w="118"/>
        <w:gridCol w:w="118"/>
        <w:gridCol w:w="488"/>
        <w:gridCol w:w="488"/>
        <w:gridCol w:w="211"/>
        <w:gridCol w:w="109"/>
        <w:gridCol w:w="109"/>
        <w:gridCol w:w="109"/>
        <w:gridCol w:w="280"/>
        <w:gridCol w:w="494"/>
        <w:gridCol w:w="157"/>
        <w:gridCol w:w="250"/>
        <w:gridCol w:w="250"/>
        <w:gridCol w:w="251"/>
        <w:gridCol w:w="196"/>
        <w:gridCol w:w="886"/>
        <w:gridCol w:w="109"/>
        <w:gridCol w:w="109"/>
        <w:gridCol w:w="109"/>
        <w:gridCol w:w="109"/>
        <w:gridCol w:w="196"/>
        <w:gridCol w:w="751"/>
        <w:gridCol w:w="109"/>
        <w:gridCol w:w="109"/>
        <w:gridCol w:w="109"/>
        <w:gridCol w:w="109"/>
        <w:gridCol w:w="1171"/>
        <w:gridCol w:w="109"/>
        <w:gridCol w:w="109"/>
        <w:gridCol w:w="109"/>
        <w:gridCol w:w="196"/>
        <w:gridCol w:w="751"/>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2708" w:type="dxa"/>
            <w:gridSpan w:val="8"/>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142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96,091,343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1,129,997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(407,997)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722,010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461,859 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653,395 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capped calls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Settlement of capped calls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97,275,544</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1,119,900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(376,192)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743,718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482" w:type="dxa"/>
        <w:jc w:val="center"/>
        <w:tblInd w:w="0" w:type="dxa"/>
        <w:tblLayout w:type="fixed"/>
        <w:tblCellMar>
          <w:top w:w="28" w:type="dxa"/>
          <w:left w:w="28" w:type="dxa"/>
          <w:bottom w:w="28" w:type="dxa"/>
          <w:right w:w="28" w:type="dxa"/>
        </w:tblCellMar>
      </w:tblPr>
      <w:tblGrid>
        <w:gridCol w:w="531"/>
        <w:gridCol w:w="282"/>
        <w:gridCol w:w="283"/>
        <w:gridCol w:w="109"/>
        <w:gridCol w:w="109"/>
        <w:gridCol w:w="118"/>
        <w:gridCol w:w="118"/>
        <w:gridCol w:w="118"/>
        <w:gridCol w:w="118"/>
        <w:gridCol w:w="488"/>
        <w:gridCol w:w="488"/>
        <w:gridCol w:w="211"/>
        <w:gridCol w:w="109"/>
        <w:gridCol w:w="109"/>
        <w:gridCol w:w="109"/>
        <w:gridCol w:w="280"/>
        <w:gridCol w:w="494"/>
        <w:gridCol w:w="157"/>
        <w:gridCol w:w="250"/>
        <w:gridCol w:w="250"/>
        <w:gridCol w:w="251"/>
        <w:gridCol w:w="196"/>
        <w:gridCol w:w="886"/>
        <w:gridCol w:w="109"/>
        <w:gridCol w:w="109"/>
        <w:gridCol w:w="109"/>
        <w:gridCol w:w="109"/>
        <w:gridCol w:w="196"/>
        <w:gridCol w:w="751"/>
        <w:gridCol w:w="109"/>
        <w:gridCol w:w="109"/>
        <w:gridCol w:w="109"/>
        <w:gridCol w:w="109"/>
        <w:gridCol w:w="1171"/>
        <w:gridCol w:w="109"/>
        <w:gridCol w:w="109"/>
        <w:gridCol w:w="109"/>
        <w:gridCol w:w="196"/>
        <w:gridCol w:w="75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2708" w:type="dxa"/>
            <w:gridSpan w:val="8"/>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142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93,469,721</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1,044,366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(411,157)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633,218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1,406,301 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2,179,822 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219,818 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capped calls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capped calls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97,275,544</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1,119,900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(376,192)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743,718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21"/>
        <w:gridCol w:w="2081"/>
        <w:gridCol w:w="2096"/>
        <w:gridCol w:w="109"/>
        <w:gridCol w:w="109"/>
        <w:gridCol w:w="109"/>
        <w:gridCol w:w="109"/>
        <w:gridCol w:w="237"/>
        <w:gridCol w:w="1003"/>
        <w:gridCol w:w="122"/>
        <w:gridCol w:w="122"/>
        <w:gridCol w:w="122"/>
        <w:gridCol w:w="122"/>
        <w:gridCol w:w="244"/>
        <w:gridCol w:w="817"/>
        <w:gridCol w:w="122"/>
        <w:gridCol w:w="160"/>
      </w:tblGrid>
      <w:tr>
        <w:trPr/>
        <w:tc>
          <w:tcPr>
            <w:tcW w:w="252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loans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servicing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servicing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beneficial interest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beneficial interest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other financial instruments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loan servicing rights,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premium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and 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loans held-for-sale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(2,626,246)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(6,410,254)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loans held-for-sale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2,613,039 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5,994,691 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loans held-for-sale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loans held by consolidated securitization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of beneficial interest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beneficial interest assets (derivatives)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of beneficial interest assets (derivatives)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and right-of-use asset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297,257 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originations of loans held-for-investment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(666,049)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loans held-for-investment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loans held-for-investment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notes receivable and repayments of residual certificates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settlements of beneficial interest assets (hybrid instruments)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beneficial interest assets (hybrid instruments)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line of credit receivable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line of credit receivable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405"/>
        <w:gridCol w:w="2105"/>
        <w:gridCol w:w="2118"/>
        <w:gridCol w:w="109"/>
        <w:gridCol w:w="109"/>
        <w:gridCol w:w="109"/>
        <w:gridCol w:w="109"/>
        <w:gridCol w:w="240"/>
        <w:gridCol w:w="943"/>
        <w:gridCol w:w="123"/>
        <w:gridCol w:w="123"/>
        <w:gridCol w:w="123"/>
        <w:gridCol w:w="123"/>
        <w:gridCol w:w="240"/>
        <w:gridCol w:w="943"/>
        <w:gridCol w:w="123"/>
        <w:gridCol w:w="160"/>
      </w:tblGrid>
      <w:tr>
        <w:trPr/>
        <w:tc>
          <w:tcPr>
            <w:tcW w:w="240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(159,817)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(308,909)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convertible notes issuance, net of debt issuance costs paid to lender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 to third parties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(293,179)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(207,494)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repurchases of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(325,344)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(224,154)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capped calls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made on securitization notes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Payable to investors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425,828 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187,980 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(139,358)</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655,767 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836,905 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Beneficial interests obtained in connection with loan 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retained under unconsolidated securitization transactions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line of credit receivable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line of credit receivable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borrowings in connection with loan 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60" w:after="283"/>
        <w:jc w:val="left"/>
        <w:rPr/>
      </w:pPr>
      <w:hyperlink w:anchor="i2a40b956322447e08a7eb781591fe5c0_265">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presents cash, cash equivalents and restricted cash by category within the unaudited condensed consolidated balance sheets:</w:t>
      </w:r>
    </w:p>
    <w:tbl>
      <w:tblPr>
        <w:tblW w:w="7206" w:type="dxa"/>
        <w:jc w:val="center"/>
        <w:tblInd w:w="0" w:type="dxa"/>
        <w:tblLayout w:type="fixed"/>
        <w:tblCellMar>
          <w:top w:w="28" w:type="dxa"/>
          <w:left w:w="28" w:type="dxa"/>
          <w:bottom w:w="28" w:type="dxa"/>
          <w:right w:w="28" w:type="dxa"/>
        </w:tblCellMar>
      </w:tblPr>
      <w:tblGrid>
        <w:gridCol w:w="1429"/>
        <w:gridCol w:w="1254"/>
        <w:gridCol w:w="1261"/>
        <w:gridCol w:w="109"/>
        <w:gridCol w:w="109"/>
        <w:gridCol w:w="109"/>
        <w:gridCol w:w="232"/>
        <w:gridCol w:w="908"/>
        <w:gridCol w:w="119"/>
        <w:gridCol w:w="109"/>
        <w:gridCol w:w="109"/>
        <w:gridCol w:w="109"/>
        <w:gridCol w:w="239"/>
        <w:gridCol w:w="936"/>
        <w:gridCol w:w="17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788,422 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489,784 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976,263 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836,905 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shd w:fill="FFFFFF" w:val="clear"/>
        </w:rPr>
        <w:t xml:space="preserve">The accompanying notes are an integral part of these </w:t>
      </w:r>
      <w:r>
        <w:rPr>
          <w:rFonts w:ascii="Times New Roman;serif" w:hAnsi="Times New Roman;serif"/>
          <w:b w:val="false"/>
          <w:color w:val="000000"/>
          <w:sz w:val="20"/>
        </w:rPr>
        <w:t xml:space="preserve">unaudited condensed </w:t>
      </w:r>
      <w:r>
        <w:rPr>
          <w:rFonts w:ascii="Times New Roman;serif" w:hAnsi="Times New Roman;serif"/>
          <w:b w:val="false"/>
          <w:color w:val="000000"/>
          <w:sz w:val="20"/>
          <w:shd w:fill="FFFFFF" w:val="clear"/>
        </w:rPr>
        <w:t>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    Description of Business and Significant Accounting Policies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Description of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Upstart Holdings, Inc. and its subsidiaries (together “Upstart,” the “Company,” “we,” or “our”) apply artificial intelligence models and cloud applications to the process of underwriting consumer credit. The Company helps originate credit by providing lending partners with access to a proprietary, cloud-based, artificial intelligence lending marketplace. As the Company’s technology continues to improve and additional lending partners adopt the Upstart platform, consumers benefit from improved access to affordable and frictionless credit. The Company currently operates in the United States and is headquartered in San Mateo, California. The Company’s fiscal year ends on December 31.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on the same basis as the annual consolidated financial statements included in our Annual Report on Form 10-K. Certain prior period amounts have been reclassified where appropriate to conform to the current period presentation of such amounts. In the opinion of management, the accompanying condensed consolidated financial statements reflect all adjustments, which include only normal recurring adjustments, necessary to state fairly the Company’s financial position, results of operations, comprehensive income (loss) and cash flows for the periods presented, but are not necessarily indicative of the results of operations to be anticipated of any future annual or interim periods.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information and disclosures normally included in the financial statements prepared in accordance with accounting principles generally accepted in the United States of America (“GAAP”) have been omitted pursuant to rules and regulations of the SEC. Accordingly, the information included in this Quarterly Report on Form 10-Q should be read in conjunction with the consolidated financial statements and accompanying notes included in our Annual Report on Form 10-K for the year ended December 31, 2024.</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The Company bases its estimates on various factors it believes to be reasonable under the circumstances. Actual results could differ from those estimates and such differences could affect the results of operations reported in future periods.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January 1, 2025, the Company adopted Accounting Standards Update (“ASU”) 2023-08, </w:t>
      </w:r>
      <w:r>
        <w:rPr>
          <w:rFonts w:ascii="Times New Roman;serif" w:hAnsi="Times New Roman;serif"/>
          <w:b w:val="false"/>
          <w:i/>
          <w:color w:val="000000"/>
          <w:sz w:val="20"/>
        </w:rPr>
        <w:t>Intangibles—Goodwill and Other—Crypto Assets (Subtopic 350-60): Accounting for and Disclosure of Crypto Assets.</w:t>
      </w:r>
      <w:r>
        <w:rPr>
          <w:color w:val="000000"/>
        </w:rPr>
        <w:t xml:space="preserve"> </w:t>
      </w:r>
      <w:r>
        <w:rPr>
          <w:rFonts w:ascii="Times New Roman;serif" w:hAnsi="Times New Roman;serif"/>
          <w:b w:val="false"/>
          <w:color w:val="000000"/>
          <w:sz w:val="20"/>
        </w:rPr>
        <w:t xml:space="preserve">The new guidance requires certain crypto assets to be measured at fair value with changes in fair value recorded in net income, and additional disclosures about the holdings of certain crypto assets. The adoption of the new standard did not have an impact on the Company’s condensed consolidated financial statements or related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December 2023, the Financial Accounting Standards Board (“FASB”) issued ASU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The amendments in this update require entities to disclose specific categories in the effective tax rate reconciliation and provide 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This ASU is effective for annual periods beginning after December 15, 2024 with early adoption permitted. The Company is currently evaluating the impact of these amendments to its condensed consolidated financial statements and related disclosures and plans to include the additional required disclosures relating to income taxes beginning in our Annual Report on Form 10-K for the fiscal year ending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November 2024, the FASB issued ASU 2024-03 and subsequently ASU 2025-01,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The amendments in this update require disaggregated disclosures in the notes to the financial statements for certain expenses such as employee compensation, depreciation, and intangible asset amortization, which are commonly presented in aggregate. This ASU is effective for annual periods beginning after December 15, 2026 and interim periods beginning after December 15, 2027 with early adoption permitted. The Company is currently evaluating the impact of these amendments to its condensed consolidated financial statements and related disclosures.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 xml:space="preserve">Debt—Debt with Conversion and Other Options (Subtopic 470-20): Induced Conversions of Convertible Debt Instruments. </w:t>
      </w:r>
      <w:r>
        <w:rPr>
          <w:rFonts w:ascii="Times New Roman;serif" w:hAnsi="Times New Roman;serif"/>
          <w:b w:val="false"/>
          <w:color w:val="000000"/>
          <w:sz w:val="20"/>
        </w:rPr>
        <w:t xml:space="preserve">The amendments in this update clarify the requirements for determining whether certain settlements of convertible debt instruments should be accounted for as an induced conversion. This ASU is effective for annual reporting periods beginning after December 15, 2025 with early adoption permitted. The Company expects to adopt the ASU prospectively and as such, does not expect an impact to its condensed consolidated financial statements upon adoption.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The amendments in this update remove references to software development project stages and introduce a “probable-to-complete” threshold to determine when software development costs should be capitalized. This ASU is effective for annual reporting periods beginning after December 15, 2027 with early adoption permitted. The Company is currently evaluating the impact of these amendments to its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2.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Revenue from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disaggregates revenue from fees by type of service for the periods presented as follows: </w:t>
      </w:r>
    </w:p>
    <w:tbl>
      <w:tblPr>
        <w:tblW w:w="8630" w:type="dxa"/>
        <w:jc w:val="center"/>
        <w:tblInd w:w="0" w:type="dxa"/>
        <w:tblLayout w:type="fixed"/>
        <w:tblCellMar>
          <w:top w:w="28" w:type="dxa"/>
          <w:left w:w="28" w:type="dxa"/>
          <w:bottom w:w="28" w:type="dxa"/>
          <w:right w:w="28" w:type="dxa"/>
        </w:tblCellMar>
      </w:tblPr>
      <w:tblGrid>
        <w:gridCol w:w="895"/>
        <w:gridCol w:w="788"/>
        <w:gridCol w:w="792"/>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and referral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other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Platform and Referral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Lending Partners. </w:t>
      </w:r>
      <w:r>
        <w:rPr>
          <w:rFonts w:ascii="Times New Roman;serif" w:hAnsi="Times New Roman;serif"/>
          <w:b w:val="false"/>
          <w:color w:val="000000"/>
          <w:sz w:val="20"/>
        </w:rPr>
        <w:t>The Company enters into contracts with its lending partner customers, to provide access to a cloud-based artificial intelligence lending marketplace developed by the Company (the “Upstart platform”) to enable lending partners to originate unsecured personal and secured auto refinance loans. The Upstart platform includes a cloud-based application (through Upstart.com)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origination, Upstart-powered loans are either retained by lending partners, purchased by the Company for immediate resale to institutional investors under loan sale agreements, or purchased and held by the Company. For loans not retained by the lending partners, the Company pays the lending partners a one-time loan premium fee upon completion of the minimum contractual holding period and a monthly loan trailing fee based on the amount and timing of principal and interest payments made by the borrowers of the underlying loans. Both the loan premium fees and loan trailing fees are consideration payable to customers, which are our lending partners, and are recorded as a reduction to platform and referral fees, net, which is part of revenue from fees, net, in the condensed consolidated statements of operations and comprehensive income (loss). The Company recognized $3.1 million and $7.5 million of loan premium fees and loan trailing fees as contra-revenue within platform and referral fees, net during the three and nine months ended September 30, 2024, respectively, and an immaterial amount and $12.9 million during the three and nine months ended September 30, 2025,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December 31, 2024 and September 30, 2025, the Company recognized $4.6 million and an immaterial amount of loan trailing fee liability, respectively, which is recorded at fair value and included within accrued expenses and other liabilities on the Company’s condensed consolidated balance sheets.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for additional information on changes in fair value associated with trailing fee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arrangements for platform and referral services typically consist of an obligation to provide one or both of these services to customers,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generally billed and paid on a monthly basis, or settled on a daily basis. As such, the Company’s contracts with customers do not include a significant financing component.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Auto Dealerships.</w:t>
      </w:r>
      <w:r>
        <w:rPr>
          <w:color w:val="000000"/>
        </w:rPr>
        <w:t xml:space="preserve"> </w:t>
      </w:r>
      <w:r>
        <w:rPr>
          <w:rFonts w:ascii="Times New Roman;serif" w:hAnsi="Times New Roman;serif"/>
          <w:b w:val="false"/>
          <w:color w:val="000000"/>
          <w:sz w:val="20"/>
        </w:rPr>
        <w:t>The Company enters into subscription agreements with auto dealerships to access Upstart Auto Finance software, a cloud-based solution that facilitates dealership operations and enables them to provide consumers with access to Upstart-powered auto loans. Subscription agreements generally have a contractual term of one to six months with evergreen monthly renewals. The Company bills these customers on a monthly basis. Subscription fees are recognized over the contract term as the performance obligation is satisfied, and is included within platform and referral fees, net in the condensed consolidated statements of operations and comprehensive income (loss). The Company recognized an immaterial</w:t>
      </w:r>
      <w:r>
        <w:rPr>
          <w:color w:val="000000"/>
          <w:shd w:fill="FFFFFF" w:val="clear"/>
        </w:rPr>
        <w:t xml:space="preserve"> </w:t>
      </w:r>
      <w:r>
        <w:rPr>
          <w:rFonts w:ascii="Times New Roman;serif" w:hAnsi="Times New Roman;serif"/>
          <w:b w:val="false"/>
          <w:color w:val="000000"/>
          <w:sz w:val="20"/>
          <w:shd w:fill="FFFFFF" w:val="clear"/>
        </w:rPr>
        <w:t>amount</w:t>
      </w:r>
      <w:r>
        <w:rPr>
          <w:color w:val="000000"/>
        </w:rPr>
        <w:t xml:space="preserve"> </w:t>
      </w:r>
      <w:r>
        <w:rPr>
          <w:rFonts w:ascii="Times New Roman;serif" w:hAnsi="Times New Roman;serif"/>
          <w:b w:val="false"/>
          <w:color w:val="000000"/>
          <w:sz w:val="20"/>
        </w:rPr>
        <w:t>and $4.1 million of subscription fee revenue for the three and nine months ended September 30, 2024, respectively, and an immaterial amount of subscription fee revenue for both the three and nine months ended September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$19.0 million and $22.6 million of accounts receivable, excluding those that are settled on a daily basis, that are included in other assets on the condensed consolidated balance sheets related to contracts with customers as of December 31, 2024 and September 30, 2025, respectively. The standard payment terms on accounts receivable are 30 days. The Company’s allowance for bad debt and bad debt expense were immaterial for the periods presented.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December 31, 2024 and September 30, 2025, the Company had $2.5 million and an immaterial amount, respectively, of contract costs capitalized within other assets on the condensed consolidated balance sheets. The Company amortized immaterial amounts of capitalized contracts costs to sales and marketing in the condensed consolidated statements of operations and comprehensive income (loss) for the periods presented.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Customers accounting for greater than 10% of total revenue were as follows:</w:t>
      </w:r>
    </w:p>
    <w:p>
      <w:pPr>
        <w:pStyle w:val="TextBody"/>
        <w:bidi w:val="0"/>
        <w:spacing w:before="0" w:after="0"/>
        <w:jc w:val="both"/>
        <w:rPr/>
      </w:pPr>
      <w:r>
        <w:rPr/>
      </w:r>
    </w:p>
    <w:tbl>
      <w:tblPr>
        <w:tblW w:w="7219" w:type="dxa"/>
        <w:jc w:val="left"/>
        <w:tblInd w:w="0" w:type="dxa"/>
        <w:tblLayout w:type="fixed"/>
        <w:tblCellMar>
          <w:top w:w="28" w:type="dxa"/>
          <w:left w:w="28" w:type="dxa"/>
          <w:bottom w:w="28" w:type="dxa"/>
          <w:right w:w="28" w:type="dxa"/>
        </w:tblCellMar>
      </w:tblPr>
      <w:tblGrid>
        <w:gridCol w:w="391"/>
        <w:gridCol w:w="344"/>
        <w:gridCol w:w="345"/>
        <w:gridCol w:w="268"/>
        <w:gridCol w:w="268"/>
        <w:gridCol w:w="270"/>
        <w:gridCol w:w="206"/>
        <w:gridCol w:w="206"/>
        <w:gridCol w:w="206"/>
        <w:gridCol w:w="268"/>
        <w:gridCol w:w="268"/>
        <w:gridCol w:w="270"/>
        <w:gridCol w:w="206"/>
        <w:gridCol w:w="206"/>
        <w:gridCol w:w="220"/>
        <w:gridCol w:w="109"/>
        <w:gridCol w:w="109"/>
        <w:gridCol w:w="109"/>
        <w:gridCol w:w="109"/>
        <w:gridCol w:w="806"/>
        <w:gridCol w:w="190"/>
        <w:gridCol w:w="190"/>
        <w:gridCol w:w="190"/>
        <w:gridCol w:w="268"/>
        <w:gridCol w:w="268"/>
        <w:gridCol w:w="270"/>
        <w:gridCol w:w="190"/>
        <w:gridCol w:w="190"/>
        <w:gridCol w:w="27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ind w:left="0" w:right="0" w:firstLine="720"/>
              <w:jc w:val="left"/>
              <w:rPr>
                <w:sz w:val="4"/>
                <w:szCs w:val="4"/>
              </w:rPr>
            </w:pPr>
            <w:r>
              <w:rPr>
                <w:sz w:val="4"/>
                <w:szCs w:val="4"/>
              </w:rPr>
            </w:r>
          </w:p>
        </w:tc>
        <w:tc>
          <w:tcPr>
            <w:tcW w:w="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ind w:left="0" w:right="0" w:firstLine="720"/>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ind w:left="0" w:right="0" w:firstLine="720"/>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ind w:left="0" w:right="0" w:firstLine="720"/>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Less than 10%</w:t>
      </w:r>
    </w:p>
    <w:p>
      <w:pPr>
        <w:pStyle w:val="TextBody"/>
        <w:bidi w:val="0"/>
        <w:spacing w:before="0" w:after="0"/>
        <w:ind w:left="0" w:right="0" w:hanging="54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Customers accounting for greater than 10% of accounts receivable were as follows:</w:t>
      </w:r>
    </w:p>
    <w:p>
      <w:pPr>
        <w:pStyle w:val="TextBody"/>
        <w:bidi w:val="0"/>
        <w:spacing w:before="0" w:after="0"/>
        <w:ind w:left="0" w:right="0" w:firstLine="720"/>
        <w:jc w:val="both"/>
        <w:rPr/>
      </w:pPr>
      <w:r>
        <w:rPr/>
      </w:r>
    </w:p>
    <w:tbl>
      <w:tblPr>
        <w:tblW w:w="6231" w:type="dxa"/>
        <w:jc w:val="left"/>
        <w:tblInd w:w="0" w:type="dxa"/>
        <w:tblLayout w:type="fixed"/>
        <w:tblCellMar>
          <w:top w:w="28" w:type="dxa"/>
          <w:left w:w="28" w:type="dxa"/>
          <w:bottom w:w="28" w:type="dxa"/>
          <w:right w:w="28" w:type="dxa"/>
        </w:tblCellMar>
      </w:tblPr>
      <w:tblGrid>
        <w:gridCol w:w="391"/>
        <w:gridCol w:w="344"/>
        <w:gridCol w:w="345"/>
        <w:gridCol w:w="268"/>
        <w:gridCol w:w="268"/>
        <w:gridCol w:w="270"/>
        <w:gridCol w:w="574"/>
        <w:gridCol w:w="574"/>
        <w:gridCol w:w="576"/>
        <w:gridCol w:w="268"/>
        <w:gridCol w:w="268"/>
        <w:gridCol w:w="270"/>
        <w:gridCol w:w="530"/>
        <w:gridCol w:w="530"/>
        <w:gridCol w:w="75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Less than 10%</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Servicing and Other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enters into contracts with lending partners and institutional investors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charges lending partners and institutional investors for collection agency fees related to their outstanding loan portfolio. The Company either performs borrower collection activities in-house, or outsources to third-party collection agencies, including for loans that are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The total fees charged by collection agencies are recognized in the period incurred and reported as part of customer operations expenses.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Servicing and other fees, net also includes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 xml:space="preserve">for additional information on changes in fair value associated with servicing assets and liabilities.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servicing and other fees, net as part of revenue from fees, net in the Company’s condensed consolidated statements of operations and comprehensive income (loss):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00"/>
        <w:gridCol w:w="1378"/>
        <w:gridCol w:w="1385"/>
        <w:gridCol w:w="109"/>
        <w:gridCol w:w="109"/>
        <w:gridCol w:w="109"/>
        <w:gridCol w:w="211"/>
        <w:gridCol w:w="721"/>
        <w:gridCol w:w="109"/>
        <w:gridCol w:w="109"/>
        <w:gridCol w:w="109"/>
        <w:gridCol w:w="109"/>
        <w:gridCol w:w="211"/>
        <w:gridCol w:w="721"/>
        <w:gridCol w:w="109"/>
        <w:gridCol w:w="109"/>
        <w:gridCol w:w="109"/>
        <w:gridCol w:w="109"/>
        <w:gridCol w:w="109"/>
        <w:gridCol w:w="109"/>
        <w:gridCol w:w="211"/>
        <w:gridCol w:w="721"/>
        <w:gridCol w:w="109"/>
        <w:gridCol w:w="109"/>
        <w:gridCol w:w="109"/>
        <w:gridCol w:w="109"/>
        <w:gridCol w:w="211"/>
        <w:gridCol w:w="826"/>
        <w:gridCol w:w="156"/>
      </w:tblGrid>
      <w:tr>
        <w:trPr/>
        <w:tc>
          <w:tcPr>
            <w:tcW w:w="160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agency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servicing rights and fair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servicing and other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Income, Interest Expense, and Fair Value Adjustments,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 is comprised of interest income, interest expense and net changes in the fair value of financial instruments held in the Company’s normal course of business at fair value, including loans, derivatives, beneficial interests, notes receivable and residual certificates, trailing fee liabilities, payable to securitization note holders, and line of credit receivable.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components of the interest income, interest expense, and fair value adjustments, net presented in the Company’s condensed consolidated statements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12"/>
        <w:gridCol w:w="1337"/>
        <w:gridCol w:w="1309"/>
        <w:gridCol w:w="109"/>
        <w:gridCol w:w="109"/>
        <w:gridCol w:w="109"/>
        <w:gridCol w:w="211"/>
        <w:gridCol w:w="721"/>
        <w:gridCol w:w="109"/>
        <w:gridCol w:w="109"/>
        <w:gridCol w:w="109"/>
        <w:gridCol w:w="109"/>
        <w:gridCol w:w="211"/>
        <w:gridCol w:w="721"/>
        <w:gridCol w:w="109"/>
        <w:gridCol w:w="109"/>
        <w:gridCol w:w="109"/>
        <w:gridCol w:w="109"/>
        <w:gridCol w:w="109"/>
        <w:gridCol w:w="109"/>
        <w:gridCol w:w="211"/>
        <w:gridCol w:w="826"/>
        <w:gridCol w:w="109"/>
        <w:gridCol w:w="109"/>
        <w:gridCol w:w="109"/>
        <w:gridCol w:w="109"/>
        <w:gridCol w:w="211"/>
        <w:gridCol w:w="826"/>
        <w:gridCol w:w="156"/>
      </w:tblGrid>
      <w:tr>
        <w:trPr/>
        <w:tc>
          <w:tcPr>
            <w:tcW w:w="161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and other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Unrealized loss on loans, loan charge-offs, and other fair value adjustments, net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Realized gain (loss) on sale of loans,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adjustments and realized losses on beneficial interests,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fair value and other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interest income, interest expense and unrealized loss on loans, loan charge-offs, and other fair value adjustments, net related to the consolidated securitization as follows:</w:t>
      </w:r>
    </w:p>
    <w:p>
      <w:pPr>
        <w:pStyle w:val="TextBody"/>
        <w:bidi w:val="0"/>
        <w:spacing w:before="0" w:after="0"/>
        <w:ind w:left="0" w:right="0" w:hanging="720"/>
        <w:jc w:val="both"/>
        <w:rPr/>
      </w:pPr>
      <w:r>
        <w:rPr/>
      </w:r>
    </w:p>
    <w:tbl>
      <w:tblPr>
        <w:tblW w:w="10205" w:type="dxa"/>
        <w:jc w:val="left"/>
        <w:tblInd w:w="0" w:type="dxa"/>
        <w:tblLayout w:type="fixed"/>
        <w:tblCellMar>
          <w:top w:w="28" w:type="dxa"/>
          <w:left w:w="28" w:type="dxa"/>
          <w:bottom w:w="28" w:type="dxa"/>
          <w:right w:w="28" w:type="dxa"/>
        </w:tblCellMar>
      </w:tblPr>
      <w:tblGrid>
        <w:gridCol w:w="1664"/>
        <w:gridCol w:w="1462"/>
        <w:gridCol w:w="1466"/>
        <w:gridCol w:w="109"/>
        <w:gridCol w:w="109"/>
        <w:gridCol w:w="109"/>
        <w:gridCol w:w="211"/>
        <w:gridCol w:w="658"/>
        <w:gridCol w:w="109"/>
        <w:gridCol w:w="109"/>
        <w:gridCol w:w="109"/>
        <w:gridCol w:w="109"/>
        <w:gridCol w:w="211"/>
        <w:gridCol w:w="616"/>
        <w:gridCol w:w="109"/>
        <w:gridCol w:w="109"/>
        <w:gridCol w:w="109"/>
        <w:gridCol w:w="109"/>
        <w:gridCol w:w="109"/>
        <w:gridCol w:w="109"/>
        <w:gridCol w:w="211"/>
        <w:gridCol w:w="763"/>
        <w:gridCol w:w="109"/>
        <w:gridCol w:w="109"/>
        <w:gridCol w:w="109"/>
        <w:gridCol w:w="109"/>
        <w:gridCol w:w="211"/>
        <w:gridCol w:w="721"/>
        <w:gridCol w:w="158"/>
      </w:tblGrid>
      <w:tr>
        <w:trPr/>
        <w:tc>
          <w:tcPr>
            <w:tcW w:w="166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 related to 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loans, loan charge-offs, and other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is recognized based on the terms of the underlying agreements with borrowers for loans and line of credit receivable held on the Company’s condensed consolidated balance sheets and is earned over the life of a loan or a line of credit receivable.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also includes accrued interest earned on outstanding loans and line of credit receivable but not collected. Generally, home equity lines of credit (“HELOCs”) that have reached a delinquency over 180 days and all other loans and line of credit receivable that have reached a delinquency over 120 days are charged off and do not accrue interest. The Company does not record an allowance for credit losses on accrued interest receivable. As of December 31, 2024 and September 30, 2025, the Company has recorded $8.2 million and $10.3 million of accrued interest income in loans on the condensed consolidated balance sheets, respectively. Accrued interest income on the line of credit receivable was immaterial as of both December 31, 2024 and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is primarily related to interest recorded on the Company’s borrowings on warehouse credit facilities and interest expense related to the consolidated securitization. Interest expense includes accrued interest incurred but not paid. Interest expense also includes changes in fair value of the interest rate caps. Accrued interest expenses for the warehouses were immaterial as of December 31, 2024 and September 30, 2025.</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Fair Value and Other Adjustments,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Fair value and other adjustments, net include changes in fair value of financial instruments, other than loan servicing assets and liabilities and interest rate caps. These adjustments are recorded in the Company’s condensed consolidated statements of operations and comprehensive income (loss) and include both realized and unrealized changes to the value of related assets and liabilities.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and other adjustments, net also includes amounts received from borrowers for previously charged-off loans held on the Company’s condensed consolidated balance sheets. These amounts are recognized in the period when amounts are received. Amounts received from borrowers for previously charged-off loans were $3.7 million and $10.8 million for the three and nine months ended September 30, 2024, respectively, and were immaterial and $13.0 million for the three and nine months ended September 30, 2025,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3.    Variable Interest Entities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Consolidated VIEs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consolidates VIEs in which the Company has a variable interest and is determined to be the primary beneficiary. This determination is based on whether the Company has a variable interest (or combination of variable interests) that provides the Company with both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summary of financial assets and liabilities from the Company’s involvement with consolidated VIEs: </w:t>
      </w:r>
    </w:p>
    <w:p>
      <w:pPr>
        <w:pStyle w:val="TextBody"/>
        <w:bidi w:val="0"/>
        <w:spacing w:before="0" w:after="0"/>
        <w:ind w:left="0" w:right="0" w:firstLine="612"/>
        <w:jc w:val="both"/>
        <w:rPr/>
      </w:pPr>
      <w:r>
        <w:rPr/>
      </w:r>
    </w:p>
    <w:tbl>
      <w:tblPr>
        <w:tblW w:w="7223" w:type="dxa"/>
        <w:jc w:val="left"/>
        <w:tblInd w:w="0" w:type="dxa"/>
        <w:tblLayout w:type="fixed"/>
        <w:tblCellMar>
          <w:top w:w="28" w:type="dxa"/>
          <w:left w:w="28" w:type="dxa"/>
          <w:bottom w:w="28" w:type="dxa"/>
          <w:right w:w="28" w:type="dxa"/>
        </w:tblCellMar>
      </w:tblPr>
      <w:tblGrid>
        <w:gridCol w:w="1000"/>
        <w:gridCol w:w="879"/>
        <w:gridCol w:w="88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warehouse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373" w:type="dxa"/>
        <w:jc w:val="left"/>
        <w:tblInd w:w="0" w:type="dxa"/>
        <w:tblLayout w:type="fixed"/>
        <w:tblCellMar>
          <w:top w:w="28" w:type="dxa"/>
          <w:left w:w="28" w:type="dxa"/>
          <w:bottom w:w="28" w:type="dxa"/>
          <w:right w:w="28" w:type="dxa"/>
        </w:tblCellMar>
      </w:tblPr>
      <w:tblGrid>
        <w:gridCol w:w="1000"/>
        <w:gridCol w:w="879"/>
        <w:gridCol w:w="880"/>
        <w:gridCol w:w="109"/>
        <w:gridCol w:w="109"/>
        <w:gridCol w:w="109"/>
        <w:gridCol w:w="211"/>
        <w:gridCol w:w="976"/>
        <w:gridCol w:w="109"/>
        <w:gridCol w:w="109"/>
        <w:gridCol w:w="109"/>
        <w:gridCol w:w="109"/>
        <w:gridCol w:w="211"/>
        <w:gridCol w:w="82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warehouse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Consolidated Securitization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July 6, 2023, the Company completed a private securitization securities offering (“UPST 2023-2”). As a retaining sponsor of the transaction, under risk retention requirements in Title 17 U.S. </w:t>
      </w:r>
      <w:r>
        <w:rPr>
          <w:rFonts w:ascii="Times New Roman;serif" w:hAnsi="Times New Roman;serif"/>
          <w:b w:val="false"/>
          <w:i/>
          <w:color w:val="000000"/>
          <w:sz w:val="20"/>
        </w:rPr>
        <w:t>Code of Federal Regulations</w:t>
      </w:r>
      <w:r>
        <w:rPr>
          <w:color w:val="000000"/>
        </w:rPr>
        <w:t xml:space="preserve"> </w:t>
      </w:r>
      <w:r>
        <w:rPr>
          <w:rFonts w:ascii="Times New Roman;serif" w:hAnsi="Times New Roman;serif"/>
          <w:b w:val="false"/>
          <w:color w:val="000000"/>
          <w:sz w:val="20"/>
        </w:rPr>
        <w:t>Part 246, Credit Risk Retention, promulgated by the SEC, the Company is required to retain at least 5% of the economic risk in UPST 2023-2. The Company elected to satisfy the risk retention requirements by holding eligible vertical retained interests in the form of a combination of securitization notes and residual certificates. The Company has also retained the remainder of the residual certificates issued as part of the transaction. The Company was the sole contributor of the collateral, which included $204.7 million outstanding principal balance of Upstart-powered loans held by the Company. The weighted-average coupon of the securitization notes issued was approximately 9.2%, and their sale generated approximately $165.3 million in gross cash proceeds. These proceeds and payments made on securitization notes are classified as financing activities in the condensed consolidated statement of cash flows.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retained interests in UPST 2023-2 held by the Company were deemed to potentially absorb more than an insignificant amount of expected losses or expected returns at the inception of the securitization transaction. The Company, as servicer, also has the power to direct the activities that most significantly impact the economics of the entities associated with the UPST 2023-2 securitization, and as such, the Company determined it was the primary beneficiary and consolidated the entities associated with UPST 2023-2.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loans held in the consolidated securitization trust are classified as held-for-sale and included in loans, at fair value, and the notes sold to third-party investors are recorded at fair value as payable to securitization note holders on the condensed consolidated balance sheets.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for additional information on determination of fair value of these assets and liabilities. The value of the residual certificates issued as part of the securitization and retained by the Company was eliminated as part of the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Warehouse Entities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established various entities deemed to be VIEs to enter into warehouse credit facilities for the purpose of purchasing Upstart-powered loans. Refer to “</w:t>
      </w:r>
      <w:r>
        <w:rPr>
          <w:rFonts w:ascii="Times New Roman;serif" w:hAnsi="Times New Roman;serif"/>
          <w:b w:val="false"/>
          <w:i/>
          <w:color w:val="000000"/>
          <w:sz w:val="20"/>
        </w:rPr>
        <w:t>Note 8. Borrowings</w:t>
      </w:r>
      <w:r>
        <w:rPr>
          <w:color w:val="000000"/>
        </w:rPr>
        <w:t xml:space="preserve">” </w:t>
      </w:r>
      <w:r>
        <w:rPr>
          <w:rFonts w:ascii="Times New Roman;serif" w:hAnsi="Times New Roman;serif"/>
          <w:b w:val="false"/>
          <w:color w:val="000000"/>
          <w:sz w:val="20"/>
        </w:rPr>
        <w:t>for additional information. These entities are Delaware statutory trusts that are structured to be bankruptcy-remote, with third-party banks operating as trustees.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Other Consolidated VIE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formed a number of VIEs for the purpose of holding Upstart-powered loans that are not pledged or eligible to be pledged to the Company’s warehouse credit facilities. In addition, the Company has formed consolidated VIEs for the purpose of holding restricted cash or loans as collateral in connection with committed capital and other co-investment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Unconsolidated VIEs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transactions with unconsolidated VIEs include securitizations of unsecured personal whole loans and sales of whole loans to VIEs, including loan sales under its committed capital and other co-investment arrangements. Refer to “</w:t>
      </w:r>
      <w:r>
        <w:rPr>
          <w:rFonts w:ascii="Times New Roman;serif" w:hAnsi="Times New Roman;serif"/>
          <w:b w:val="false"/>
          <w:i/>
          <w:color w:val="000000"/>
          <w:sz w:val="20"/>
        </w:rPr>
        <w:t>Note 4. Beneficial Interests</w:t>
      </w:r>
      <w:r>
        <w:rPr>
          <w:color w:val="000000"/>
        </w:rPr>
        <w:t xml:space="preserve">” </w:t>
      </w:r>
      <w:r>
        <w:rPr>
          <w:rFonts w:ascii="Times New Roman;serif" w:hAnsi="Times New Roman;serif"/>
          <w:b w:val="false"/>
          <w:color w:val="000000"/>
          <w:sz w:val="20"/>
        </w:rPr>
        <w:t>for additional information on unconsolidated VIEs related to committed capital and other co-investment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Securitizations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the Company continues to be involved with the unconsolidated VIEs in its role as the sponsor and the servicer of securitization transactions, the Company has determined that it is not the primary beneficiary of these entities. The Company’s unconsolidated VIEs include entities established as the issuers and grantor trusts for various securitization transactions.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the Company exercised clean up calls related to two historical unconsolidated securitizations and subsequently liquidated the associated entities. As part of the clean up calls, the Company, as servicer, repurchased the remaining collateral and received the cash reserve amounts held by the related entities. The clean up calls had no material impact on the condensed consolidated financial statements of the Company.</w:t>
      </w:r>
    </w:p>
    <w:p>
      <w:pPr>
        <w:pStyle w:val="TextBody"/>
        <w:bidi w:val="0"/>
        <w:spacing w:before="0" w:after="0"/>
        <w:ind w:left="0" w:right="0" w:firstLine="619"/>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aggregate value of assets and liabilities of unconsolidated VIEs associated with securitizations in which the Company holds a variable interest but is not the primary beneficiary: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left"/>
        <w:rPr/>
      </w:pPr>
      <w:r>
        <w:rPr/>
      </w:r>
    </w:p>
    <w:tbl>
      <w:tblPr>
        <w:tblW w:w="8782" w:type="dxa"/>
        <w:jc w:val="left"/>
        <w:tblInd w:w="0" w:type="dxa"/>
        <w:tblLayout w:type="fixed"/>
        <w:tblCellMar>
          <w:top w:w="28" w:type="dxa"/>
          <w:left w:w="28" w:type="dxa"/>
          <w:bottom w:w="28" w:type="dxa"/>
          <w:right w:w="28" w:type="dxa"/>
        </w:tblCellMar>
      </w:tblPr>
      <w:tblGrid>
        <w:gridCol w:w="484"/>
        <w:gridCol w:w="425"/>
        <w:gridCol w:w="42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524"/>
        <w:gridCol w:w="1793"/>
        <w:gridCol w:w="383"/>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Assets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Exposure to Losses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25,774 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Represents cash and the unpaid principal balance of loans held by the unconsolidated VIEs.</w:t>
      </w:r>
    </w:p>
    <w:tbl>
      <w:tblPr>
        <w:tblW w:w="9082" w:type="dxa"/>
        <w:jc w:val="left"/>
        <w:tblInd w:w="0" w:type="dxa"/>
        <w:tblLayout w:type="fixed"/>
        <w:tblCellMar>
          <w:top w:w="28" w:type="dxa"/>
          <w:left w:w="28" w:type="dxa"/>
          <w:bottom w:w="28" w:type="dxa"/>
          <w:right w:w="28" w:type="dxa"/>
        </w:tblCellMar>
      </w:tblPr>
      <w:tblGrid>
        <w:gridCol w:w="484"/>
        <w:gridCol w:w="425"/>
        <w:gridCol w:w="427"/>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524"/>
        <w:gridCol w:w="1793"/>
        <w:gridCol w:w="383"/>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Assets</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Exposure to Losses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80,865 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Represents cash and the unpaid principal balance of loans held by the unconsolidated VIEs.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maximum exposure to loss from its involvement with unconsolidated VIEs represents the value of securities retained and cash deposits made under the risk retention requirements for the related securitizations and estimates the loss that would be incurred under severe, hypothetical circumstances, for which the Company believes the possibility is remote. The carrying value of assets that relate to variable interests in unconsolidated VIEs consists of $22.1 million and $76.8 million of securitization notes and residual certificates that are carried at fair value and included in other assets on the condensed consolidated balance sheets as of December 31, 2024 and September 30, 2025, respectively. The Company also had $3.7 million and an immaterial amount of cash deposits held as reserve accounts for related securitizations, included in other assets on the condensed consolidated balance sheets as of December 31, 2024 and September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securitization transactions where the Company is not the risk retaining sponsor, and servicing is the only form of continuing involvement, the Company would only experience a loss if it were required to repurchase a loan due to a breach in representations and warranties and is not able to collect all repayments, refer to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for further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investors and the securitization trusts have no direct recourse to the Company’s assets, and holders of the securities issued by the securitization trusts can look only to the assets of the securitization trusts that issued their securities for payment. The interests held by the Company and its affiliates are subject principally to the credit and prepayment risk stemming from the underlying unsecured personal whole loans.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 xml:space="preserve">4.    Beneficial Interests </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beneficial interests are associated with committed capital and other co-investment arrangements with a number of third-party institutional investors and lending partners, in which the Company puts certain amounts of assets at risk. The risk is subject to a dollar cap, which represents the Company’s maximum exposure to losses in each particular arrangement.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certain arrangements, the Company is obligated to make payments to these third-parties or is entitled to receive payments from them if credit performance of the loans sold or originated under the arrangements deviates from initial expectations set at the time of loan sale or origination. These arrangements meet the definition of derivatives under ASC 815 and produce an asset or a liability depending on the credit performance of the underlying loan portfolio as of the reporting date, which are settled periodically in cash based on contractual terms. Under other arrangements, the Company makes an initial investment and is entitled to a portion of cash flows from repayments received over time on the underlying loan portfolios sold under these arrangements. These cash flows vary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pPr>
      <w:r>
        <w:rPr>
          <w:rFonts w:ascii="Times New Roman;serif" w:hAnsi="Times New Roman;serif"/>
          <w:b w:val="false"/>
          <w:color w:val="000000"/>
          <w:sz w:val="20"/>
        </w:rPr>
        <w:t>depending on the demonstrated credit performance relative to our expectations. These arrangements are debt-like financial instruments with embedded derivatives related to the variability of demonstrated credit performance of underlying loan portfolios against initial expectations. The Company accounts for these derivatives and hybrid instruments at fair value under ASC 815 and ASC 825, respectively.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Beneficial interests represent the value of the future cash flows based on expected performance, discounted to the present value. The following table presents the aggregate outstanding principal balance of the underlying loan portfolios as well as the fair value of beneficial interest assets, by type, which collectively are presented as a separate asset line item on the condensed consolidated balance sheets, and beneficial interest liabilities, which are presented in accrued expenses and other liabilities on the condensed consolidated balance sheets.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9"/>
        <w:gridCol w:w="757"/>
        <w:gridCol w:w="762"/>
        <w:gridCol w:w="109"/>
        <w:gridCol w:w="109"/>
        <w:gridCol w:w="109"/>
        <w:gridCol w:w="321"/>
        <w:gridCol w:w="1488"/>
        <w:gridCol w:w="166"/>
        <w:gridCol w:w="109"/>
        <w:gridCol w:w="109"/>
        <w:gridCol w:w="109"/>
        <w:gridCol w:w="211"/>
        <w:gridCol w:w="826"/>
        <w:gridCol w:w="109"/>
        <w:gridCol w:w="109"/>
        <w:gridCol w:w="109"/>
        <w:gridCol w:w="109"/>
        <w:gridCol w:w="321"/>
        <w:gridCol w:w="1488"/>
        <w:gridCol w:w="166"/>
        <w:gridCol w:w="109"/>
        <w:gridCol w:w="109"/>
        <w:gridCol w:w="109"/>
        <w:gridCol w:w="211"/>
        <w:gridCol w:w="826"/>
        <w:gridCol w:w="109"/>
        <w:gridCol w:w="109"/>
        <w:gridCol w:w="158"/>
      </w:tblGrid>
      <w:tr>
        <w:trPr/>
        <w:tc>
          <w:tcPr>
            <w:tcW w:w="86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assets (hybrid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2,214,535 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3,736,312 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assets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1,943,215 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2,567,729 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4,157,750 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6,304,041 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Beneficial interest liabilities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2,000,860 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recognizes beneficial interests at fair value with changes reported as part of the fair value and other adjustments on the condensed consolidated statements of operations and comprehensive income (loss)</w:t>
      </w:r>
      <w:r>
        <w:rPr>
          <w:rFonts w:ascii="Times New Roman;serif" w:hAnsi="Times New Roman;serif"/>
          <w:b w:val="false"/>
          <w:color w:val="3051F2"/>
          <w:sz w:val="20"/>
        </w:rPr>
        <w:t xml:space="preserve">. </w:t>
      </w:r>
      <w:r>
        <w:rPr>
          <w:rFonts w:ascii="Times New Roman;serif" w:hAnsi="Times New Roman;serif"/>
          <w:b w:val="false"/>
          <w:color w:val="000000"/>
          <w:sz w:val="20"/>
        </w:rPr>
        <w:t>The table below presents losses recognized on beneficial interests during the following periods: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661"/>
        <w:gridCol w:w="1460"/>
        <w:gridCol w:w="1464"/>
        <w:gridCol w:w="109"/>
        <w:gridCol w:w="109"/>
        <w:gridCol w:w="109"/>
        <w:gridCol w:w="211"/>
        <w:gridCol w:w="526"/>
        <w:gridCol w:w="109"/>
        <w:gridCol w:w="109"/>
        <w:gridCol w:w="109"/>
        <w:gridCol w:w="109"/>
        <w:gridCol w:w="211"/>
        <w:gridCol w:w="781"/>
        <w:gridCol w:w="109"/>
        <w:gridCol w:w="109"/>
        <w:gridCol w:w="109"/>
        <w:gridCol w:w="109"/>
        <w:gridCol w:w="109"/>
        <w:gridCol w:w="109"/>
        <w:gridCol w:w="211"/>
        <w:gridCol w:w="781"/>
        <w:gridCol w:w="109"/>
        <w:gridCol w:w="109"/>
        <w:gridCol w:w="109"/>
        <w:gridCol w:w="109"/>
        <w:gridCol w:w="211"/>
        <w:gridCol w:w="676"/>
        <w:gridCol w:w="159"/>
      </w:tblGrid>
      <w:tr>
        <w:trPr/>
        <w:tc>
          <w:tcPr>
            <w:tcW w:w="166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and realized losses on beneficial interests,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beneficial interests are associated with entities that meet the definition of a VIE or are evaluated under the voting interest model. The Company has variable interests in certain entities established in relation to its committed capital and co-investment arrangements, including purchaser trusts, which are unconsolidated VIEs. While the Company holds variable interests in these unconsolidated VIEs through committed capital and co-investment arrangements and as the servicer of the loans sold, the Company does not have the power to direct the activities that most significantly impact the VIE’s economic performance and has determined that it is not the primary beneficiary of these entities. The Company additionally holds loans as collateral in connection with committed capital and other co-investment arrangements in a consolidated VIE. Refer to “</w:t>
      </w:r>
      <w:r>
        <w:rPr>
          <w:rFonts w:ascii="Times New Roman;serif" w:hAnsi="Times New Roman;serif"/>
          <w:b w:val="false"/>
          <w:i/>
          <w:color w:val="000000"/>
          <w:sz w:val="20"/>
        </w:rPr>
        <w:t>Note 3. Variable Interest Entities</w:t>
      </w:r>
      <w:r>
        <w:rPr>
          <w:color w:val="000000"/>
        </w:rPr>
        <w:t xml:space="preserve">” </w:t>
      </w:r>
      <w:r>
        <w:rPr>
          <w:rFonts w:ascii="Times New Roman;serif" w:hAnsi="Times New Roman;serif"/>
          <w:b w:val="false"/>
          <w:color w:val="000000"/>
          <w:sz w:val="20"/>
        </w:rPr>
        <w:t xml:space="preserve">for additional information. While held as collateral, these loans are ineligible to be sold and are classified as held-for-investment on the Company’s condensed consolidated balance sheets.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contractual terms of committed capital and other co-investment arrangements also determine the Company’s maximum exposure to losses and dictate types of assets the Company puts at risk. The Company’s maximum exposure to losses from its involvement with these arrangements are estimated under severe, hypothetical circumstances, for which the Company believes the possibility is remote. The following table presents the Company’s aggregate maximum exposure to losses by asset type: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7627" w:type="dxa"/>
        <w:jc w:val="left"/>
        <w:tblInd w:w="0" w:type="dxa"/>
        <w:tblLayout w:type="fixed"/>
        <w:tblCellMar>
          <w:top w:w="28" w:type="dxa"/>
          <w:left w:w="28" w:type="dxa"/>
          <w:bottom w:w="28" w:type="dxa"/>
          <w:right w:w="28" w:type="dxa"/>
        </w:tblCellMar>
      </w:tblPr>
      <w:tblGrid>
        <w:gridCol w:w="1244"/>
        <w:gridCol w:w="1092"/>
        <w:gridCol w:w="1098"/>
        <w:gridCol w:w="109"/>
        <w:gridCol w:w="109"/>
        <w:gridCol w:w="109"/>
        <w:gridCol w:w="317"/>
        <w:gridCol w:w="1244"/>
        <w:gridCol w:w="164"/>
        <w:gridCol w:w="109"/>
        <w:gridCol w:w="109"/>
        <w:gridCol w:w="109"/>
        <w:gridCol w:w="321"/>
        <w:gridCol w:w="1259"/>
        <w:gridCol w:w="234"/>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173,117 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330,073 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assets - Line of credit receivable</w:t>
            </w:r>
            <w:r>
              <w:rPr>
                <w:rFonts w:ascii="Times New Roman;serif" w:hAnsi="Times New Roman;serif"/>
                <w:b w:val="false"/>
                <w:color w:val="000000"/>
                <w:sz w:val="13"/>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111,696 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459,343 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797,284 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Represents the unpaid principal balance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2024 and September 30, 2025, $137.4 million and $194.3 million, respectively, of the Company’s cash was held by one of our institutional investors in the form of the line of credit receivable and part of the beneficial interest asset balance. We mitigate our risk exposure through corporate guarantees provided by the investor.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630"/>
        <w:jc w:val="both"/>
        <w:rPr/>
      </w:pPr>
      <w:r>
        <w:rPr/>
      </w: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5.     Fair Value Measurement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assets and liabilities measured at fair value and categorized in accordance with the fair value hierarchy: </w:t>
      </w:r>
    </w:p>
    <w:tbl>
      <w:tblPr>
        <w:tblW w:w="8584" w:type="dxa"/>
        <w:jc w:val="left"/>
        <w:tblInd w:w="0" w:type="dxa"/>
        <w:tblLayout w:type="fixed"/>
        <w:tblCellMar>
          <w:top w:w="28" w:type="dxa"/>
          <w:left w:w="28" w:type="dxa"/>
          <w:bottom w:w="28" w:type="dxa"/>
          <w:right w:w="28" w:type="dxa"/>
        </w:tblCellMar>
      </w:tblPr>
      <w:tblGrid>
        <w:gridCol w:w="1241"/>
        <w:gridCol w:w="1093"/>
        <w:gridCol w:w="1101"/>
        <w:gridCol w:w="109"/>
        <w:gridCol w:w="109"/>
        <w:gridCol w:w="109"/>
        <w:gridCol w:w="209"/>
        <w:gridCol w:w="209"/>
        <w:gridCol w:w="211"/>
        <w:gridCol w:w="109"/>
        <w:gridCol w:w="109"/>
        <w:gridCol w:w="109"/>
        <w:gridCol w:w="281"/>
        <w:gridCol w:w="1299"/>
        <w:gridCol w:w="145"/>
        <w:gridCol w:w="109"/>
        <w:gridCol w:w="109"/>
        <w:gridCol w:w="109"/>
        <w:gridCol w:w="285"/>
        <w:gridCol w:w="1321"/>
        <w:gridCol w:w="208"/>
      </w:tblGrid>
      <w:tr>
        <w:trPr/>
        <w:tc>
          <w:tcPr>
            <w:tcW w:w="124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Level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1,229,976 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316,199 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of credit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114,846 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and residual certificates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caps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1,090,779 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1,775,389 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securitization note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Trailing fee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servicing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103,204 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75,667 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The fair value of interest rate caps is determined based on the present value of the estimated future cash flows over the contract term using observable market-based inputs as of the valuation date, including implied interest rates.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Financial instruments are categorized in the fair value hierarchy based on the significance of unobservable inputs and assumptions in the overall fair value measurement. Financial instruments classified as Level 3 within the fair value hierarchy </w:t>
      </w:r>
      <w:r>
        <w:rPr>
          <w:rFonts w:ascii="Times New Roman;serif" w:hAnsi="Times New Roman;serif"/>
          <w:b w:val="false"/>
          <w:color w:val="242424"/>
          <w:sz w:val="20"/>
        </w:rPr>
        <w:t xml:space="preserve">do not trade in an active market with readily observable prices. The Company uses significant unobservable inputs to measure the fair value of these assets and liabilities. </w:t>
      </w:r>
      <w:r>
        <w:rPr>
          <w:rFonts w:ascii="Times New Roman;serif" w:hAnsi="Times New Roman;serif"/>
          <w:b w:val="false"/>
          <w:color w:val="000000"/>
          <w:sz w:val="20"/>
        </w:rPr>
        <w:t xml:space="preserve">There were no transfers between Level 1, Level 2 or Level 3 of the fair value hierarchy during the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included in the Company’s condensed consolidated balance sheets are classified as either held-for-sale or held-for-investment based on the Company’s intent and ability to sell the loans prior to maturity. From time to time, the Company transfers loans between the classification categories based on changes in the Company’s intent and ability. Loans held in the consolidated securitization include loans contributed as collateral to and held in the consolidated securitization (UPST 2023-2) and are classified as held-for-sale.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classes of loans included in the Company’s condensed consolidated balance sheets as of December 31, 2024 and September 30, 2025:</w:t>
      </w:r>
    </w:p>
    <w:tbl>
      <w:tblPr>
        <w:tblW w:w="7672" w:type="dxa"/>
        <w:jc w:val="center"/>
        <w:tblInd w:w="0" w:type="dxa"/>
        <w:tblLayout w:type="fixed"/>
        <w:tblCellMar>
          <w:top w:w="28" w:type="dxa"/>
          <w:left w:w="28" w:type="dxa"/>
          <w:bottom w:w="28" w:type="dxa"/>
          <w:right w:w="28" w:type="dxa"/>
        </w:tblCellMar>
      </w:tblPr>
      <w:tblGrid>
        <w:gridCol w:w="1258"/>
        <w:gridCol w:w="1106"/>
        <w:gridCol w:w="1115"/>
        <w:gridCol w:w="109"/>
        <w:gridCol w:w="109"/>
        <w:gridCol w:w="109"/>
        <w:gridCol w:w="317"/>
        <w:gridCol w:w="1244"/>
        <w:gridCol w:w="164"/>
        <w:gridCol w:w="109"/>
        <w:gridCol w:w="109"/>
        <w:gridCol w:w="109"/>
        <w:gridCol w:w="285"/>
        <w:gridCol w:w="1321"/>
        <w:gridCol w:w="208"/>
      </w:tblGrid>
      <w:tr>
        <w:trPr/>
        <w:tc>
          <w:tcPr>
            <w:tcW w:w="125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405,812 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521,743 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644,168 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in 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806,304 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1,229,976 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elected the measurement alternative under Topic 810, </w:t>
      </w:r>
      <w:r>
        <w:rPr>
          <w:rFonts w:ascii="Times New Roman;serif" w:hAnsi="Times New Roman;serif"/>
          <w:b w:val="false"/>
          <w:i/>
          <w:color w:val="000000"/>
          <w:sz w:val="20"/>
        </w:rPr>
        <w:t>Consolidation</w:t>
      </w:r>
      <w:r>
        <w:rPr>
          <w:rFonts w:ascii="Times New Roman;serif" w:hAnsi="Times New Roman;serif"/>
          <w:b w:val="false"/>
          <w:color w:val="000000"/>
          <w:sz w:val="20"/>
        </w:rPr>
        <w:t>, and maximizes the use of observable inputs to estimate the fair value of the financial assets and liabilities of UPST 2023-2. Under the measurement alternative, the Company determined that inputs and market data used to determine the value of UPST 2023-2 liabilities, which consist of securitization notes and residual certificates issued as part of this securitization, are more observable than those used to measure fair value of UPST 2023-2 financial assets, which consist of held-for-sale loans contributed as collateral. Thus, the loans are measured based on the sum of the fair value of the UPST 2023-2 securitization notes and residual certificates, with changes in fair value included in the condensed consolidated statements of operations and comprehensive income (loss). The fair value is also corroborated with discounted cash flow that considers projected prepayments and historical defaults, losses and recoveries to project future losses and net cash flows on loans, discounted using an estimate of market rates of return as disclosed below in the Significant Inputs and Assumptions section. The fair value of loans in consolidated securitization also includes accrued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quantitative information about the significant unobservable inputs used for the Company’s Level 3 fair value measurements for loans held-for-investment and held-for-sale, excluding loans held in consolidated securitization: </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10888" w:type="dxa"/>
        <w:jc w:val="center"/>
        <w:tblInd w:w="0" w:type="dxa"/>
        <w:tblLayout w:type="fixed"/>
        <w:tblCellMar>
          <w:top w:w="28" w:type="dxa"/>
          <w:left w:w="28" w:type="dxa"/>
          <w:bottom w:w="28" w:type="dxa"/>
          <w:right w:w="28" w:type="dxa"/>
        </w:tblCellMar>
      </w:tblPr>
      <w:tblGrid>
        <w:gridCol w:w="478"/>
        <w:gridCol w:w="329"/>
        <w:gridCol w:w="274"/>
        <w:gridCol w:w="109"/>
        <w:gridCol w:w="109"/>
        <w:gridCol w:w="109"/>
        <w:gridCol w:w="255"/>
        <w:gridCol w:w="256"/>
        <w:gridCol w:w="526"/>
        <w:gridCol w:w="109"/>
        <w:gridCol w:w="109"/>
        <w:gridCol w:w="109"/>
        <w:gridCol w:w="308"/>
        <w:gridCol w:w="308"/>
        <w:gridCol w:w="551"/>
        <w:gridCol w:w="109"/>
        <w:gridCol w:w="109"/>
        <w:gridCol w:w="109"/>
        <w:gridCol w:w="378"/>
        <w:gridCol w:w="378"/>
        <w:gridCol w:w="940"/>
        <w:gridCol w:w="109"/>
        <w:gridCol w:w="109"/>
        <w:gridCol w:w="109"/>
        <w:gridCol w:w="255"/>
        <w:gridCol w:w="256"/>
        <w:gridCol w:w="526"/>
        <w:gridCol w:w="109"/>
        <w:gridCol w:w="109"/>
        <w:gridCol w:w="109"/>
        <w:gridCol w:w="308"/>
        <w:gridCol w:w="308"/>
        <w:gridCol w:w="551"/>
        <w:gridCol w:w="109"/>
        <w:gridCol w:w="109"/>
        <w:gridCol w:w="109"/>
        <w:gridCol w:w="355"/>
        <w:gridCol w:w="355"/>
        <w:gridCol w:w="1031"/>
      </w:tblGrid>
      <w:tr>
        <w:trPr/>
        <w:tc>
          <w:tcPr>
            <w:tcW w:w="4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Weighted-Average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color w:val="000000"/>
              </w:rPr>
              <w:t xml:space="preserve"> </w:t>
            </w:r>
            <w:r>
              <w:rPr>
                <w:rFonts w:ascii="Times New Roman;serif" w:hAnsi="Times New Roman;serif"/>
                <w:b/>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Unobservable inputs were weighted by relative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implied for the Company’s Level 3 fair value measurements for loans held in consolidated securitization, which is determined by the sum of the fair value of the related securitization notes and residual certificates, and corroborated with a discounted cash flow model, similar to the one used for other loans held on the condensed consolidated balance sheet:</w:t>
      </w:r>
    </w:p>
    <w:tbl>
      <w:tblPr>
        <w:tblW w:w="10888" w:type="dxa"/>
        <w:jc w:val="center"/>
        <w:tblInd w:w="0" w:type="dxa"/>
        <w:tblLayout w:type="fixed"/>
        <w:tblCellMar>
          <w:top w:w="28" w:type="dxa"/>
          <w:left w:w="28" w:type="dxa"/>
          <w:bottom w:w="28" w:type="dxa"/>
          <w:right w:w="28" w:type="dxa"/>
        </w:tblCellMar>
      </w:tblPr>
      <w:tblGrid>
        <w:gridCol w:w="478"/>
        <w:gridCol w:w="329"/>
        <w:gridCol w:w="274"/>
        <w:gridCol w:w="109"/>
        <w:gridCol w:w="109"/>
        <w:gridCol w:w="109"/>
        <w:gridCol w:w="255"/>
        <w:gridCol w:w="256"/>
        <w:gridCol w:w="526"/>
        <w:gridCol w:w="109"/>
        <w:gridCol w:w="109"/>
        <w:gridCol w:w="109"/>
        <w:gridCol w:w="308"/>
        <w:gridCol w:w="308"/>
        <w:gridCol w:w="551"/>
        <w:gridCol w:w="109"/>
        <w:gridCol w:w="109"/>
        <w:gridCol w:w="109"/>
        <w:gridCol w:w="378"/>
        <w:gridCol w:w="378"/>
        <w:gridCol w:w="940"/>
        <w:gridCol w:w="109"/>
        <w:gridCol w:w="109"/>
        <w:gridCol w:w="109"/>
        <w:gridCol w:w="255"/>
        <w:gridCol w:w="256"/>
        <w:gridCol w:w="526"/>
        <w:gridCol w:w="109"/>
        <w:gridCol w:w="109"/>
        <w:gridCol w:w="109"/>
        <w:gridCol w:w="308"/>
        <w:gridCol w:w="308"/>
        <w:gridCol w:w="551"/>
        <w:gridCol w:w="109"/>
        <w:gridCol w:w="109"/>
        <w:gridCol w:w="109"/>
        <w:gridCol w:w="355"/>
        <w:gridCol w:w="355"/>
        <w:gridCol w:w="1031"/>
      </w:tblGrid>
      <w:tr>
        <w:trPr/>
        <w:tc>
          <w:tcPr>
            <w:tcW w:w="4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Weighted-Average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color w:val="000000"/>
              </w:rPr>
              <w:t xml:space="preserve"> </w:t>
            </w:r>
            <w:r>
              <w:rPr>
                <w:rFonts w:ascii="Times New Roman;serif" w:hAnsi="Times New Roman;serif"/>
                <w:b/>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Unobservable inputs were weighted by relative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rates</w:t>
      </w:r>
      <w:r>
        <w:rPr>
          <w:color w:val="000000"/>
        </w:rPr>
        <w:t>–</w:t>
      </w:r>
      <w:r>
        <w:rPr>
          <w:rFonts w:ascii="Times New Roman;serif" w:hAnsi="Times New Roman;serif"/>
          <w:b w:val="false"/>
          <w:color w:val="000000"/>
          <w:sz w:val="20"/>
        </w:rPr>
        <w:t xml:space="preserve">The discount rates are rates of return used to discount future expected cash flows to arrive at a present value, which represents the 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 </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Credit risk rates</w:t>
      </w:r>
      <w:r>
        <w:rPr>
          <w:color w:val="000000"/>
        </w:rPr>
        <w:t>–</w:t>
      </w:r>
      <w:r>
        <w:rPr>
          <w:rFonts w:ascii="Times New Roman;serif" w:hAnsi="Times New Roman;serif"/>
          <w:b w:val="false"/>
          <w:color w:val="000000"/>
          <w:sz w:val="20"/>
        </w:rPr>
        <w:t xml:space="preserve">The credit risk rates are an estimate of the net cumulative principal payments that will not be repaid over the entire life of a 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Prepayment rates</w:t>
      </w:r>
      <w:r>
        <w:rPr>
          <w:color w:val="000000"/>
        </w:rPr>
        <w:t>–</w:t>
      </w:r>
      <w:r>
        <w:rPr>
          <w:rFonts w:ascii="Times New Roman;serif" w:hAnsi="Times New Roman;serif"/>
          <w:b w:val="false"/>
          <w:color w:val="000000"/>
          <w:sz w:val="20"/>
        </w:rPr>
        <w:t xml:space="preserve">Prepayment rates are an estimate of the cumulative principal prepayments that will occur over the entire life of a loan as a percentage of the original principal amount of the loan. The assumption regarding cumulative prepayments impacts the projected balances and expected terms of the loans.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sensitivity of the fair value of loans held-for-sale and held-for-investment, excluding the loans in consolidated securitization, to adverse changes in key assumptions used in the valuation model as of December 31, 2024 and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9067" w:type="dxa"/>
        <w:jc w:val="left"/>
        <w:tblInd w:w="0" w:type="dxa"/>
        <w:tblLayout w:type="fixed"/>
        <w:tblCellMar>
          <w:top w:w="28" w:type="dxa"/>
          <w:left w:w="28" w:type="dxa"/>
          <w:bottom w:w="28" w:type="dxa"/>
          <w:right w:w="28" w:type="dxa"/>
        </w:tblCellMar>
      </w:tblPr>
      <w:tblGrid>
        <w:gridCol w:w="1767"/>
        <w:gridCol w:w="1552"/>
        <w:gridCol w:w="1555"/>
        <w:gridCol w:w="109"/>
        <w:gridCol w:w="109"/>
        <w:gridCol w:w="109"/>
        <w:gridCol w:w="317"/>
        <w:gridCol w:w="1244"/>
        <w:gridCol w:w="164"/>
        <w:gridCol w:w="109"/>
        <w:gridCol w:w="109"/>
        <w:gridCol w:w="109"/>
        <w:gridCol w:w="285"/>
        <w:gridCol w:w="1321"/>
        <w:gridCol w:w="208"/>
      </w:tblGrid>
      <w:tr>
        <w:trPr/>
        <w:tc>
          <w:tcPr>
            <w:tcW w:w="176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loans held-for-sale and held-for-investment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703,355 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1,165,911 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basis point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basis point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loss rates on underlying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prepayment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Immaterial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fair value sensitivity of loans in consolidated securitization to adverse changes in key assumptions. The fair value of loans in consolidated securitization is not sensitive to adverse changes in discount rates and prepayment rates as such changes do not result in a material impact on the fair value as of December 31, 2024 and September 30, 2025. </w:t>
      </w:r>
    </w:p>
    <w:tbl>
      <w:tblPr>
        <w:tblW w:w="8828" w:type="dxa"/>
        <w:jc w:val="left"/>
        <w:tblInd w:w="0" w:type="dxa"/>
        <w:tblLayout w:type="fixed"/>
        <w:tblCellMar>
          <w:top w:w="28" w:type="dxa"/>
          <w:left w:w="28" w:type="dxa"/>
          <w:bottom w:w="28" w:type="dxa"/>
          <w:right w:w="28" w:type="dxa"/>
        </w:tblCellMar>
      </w:tblPr>
      <w:tblGrid>
        <w:gridCol w:w="1678"/>
        <w:gridCol w:w="1475"/>
        <w:gridCol w:w="1482"/>
        <w:gridCol w:w="109"/>
        <w:gridCol w:w="109"/>
        <w:gridCol w:w="109"/>
        <w:gridCol w:w="317"/>
        <w:gridCol w:w="1244"/>
        <w:gridCol w:w="164"/>
        <w:gridCol w:w="109"/>
        <w:gridCol w:w="109"/>
        <w:gridCol w:w="109"/>
        <w:gridCol w:w="352"/>
        <w:gridCol w:w="1205"/>
        <w:gridCol w:w="257"/>
      </w:tblGrid>
      <w:tr>
        <w:trPr/>
        <w:tc>
          <w:tcPr>
            <w:tcW w:w="1678"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of loans held in 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64,065 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loss rates on underlying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Immaterial</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include a rollforward of the loans classified within Level 3 of the fair value hierarchy:</w:t>
      </w:r>
    </w:p>
    <w:tbl>
      <w:tblPr>
        <w:tblW w:w="10205" w:type="dxa"/>
        <w:jc w:val="left"/>
        <w:tblInd w:w="0" w:type="dxa"/>
        <w:tblLayout w:type="fixed"/>
        <w:tblCellMar>
          <w:top w:w="28" w:type="dxa"/>
          <w:left w:w="28" w:type="dxa"/>
          <w:bottom w:w="28" w:type="dxa"/>
          <w:right w:w="28" w:type="dxa"/>
        </w:tblCellMar>
      </w:tblPr>
      <w:tblGrid>
        <w:gridCol w:w="998"/>
        <w:gridCol w:w="519"/>
        <w:gridCol w:w="525"/>
        <w:gridCol w:w="109"/>
        <w:gridCol w:w="109"/>
        <w:gridCol w:w="109"/>
        <w:gridCol w:w="254"/>
        <w:gridCol w:w="999"/>
        <w:gridCol w:w="132"/>
        <w:gridCol w:w="109"/>
        <w:gridCol w:w="109"/>
        <w:gridCol w:w="109"/>
        <w:gridCol w:w="359"/>
        <w:gridCol w:w="1409"/>
        <w:gridCol w:w="187"/>
        <w:gridCol w:w="109"/>
        <w:gridCol w:w="109"/>
        <w:gridCol w:w="109"/>
        <w:gridCol w:w="345"/>
        <w:gridCol w:w="1355"/>
        <w:gridCol w:w="180"/>
        <w:gridCol w:w="109"/>
        <w:gridCol w:w="109"/>
        <w:gridCol w:w="109"/>
        <w:gridCol w:w="109"/>
        <w:gridCol w:w="109"/>
        <w:gridCol w:w="211"/>
        <w:gridCol w:w="826"/>
        <w:gridCol w:w="109"/>
        <w:gridCol w:w="109"/>
        <w:gridCol w:w="162"/>
      </w:tblGrid>
      <w:tr>
        <w:trPr/>
        <w:tc>
          <w:tcPr>
            <w:tcW w:w="99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in Consolidated Securitization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497,922 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187,586 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135,120 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Purchases and originations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475,176 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85,639 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(590,403)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loans for immediate resale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Immediate resale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(581,057)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Repayments received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311,299 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226,301 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    Represents the principal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1045"/>
        <w:gridCol w:w="626"/>
        <w:gridCol w:w="627"/>
        <w:gridCol w:w="109"/>
        <w:gridCol w:w="109"/>
        <w:gridCol w:w="109"/>
        <w:gridCol w:w="255"/>
        <w:gridCol w:w="1003"/>
        <w:gridCol w:w="132"/>
        <w:gridCol w:w="109"/>
        <w:gridCol w:w="109"/>
        <w:gridCol w:w="109"/>
        <w:gridCol w:w="360"/>
        <w:gridCol w:w="1413"/>
        <w:gridCol w:w="187"/>
        <w:gridCol w:w="109"/>
        <w:gridCol w:w="109"/>
        <w:gridCol w:w="109"/>
        <w:gridCol w:w="349"/>
        <w:gridCol w:w="1370"/>
        <w:gridCol w:w="182"/>
        <w:gridCol w:w="109"/>
        <w:gridCol w:w="109"/>
        <w:gridCol w:w="109"/>
        <w:gridCol w:w="211"/>
        <w:gridCol w:w="976"/>
        <w:gridCol w:w="161"/>
      </w:tblGrid>
      <w:tr>
        <w:trPr/>
        <w:tc>
          <w:tcPr>
            <w:tcW w:w="104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in Consolidated Securitization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830,574 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146,768 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179,071 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1,156,413 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Reclassification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Purchases and originations of loans</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1,558,844 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196,580 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1,755,424 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(1,826,066)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(1,826,066)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loans for immediate resale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1,067,402 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1,067,402 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Immediate resale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(1,067,402)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(1,067,402)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Repayments received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(163,606)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311,299 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226,301 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118,520 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656,120 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    Represents the principal balance.</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(2)    Purchase activity includes an immaterial unpaid principal balance related to securitization clean-up calls during the nine months ended September 30, 2024.</w:t>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1038"/>
        <w:gridCol w:w="573"/>
        <w:gridCol w:w="579"/>
        <w:gridCol w:w="109"/>
        <w:gridCol w:w="109"/>
        <w:gridCol w:w="109"/>
        <w:gridCol w:w="258"/>
        <w:gridCol w:w="1015"/>
        <w:gridCol w:w="134"/>
        <w:gridCol w:w="109"/>
        <w:gridCol w:w="109"/>
        <w:gridCol w:w="109"/>
        <w:gridCol w:w="363"/>
        <w:gridCol w:w="1425"/>
        <w:gridCol w:w="189"/>
        <w:gridCol w:w="109"/>
        <w:gridCol w:w="109"/>
        <w:gridCol w:w="109"/>
        <w:gridCol w:w="399"/>
        <w:gridCol w:w="1368"/>
        <w:gridCol w:w="208"/>
        <w:gridCol w:w="109"/>
        <w:gridCol w:w="109"/>
        <w:gridCol w:w="109"/>
        <w:gridCol w:w="211"/>
        <w:gridCol w:w="976"/>
        <w:gridCol w:w="161"/>
      </w:tblGrid>
      <w:tr>
        <w:trPr/>
        <w:tc>
          <w:tcPr>
            <w:tcW w:w="103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in Consolidated Securitization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445,787 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497,867 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originations of loans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560,563 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288,100 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848,663 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(421,618)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loans for immediate resale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1,885,786 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1,885,786 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Immediate resale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(1,885,786)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(1,885,786)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Repayments received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521,743 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644,168 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64,065 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1,229,976 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    Represents the principal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tbl>
      <w:tblPr>
        <w:tblW w:w="10205" w:type="dxa"/>
        <w:jc w:val="left"/>
        <w:tblInd w:w="0" w:type="dxa"/>
        <w:tblLayout w:type="fixed"/>
        <w:tblCellMar>
          <w:top w:w="28" w:type="dxa"/>
          <w:left w:w="28" w:type="dxa"/>
          <w:bottom w:w="28" w:type="dxa"/>
          <w:right w:w="28" w:type="dxa"/>
        </w:tblCellMar>
      </w:tblPr>
      <w:tblGrid>
        <w:gridCol w:w="860"/>
        <w:gridCol w:w="664"/>
        <w:gridCol w:w="665"/>
        <w:gridCol w:w="109"/>
        <w:gridCol w:w="109"/>
        <w:gridCol w:w="109"/>
        <w:gridCol w:w="258"/>
        <w:gridCol w:w="1015"/>
        <w:gridCol w:w="134"/>
        <w:gridCol w:w="109"/>
        <w:gridCol w:w="109"/>
        <w:gridCol w:w="109"/>
        <w:gridCol w:w="363"/>
        <w:gridCol w:w="1425"/>
        <w:gridCol w:w="189"/>
        <w:gridCol w:w="109"/>
        <w:gridCol w:w="109"/>
        <w:gridCol w:w="109"/>
        <w:gridCol w:w="362"/>
        <w:gridCol w:w="1423"/>
        <w:gridCol w:w="189"/>
        <w:gridCol w:w="109"/>
        <w:gridCol w:w="109"/>
        <w:gridCol w:w="109"/>
        <w:gridCol w:w="211"/>
        <w:gridCol w:w="976"/>
        <w:gridCol w:w="163"/>
      </w:tblGrid>
      <w:tr>
        <w:trPr/>
        <w:tc>
          <w:tcPr>
            <w:tcW w:w="8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in Consolidated Securitization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405,812 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297,543 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806,304 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originations of loans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1,832,372 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665,998 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2,498,370 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(1,541,321)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(1,590,954)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loans for immediate resale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4,594,319 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4,594,319 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Immediate resale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(4,594,319)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(4,594,319)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Repayments received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(143,058)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(217,483)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(390,313)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(129,065)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521,743 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644,168 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64,065 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1,229,976 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    Represents the principal balance.</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aggregate fair value and aggregate principal outstanding of all loans and loans that were 90 days or more past due included in the condensed consolidated balance sheets: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61"/>
        <w:gridCol w:w="1193"/>
        <w:gridCol w:w="1201"/>
        <w:gridCol w:w="109"/>
        <w:gridCol w:w="109"/>
        <w:gridCol w:w="109"/>
        <w:gridCol w:w="230"/>
        <w:gridCol w:w="903"/>
        <w:gridCol w:w="118"/>
        <w:gridCol w:w="109"/>
        <w:gridCol w:w="109"/>
        <w:gridCol w:w="109"/>
        <w:gridCol w:w="211"/>
        <w:gridCol w:w="982"/>
        <w:gridCol w:w="109"/>
        <w:gridCol w:w="109"/>
        <w:gridCol w:w="109"/>
        <w:gridCol w:w="109"/>
        <w:gridCol w:w="252"/>
        <w:gridCol w:w="865"/>
        <w:gridCol w:w="130"/>
        <w:gridCol w:w="109"/>
        <w:gridCol w:w="109"/>
        <w:gridCol w:w="109"/>
        <w:gridCol w:w="259"/>
        <w:gridCol w:w="886"/>
        <w:gridCol w:w="197"/>
      </w:tblGrid>
      <w:tr>
        <w:trPr/>
        <w:tc>
          <w:tcPr>
            <w:tcW w:w="136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&gt; 90 Days Past Due</w:t>
            </w:r>
          </w:p>
        </w:tc>
      </w:tr>
      <w:tr>
        <w:trPr/>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fair value and accrued interest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806,304 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(1)     Includes $285.5 million and $468.2 million of auto loans at fair value as of December 31, 2024</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16"/>
        </w:rPr>
        <w:t>September 30, 2025, respectively, of which an immaterial amount are 90 days or more past due as of December 31, 2024 and</w:t>
      </w:r>
      <w:r>
        <w:rPr>
          <w:color w:val="000000"/>
        </w:rPr>
        <w:t xml:space="preserve"> </w:t>
      </w:r>
      <w:r>
        <w:rPr>
          <w:rFonts w:ascii="Times New Roman;serif" w:hAnsi="Times New Roman;serif"/>
          <w:b w:val="false"/>
          <w:color w:val="000000"/>
          <w:sz w:val="16"/>
        </w:rPr>
        <w:t>September 30, 2025. Also includes $54.3 million and $168.9 million of HELOCs at fair value as of December 31, 2024 and September 30, 2025, respectively, of which immaterial amounts are 90 days or more past due as of December 31, 2024 and</w:t>
      </w:r>
      <w:r>
        <w:rPr>
          <w:color w:val="000000"/>
        </w:rPr>
        <w:t xml:space="preserve"> </w:t>
      </w:r>
      <w:r>
        <w:rPr>
          <w:rFonts w:ascii="Times New Roman;serif" w:hAnsi="Times New Roman;serif"/>
          <w:b w:val="false"/>
          <w:color w:val="000000"/>
          <w:sz w:val="16"/>
        </w:rPr>
        <w:t xml:space="preserve">September 30, 2025, respectively. </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     The fair value of loans in nonaccrual status was immaterial as of December 31, 2024 and September 30,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Line of Credit Receivable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one of its committed capital and other co-investment arrangements, the Company issued a revolving line of credit receivable to a third-party, which is classified as held-for-investment and presented within other assets on the Company’s condensed consolidated balance sheets. The fair value of the line of credit receivable as of December 31, 2024 and September 30, 2025 was $56.3 million and $114.8 million, respectively. </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line of credit receivable is measured at estimated fair value using a discounted cash flow model. The model is based on the expected monthly outstanding balance of the line of credit receivable over the life of the agreement and considers the present creditworthiness of the counterparty and the difference between the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 and the stated interest rate. Cash flows are discounted using an estimate of market rates of return. The fair value of the line of credit receivable also includes accrued interest. </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Level 3 fair value measurements related to the line of credit receivable:</w:t>
      </w:r>
    </w:p>
    <w:p>
      <w:pPr>
        <w:pStyle w:val="TextBody"/>
        <w:bidi w:val="0"/>
        <w:spacing w:before="0" w:after="0"/>
        <w:ind w:left="0" w:right="0" w:firstLine="720"/>
        <w:jc w:val="both"/>
        <w:rPr/>
      </w:pPr>
      <w:r>
        <w:rPr/>
      </w:r>
    </w:p>
    <w:tbl>
      <w:tblPr>
        <w:tblW w:w="10291"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315"/>
        <w:gridCol w:w="315"/>
        <w:gridCol w:w="316"/>
        <w:gridCol w:w="109"/>
        <w:gridCol w:w="109"/>
        <w:gridCol w:w="109"/>
        <w:gridCol w:w="330"/>
        <w:gridCol w:w="330"/>
        <w:gridCol w:w="331"/>
        <w:gridCol w:w="109"/>
        <w:gridCol w:w="109"/>
        <w:gridCol w:w="109"/>
        <w:gridCol w:w="565"/>
        <w:gridCol w:w="565"/>
        <w:gridCol w:w="566"/>
        <w:gridCol w:w="109"/>
        <w:gridCol w:w="109"/>
        <w:gridCol w:w="109"/>
        <w:gridCol w:w="255"/>
        <w:gridCol w:w="256"/>
        <w:gridCol w:w="526"/>
        <w:gridCol w:w="109"/>
        <w:gridCol w:w="109"/>
        <w:gridCol w:w="109"/>
        <w:gridCol w:w="255"/>
        <w:gridCol w:w="256"/>
        <w:gridCol w:w="551"/>
        <w:gridCol w:w="109"/>
        <w:gridCol w:w="109"/>
        <w:gridCol w:w="109"/>
        <w:gridCol w:w="355"/>
        <w:gridCol w:w="355"/>
        <w:gridCol w:w="1031"/>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w:t>
      </w:r>
      <w:r>
        <w:rPr>
          <w:color w:val="000000"/>
        </w:rPr>
        <w:t>–</w:t>
      </w:r>
      <w:r>
        <w:rPr>
          <w:rFonts w:ascii="Times New Roman;serif" w:hAnsi="Times New Roman;serif"/>
          <w:b w:val="false"/>
          <w:color w:val="000000"/>
          <w:sz w:val="20"/>
        </w:rPr>
        <w:t xml:space="preserve">The discount rate is the rate of return used to discount future expected cash flows to arrive at a present value, which represents the fair value. The discount rate used for the projected net cash flows are the Company’s estimate of the rate of return that market participants would require when investing in this financial instrument with cash flows dependent on credit quality of the counterparty. A risk premium component is implicitly included in the discount rate to reflect the amount of compensation market participants require due to the uncertainty inherent in the instrument’s cash flows resulting from risks such as credit and liquidity of the counterparty. </w:t>
      </w:r>
    </w:p>
    <w:p>
      <w:pPr>
        <w:pStyle w:val="TextBody"/>
        <w:bidi w:val="0"/>
        <w:spacing w:before="0" w:after="0"/>
        <w:ind w:left="0" w:right="0" w:hanging="720"/>
        <w:jc w:val="both"/>
        <w:rPr/>
      </w:pPr>
      <w:r>
        <w:rPr/>
      </w:r>
    </w:p>
    <w:p>
      <w:pPr>
        <w:pStyle w:val="TextBody"/>
        <w:bidi w:val="0"/>
        <w:spacing w:lineRule="auto" w:line="288" w:before="0" w:after="0"/>
        <w:ind w:left="0" w:right="0" w:hanging="54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sensitivity of the line of credit receivable to adverse changes in key assumptions do not result in a material impact to the fair value of the line of credit receivable as of December 31, 2024 and September 30, 2025.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rollforward of the line of credit receivable classified by the Company within Level 3 of the fair value hierarchy: </w:t>
      </w:r>
    </w:p>
    <w:tbl>
      <w:tblPr>
        <w:tblW w:w="6176" w:type="dxa"/>
        <w:jc w:val="left"/>
        <w:tblInd w:w="0" w:type="dxa"/>
        <w:tblLayout w:type="fixed"/>
        <w:tblCellMar>
          <w:top w:w="28" w:type="dxa"/>
          <w:left w:w="28" w:type="dxa"/>
          <w:bottom w:w="28" w:type="dxa"/>
          <w:right w:w="28" w:type="dxa"/>
        </w:tblCellMar>
      </w:tblPr>
      <w:tblGrid>
        <w:gridCol w:w="1281"/>
        <w:gridCol w:w="1123"/>
        <w:gridCol w:w="1135"/>
        <w:gridCol w:w="109"/>
        <w:gridCol w:w="109"/>
        <w:gridCol w:w="109"/>
        <w:gridCol w:w="449"/>
        <w:gridCol w:w="1534"/>
        <w:gridCol w:w="327"/>
      </w:tblGrid>
      <w:tr>
        <w:trPr/>
        <w:tc>
          <w:tcPr>
            <w:tcW w:w="128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Line of Credit Receivable</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8,305 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22,646 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31,514 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77"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449"/>
        <w:gridCol w:w="1534"/>
        <w:gridCol w:w="327"/>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Line of Credit Receivable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30,907 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31,514 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75" w:type="dxa"/>
        <w:jc w:val="left"/>
        <w:tblInd w:w="0" w:type="dxa"/>
        <w:tblLayout w:type="fixed"/>
        <w:tblCellMar>
          <w:top w:w="28" w:type="dxa"/>
          <w:left w:w="28" w:type="dxa"/>
          <w:bottom w:w="28" w:type="dxa"/>
          <w:right w:w="28" w:type="dxa"/>
        </w:tblCellMar>
      </w:tblPr>
      <w:tblGrid>
        <w:gridCol w:w="1281"/>
        <w:gridCol w:w="1123"/>
        <w:gridCol w:w="1135"/>
        <w:gridCol w:w="109"/>
        <w:gridCol w:w="109"/>
        <w:gridCol w:w="109"/>
        <w:gridCol w:w="409"/>
        <w:gridCol w:w="1602"/>
        <w:gridCol w:w="298"/>
      </w:tblGrid>
      <w:tr>
        <w:trPr/>
        <w:tc>
          <w:tcPr>
            <w:tcW w:w="128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Line of Credit Receivable</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107,456 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114,846 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bl>
    <w:tbl>
      <w:tblPr>
        <w:tblW w:w="6176"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409"/>
        <w:gridCol w:w="1602"/>
        <w:gridCol w:w="298"/>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Line of Credit Receivable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56,269 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59,292 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114,846 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Assets and Liabilities related to Securitization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December 31, 2024 and September 30, 2025, the Company held notes receivable and residual certificates with an aggregate fair value of $22.1 million and $76.8 million, respectively, within other assets on the Company’s condensed consolidated balance sheets. The balances consist of securitization notes and residual certificates retained from unconsolidated securitization transactions. As of September 30, 2025, the fair value of securitization notes the Company pledged as collateral in connection with the Company’s risk retention financing facility was $60.7 million, refer to “</w:t>
      </w:r>
      <w:r>
        <w:rPr>
          <w:rFonts w:ascii="Times New Roman;serif" w:hAnsi="Times New Roman;serif"/>
          <w:b w:val="false"/>
          <w:i/>
          <w:color w:val="000000"/>
          <w:sz w:val="20"/>
        </w:rPr>
        <w:t xml:space="preserve">Note 8. Borrowings” </w:t>
      </w:r>
      <w:r>
        <w:rPr>
          <w:rFonts w:ascii="Times New Roman;serif" w:hAnsi="Times New Roman;serif"/>
          <w:b w:val="false"/>
          <w:color w:val="000000"/>
          <w:sz w:val="20"/>
        </w:rPr>
        <w:t xml:space="preserve">for further information. As of December 31, 2024, no securitization notes were pledged as collateral.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and September 30, 2025, the Company recognized payables to securitization note holders of $87.3 million and $55.2 million at fair value, respectively. The balance represents the value of the securitization notes issued and owned by third-party investors in connection with UPST 2023-2. The value of the UPST 2023-2 securitization notes and residual certificates retained by the Company is eliminated in the consolidation process. </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prioritizes the use of observable inputs in estimating the fair value of notes receivable and residual certificates and payable to securitization note holders when available. When market activity for these financial instruments is not observable, the fair value is determined using a discounted cash flow methodology. This approach uses assumptions of projected cash flows of the underlying collateral loan pools adjusted for features of these securities, which reflect the Company’s best estimates of the assumptions a market participant would use to determine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Level 3 fair value measurements related to note receivable, residual certificates, and payable to securitization note holders:</w:t>
      </w:r>
    </w:p>
    <w:tbl>
      <w:tblPr>
        <w:tblW w:w="11083" w:type="dxa"/>
        <w:jc w:val="left"/>
        <w:tblInd w:w="0" w:type="dxa"/>
        <w:tblLayout w:type="fixed"/>
        <w:tblCellMar>
          <w:top w:w="28" w:type="dxa"/>
          <w:left w:w="28" w:type="dxa"/>
          <w:bottom w:w="28" w:type="dxa"/>
          <w:right w:w="28" w:type="dxa"/>
        </w:tblCellMar>
      </w:tblPr>
      <w:tblGrid>
        <w:gridCol w:w="606"/>
        <w:gridCol w:w="334"/>
        <w:gridCol w:w="336"/>
        <w:gridCol w:w="109"/>
        <w:gridCol w:w="109"/>
        <w:gridCol w:w="109"/>
        <w:gridCol w:w="255"/>
        <w:gridCol w:w="256"/>
        <w:gridCol w:w="526"/>
        <w:gridCol w:w="109"/>
        <w:gridCol w:w="109"/>
        <w:gridCol w:w="109"/>
        <w:gridCol w:w="308"/>
        <w:gridCol w:w="308"/>
        <w:gridCol w:w="551"/>
        <w:gridCol w:w="109"/>
        <w:gridCol w:w="109"/>
        <w:gridCol w:w="109"/>
        <w:gridCol w:w="378"/>
        <w:gridCol w:w="378"/>
        <w:gridCol w:w="940"/>
        <w:gridCol w:w="109"/>
        <w:gridCol w:w="109"/>
        <w:gridCol w:w="109"/>
        <w:gridCol w:w="255"/>
        <w:gridCol w:w="256"/>
        <w:gridCol w:w="526"/>
        <w:gridCol w:w="109"/>
        <w:gridCol w:w="109"/>
        <w:gridCol w:w="109"/>
        <w:gridCol w:w="308"/>
        <w:gridCol w:w="308"/>
        <w:gridCol w:w="551"/>
        <w:gridCol w:w="109"/>
        <w:gridCol w:w="109"/>
        <w:gridCol w:w="109"/>
        <w:gridCol w:w="355"/>
        <w:gridCol w:w="355"/>
        <w:gridCol w:w="1031"/>
      </w:tblGrid>
      <w:tr>
        <w:trPr/>
        <w:tc>
          <w:tcPr>
            <w:tcW w:w="60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color w:val="000000"/>
              </w:rPr>
              <w:t xml:space="preserv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Weighted-Average </w:t>
            </w:r>
            <w:r>
              <w:rPr>
                <w:rFonts w:ascii="Times New Roman;serif" w:hAnsi="Times New Roman;serif"/>
                <w:b/>
                <w:color w:val="000000"/>
                <w:sz w:val="13"/>
              </w:rPr>
              <w:t>(1)</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Payable to securitization note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Significant Recurring Level 3 Fair Value Input Sensitivity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Notes Receivable and Residual Certificates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discount rates, credit risk rates, or prepayment rates do not result in a material impact to the fair value of notes receivable and residual certificates as of December 31, 2024 and September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Payable to Securitization Note 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Adverse changes in discount rates, credit risk rates, and expected prepayment rates do not result in a material impact to the fair value of payable to securitization note holders as of December 31, 2024 and September 30, 2025. </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include a rollforward of the notes receivable and residual certificates and payables to securitization note holders related to securitization transactions classified by the Company within Level 3 of the fair value hierarchy:</w:t>
      </w:r>
    </w:p>
    <w:p>
      <w:pPr>
        <w:pStyle w:val="TextBody"/>
        <w:bidi w:val="0"/>
        <w:spacing w:before="0" w:after="0"/>
        <w:jc w:val="left"/>
        <w:rPr/>
      </w:pPr>
      <w:r>
        <w:rPr/>
      </w:r>
    </w:p>
    <w:tbl>
      <w:tblPr>
        <w:tblW w:w="9884" w:type="dxa"/>
        <w:jc w:val="left"/>
        <w:tblInd w:w="0" w:type="dxa"/>
        <w:tblLayout w:type="fixed"/>
        <w:tblCellMar>
          <w:top w:w="28" w:type="dxa"/>
          <w:left w:w="28" w:type="dxa"/>
          <w:bottom w:w="28" w:type="dxa"/>
          <w:right w:w="28" w:type="dxa"/>
        </w:tblCellMar>
      </w:tblPr>
      <w:tblGrid>
        <w:gridCol w:w="1281"/>
        <w:gridCol w:w="1123"/>
        <w:gridCol w:w="1135"/>
        <w:gridCol w:w="109"/>
        <w:gridCol w:w="109"/>
        <w:gridCol w:w="109"/>
        <w:gridCol w:w="750"/>
        <w:gridCol w:w="2564"/>
        <w:gridCol w:w="390"/>
        <w:gridCol w:w="109"/>
        <w:gridCol w:w="109"/>
        <w:gridCol w:w="109"/>
        <w:gridCol w:w="316"/>
        <w:gridCol w:w="1243"/>
        <w:gridCol w:w="165"/>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Payable to</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Securitization Note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Holders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11,642 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113,652 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10,318 </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885"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750"/>
        <w:gridCol w:w="2564"/>
        <w:gridCol w:w="390"/>
        <w:gridCol w:w="109"/>
        <w:gridCol w:w="109"/>
        <w:gridCol w:w="109"/>
        <w:gridCol w:w="316"/>
        <w:gridCol w:w="1243"/>
        <w:gridCol w:w="165"/>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 to</w:t>
              <w:br/>
              <w:t>Securitization Note</w:t>
              <w:br/>
              <w:t>Holders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14,847 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141,416 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(42,705)</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10,318 </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884" w:type="dxa"/>
        <w:jc w:val="center"/>
        <w:tblInd w:w="0" w:type="dxa"/>
        <w:tblLayout w:type="fixed"/>
        <w:tblCellMar>
          <w:top w:w="28" w:type="dxa"/>
          <w:left w:w="28" w:type="dxa"/>
          <w:bottom w:w="28" w:type="dxa"/>
          <w:right w:w="28" w:type="dxa"/>
        </w:tblCellMar>
      </w:tblPr>
      <w:tblGrid>
        <w:gridCol w:w="1281"/>
        <w:gridCol w:w="1123"/>
        <w:gridCol w:w="1135"/>
        <w:gridCol w:w="109"/>
        <w:gridCol w:w="109"/>
        <w:gridCol w:w="109"/>
        <w:gridCol w:w="750"/>
        <w:gridCol w:w="2564"/>
        <w:gridCol w:w="390"/>
        <w:gridCol w:w="109"/>
        <w:gridCol w:w="109"/>
        <w:gridCol w:w="109"/>
        <w:gridCol w:w="348"/>
        <w:gridCol w:w="1195"/>
        <w:gridCol w:w="181"/>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 to</w:t>
              <w:br/>
              <w:t>Securitization Note</w:t>
              <w:br/>
              <w:t>Holders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54,708 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27,525 </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76,761 </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9885"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750"/>
        <w:gridCol w:w="2564"/>
        <w:gridCol w:w="390"/>
        <w:gridCol w:w="109"/>
        <w:gridCol w:w="109"/>
        <w:gridCol w:w="109"/>
        <w:gridCol w:w="348"/>
        <w:gridCol w:w="1195"/>
        <w:gridCol w:w="181"/>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Payable to</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Securitization Note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Holders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22,055 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65,880 </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(12,895)</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76,761 </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283"/>
        <w:ind w:left="0" w:right="0" w:firstLine="720"/>
        <w:jc w:val="both"/>
        <w:rPr/>
      </w:pPr>
      <w:r>
        <w:rPr/>
      </w:r>
    </w:p>
    <w:p>
      <w:pPr>
        <w:pStyle w:val="TextBody"/>
        <w:bidi w:val="0"/>
        <w:spacing w:lineRule="auto" w:line="288" w:before="1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Loan Servicing Assets and Liabilities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2024 and September 30, 2025, the Company’s loan servicing assets had a fair value of $27.4 million and $36.8 million, respectively, recorded within other assets on the condensed consolidated balance sheets. As of December 31, 2024 and September 30, 2025, the Company’s loan servicing liabilities had a fair value of $1.2 million and $1.9 million, respectively, recorded within accrued expenses and other liabilities on the condensed consolidated balance sheets.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Valuation Methodology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outstanding principal balance of the underlying loans, the expected cash flows in the model incorporate estimates of net losses and prepayments. </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Inputs and Assumptions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Level 3 fair value measurements for loan servicing assets and liabilities:</w:t>
      </w:r>
    </w:p>
    <w:tbl>
      <w:tblPr>
        <w:tblW w:w="11533" w:type="dxa"/>
        <w:jc w:val="left"/>
        <w:tblInd w:w="0" w:type="dxa"/>
        <w:tblLayout w:type="fixed"/>
        <w:tblCellMar>
          <w:top w:w="28" w:type="dxa"/>
          <w:left w:w="28" w:type="dxa"/>
          <w:bottom w:w="28" w:type="dxa"/>
          <w:right w:w="28" w:type="dxa"/>
        </w:tblCellMar>
      </w:tblPr>
      <w:tblGrid>
        <w:gridCol w:w="549"/>
        <w:gridCol w:w="481"/>
        <w:gridCol w:w="486"/>
        <w:gridCol w:w="109"/>
        <w:gridCol w:w="109"/>
        <w:gridCol w:w="109"/>
        <w:gridCol w:w="308"/>
        <w:gridCol w:w="308"/>
        <w:gridCol w:w="526"/>
        <w:gridCol w:w="109"/>
        <w:gridCol w:w="109"/>
        <w:gridCol w:w="109"/>
        <w:gridCol w:w="308"/>
        <w:gridCol w:w="308"/>
        <w:gridCol w:w="551"/>
        <w:gridCol w:w="109"/>
        <w:gridCol w:w="109"/>
        <w:gridCol w:w="109"/>
        <w:gridCol w:w="378"/>
        <w:gridCol w:w="378"/>
        <w:gridCol w:w="940"/>
        <w:gridCol w:w="109"/>
        <w:gridCol w:w="109"/>
        <w:gridCol w:w="109"/>
        <w:gridCol w:w="308"/>
        <w:gridCol w:w="308"/>
        <w:gridCol w:w="526"/>
        <w:gridCol w:w="109"/>
        <w:gridCol w:w="109"/>
        <w:gridCol w:w="109"/>
        <w:gridCol w:w="308"/>
        <w:gridCol w:w="308"/>
        <w:gridCol w:w="551"/>
        <w:gridCol w:w="109"/>
        <w:gridCol w:w="109"/>
        <w:gridCol w:w="109"/>
        <w:gridCol w:w="355"/>
        <w:gridCol w:w="355"/>
        <w:gridCol w:w="1031"/>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Weighted-Average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Weighted-Average </w:t>
            </w:r>
            <w:r>
              <w:rPr>
                <w:rFonts w:ascii="Times New Roman;serif" w:hAnsi="Times New Roman;serif"/>
                <w:b/>
                <w:color w:val="000000"/>
                <w:sz w:val="13"/>
              </w:rPr>
              <w:t>(1)</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Market-servicing rate </w:t>
            </w:r>
            <w:r>
              <w:rPr>
                <w:rFonts w:ascii="Times New Roman;serif" w:hAnsi="Times New Roman;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(2)Excludes ancillary fees that would be passed on to a third-party servicer.</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(3)Expressed as a percentage of the outstanding principal balance for auto loans of 3.70% as of both December 31, 2024 and September 30, 2025, and 0.62% for personal loans as of both December 31, 2024 and September 30, 2025.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rates</w:t>
      </w:r>
      <w:r>
        <w:rPr>
          <w:color w:val="000000"/>
        </w:rPr>
        <w:t>–</w:t>
      </w:r>
      <w:r>
        <w:rPr>
          <w:rFonts w:ascii="Times New Roman;serif" w:hAnsi="Times New Roman;serif"/>
          <w:b w:val="false"/>
          <w:color w:val="000000"/>
          <w:sz w:val="20"/>
        </w:rPr>
        <w:t>The discount rates are the Company’s estimate of the rates of return that market participants in servicing rights would require 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Credit risk rate</w:t>
      </w:r>
      <w:r>
        <w:rPr>
          <w:rFonts w:ascii="Times New Roman;serif" w:hAnsi="Times New Roman;serif"/>
          <w:b w:val="false"/>
          <w:color w:val="000000"/>
          <w:sz w:val="20"/>
        </w:rPr>
        <w:t xml:space="preserve">s–The credit risk rates are the Company’s estimate of the net cumulative principal payments that will not be repaid over the entire life of a loan expressed as a percentage of the original principal amount of the loan. The assumption regarding net cumulative losses impacts the projected balances and expected terms of the loans, which are used to project future servicing revenues.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Market-servicing rates</w:t>
      </w:r>
      <w:r>
        <w:rPr>
          <w:color w:val="000000"/>
        </w:rPr>
        <w:t>–</w:t>
      </w:r>
      <w:r>
        <w:rPr>
          <w:rFonts w:ascii="Times New Roman;serif" w:hAnsi="Times New Roman;serif"/>
          <w:b w:val="false"/>
          <w:color w:val="000000"/>
          <w:sz w:val="20"/>
        </w:rPr>
        <w:t>Market-servicing rate is an estimated measure of adequate compensation for a market participant, if one was required. The rate is expressed as a fixed percentage of outstanding principal balance per annum. The estimate considers the profit that would be demanded in the marketplace to service the portfolio of outstanding loans subject to the Company’s servicing agreements.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Prepayment rates</w:t>
      </w:r>
      <w:r>
        <w:rPr>
          <w:color w:val="000000"/>
        </w:rPr>
        <w:t>–</w:t>
      </w:r>
      <w:r>
        <w:rPr>
          <w:rFonts w:ascii="Times New Roman;serif" w:hAnsi="Times New Roman;serif"/>
          <w:b w:val="false"/>
          <w:color w:val="000000"/>
          <w:sz w:val="20"/>
        </w:rPr>
        <w:t>Prepayment rates are the Company’s estimate of the cumulative principal prepayments that will occur over the entire life of a loan as a percentage of the original principal amount of the loan. The assumption regarding cumulative prepayments impacts the projected balances and expected terms of the loans, which are used to project future servicing revenues.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fair value sensitivity of loan servicing assets to adverse changes in market-servicing rates. The fair value of loan servicing assets and liabilities are not sensitive to adverse changes in discount rates, credit risk rates, and prepayment rates as such changes do not result in a material impact on the fair value as of December 31, 2024 and September 30, 2025. Adverse changes in market-servicing rates do not result in a material impact to the fair value of loan servicing liabilities as of December 31, 2024 and September 30, 2025. </w:t>
      </w:r>
    </w:p>
    <w:tbl>
      <w:tblPr>
        <w:tblW w:w="7221" w:type="dxa"/>
        <w:jc w:val="center"/>
        <w:tblInd w:w="0" w:type="dxa"/>
        <w:tblLayout w:type="fixed"/>
        <w:tblCellMar>
          <w:top w:w="28" w:type="dxa"/>
          <w:left w:w="28" w:type="dxa"/>
          <w:bottom w:w="28" w:type="dxa"/>
          <w:right w:w="28" w:type="dxa"/>
        </w:tblCellMar>
      </w:tblPr>
      <w:tblGrid>
        <w:gridCol w:w="1096"/>
        <w:gridCol w:w="965"/>
        <w:gridCol w:w="968"/>
        <w:gridCol w:w="109"/>
        <w:gridCol w:w="109"/>
        <w:gridCol w:w="109"/>
        <w:gridCol w:w="349"/>
        <w:gridCol w:w="1195"/>
        <w:gridCol w:w="180"/>
        <w:gridCol w:w="109"/>
        <w:gridCol w:w="109"/>
        <w:gridCol w:w="109"/>
        <w:gridCol w:w="352"/>
        <w:gridCol w:w="1205"/>
        <w:gridCol w:w="257"/>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Fair value of loan 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market-servicing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market-servicing rates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market-servicing rates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the loan servicing assets and liabilities classified by the Company within Level 3 of the fair value hierarchy:</w:t>
      </w:r>
    </w:p>
    <w:tbl>
      <w:tblPr>
        <w:tblW w:w="8526" w:type="dxa"/>
        <w:jc w:val="left"/>
        <w:tblInd w:w="0" w:type="dxa"/>
        <w:tblLayout w:type="fixed"/>
        <w:tblCellMar>
          <w:top w:w="28" w:type="dxa"/>
          <w:left w:w="28" w:type="dxa"/>
          <w:bottom w:w="28" w:type="dxa"/>
          <w:right w:w="28" w:type="dxa"/>
        </w:tblCellMar>
      </w:tblPr>
      <w:tblGrid>
        <w:gridCol w:w="1281"/>
        <w:gridCol w:w="1123"/>
        <w:gridCol w:w="1135"/>
        <w:gridCol w:w="109"/>
        <w:gridCol w:w="109"/>
        <w:gridCol w:w="109"/>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Liabilities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8527"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bl>
    <w:tbl>
      <w:tblPr>
        <w:tblW w:w="8199" w:type="dxa"/>
        <w:jc w:val="left"/>
        <w:tblInd w:w="0" w:type="dxa"/>
        <w:tblLayout w:type="fixed"/>
        <w:tblCellMar>
          <w:top w:w="28" w:type="dxa"/>
          <w:left w:w="28" w:type="dxa"/>
          <w:bottom w:w="28" w:type="dxa"/>
          <w:right w:w="28" w:type="dxa"/>
        </w:tblCellMar>
      </w:tblPr>
      <w:tblGrid>
        <w:gridCol w:w="1281"/>
        <w:gridCol w:w="1123"/>
        <w:gridCol w:w="1135"/>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Liabilities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loans</w:t>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2025</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00" w:type="dxa"/>
        <w:jc w:val="left"/>
        <w:tblInd w:w="0" w:type="dxa"/>
        <w:tblLayout w:type="fixed"/>
        <w:tblCellMar>
          <w:top w:w="28" w:type="dxa"/>
          <w:left w:w="28" w:type="dxa"/>
          <w:bottom w:w="28" w:type="dxa"/>
          <w:right w:w="28" w:type="dxa"/>
        </w:tblCellMar>
      </w:tblPr>
      <w:tblGrid>
        <w:gridCol w:w="1281"/>
        <w:gridCol w:w="1128"/>
        <w:gridCol w:w="1131"/>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loans</w:t>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2025</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Beneficial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committed capital and other co-investment arrangements that meet a definition of derivatives (derivative beneficial interests), the Company is obligated to make payments to the third-party or is entitled to receive payments from the third-party if credit performance on the underlying loans deviates from initial expectations set at the time of loan sale or origination, subject to a dollar cap. In the arrangements that are associated with debt-like securities with embedded derivative features, the Company makes an initial investment and is entitled to a portion of cash flows from repayments received over time on the underlying loan portfolios. These cash flows vary depending on the demonstrated credit performance relative to our expectations.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2024 and September 30, 2025, the fair value of the beneficial interest assets related to these arrangements was $176.8 million and $316.2 million, respectively. As of the same dates, the fair value of the beneficial interest liabilities was $10.1 million and $13.2 million, respectively.</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Valuation Methodology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Beneficial interests are measured at estimated fair value using a discounted cash flow model. The discounted cash flow model sets expectations for cash flows to be received by the Company under each arrangement based on contractually-defined terms, such as total return, portfolio composition, frequency of cash distribution, and others and calculates net cash flows to be received by the Company. These net cash flows are then discounted using an estimate of market rates of return that reflect the risk premium related to those cash flows. As credit performance is demonstrated by the underlying loan portfolios, each discounted cash flow model is periodically updated to determine future cash inflows and outflows based on the latest estimated performance for the duration of each arrangement. The discounted cash flow model uses inputs discussed below that are inherently judgmental and reflect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best estimates of the assumptions a market participant would use to determine fair value of our beneficial interests.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Inputs and Assumptions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fair value measurements of beneficial interests as of December 31, 2024 and September 30, 2025:</w:t>
      </w:r>
    </w:p>
    <w:tbl>
      <w:tblPr>
        <w:tblW w:w="11188" w:type="dxa"/>
        <w:jc w:val="center"/>
        <w:tblInd w:w="0" w:type="dxa"/>
        <w:tblLayout w:type="fixed"/>
        <w:tblCellMar>
          <w:top w:w="28" w:type="dxa"/>
          <w:left w:w="28" w:type="dxa"/>
          <w:bottom w:w="28" w:type="dxa"/>
          <w:right w:w="28" w:type="dxa"/>
        </w:tblCellMar>
      </w:tblPr>
      <w:tblGrid>
        <w:gridCol w:w="458"/>
        <w:gridCol w:w="311"/>
        <w:gridCol w:w="312"/>
        <w:gridCol w:w="109"/>
        <w:gridCol w:w="109"/>
        <w:gridCol w:w="109"/>
        <w:gridCol w:w="306"/>
        <w:gridCol w:w="310"/>
        <w:gridCol w:w="526"/>
        <w:gridCol w:w="109"/>
        <w:gridCol w:w="109"/>
        <w:gridCol w:w="109"/>
        <w:gridCol w:w="308"/>
        <w:gridCol w:w="308"/>
        <w:gridCol w:w="551"/>
        <w:gridCol w:w="109"/>
        <w:gridCol w:w="109"/>
        <w:gridCol w:w="109"/>
        <w:gridCol w:w="388"/>
        <w:gridCol w:w="388"/>
        <w:gridCol w:w="965"/>
        <w:gridCol w:w="109"/>
        <w:gridCol w:w="109"/>
        <w:gridCol w:w="109"/>
        <w:gridCol w:w="306"/>
        <w:gridCol w:w="310"/>
        <w:gridCol w:w="526"/>
        <w:gridCol w:w="109"/>
        <w:gridCol w:w="109"/>
        <w:gridCol w:w="109"/>
        <w:gridCol w:w="308"/>
        <w:gridCol w:w="308"/>
        <w:gridCol w:w="551"/>
        <w:gridCol w:w="109"/>
        <w:gridCol w:w="109"/>
        <w:gridCol w:w="109"/>
        <w:gridCol w:w="364"/>
        <w:gridCol w:w="364"/>
        <w:gridCol w:w="1058"/>
      </w:tblGrid>
      <w:tr>
        <w:trPr/>
        <w:tc>
          <w:tcPr>
            <w:tcW w:w="4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 risk rate spread</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Prepayment rate spread</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Beneficial interest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 risk rate spread</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 Unobservable inputs were weighted by relative fair value.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(2) Expressed as a percentage of cumulative net loss expectations as of the valuation date compared to the initial expectations as of the origination date or date of loan sale.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(3) Expressed as a percentage of cumulative principal prepayment expectations as of the valuation date compared to the initial expectations as of the origination date or date of loan sale. </w:t>
      </w:r>
    </w:p>
    <w:p>
      <w:pPr>
        <w:pStyle w:val="TextBody"/>
        <w:bidi w:val="0"/>
        <w:spacing w:lineRule="auto" w:line="288" w:before="0" w:after="0"/>
        <w:jc w:val="both"/>
        <w:rPr/>
      </w:pPr>
      <w:r>
        <w:rPr>
          <w:rFonts w:ascii="Times New Roman;serif" w:hAnsi="Times New Roman;serif"/>
          <w:b w:val="false"/>
          <w:color w:val="000000"/>
          <w:sz w:val="16"/>
        </w:rPr>
        <w:t>* Prepayment rate spread was not a significant input as of December 31, 2024</w:t>
      </w:r>
      <w:r>
        <w:rPr>
          <w:rFonts w:ascii="Times New Roman;serif" w:hAnsi="Times New Roman;serif"/>
          <w:b w:val="false"/>
          <w:color w:val="000000"/>
          <w:sz w:val="20"/>
        </w:rPr>
        <w:t>.</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rates</w:t>
      </w:r>
      <w:r>
        <w:rPr>
          <w:color w:val="000000"/>
        </w:rPr>
        <w:t>–</w:t>
      </w:r>
      <w:r>
        <w:rPr>
          <w:rFonts w:ascii="Times New Roman;serif" w:hAnsi="Times New Roman;serif"/>
          <w:b w:val="false"/>
          <w:color w:val="000000"/>
          <w:sz w:val="20"/>
        </w:rPr>
        <w:t xml:space="preserve">The discount rates are rates of return used to discount future expected cash flows to arrive at a present value, which represents the fair value. The discount rates used for the projected net cash flows are the Company’s estimates of the rates of return that market participants would require when investing in these financial instruments with cash flows dependent on credit performance of the underlying loan portfolio. A risk premium component is implicitly included in the discount rates to reflect the amount of compensation market participants require due to the uncertainty inherent in the instruments’ cash flows resulting from risks such as credit and liquidity. The Company uses two different discount rates for expected cash flows associated with demonstrated to-date credit performance and those associated with future credit performance. The difference in these rates reflects the level of uncertainty and, as a result, risk premium that would be required by market participants when investing in these instruments.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Credit risk rate spreads</w:t>
      </w:r>
      <w:r>
        <w:rPr>
          <w:color w:val="000000"/>
        </w:rPr>
        <w:t>–</w:t>
      </w:r>
      <w:r>
        <w:rPr>
          <w:rFonts w:ascii="Times New Roman;serif" w:hAnsi="Times New Roman;serif"/>
          <w:b w:val="false"/>
          <w:color w:val="000000"/>
          <w:sz w:val="20"/>
        </w:rPr>
        <w:t>Credit risk rate spreads are the measurement of estimated credit performance of underlying loan portfolios as of the reporting date in comparison to the Company’s estimates at the time of origination or sale of loans under these arrangements (“initial expectation”). More specifically, credit risk rate spreads are the difference between the initial expectation of the cumulative principal of a loan portfolio, net of average recoveries, that is estimated to not be repaid over the life of a beneficial interest (“cumulative net loss”) and the same estimate as of the reporting date. A positive credit risk rate spread indicates that the estimated cumulative net loss as of the reporting period is higher than the initial expectation for a particular portfolio. A negative credit risk rate spread indicates the opposite – the estimated cumulative net loss as of the reporting period is lower than the initial expectation. Credit risk rate spreads are expressed as a percentage of the initial expectation of the cumulative total net losses. The difference between the initial and current expectation of estimated cumulative net losses impacts the amount and the timing of cash flows the Company expects to receive on beneficial interest assets or to pay for beneficial interest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Prepayment rate spreads</w:t>
      </w:r>
      <w:r>
        <w:rPr>
          <w:color w:val="000000"/>
        </w:rPr>
        <w:t xml:space="preserve">– </w:t>
      </w:r>
      <w:r>
        <w:rPr>
          <w:rFonts w:ascii="Times New Roman;serif" w:hAnsi="Times New Roman;serif"/>
          <w:b w:val="false"/>
          <w:color w:val="000000"/>
          <w:sz w:val="20"/>
        </w:rPr>
        <w:t>Prepayment rate spreads are the measurement of estimated prepayments on the underlying loan portfolios as of the reporting date in comparison to the Company’s initial expectation. More specifically, prepayment rate spreads are the difference between the initial expectation of cumulative principal prepayments that will occur over the life of a beneficial interest (“cumulative prepayment”) and the same estimate as of the reporting date. A positive prepayment rate spread indicates that the estimated cumulative prepayments as of the reporting period is higher than the initial expectation for a particular portfolio. A negative prepayment rate spread indicates the opposite – the estimated cumulative prepayments as of the reporting period is lower than the initial expectation. Prepayment rate spreads are expressed as a percentage of the initial expectation of the cumulative total prepayments. The difference between the initial and current expectation of estimated cumulative prepayment impacts the amount and the timing of cash flows the Company expects to receive on beneficial interest assets or to pay for beneficial interest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sensitivity of beneficial interest assets and liabilities to adverse changes in key assumptions used in the valuation model as of December 31, 2024 and September 30, 2025. Adverse changes in discount rates and prepayment rates do not result in a material impact to the fair value of beneficial interest liabilities as of December 31, 2024 and September 30, 2025. </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tbl>
      <w:tblPr>
        <w:tblW w:w="8753" w:type="dxa"/>
        <w:jc w:val="left"/>
        <w:tblInd w:w="0" w:type="dxa"/>
        <w:tblLayout w:type="fixed"/>
        <w:tblCellMar>
          <w:top w:w="28" w:type="dxa"/>
          <w:left w:w="28" w:type="dxa"/>
          <w:bottom w:w="28" w:type="dxa"/>
          <w:right w:w="28" w:type="dxa"/>
        </w:tblCellMar>
      </w:tblPr>
      <w:tblGrid>
        <w:gridCol w:w="1648"/>
        <w:gridCol w:w="1451"/>
        <w:gridCol w:w="1461"/>
        <w:gridCol w:w="109"/>
        <w:gridCol w:w="109"/>
        <w:gridCol w:w="109"/>
        <w:gridCol w:w="317"/>
        <w:gridCol w:w="1244"/>
        <w:gridCol w:w="164"/>
        <w:gridCol w:w="109"/>
        <w:gridCol w:w="109"/>
        <w:gridCol w:w="109"/>
        <w:gridCol w:w="321"/>
        <w:gridCol w:w="1259"/>
        <w:gridCol w:w="234"/>
      </w:tblGrid>
      <w:tr>
        <w:trPr/>
        <w:tc>
          <w:tcPr>
            <w:tcW w:w="164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176,848 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316,199 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basis point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basis point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risk rate spreads on underlying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(142,267)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prepayment rate spreads on underlying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beneficial interest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risk rate spreads on underlying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Immaterial</w:t>
      </w:r>
    </w:p>
    <w:p>
      <w:pPr>
        <w:pStyle w:val="TextBody"/>
        <w:bidi w:val="0"/>
        <w:spacing w:before="0" w:after="0"/>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presents a rollforward of beneficial interest assets and liabilities: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9008" w:type="dxa"/>
        <w:jc w:val="left"/>
        <w:tblInd w:w="0" w:type="dxa"/>
        <w:tblLayout w:type="fixed"/>
        <w:tblCellMar>
          <w:top w:w="28" w:type="dxa"/>
          <w:left w:w="28" w:type="dxa"/>
          <w:bottom w:w="28" w:type="dxa"/>
          <w:right w:w="28" w:type="dxa"/>
        </w:tblCellMar>
      </w:tblPr>
      <w:tblGrid>
        <w:gridCol w:w="1281"/>
        <w:gridCol w:w="1123"/>
        <w:gridCol w:w="1135"/>
        <w:gridCol w:w="109"/>
        <w:gridCol w:w="109"/>
        <w:gridCol w:w="109"/>
        <w:gridCol w:w="406"/>
        <w:gridCol w:w="1590"/>
        <w:gridCol w:w="209"/>
        <w:gridCol w:w="109"/>
        <w:gridCol w:w="109"/>
        <w:gridCol w:w="109"/>
        <w:gridCol w:w="507"/>
        <w:gridCol w:w="1733"/>
        <w:gridCol w:w="370"/>
      </w:tblGrid>
      <w:tr>
        <w:trPr/>
        <w:tc>
          <w:tcPr>
            <w:tcW w:w="128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Liabilities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beneficial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beneficial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131,483 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09"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406"/>
        <w:gridCol w:w="1590"/>
        <w:gridCol w:w="209"/>
        <w:gridCol w:w="109"/>
        <w:gridCol w:w="109"/>
        <w:gridCol w:w="109"/>
        <w:gridCol w:w="507"/>
        <w:gridCol w:w="1733"/>
        <w:gridCol w:w="370"/>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beneficial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103,817 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beneficial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12,633 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131,483 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tbl>
      <w:tblPr>
        <w:tblW w:w="8791" w:type="dxa"/>
        <w:jc w:val="left"/>
        <w:tblInd w:w="0" w:type="dxa"/>
        <w:tblLayout w:type="fixed"/>
        <w:tblCellMar>
          <w:top w:w="28" w:type="dxa"/>
          <w:left w:w="28" w:type="dxa"/>
          <w:bottom w:w="28" w:type="dxa"/>
          <w:right w:w="28" w:type="dxa"/>
        </w:tblCellMar>
      </w:tblPr>
      <w:tblGrid>
        <w:gridCol w:w="1281"/>
        <w:gridCol w:w="1123"/>
        <w:gridCol w:w="1136"/>
        <w:gridCol w:w="109"/>
        <w:gridCol w:w="406"/>
        <w:gridCol w:w="1590"/>
        <w:gridCol w:w="209"/>
        <w:gridCol w:w="109"/>
        <w:gridCol w:w="109"/>
        <w:gridCol w:w="109"/>
        <w:gridCol w:w="507"/>
        <w:gridCol w:w="1733"/>
        <w:gridCol w:w="370"/>
      </w:tblGrid>
      <w:tr>
        <w:trPr/>
        <w:tc>
          <w:tcPr>
            <w:tcW w:w="128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266,761 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10,532 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beneficial interests</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109,529 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beneficial interests, net</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316,199 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790" w:type="dxa"/>
        <w:jc w:val="left"/>
        <w:tblInd w:w="0" w:type="dxa"/>
        <w:tblLayout w:type="fixed"/>
        <w:tblCellMar>
          <w:top w:w="28" w:type="dxa"/>
          <w:left w:w="28" w:type="dxa"/>
          <w:bottom w:w="28" w:type="dxa"/>
          <w:right w:w="28" w:type="dxa"/>
        </w:tblCellMar>
      </w:tblPr>
      <w:tblGrid>
        <w:gridCol w:w="1281"/>
        <w:gridCol w:w="1128"/>
        <w:gridCol w:w="1130"/>
        <w:gridCol w:w="109"/>
        <w:gridCol w:w="406"/>
        <w:gridCol w:w="1590"/>
        <w:gridCol w:w="209"/>
        <w:gridCol w:w="109"/>
        <w:gridCol w:w="109"/>
        <w:gridCol w:w="109"/>
        <w:gridCol w:w="507"/>
        <w:gridCol w:w="1733"/>
        <w:gridCol w:w="370"/>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Liabilities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176,848 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beneficial interests</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219,399 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beneficial interests, net</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(96,253)</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(15,716)</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18,813 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316,199 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Trailing Fee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pays certain bank partners monthly trailing fees based on the amount and timing of principal and interest payments made by borrowers of the underlying loans. The Company held trailing fee liabilities of $4.6 million and $5.4 million as of December 31, 2024 and September 30, 2025, respectively. </w:t>
      </w:r>
    </w:p>
    <w:p>
      <w:pPr>
        <w:pStyle w:val="TextBody"/>
        <w:bidi w:val="0"/>
        <w:spacing w:lineRule="auto" w:line="288" w:before="1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discounted cash flow methodology, which is used to estimate the fair value of trailing fee liabilities, uses the same projected net cash flows as the underlying loans. The fair valuation methodology considers projected prepayments and historical defaults, losses and recoveries to project future losses and net cash flows of the underlying loans. Net cash flows are discounted using an estimate of market rates of return. </w:t>
      </w:r>
    </w:p>
    <w:p>
      <w:pPr>
        <w:pStyle w:val="TextBody"/>
        <w:bidi w:val="0"/>
        <w:spacing w:lineRule="auto" w:line="288" w:before="1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quantitative information about the significant unobservable inputs used for the Company’s Level 3 fair value measurements for trailing fee liabilities: </w:t>
      </w:r>
    </w:p>
    <w:p>
      <w:pPr>
        <w:pStyle w:val="TextBody"/>
        <w:bidi w:val="0"/>
        <w:spacing w:before="0" w:after="0"/>
        <w:ind w:left="0" w:right="0" w:firstLine="720"/>
        <w:jc w:val="both"/>
        <w:rPr/>
      </w:pPr>
      <w:r>
        <w:rPr/>
      </w:r>
    </w:p>
    <w:tbl>
      <w:tblPr>
        <w:tblW w:w="10888" w:type="dxa"/>
        <w:jc w:val="left"/>
        <w:tblInd w:w="0" w:type="dxa"/>
        <w:tblLayout w:type="fixed"/>
        <w:tblCellMar>
          <w:top w:w="28" w:type="dxa"/>
          <w:left w:w="28" w:type="dxa"/>
          <w:bottom w:w="28" w:type="dxa"/>
          <w:right w:w="28" w:type="dxa"/>
        </w:tblCellMar>
      </w:tblPr>
      <w:tblGrid>
        <w:gridCol w:w="478"/>
        <w:gridCol w:w="329"/>
        <w:gridCol w:w="274"/>
        <w:gridCol w:w="109"/>
        <w:gridCol w:w="109"/>
        <w:gridCol w:w="109"/>
        <w:gridCol w:w="255"/>
        <w:gridCol w:w="256"/>
        <w:gridCol w:w="526"/>
        <w:gridCol w:w="109"/>
        <w:gridCol w:w="109"/>
        <w:gridCol w:w="109"/>
        <w:gridCol w:w="308"/>
        <w:gridCol w:w="308"/>
        <w:gridCol w:w="551"/>
        <w:gridCol w:w="109"/>
        <w:gridCol w:w="109"/>
        <w:gridCol w:w="109"/>
        <w:gridCol w:w="378"/>
        <w:gridCol w:w="378"/>
        <w:gridCol w:w="940"/>
        <w:gridCol w:w="109"/>
        <w:gridCol w:w="109"/>
        <w:gridCol w:w="109"/>
        <w:gridCol w:w="255"/>
        <w:gridCol w:w="256"/>
        <w:gridCol w:w="526"/>
        <w:gridCol w:w="109"/>
        <w:gridCol w:w="109"/>
        <w:gridCol w:w="109"/>
        <w:gridCol w:w="308"/>
        <w:gridCol w:w="308"/>
        <w:gridCol w:w="551"/>
        <w:gridCol w:w="109"/>
        <w:gridCol w:w="109"/>
        <w:gridCol w:w="109"/>
        <w:gridCol w:w="355"/>
        <w:gridCol w:w="355"/>
        <w:gridCol w:w="1031"/>
      </w:tblGrid>
      <w:tr>
        <w:trPr/>
        <w:tc>
          <w:tcPr>
            <w:tcW w:w="4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Weighted-Average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color w:val="000000"/>
              </w:rPr>
              <w:t xml:space="preserve"> </w:t>
            </w:r>
            <w:r>
              <w:rPr>
                <w:rFonts w:ascii="Times New Roman;serif" w:hAnsi="Times New Roman;serif"/>
                <w:b/>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 Unobservable inputs were weighted by relative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sensitivity of trailing fee liabilities to adverse changes in key assumptions do not result in a material impact to the fair value of trailing fee liabilities as of December 31, 2024 and September 30, 2025.</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include a rollforward of trailing fee liabilities classified by the Company within Level 3 of the fair value hierarchy:</w:t>
      </w:r>
    </w:p>
    <w:p>
      <w:pPr>
        <w:pStyle w:val="TextBody"/>
        <w:bidi w:val="0"/>
        <w:spacing w:before="0" w:after="0"/>
        <w:jc w:val="left"/>
        <w:rPr/>
      </w:pPr>
      <w:r>
        <w:rPr/>
      </w:r>
    </w:p>
    <w:tbl>
      <w:tblPr>
        <w:tblW w:w="5996" w:type="dxa"/>
        <w:jc w:val="left"/>
        <w:tblInd w:w="0" w:type="dxa"/>
        <w:tblLayout w:type="fixed"/>
        <w:tblCellMar>
          <w:top w:w="28" w:type="dxa"/>
          <w:left w:w="28" w:type="dxa"/>
          <w:bottom w:w="28" w:type="dxa"/>
          <w:right w:w="28" w:type="dxa"/>
        </w:tblCellMar>
      </w:tblPr>
      <w:tblGrid>
        <w:gridCol w:w="1281"/>
        <w:gridCol w:w="1123"/>
        <w:gridCol w:w="1135"/>
        <w:gridCol w:w="109"/>
        <w:gridCol w:w="109"/>
        <w:gridCol w:w="109"/>
        <w:gridCol w:w="457"/>
        <w:gridCol w:w="1337"/>
        <w:gridCol w:w="336"/>
      </w:tblGrid>
      <w:tr>
        <w:trPr/>
        <w:tc>
          <w:tcPr>
            <w:tcW w:w="128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Fee Liabilities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5997"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457"/>
        <w:gridCol w:w="1337"/>
        <w:gridCol w:w="336"/>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Fee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bl>
    <w:tbl>
      <w:tblPr>
        <w:tblW w:w="6177" w:type="dxa"/>
        <w:jc w:val="left"/>
        <w:tblInd w:w="0" w:type="dxa"/>
        <w:tblLayout w:type="fixed"/>
        <w:tblCellMar>
          <w:top w:w="28" w:type="dxa"/>
          <w:left w:w="28" w:type="dxa"/>
          <w:bottom w:w="28" w:type="dxa"/>
          <w:right w:w="28" w:type="dxa"/>
        </w:tblCellMar>
      </w:tblPr>
      <w:tblGrid>
        <w:gridCol w:w="1346"/>
        <w:gridCol w:w="1181"/>
        <w:gridCol w:w="1193"/>
        <w:gridCol w:w="109"/>
        <w:gridCol w:w="109"/>
        <w:gridCol w:w="109"/>
        <w:gridCol w:w="457"/>
        <w:gridCol w:w="1337"/>
        <w:gridCol w:w="336"/>
      </w:tblGrid>
      <w:tr>
        <w:trPr/>
        <w:tc>
          <w:tcPr>
            <w:tcW w:w="134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Fee Liabilities</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77" w:type="dxa"/>
        <w:jc w:val="left"/>
        <w:tblInd w:w="0" w:type="dxa"/>
        <w:tblLayout w:type="fixed"/>
        <w:tblCellMar>
          <w:top w:w="28" w:type="dxa"/>
          <w:left w:w="28" w:type="dxa"/>
          <w:bottom w:w="28" w:type="dxa"/>
          <w:right w:w="28" w:type="dxa"/>
        </w:tblCellMar>
      </w:tblPr>
      <w:tblGrid>
        <w:gridCol w:w="1346"/>
        <w:gridCol w:w="1186"/>
        <w:gridCol w:w="1188"/>
        <w:gridCol w:w="109"/>
        <w:gridCol w:w="109"/>
        <w:gridCol w:w="109"/>
        <w:gridCol w:w="457"/>
        <w:gridCol w:w="1337"/>
        <w:gridCol w:w="336"/>
      </w:tblGrid>
      <w:tr>
        <w:trPr/>
        <w:tc>
          <w:tcPr>
            <w:tcW w:w="13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Fee Liabilities</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6.    Goodwill and Intangible Assets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and 2025, there were no changes in the carrying amount of goodwill of $67.1 million on the Company’s condensed consolidated balance sheets.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Acquired intangible assets subject to amortization consist of customer relationships, and are recorded net of amortization and included within other assets on the condensed consolidated balance sheets. The gross and net carrying values and accumulated amortization are as follows:</w:t>
      </w:r>
    </w:p>
    <w:p>
      <w:pPr>
        <w:pStyle w:val="TextBody"/>
        <w:bidi w:val="0"/>
        <w:spacing w:before="140" w:after="283"/>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49"/>
        <w:gridCol w:w="395"/>
        <w:gridCol w:w="396"/>
        <w:gridCol w:w="109"/>
        <w:gridCol w:w="109"/>
        <w:gridCol w:w="109"/>
        <w:gridCol w:w="227"/>
        <w:gridCol w:w="777"/>
        <w:gridCol w:w="117"/>
        <w:gridCol w:w="109"/>
        <w:gridCol w:w="109"/>
        <w:gridCol w:w="109"/>
        <w:gridCol w:w="298"/>
        <w:gridCol w:w="892"/>
        <w:gridCol w:w="155"/>
        <w:gridCol w:w="109"/>
        <w:gridCol w:w="109"/>
        <w:gridCol w:w="109"/>
        <w:gridCol w:w="227"/>
        <w:gridCol w:w="663"/>
        <w:gridCol w:w="117"/>
        <w:gridCol w:w="109"/>
        <w:gridCol w:w="109"/>
        <w:gridCol w:w="109"/>
        <w:gridCol w:w="227"/>
        <w:gridCol w:w="777"/>
        <w:gridCol w:w="117"/>
        <w:gridCol w:w="109"/>
        <w:gridCol w:w="109"/>
        <w:gridCol w:w="109"/>
        <w:gridCol w:w="298"/>
        <w:gridCol w:w="892"/>
        <w:gridCol w:w="155"/>
        <w:gridCol w:w="109"/>
        <w:gridCol w:w="109"/>
        <w:gridCol w:w="109"/>
        <w:gridCol w:w="226"/>
        <w:gridCol w:w="661"/>
        <w:gridCol w:w="177"/>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24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2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Carrying Value</w:t>
            </w:r>
          </w:p>
        </w:tc>
      </w:tr>
      <w:tr>
        <w:trPr/>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was immaterial for the three and nine months ended September 30, 2024 and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Expected future amortization expense for intangible assets is as follows: </w:t>
      </w:r>
    </w:p>
    <w:p>
      <w:pPr>
        <w:pStyle w:val="TextBody"/>
        <w:bidi w:val="0"/>
        <w:spacing w:before="0" w:after="0"/>
        <w:jc w:val="both"/>
        <w:rPr/>
      </w:pPr>
      <w:r>
        <w:rPr/>
      </w:r>
    </w:p>
    <w:tbl>
      <w:tblPr>
        <w:tblW w:w="3626" w:type="dxa"/>
        <w:jc w:val="center"/>
        <w:tblInd w:w="0" w:type="dxa"/>
        <w:tblLayout w:type="fixed"/>
        <w:tblCellMar>
          <w:top w:w="28" w:type="dxa"/>
          <w:left w:w="28" w:type="dxa"/>
          <w:bottom w:w="28" w:type="dxa"/>
          <w:right w:w="28" w:type="dxa"/>
        </w:tblCellMar>
      </w:tblPr>
      <w:tblGrid>
        <w:gridCol w:w="538"/>
        <w:gridCol w:w="473"/>
        <w:gridCol w:w="474"/>
        <w:gridCol w:w="109"/>
        <w:gridCol w:w="109"/>
        <w:gridCol w:w="109"/>
        <w:gridCol w:w="390"/>
        <w:gridCol w:w="1138"/>
        <w:gridCol w:w="286"/>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8,562 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7.    Balance Sheet Components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assets consisted of the following: </w:t>
      </w:r>
    </w:p>
    <w:tbl>
      <w:tblPr>
        <w:tblW w:w="9082" w:type="dxa"/>
        <w:jc w:val="center"/>
        <w:tblInd w:w="0" w:type="dxa"/>
        <w:tblLayout w:type="fixed"/>
        <w:tblCellMar>
          <w:top w:w="28" w:type="dxa"/>
          <w:left w:w="28" w:type="dxa"/>
          <w:bottom w:w="28" w:type="dxa"/>
          <w:right w:w="28" w:type="dxa"/>
        </w:tblCellMar>
      </w:tblPr>
      <w:tblGrid>
        <w:gridCol w:w="1770"/>
        <w:gridCol w:w="1557"/>
        <w:gridCol w:w="1562"/>
        <w:gridCol w:w="109"/>
        <w:gridCol w:w="109"/>
        <w:gridCol w:w="109"/>
        <w:gridCol w:w="317"/>
        <w:gridCol w:w="1244"/>
        <w:gridCol w:w="164"/>
        <w:gridCol w:w="109"/>
        <w:gridCol w:w="109"/>
        <w:gridCol w:w="109"/>
        <w:gridCol w:w="321"/>
        <w:gridCol w:w="1259"/>
        <w:gridCol w:w="234"/>
      </w:tblGrid>
      <w:tr>
        <w:trPr/>
        <w:tc>
          <w:tcPr>
            <w:tcW w:w="1770"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Line of credit receivable (at fair value)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114,846 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Notes receivable and residual certificates (at fair value)</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servicing assets (at fair value)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Intangible assets, net</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216,763 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334,551 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(1)Refer to “</w:t>
      </w:r>
      <w:r>
        <w:rPr>
          <w:rFonts w:ascii="Times New Roman;serif" w:hAnsi="Times New Roman;serif"/>
          <w:b w:val="false"/>
          <w:i/>
          <w:color w:val="000000"/>
          <w:sz w:val="16"/>
        </w:rPr>
        <w:t xml:space="preserve">Note 5. Fair Value Measurement” </w:t>
      </w:r>
      <w:r>
        <w:rPr>
          <w:rFonts w:ascii="Times New Roman;serif" w:hAnsi="Times New Roman;serif"/>
          <w:b w:val="false"/>
          <w:color w:val="000000"/>
          <w:sz w:val="16"/>
        </w:rPr>
        <w:t>for further information.</w:t>
      </w:r>
    </w:p>
    <w:p>
      <w:pPr>
        <w:pStyle w:val="TextBody"/>
        <w:bidi w:val="0"/>
        <w:spacing w:lineRule="auto" w:line="288" w:before="0" w:after="0"/>
        <w:ind w:left="0" w:right="0" w:hanging="540"/>
        <w:jc w:val="both"/>
        <w:rPr/>
      </w:pPr>
      <w:r>
        <w:rPr>
          <w:rFonts w:ascii="Times New Roman;serif" w:hAnsi="Times New Roman;serif"/>
          <w:b w:val="false"/>
          <w:color w:val="000000"/>
          <w:sz w:val="16"/>
        </w:rPr>
        <w:t>(2)Refer to “</w:t>
      </w:r>
      <w:r>
        <w:rPr>
          <w:rFonts w:ascii="Times New Roman;serif" w:hAnsi="Times New Roman;serif"/>
          <w:b w:val="false"/>
          <w:i/>
          <w:color w:val="000000"/>
          <w:sz w:val="16"/>
        </w:rPr>
        <w:t xml:space="preserve">Note 6. Goodwill and Intangible Assets” </w:t>
      </w:r>
      <w:r>
        <w:rPr>
          <w:rFonts w:ascii="Times New Roman;serif" w:hAnsi="Times New Roman;serif"/>
          <w:b w:val="false"/>
          <w:color w:val="000000"/>
          <w:sz w:val="16"/>
        </w:rPr>
        <w:t>for further information.</w:t>
      </w:r>
    </w:p>
    <w:p>
      <w:pPr>
        <w:pStyle w:val="TextBody"/>
        <w:bidi w:val="0"/>
        <w:spacing w:lineRule="auto" w:line="288" w:before="0" w:after="0"/>
        <w:ind w:left="0" w:right="0" w:hanging="540"/>
        <w:jc w:val="both"/>
        <w:rPr/>
      </w:pPr>
      <w:r>
        <w:rPr>
          <w:rFonts w:ascii="Times New Roman;serif" w:hAnsi="Times New Roman;serif"/>
          <w:b w:val="false"/>
          <w:color w:val="000000"/>
          <w:sz w:val="16"/>
        </w:rPr>
        <w:t xml:space="preserve">(3)Refer to </w:t>
      </w:r>
      <w:r>
        <w:rPr>
          <w:color w:val="000000"/>
        </w:rPr>
        <w:t>“</w:t>
      </w:r>
      <w:r>
        <w:rPr>
          <w:rFonts w:ascii="Times New Roman;serif" w:hAnsi="Times New Roman;serif"/>
          <w:b w:val="false"/>
          <w:i/>
          <w:color w:val="000000"/>
          <w:sz w:val="16"/>
        </w:rPr>
        <w:t xml:space="preserve">Note 8. Borrowings” </w:t>
      </w:r>
      <w:r>
        <w:rPr>
          <w:rFonts w:ascii="Times New Roman;serif" w:hAnsi="Times New Roman;serif"/>
          <w:b w:val="false"/>
          <w:color w:val="000000"/>
          <w:sz w:val="16"/>
        </w:rPr>
        <w:t>for further information on securitization notes pledged as collateral as part of the risk retention financing facility.</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Receivables represent amounts recognized as revenue but not yet collected in relation to servicing and other agreements with institutional investors and lending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Property, Equipment, and Software,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w:t>
      </w:r>
    </w:p>
    <w:tbl>
      <w:tblPr>
        <w:tblW w:w="7897" w:type="dxa"/>
        <w:jc w:val="center"/>
        <w:tblInd w:w="0" w:type="dxa"/>
        <w:tblLayout w:type="fixed"/>
        <w:tblCellMar>
          <w:top w:w="28" w:type="dxa"/>
          <w:left w:w="28" w:type="dxa"/>
          <w:bottom w:w="28" w:type="dxa"/>
          <w:right w:w="28" w:type="dxa"/>
        </w:tblCellMar>
      </w:tblPr>
      <w:tblGrid>
        <w:gridCol w:w="1340"/>
        <w:gridCol w:w="1181"/>
        <w:gridCol w:w="1184"/>
        <w:gridCol w:w="109"/>
        <w:gridCol w:w="109"/>
        <w:gridCol w:w="109"/>
        <w:gridCol w:w="349"/>
        <w:gridCol w:w="1195"/>
        <w:gridCol w:w="180"/>
        <w:gridCol w:w="109"/>
        <w:gridCol w:w="109"/>
        <w:gridCol w:w="109"/>
        <w:gridCol w:w="352"/>
        <w:gridCol w:w="1205"/>
        <w:gridCol w:w="257"/>
      </w:tblGrid>
      <w:tr>
        <w:trPr/>
        <w:tc>
          <w:tcPr>
            <w:tcW w:w="13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90,519 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networking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44,259 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2024, depreciation and amortization expense on property, equipment, and software was $5.1 million and $14.2 million, respectively and immaterial and $17.5 million for the three and nine months ended September 30, 2025, respectively.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balances, net of accumulated amortization, were $31.0 million and $38.4 million as of December 31, 2024 and September 30, 2025, respectively. The Company recognized immaterial impairment charges to internally developed software during the three and nine months ended September 30, 2024, and the nine months ended September 30, 2025. No impairment charges were recognized to internally developed software during the three months ended September 30, 2025.</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Accrued Expenses and Other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liabilities consisted of the following:</w:t>
      </w:r>
    </w:p>
    <w:tbl>
      <w:tblPr>
        <w:tblW w:w="7838" w:type="dxa"/>
        <w:jc w:val="center"/>
        <w:tblInd w:w="0" w:type="dxa"/>
        <w:tblLayout w:type="fixed"/>
        <w:tblCellMar>
          <w:top w:w="28" w:type="dxa"/>
          <w:left w:w="28" w:type="dxa"/>
          <w:bottom w:w="28" w:type="dxa"/>
          <w:right w:w="28" w:type="dxa"/>
        </w:tblCellMar>
      </w:tblPr>
      <w:tblGrid>
        <w:gridCol w:w="1320"/>
        <w:gridCol w:w="1158"/>
        <w:gridCol w:w="1167"/>
        <w:gridCol w:w="109"/>
        <w:gridCol w:w="109"/>
        <w:gridCol w:w="109"/>
        <w:gridCol w:w="317"/>
        <w:gridCol w:w="1244"/>
        <w:gridCol w:w="164"/>
        <w:gridCol w:w="109"/>
        <w:gridCol w:w="109"/>
        <w:gridCol w:w="109"/>
        <w:gridCol w:w="321"/>
        <w:gridCol w:w="1259"/>
        <w:gridCol w:w="234"/>
      </w:tblGrid>
      <w:tr>
        <w:trPr/>
        <w:tc>
          <w:tcPr>
            <w:tcW w:w="132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Trailing fee liability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servicing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133,800 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116,250 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8.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aggregate principal outstanding of all borrowings that are included in the condensed consolidated balance sheets:</w:t>
      </w:r>
    </w:p>
    <w:tbl>
      <w:tblPr>
        <w:tblW w:w="6923" w:type="dxa"/>
        <w:jc w:val="center"/>
        <w:tblInd w:w="0" w:type="dxa"/>
        <w:tblLayout w:type="fixed"/>
        <w:tblCellMar>
          <w:top w:w="28" w:type="dxa"/>
          <w:left w:w="28" w:type="dxa"/>
          <w:bottom w:w="28" w:type="dxa"/>
          <w:right w:w="28" w:type="dxa"/>
        </w:tblCellMar>
      </w:tblPr>
      <w:tblGrid>
        <w:gridCol w:w="989"/>
        <w:gridCol w:w="869"/>
        <w:gridCol w:w="872"/>
        <w:gridCol w:w="109"/>
        <w:gridCol w:w="109"/>
        <w:gridCol w:w="109"/>
        <w:gridCol w:w="281"/>
        <w:gridCol w:w="1299"/>
        <w:gridCol w:w="145"/>
        <w:gridCol w:w="109"/>
        <w:gridCol w:w="109"/>
        <w:gridCol w:w="109"/>
        <w:gridCol w:w="285"/>
        <w:gridCol w:w="1321"/>
        <w:gridCol w:w="208"/>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195,605 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 retention financing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1,230,379 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1,687,794 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payments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1,425,984 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1,889,005 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1,402,168 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1,855,754 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aggregate amount of maturities of all borrowings:</w:t>
      </w:r>
    </w:p>
    <w:tbl>
      <w:tblPr>
        <w:tblW w:w="3626" w:type="dxa"/>
        <w:jc w:val="left"/>
        <w:tblInd w:w="0" w:type="dxa"/>
        <w:tblLayout w:type="fixed"/>
        <w:tblCellMar>
          <w:top w:w="28" w:type="dxa"/>
          <w:left w:w="28" w:type="dxa"/>
          <w:bottom w:w="28" w:type="dxa"/>
          <w:right w:w="28" w:type="dxa"/>
        </w:tblCellMar>
      </w:tblPr>
      <w:tblGrid>
        <w:gridCol w:w="538"/>
        <w:gridCol w:w="473"/>
        <w:gridCol w:w="474"/>
        <w:gridCol w:w="109"/>
        <w:gridCol w:w="109"/>
        <w:gridCol w:w="109"/>
        <w:gridCol w:w="285"/>
        <w:gridCol w:w="1321"/>
        <w:gridCol w:w="208"/>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431,250 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750,689 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1,889,005 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Warehouse Credit Facilities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details of the Company’s revolving warehouse credit facilities:</w:t>
      </w:r>
    </w:p>
    <w:tbl>
      <w:tblPr>
        <w:tblW w:w="11307"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535"/>
        <w:gridCol w:w="250"/>
        <w:gridCol w:w="251"/>
        <w:gridCol w:w="109"/>
        <w:gridCol w:w="109"/>
        <w:gridCol w:w="109"/>
        <w:gridCol w:w="395"/>
        <w:gridCol w:w="395"/>
        <w:gridCol w:w="39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Stated Interest Rate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Termination and Maturity</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Borrowing Capacity</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Collateral</w:t>
            </w:r>
            <w:r>
              <w:rPr>
                <w:rFonts w:ascii="Times New Roman;serif" w:hAnsi="Times New Roman;serif"/>
                <w:b w:val="false"/>
                <w:color w:val="000000"/>
                <w:sz w:val="13"/>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Collateral</w:t>
            </w:r>
            <w:r>
              <w:rPr>
                <w:rFonts w:ascii="Times New Roman;serif" w:hAnsi="Times New Roman;serif"/>
                <w:b w:val="false"/>
                <w:color w:val="000000"/>
                <w:sz w:val="13"/>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Borrowings</w:t>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Upstart Auto Warehouse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Benchmark rate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Upstart Auto Warehouse Trust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Benchmark rate + 0% - 4.0%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2026 and August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Upstart Loan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Benchmark rate + 2.4% - 3.8%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2027 and June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Upstart Small Dollar Loan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Benchmark rate + 5.5%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2027 and June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Upstart High Yield Loan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Benchmark rate + 2.8%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2025 and December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(1)The interest rates on our warehouse credit facilities are floating and designed as a reference rate plus a spread. Reference rates include the Compounded Secured Overnight Financing Rate, weighted-average cost of commercial paper notes issued by the lender, and the federal funds rate. The stated interest rate excludes unused commitment fees which range from 0.5% to 1.0%. The undrawn fee for Upstart Small Dollar Loan Trust is the dollar amount of interest and fees that would have been due if the daily average aggregate outstanding principal balance was equal to 75% of the then-applicable borrowing base.</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(2)The first date represents the final date the Company may borrow up to the maximum capacity under the warehouse. The second date is the maturity date, when the outstanding principal amount, together with accrued and unpaid interest will be due and payable in full.</w:t>
      </w:r>
    </w:p>
    <w:p>
      <w:pPr>
        <w:pStyle w:val="TextBody"/>
        <w:bidi w:val="0"/>
        <w:spacing w:lineRule="auto" w:line="288" w:before="0" w:after="0"/>
        <w:ind w:left="0" w:right="0" w:hanging="540"/>
        <w:jc w:val="both"/>
        <w:rPr/>
      </w:pPr>
      <w:r>
        <w:rPr>
          <w:rFonts w:ascii="Times New Roman;serif" w:hAnsi="Times New Roman;serif"/>
          <w:b w:val="false"/>
          <w:color w:val="000000"/>
          <w:sz w:val="16"/>
        </w:rPr>
        <w:t xml:space="preserve">(3)Total capacity is as of September 30, 2025. All amounts are committed, except for Upstart High Yield Loan Trust of $150.0 million, Upstart Small Dollar Loan Trust of $100.0 million and Upstart Loan Trust for which $150.0 million of the $325.0 million total capacity is uncommitted. As of </w:t>
      </w:r>
      <w:r>
        <w:rPr>
          <w:rFonts w:ascii="Times New Roman;serif" w:hAnsi="Times New Roman;serif"/>
          <w:b w:val="false"/>
          <w:color w:val="000000"/>
          <w:sz w:val="16"/>
          <w:shd w:fill="FFFFFF" w:val="clear"/>
        </w:rPr>
        <w:t>September 30, 2025</w:t>
      </w:r>
      <w:r>
        <w:rPr>
          <w:rFonts w:ascii="Times New Roman;serif" w:hAnsi="Times New Roman;serif"/>
          <w:b w:val="false"/>
          <w:color w:val="000000"/>
          <w:sz w:val="16"/>
        </w:rPr>
        <w:t xml:space="preserve">, the Upstart Auto Warehouse Trust facility has been terminated. </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(4)Represents the aggregate restricted cash and unpaid principal balance of loans pledged as collateral.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14, 2024, Upstart Auto Warehouse Trust began its amortization period and on April 15, 2025, the facility was fully amortized and repaid in line with expectations. Following the full amortization and repayment, the Company terminated the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27, 2025, Upstart Loan Trust amended its credit agreement to extend the maturity date to June 15, 2028. Additionally, the applicable margin on borrowing during the revolving period was reduced to 2.4% from 2.8%.</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7, 2025, Upstart Auto Warehouse Trust 2 amended its credit agreement to extend the maturity date to August 7, 2027. Additionally, the total borrowing capacity increased from $50.0 million to $150.0 million.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warehouse credit facilities contain certain financial covenants. As of September 30, 2025, the Company was in compliance with all applicable covenants for each of its warehouse credit facilities.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Risk Retention Financing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2025, the Company entered into a $100.0 million risk retention financing facility to finance certain securitization notes it retained in a capacity of the risk retention sponsor under applicable risk retention regulations. Under this facility, the Company pledged the securitization notes as collateral. The facility’s maturity aligns with the stated maturities of the underlying notes, which range from 2026 to 2035. The facility is accounted for as a secured borrowing.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outstanding balance of the facility was $60.7 million, presented within borrowings on the condensed consolidated balance sheets, and the fair value of the securitization notes pledged was $60.7 million, which is presented within other assets on the condensed consolidated balance sheets. The financing bears interest at the weighted-average coupon of the pledged securities plus a 0.40% spread.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Pledged collateral levels are monitored and maintained at an agreed-upon percentage of the outstanding borrowings during the life of the borrowing. In the event of a decline in the fair value of the pledged collateral, the Company may be required to transfer cash or pledge additional securities under this facility.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2021, the Company issued $661.3 million in aggregate principal amount of 0.25% convertible senior notes due 2026 (the “2026 Notes”). In September 2024, the Company issued $431.3 million in aggregate principal amount of 2.00% convertible senior notes due 2029 (the “2029 Notes”). In November 2024, the Company issued $500.0 million in aggregate principal amount of 1.00% convertible senior notes due 2030 (the “2030 Notes”). In August 2025, the Company issued $690.0 million in aggregate principal amount of 0% convertible senior notes due 2032 (the “2032 Notes” and, together with the 2026 Notes, 2029 Notes and 2030 Notes, the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Concurrently with the issuance of the 2029 Notes and the 2032 Notes, the Company repurchased portions of the 2026 Notes. In the third quarter of 2024, the Company used approximately $302.4 million</w:t>
      </w:r>
      <w:r>
        <w:rPr>
          <w:color w:val="000000"/>
          <w:shd w:fill="FFFFFF" w:val="clear"/>
        </w:rPr>
        <w:t xml:space="preserve"> </w:t>
      </w:r>
      <w:r>
        <w:rPr>
          <w:rFonts w:ascii="Times New Roman;serif" w:hAnsi="Times New Roman;serif"/>
          <w:b w:val="false"/>
          <w:color w:val="000000"/>
          <w:sz w:val="20"/>
          <w:shd w:fill="FFFFFF" w:val="clear"/>
        </w:rPr>
        <w:t xml:space="preserve">of the net </w:t>
      </w:r>
      <w:r>
        <w:rPr>
          <w:rFonts w:ascii="Times New Roman;serif" w:hAnsi="Times New Roman;serif"/>
          <w:b w:val="false"/>
          <w:color w:val="000000"/>
          <w:sz w:val="20"/>
        </w:rPr>
        <w:t xml:space="preserve">proceeds from the offering of the 2029 Notes to repurchase approximately $334.2 million in aggregate principal amount of the outstanding 2026 Notes in individually negotiated transactions and additionally repurchased approximately $27.9 million of the outstanding 2026 Notes in open-market purchases. In August 2025, the Company used approximately $224.2 million of the net proceeds from the offering of the 2032 Notes to repurchase approximately $232.6 million in aggregate principal amount of the outstanding 2026 Notes in individually negotiated transactions.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repurchases of the 2026 Notes were accounted for as a debt extinguishment. The difference between the consideration paid to repurchase the 2026 Notes and the carrying value of the 2026 Notes, resulted in a gain on debt extinguishment of $33.4 million and $7.2 million</w:t>
      </w:r>
      <w:r>
        <w:rPr>
          <w:color w:val="000000"/>
          <w:shd w:fill="FFFFFF" w:val="clear"/>
        </w:rPr>
        <w:t xml:space="preserve"> </w:t>
      </w:r>
      <w:r>
        <w:rPr>
          <w:rFonts w:ascii="Times New Roman;serif" w:hAnsi="Times New Roman;serif"/>
          <w:b w:val="false"/>
          <w:color w:val="000000"/>
          <w:sz w:val="20"/>
          <w:shd w:fill="FFFFFF" w:val="clear"/>
        </w:rPr>
        <w:t xml:space="preserve">separately reported </w:t>
      </w:r>
      <w:r>
        <w:rPr>
          <w:rFonts w:ascii="Times New Roman;serif" w:hAnsi="Times New Roman;serif"/>
          <w:b w:val="false"/>
          <w:color w:val="000000"/>
          <w:sz w:val="20"/>
        </w:rPr>
        <w:t>on the condensed consolidated statement of operations and comprehensive income (loss) during the third quarter of 2024 and 2025, respectively. The partial extinguishments did not result in any changes to the terms of the 2026 Notes.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activity of the Notes during the nine months ended September 30, 2025:</w:t>
      </w:r>
    </w:p>
    <w:p>
      <w:pPr>
        <w:pStyle w:val="TextBody"/>
        <w:bidi w:val="0"/>
        <w:spacing w:before="0" w:after="0"/>
        <w:jc w:val="left"/>
        <w:rPr/>
      </w:pPr>
      <w:r>
        <w:rPr/>
      </w:r>
    </w:p>
    <w:tbl>
      <w:tblPr>
        <w:tblW w:w="7022" w:type="dxa"/>
        <w:jc w:val="left"/>
        <w:tblInd w:w="0" w:type="dxa"/>
        <w:tblLayout w:type="fixed"/>
        <w:tblCellMar>
          <w:top w:w="28" w:type="dxa"/>
          <w:left w:w="28" w:type="dxa"/>
          <w:bottom w:w="28" w:type="dxa"/>
          <w:right w:w="28" w:type="dxa"/>
        </w:tblCellMar>
      </w:tblPr>
      <w:tblGrid>
        <w:gridCol w:w="1939"/>
        <w:gridCol w:w="1705"/>
        <w:gridCol w:w="1710"/>
        <w:gridCol w:w="109"/>
        <w:gridCol w:w="109"/>
        <w:gridCol w:w="109"/>
        <w:gridCol w:w="211"/>
        <w:gridCol w:w="976"/>
        <w:gridCol w:w="154"/>
      </w:tblGrid>
      <w:tr>
        <w:trPr/>
        <w:tc>
          <w:tcPr>
            <w:tcW w:w="193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of Notes 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Repurchases of 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 of Notes outstanding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Each series of Notes is governed by its respective indenture (each, an “Indenture”), and represents</w:t>
      </w:r>
      <w:r>
        <w:rPr>
          <w:color w:val="000000"/>
          <w:shd w:fill="FFFFFF" w:val="clear"/>
        </w:rPr>
        <w:t xml:space="preserve"> </w:t>
      </w:r>
      <w:r>
        <w:rPr>
          <w:rFonts w:ascii="Times New Roman;serif" w:hAnsi="Times New Roman;serif"/>
          <w:b w:val="false"/>
          <w:color w:val="000000"/>
          <w:sz w:val="20"/>
          <w:shd w:fill="FFFFFF" w:val="clear"/>
        </w:rPr>
        <w:t xml:space="preserve">senior unsecured obligations of the Company. The </w:t>
      </w:r>
      <w:r>
        <w:rPr>
          <w:rFonts w:ascii="Times New Roman;serif" w:hAnsi="Times New Roman;serif"/>
          <w:b w:val="false"/>
          <w:color w:val="000000"/>
          <w:sz w:val="20"/>
        </w:rPr>
        <w:t>2026 Notes</w:t>
      </w:r>
      <w:r>
        <w:rPr>
          <w:color w:val="000000"/>
          <w:shd w:fill="FFFFFF" w:val="clear"/>
        </w:rPr>
        <w:t xml:space="preserve"> </w:t>
      </w:r>
      <w:r>
        <w:rPr>
          <w:rFonts w:ascii="Times New Roman;serif" w:hAnsi="Times New Roman;serif"/>
          <w:b w:val="false"/>
          <w:color w:val="000000"/>
          <w:sz w:val="20"/>
          <w:shd w:fill="FFFFFF" w:val="clear"/>
        </w:rPr>
        <w:t xml:space="preserve">mature on August 15, 2026, the </w:t>
      </w:r>
      <w:r>
        <w:rPr>
          <w:rFonts w:ascii="Times New Roman;serif" w:hAnsi="Times New Roman;serif"/>
          <w:b w:val="false"/>
          <w:color w:val="000000"/>
          <w:sz w:val="20"/>
        </w:rPr>
        <w:t>2029 Notes mature on</w:t>
      </w:r>
      <w:r>
        <w:rPr>
          <w:color w:val="000000"/>
          <w:shd w:fill="FFFFFF" w:val="clear"/>
        </w:rPr>
        <w:t xml:space="preserve"> </w:t>
      </w:r>
      <w:r>
        <w:rPr>
          <w:rFonts w:ascii="Times New Roman;serif" w:hAnsi="Times New Roman;serif"/>
          <w:b w:val="false"/>
          <w:color w:val="000000"/>
          <w:sz w:val="20"/>
          <w:shd w:fill="FFFFFF" w:val="clear"/>
        </w:rPr>
        <w:t xml:space="preserve">October 1, 2029, the </w:t>
      </w:r>
      <w:r>
        <w:rPr>
          <w:rFonts w:ascii="Times New Roman;serif" w:hAnsi="Times New Roman;serif"/>
          <w:b w:val="false"/>
          <w:color w:val="000000"/>
          <w:sz w:val="20"/>
        </w:rPr>
        <w:t xml:space="preserve">2030 Notes mature on November 15, 2030, and the 2032 Notes mature on February 15, 2032, </w:t>
      </w:r>
      <w:r>
        <w:rPr>
          <w:rFonts w:ascii="Times New Roman;serif" w:hAnsi="Times New Roman;serif"/>
          <w:b w:val="false"/>
          <w:color w:val="000000"/>
          <w:sz w:val="20"/>
          <w:shd w:fill="FFFFFF" w:val="clear"/>
        </w:rPr>
        <w:t xml:space="preserve">unless such </w:t>
      </w:r>
      <w:r>
        <w:rPr>
          <w:rFonts w:ascii="Times New Roman;serif" w:hAnsi="Times New Roman;serif"/>
          <w:b w:val="false"/>
          <w:color w:val="000000"/>
          <w:sz w:val="20"/>
        </w:rPr>
        <w:t>Notes</w:t>
      </w:r>
      <w:r>
        <w:rPr>
          <w:color w:val="000000"/>
          <w:shd w:fill="FFFFFF" w:val="clear"/>
        </w:rPr>
        <w:t xml:space="preserve"> </w:t>
      </w:r>
      <w:r>
        <w:rPr>
          <w:rFonts w:ascii="Times New Roman;serif" w:hAnsi="Times New Roman;serif"/>
          <w:b w:val="false"/>
          <w:color w:val="000000"/>
          <w:sz w:val="20"/>
          <w:shd w:fill="FFFFFF" w:val="clear"/>
        </w:rPr>
        <w:t>are earlier converted, redeemed, or repurchased in accordance with their terms</w:t>
      </w:r>
      <w:r>
        <w:rPr>
          <w:rFonts w:ascii="Times New Roman;serif" w:hAnsi="Times New Roman;serif"/>
          <w:b w:val="false"/>
          <w:color w:val="000000"/>
          <w:sz w:val="20"/>
        </w:rPr>
        <w:t xml:space="preserve">. The Company may redeem for cash all or any portion of the Notes, at its option, on or after August 20, 2024, in the case of the 2026 Notes, on or after </w:t>
      </w:r>
      <w:r>
        <w:rPr>
          <w:rFonts w:ascii="Times New Roman;serif" w:hAnsi="Times New Roman;serif"/>
          <w:b w:val="false"/>
          <w:color w:val="000000"/>
          <w:sz w:val="20"/>
          <w:shd w:fill="FFFFFF" w:val="clear"/>
        </w:rPr>
        <w:t xml:space="preserve">October 6, 2027, in the case of the </w:t>
      </w:r>
      <w:r>
        <w:rPr>
          <w:rFonts w:ascii="Times New Roman;serif" w:hAnsi="Times New Roman;serif"/>
          <w:b w:val="false"/>
          <w:color w:val="000000"/>
          <w:sz w:val="20"/>
        </w:rPr>
        <w:t>2029 Notes, on or after November 20, 2027, in the case of the 2030 Notes, and on or after August 20, 2028, in the case of the 2032 Notes, if the last reported sale price of the Company’s common stock has been at least 130% of the conversion price for the Notes of the applicable series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for the Notes of such series at a redemption price equal to 100% of the principal amount of the Notes of such series to be redeemed, plus any accrued and unpaid interest (or special interest, if any, in the case of the 2032 Notes) to, but excluding, the redemption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details of the Notes: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85"/>
        <w:gridCol w:w="250"/>
        <w:gridCol w:w="252"/>
        <w:gridCol w:w="109"/>
        <w:gridCol w:w="109"/>
        <w:gridCol w:w="109"/>
        <w:gridCol w:w="952"/>
        <w:gridCol w:w="952"/>
        <w:gridCol w:w="962"/>
        <w:gridCol w:w="109"/>
        <w:gridCol w:w="109"/>
        <w:gridCol w:w="109"/>
        <w:gridCol w:w="764"/>
        <w:gridCol w:w="764"/>
        <w:gridCol w:w="766"/>
        <w:gridCol w:w="109"/>
        <w:gridCol w:w="109"/>
        <w:gridCol w:w="109"/>
        <w:gridCol w:w="514"/>
        <w:gridCol w:w="514"/>
        <w:gridCol w:w="515"/>
        <w:gridCol w:w="109"/>
        <w:gridCol w:w="109"/>
        <w:gridCol w:w="109"/>
        <w:gridCol w:w="409"/>
        <w:gridCol w:w="409"/>
        <w:gridCol w:w="589"/>
      </w:tblGrid>
      <w:tr>
        <w:trPr/>
        <w:tc>
          <w:tcPr>
            <w:tcW w:w="2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Conversion Rate per $1,000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Conversion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Conversion Date</w:t>
            </w:r>
          </w:p>
        </w:tc>
      </w:tr>
      <w:tr>
        <w:trPr/>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0.25%; payable semiannually on February 15 and August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2026</w:t>
            </w:r>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2.00%; payable semiannually on April 1 and October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21.9029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2029</w:t>
            </w:r>
          </w:p>
        </w:tc>
      </w:tr>
      <w:tr>
        <w:trPr/>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 payable semiannually on May 15 and November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2030</w:t>
            </w:r>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2031</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the Notes may convert their Notes at their option any time prior to the close of business on the business day immediately preceding May 15, 2026, in the case of the 2026 Notes; July 1, 2029, in the case of the 2029 Notes; August 15, 2030, in the case of the 2030 Notes; and November 15, 2031, in the case of the 2032 Notes, only under the following circumstances: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during any calendar quarter commencing after December 31, 2021, in the case of the 2026 Notes, December 31, 2024, in the case of the 2029 Notes, March 31, 2025, in the case of the 2030 Notes and December 31, 2025, in the case of the 2032 Notes,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applicable conversion price for the respective Notes on each applicable trading day;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 during the five business-day period after any five consecutive trading-day period in which the trading price per $1,000 principal amount of the applicable series of Notes for each trading day of such five consecutive trading-day period was less than 98% of the product of the last reported sale price of the Company’s common stock and the conversion rate of the respective Notes on each such trading day;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(3) if the Company calls any or all of the Notes of the applicable series for redemption, at any time prior to the close of business on the second scheduled trading day immediately preceding the redemption date; or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upon the occurrence of specified corporate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or after May 15, 2026, in the case of the 2026 Notes, July 1, 2029, in the case of the 2029 Notes, August 15, 2030, in the case of the 2030 Notes, and November 15, 2031, in the case of the 2032 Notes, holders of the Notes of the applicable series may surrender all or any portion of their Notes of such series for conversion at any time prior to the close of business on the second scheduled trading day immediately preceding the applicable maturity date regardless of the foregoing conditions. Upon conversion, the Company will pay or deliver, as the case may be, either cash, shares of common stock or a combination of cash and shares of common stock, at its election.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conversion price for each series of Notes will be subject to adjustment if certain events occur. In addition, following certain corporate events that may occur prior to the applicable maturity date or following the Company’s issuance of a notice of redemption for a series of Notes, the Company may be required to increase the conversion rate for the holder of the Notes of such series who elect to convert such Notes in connection with such corporate event or during the related redemption period in certain circumstances. Additionally, upon the occurrence of a corporate event that constitutes a “fundamental change” pursuant to the applicable Indenture, holders of the applicable series of Notes may require the Company to repurchase for cash all or a portion of such Notes at a repurchase price equal to 100% of the principal amount of the Notes of such series to be redeemed plus accrued and unpaid interest (or special interest, if any, in the case of the 2032 Notes) to, but excluding, the fundamental change repurchase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accounted for the issuance of each series of the Notes as a single liability at par as the conversion feature of each series of Notes does not require bifurcation as a derivative under ASC 815 and the Notes were not issued at a substantial premium. Debt issuance costs related to the 2026 Notes, 2029 Notes, 2030 Notes and 2032 Notes totaled $15.7 million, $10.4 million, $11.8 million, and $14.4 million respectively, which are amortized to interest expense under the effective interest method over the contractual term.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effective interest rate of the 2026 Notes, 2029 Notes, 2030 Notes and 2032 Notes is 0.7%, </w:t>
      </w:r>
      <w:r>
        <w:rPr>
          <w:rFonts w:ascii="Times New Roman;serif" w:hAnsi="Times New Roman;serif"/>
          <w:b w:val="false"/>
          <w:color w:val="000000"/>
          <w:sz w:val="20"/>
          <w:shd w:fill="FFFFFF" w:val="clear"/>
        </w:rPr>
        <w:t>2.5%</w:t>
      </w:r>
      <w:r>
        <w:rPr>
          <w:rFonts w:ascii="Times New Roman;serif" w:hAnsi="Times New Roman;serif"/>
          <w:b w:val="false"/>
          <w:color w:val="000000"/>
          <w:sz w:val="20"/>
        </w:rPr>
        <w:t>, 1.4%, and 0.3% respectively. The Company recorded immaterial coupon interest expense related to the Notes and immaterial amortization of debt issuance costs within other income, net on the condensed consolidated statements of operations and comprehensive income (loss) for the three and nine months ended September 30, 2024. The Company recorded immaterial and $10.7 million coupon interest expense related to the Notes for the three and nine months ended September 30, 2025, respectively, and immaterial amortization of debt issuance costs within other income, net on the condensed consolidated statements of operations and comprehensive income (loss) for the three and nine months ended September 30, 2025. Accrued interest expenses related to the Notes were $3.3 million and immaterial as of December 31, 2024 and September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Notes as of December 31, 2024 and September 30, 2025:</w:t>
      </w:r>
    </w:p>
    <w:tbl>
      <w:tblPr>
        <w:tblW w:w="1345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11"/>
        <w:gridCol w:w="976"/>
        <w:gridCol w:w="109"/>
        <w:gridCol w:w="109"/>
        <w:gridCol w:w="109"/>
        <w:gridCol w:w="109"/>
        <w:gridCol w:w="242"/>
        <w:gridCol w:w="847"/>
        <w:gridCol w:w="127"/>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42"/>
        <w:gridCol w:w="847"/>
        <w:gridCol w:w="127"/>
        <w:gridCol w:w="109"/>
        <w:gridCol w:w="109"/>
        <w:gridCol w:w="109"/>
        <w:gridCol w:w="211"/>
        <w:gridCol w:w="976"/>
        <w:gridCol w:w="109"/>
        <w:gridCol w:w="109"/>
        <w:gridCol w:w="109"/>
        <w:gridCol w:w="109"/>
        <w:gridCol w:w="211"/>
        <w:gridCol w:w="976"/>
        <w:gridCol w:w="15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Unamortized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Debt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Unamortized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Debt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Value</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(23,816)</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(33,006)</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1,774,362 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estimated fair value repres</w:t>
      </w:r>
      <w:r>
        <w:rPr>
          <w:rFonts w:ascii="Times New Roman;serif" w:hAnsi="Times New Roman;serif"/>
          <w:b w:val="false"/>
          <w:color w:val="000000"/>
          <w:sz w:val="20"/>
        </w:rPr>
        <w:t>ents Level 2 valuations in the fair value hierarchy and was determined based on the estimated or actual bids and offers of the Notes in an over-the-counter market.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Capped Call Transactions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2026 Notes, the 2029 Notes, and the 2032 Notes, the Company entered into separate privately negotiated capped call instruments with certain financial institutions (the “2026 Capped Calls,” with respect to the 2026 Notes, the “2029 Capped Calls,” with respect to the 2029 Notes, the “2032 Capped Calls,” with respect to the 2032 Notes, and the 2026 Capped Calls together with the 2029 Capped Calls and the 2032 Capped Calls, the “Capped Calls”).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Capped Calls are generally expected to reduce the potential dilution to the Company’s common stock upon any conversion of the 2026 Notes, 2029 Notes and 2032 Notes, as applicable, and/or offset any cash payments the Company is required to make in excess of the principal amount of such converted 2026 Notes, 2029 Notes, and 2032 Notes as the case may be, in the event the market price per share of the Company’s common stock, as measured under the terms of the Capped Calls, is greater than the strike price of the Capped Calls, with such reduction and/or offset subject to a cap. If, however, the market price per share of the common stock, as measured under the terms of the Capped Calls, exceeds the cap price of the Capped Calls, there would be dilution and/or there would not be an offset of such potential cash payments, in each case, to the extent that such market price per share of the Company’s common stock exceeds the cap price of the Capped Calls.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other key terms for the Capped Calls related to each series of Notes: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53"/>
        <w:gridCol w:w="310"/>
        <w:gridCol w:w="311"/>
        <w:gridCol w:w="109"/>
        <w:gridCol w:w="109"/>
        <w:gridCol w:w="109"/>
        <w:gridCol w:w="708"/>
        <w:gridCol w:w="708"/>
        <w:gridCol w:w="710"/>
        <w:gridCol w:w="109"/>
        <w:gridCol w:w="109"/>
        <w:gridCol w:w="109"/>
        <w:gridCol w:w="695"/>
        <w:gridCol w:w="695"/>
        <w:gridCol w:w="697"/>
        <w:gridCol w:w="109"/>
        <w:gridCol w:w="109"/>
        <w:gridCol w:w="109"/>
        <w:gridCol w:w="799"/>
        <w:gridCol w:w="799"/>
        <w:gridCol w:w="801"/>
        <w:gridCol w:w="109"/>
        <w:gridCol w:w="109"/>
        <w:gridCol w:w="109"/>
        <w:gridCol w:w="381"/>
        <w:gridCol w:w="381"/>
        <w:gridCol w:w="549"/>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Strike Price per Share, Subject to Certain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Cap Price per Share, Subject to Certain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of Common Stock Covered, Subject to Anti-Dilution Adjustments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Final Expiration Date</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2026</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27, 2029</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2032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2032</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Capped Calls were determined to be freestanding financial instruments that meet the criteria for classification in equity; as such, the Capped Calls were recorded as a reduction of additional paid-in capital within stockholders’ equity.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quarter ended September 30, 2024 and 2025, in connection with the partial repurchases of the 2026 Notes described above, the Company entered into agreements to terminate portions of the 2026 Capped Calls corresponding to the aggregate principal amounts of the 2026 Notes repurchased. As a result of these partial terminations, the Company received immaterial cash payments which were recorded as an increase to additional paid-in capital within stockholders’ equity.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9.    Stockholders' Equity</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Common Stock Reserved for Future Issuance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tbl>
      <w:tblPr>
        <w:tblW w:w="9694" w:type="dxa"/>
        <w:jc w:val="center"/>
        <w:tblInd w:w="0" w:type="dxa"/>
        <w:tblLayout w:type="fixed"/>
        <w:tblCellMar>
          <w:top w:w="28" w:type="dxa"/>
          <w:left w:w="28" w:type="dxa"/>
          <w:bottom w:w="28" w:type="dxa"/>
          <w:right w:w="28" w:type="dxa"/>
        </w:tblCellMar>
      </w:tblPr>
      <w:tblGrid>
        <w:gridCol w:w="1971"/>
        <w:gridCol w:w="1735"/>
        <w:gridCol w:w="1738"/>
        <w:gridCol w:w="109"/>
        <w:gridCol w:w="109"/>
        <w:gridCol w:w="109"/>
        <w:gridCol w:w="574"/>
        <w:gridCol w:w="574"/>
        <w:gridCol w:w="576"/>
        <w:gridCol w:w="109"/>
        <w:gridCol w:w="109"/>
        <w:gridCol w:w="109"/>
        <w:gridCol w:w="587"/>
        <w:gridCol w:w="530"/>
        <w:gridCol w:w="755"/>
      </w:tblGrid>
      <w:tr>
        <w:trPr/>
        <w:tc>
          <w:tcPr>
            <w:tcW w:w="1971"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10,709,898 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9,371,791 </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3,703,631 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2,604,625 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issuance under 2020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7,669,374 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11,190,851 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3,425,952 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4,140,207 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25,508,855 </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27,307,474 </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Share Repurchase Program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nine months ended September 30, 2025, the Company made no repurchases of common stock. As of September 30, 2025, $222.1 million remains available for future purchases of our common stock under the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At-the-Market Program</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14, 2025, in connection with the commencement of an “at the market” offering program, the Company entered into a sales agreement (the “Sales Agreement”) with BTIG, LLC, under which the Company may offer and sell, from time to time, up to an aggregate of $500.0 million of its common stock. The Company will pay a commission of up to 2% of the gross proceeds of shares sold, if any, under the Sales Agreement and intends to use the net proceeds from sales for working capital and general corporate purposes.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no shares were issued under the program.</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2020 Equity Incentive Plan authorizes grants of incentive stock options, non-statutory stock options, stock appreciation rights, restricted stock, restricted stock units, and performance awards to eligible participants.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for the nine months ended September 30, 2025:</w:t>
      </w:r>
    </w:p>
    <w:tbl>
      <w:tblPr>
        <w:tblW w:w="10205" w:type="dxa"/>
        <w:jc w:val="left"/>
        <w:tblInd w:w="0" w:type="dxa"/>
        <w:tblLayout w:type="fixed"/>
        <w:tblCellMar>
          <w:top w:w="28" w:type="dxa"/>
          <w:left w:w="28" w:type="dxa"/>
          <w:bottom w:w="28" w:type="dxa"/>
          <w:right w:w="28" w:type="dxa"/>
        </w:tblCellMar>
      </w:tblPr>
      <w:tblGrid>
        <w:gridCol w:w="760"/>
        <w:gridCol w:w="528"/>
        <w:gridCol w:w="531"/>
        <w:gridCol w:w="109"/>
        <w:gridCol w:w="109"/>
        <w:gridCol w:w="109"/>
        <w:gridCol w:w="109"/>
        <w:gridCol w:w="569"/>
        <w:gridCol w:w="522"/>
        <w:gridCol w:w="322"/>
        <w:gridCol w:w="109"/>
        <w:gridCol w:w="109"/>
        <w:gridCol w:w="109"/>
        <w:gridCol w:w="472"/>
        <w:gridCol w:w="1380"/>
        <w:gridCol w:w="244"/>
        <w:gridCol w:w="109"/>
        <w:gridCol w:w="109"/>
        <w:gridCol w:w="109"/>
        <w:gridCol w:w="754"/>
        <w:gridCol w:w="754"/>
        <w:gridCol w:w="755"/>
        <w:gridCol w:w="109"/>
        <w:gridCol w:w="109"/>
        <w:gridCol w:w="109"/>
        <w:gridCol w:w="211"/>
        <w:gridCol w:w="826"/>
        <w:gridCol w:w="160"/>
      </w:tblGrid>
      <w:tr>
        <w:trPr/>
        <w:tc>
          <w:tcPr>
            <w:tcW w:w="76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Aggregate </w:t>
              <w:br/>
              <w:t xml:space="preserve">Intrinsic </w:t>
              <w:br/>
              <w:t>Value</w:t>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10,709,898 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495,359 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782,552 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(1,406,301)</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(714,358)</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9,371,791 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7,066,072 </w:t>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9,357,817 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aggregate intrinsic value is calculated as the difference between the exercise price of the underlying awards and the fair value of the Company’s stock as of September 30, 2025. The aggregate intrinsic value of options exercised for the nine months ended September 30, 2024 and 2025 was $34.0 million and $78.9 million respectively. The weighted-average grant date fair value of options granted during the nine months ended September 30, 2024 and 2025 was $14.42 and $35.71 per share, respectively. The total fair value of options vested for the nine months ended September 30, 2024 and 2025 was </w:t>
      </w:r>
      <w:r>
        <w:rPr>
          <w:rFonts w:ascii="Times New Roman;serif" w:hAnsi="Times New Roman;serif"/>
          <w:b w:val="false"/>
          <w:color w:val="000000"/>
          <w:sz w:val="20"/>
          <w:shd w:fill="FFFFFF" w:val="clear"/>
        </w:rPr>
        <w:t>$23.2 million</w:t>
      </w:r>
      <w:r>
        <w:rPr>
          <w:rFonts w:ascii="Times New Roman;serif" w:hAnsi="Times New Roman;serif"/>
          <w:b w:val="false"/>
          <w:color w:val="000000"/>
          <w:sz w:val="20"/>
        </w:rPr>
        <w:t>, and $17.0 million, respectively.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total unrecognized stock-based compensation expense related to unvested stock options was $40.0 million, which is expected to be recognized over a remaining weighted-average period of 2.1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76" w:before="20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grants restricted stock units (“RSUs”) to employees and nonemployees. RSUs vest upon satisfaction of a service-based condition, which is generally satisfied over one to four years. The following table summarizes RSU activity for the nine months ended September 30, 2025:</w:t>
      </w:r>
    </w:p>
    <w:tbl>
      <w:tblPr>
        <w:tblW w:w="9593" w:type="dxa"/>
        <w:jc w:val="left"/>
        <w:tblInd w:w="0" w:type="dxa"/>
        <w:tblLayout w:type="fixed"/>
        <w:tblCellMar>
          <w:top w:w="28" w:type="dxa"/>
          <w:left w:w="28" w:type="dxa"/>
          <w:bottom w:w="28" w:type="dxa"/>
          <w:right w:w="28" w:type="dxa"/>
        </w:tblCellMar>
      </w:tblPr>
      <w:tblGrid>
        <w:gridCol w:w="994"/>
        <w:gridCol w:w="872"/>
        <w:gridCol w:w="879"/>
        <w:gridCol w:w="109"/>
        <w:gridCol w:w="109"/>
        <w:gridCol w:w="109"/>
        <w:gridCol w:w="539"/>
        <w:gridCol w:w="539"/>
        <w:gridCol w:w="541"/>
        <w:gridCol w:w="109"/>
        <w:gridCol w:w="109"/>
        <w:gridCol w:w="109"/>
        <w:gridCol w:w="983"/>
        <w:gridCol w:w="2872"/>
        <w:gridCol w:w="720"/>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cancelled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total unrecognized stock-based compensation expense related to outstanding unvested RSUs was $94.2 million, which is expected to be recognized over a remaining weighted-average period of 1.2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2020 Employee Stock Purchase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employee stock purchase plan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nine months ended September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219,818</w:t>
      </w:r>
      <w:r>
        <w:rPr>
          <w:color w:val="000000"/>
          <w:shd w:fill="FFFFFF" w:val="clear"/>
        </w:rPr>
        <w:t xml:space="preserve"> </w:t>
      </w:r>
      <w:r>
        <w:rPr>
          <w:rFonts w:ascii="Times New Roman;serif" w:hAnsi="Times New Roman;serif"/>
          <w:b w:val="false"/>
          <w:color w:val="000000"/>
          <w:sz w:val="20"/>
          <w:shd w:fill="FFFFFF" w:val="clear"/>
        </w:rPr>
        <w:t>shares of c</w:t>
      </w:r>
      <w:r>
        <w:rPr>
          <w:rFonts w:ascii="Times New Roman;serif" w:hAnsi="Times New Roman;serif"/>
          <w:b w:val="false"/>
          <w:color w:val="000000"/>
          <w:sz w:val="20"/>
        </w:rPr>
        <w:t>ommon stock were purchased under the ESPP.</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total unrecognized stock-based compensation expense related to the ESPP was immaterial.</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Fair Value of Awards Granted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the fair value of stock-based awards, the Company uses a Black-Scholes option-pricing model for its options granted and ESPP purchase rights. The inputs used for estimating the fair values of options and ESPP purchase rights granted during the period include: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Fair Value of Common Stock</w:t>
      </w:r>
      <w:r>
        <w:rPr>
          <w:color w:val="000000"/>
        </w:rPr>
        <w:t>–</w:t>
      </w:r>
      <w:r>
        <w:rPr>
          <w:rFonts w:ascii="Times New Roman;serif" w:hAnsi="Times New Roman;serif"/>
          <w:b w:val="false"/>
          <w:color w:val="000000"/>
          <w:sz w:val="20"/>
        </w:rPr>
        <w:t xml:space="preserve">The fair value of the Company’s common stock is determined by the closing price, on the date of grant, of its common stock, which is traded on the Nasdaq Global Select Market.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Expected Term</w:t>
      </w:r>
      <w:r>
        <w:rPr>
          <w:color w:val="000000"/>
        </w:rPr>
        <w:t>–</w:t>
      </w:r>
      <w:r>
        <w:rPr>
          <w:rFonts w:ascii="Times New Roman;serif" w:hAnsi="Times New Roman;serif"/>
          <w:b w:val="false"/>
          <w:color w:val="000000"/>
          <w:sz w:val="20"/>
        </w:rPr>
        <w:t>The expected term represents the period that the Company’s stock options and ESPP purchase rights are expected to be outstanding. We estimate the expected term for stock options based on the simplified method, which is the weighted-average time to vesting and the contractual maturity. For ESPP, the expected term represents the term from the first day of the offering period to the purchase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Volatility</w:t>
      </w:r>
      <w:r>
        <w:rPr>
          <w:color w:val="000000"/>
        </w:rPr>
        <w:t>–</w:t>
      </w:r>
      <w:r>
        <w:rPr>
          <w:rFonts w:ascii="Times New Roman;serif" w:hAnsi="Times New Roman;serif"/>
          <w:b w:val="false"/>
          <w:color w:val="000000"/>
          <w:sz w:val="20"/>
        </w:rPr>
        <w:t>The Company estimates the expected volatility for stock options based on the weighted-average historical volatility of the Company’s common stock and the average volatility for comparable publicly-traded companies, over a period equal to the expected term. Previously, expected volatility was based solely on historical volatility of comparable publicly-traded peer companies. For ESPP, the expected volatility is estimated using historical volatility of the Company’s common stock over the expected term.</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Risk-free Interest Rate</w:t>
      </w:r>
      <w:r>
        <w:rPr>
          <w:color w:val="000000"/>
        </w:rPr>
        <w:t>–</w:t>
      </w:r>
      <w:r>
        <w:rPr>
          <w:rFonts w:ascii="Times New Roman;serif" w:hAnsi="Times New Roman;serif"/>
          <w:b w:val="false"/>
          <w:color w:val="000000"/>
          <w:sz w:val="20"/>
        </w:rPr>
        <w:t xml:space="preserve">The risk-free interest rate assumption is based on the U.S. Treasury zero coupon issues in effect at the time of grant for periods corresponding with the expected term of the option.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Dividends</w:t>
      </w:r>
      <w:r>
        <w:rPr>
          <w:color w:val="000000"/>
        </w:rPr>
        <w:t>–</w:t>
      </w:r>
      <w:r>
        <w:rPr>
          <w:rFonts w:ascii="Times New Roman;serif" w:hAnsi="Times New Roman;serif"/>
          <w:b w:val="false"/>
          <w:color w:val="000000"/>
          <w:sz w:val="20"/>
        </w:rPr>
        <w:t>The Company has never paid dividends on its common stock and does not anticipate paying dividends on common stock for the foreseeable future. Therefore, the Company uses an expected dividend yield of zero.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estimate the fair value of options granted: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16"/>
        <w:gridCol w:w="628"/>
        <w:gridCol w:w="631"/>
        <w:gridCol w:w="109"/>
        <w:gridCol w:w="109"/>
        <w:gridCol w:w="109"/>
        <w:gridCol w:w="497"/>
        <w:gridCol w:w="497"/>
        <w:gridCol w:w="490"/>
        <w:gridCol w:w="197"/>
        <w:gridCol w:w="197"/>
        <w:gridCol w:w="197"/>
        <w:gridCol w:w="486"/>
        <w:gridCol w:w="486"/>
        <w:gridCol w:w="512"/>
        <w:gridCol w:w="109"/>
        <w:gridCol w:w="109"/>
        <w:gridCol w:w="109"/>
        <w:gridCol w:w="109"/>
        <w:gridCol w:w="109"/>
        <w:gridCol w:w="497"/>
        <w:gridCol w:w="497"/>
        <w:gridCol w:w="490"/>
        <w:gridCol w:w="185"/>
        <w:gridCol w:w="185"/>
        <w:gridCol w:w="185"/>
        <w:gridCol w:w="487"/>
        <w:gridCol w:w="487"/>
        <w:gridCol w:w="512"/>
        <w:gridCol w:w="109"/>
        <w:gridCol w:w="165"/>
      </w:tblGrid>
      <w:tr>
        <w:trPr/>
        <w:tc>
          <w:tcPr>
            <w:tcW w:w="71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 – 6.7</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 – 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 – 7.0</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 – 7.0</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50.96% – 53.49%</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63.59% – 67.40%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50.32% – 53.49%</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50.66% – 67.40%</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3.76%</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3.74% – 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3.76% – 4.27%</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3.72% – 4.09%</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estimate the fair value of ESPP purchase rights:</w:t>
      </w:r>
    </w:p>
    <w:tbl>
      <w:tblPr>
        <w:tblW w:w="8894" w:type="dxa"/>
        <w:jc w:val="left"/>
        <w:tblInd w:w="0" w:type="dxa"/>
        <w:tblLayout w:type="fixed"/>
        <w:tblCellMar>
          <w:top w:w="28" w:type="dxa"/>
          <w:left w:w="28" w:type="dxa"/>
          <w:bottom w:w="28" w:type="dxa"/>
          <w:right w:w="28" w:type="dxa"/>
        </w:tblCellMar>
      </w:tblPr>
      <w:tblGrid>
        <w:gridCol w:w="755"/>
        <w:gridCol w:w="663"/>
        <w:gridCol w:w="666"/>
        <w:gridCol w:w="109"/>
        <w:gridCol w:w="109"/>
        <w:gridCol w:w="109"/>
        <w:gridCol w:w="245"/>
        <w:gridCol w:w="245"/>
        <w:gridCol w:w="245"/>
        <w:gridCol w:w="206"/>
        <w:gridCol w:w="206"/>
        <w:gridCol w:w="206"/>
        <w:gridCol w:w="239"/>
        <w:gridCol w:w="239"/>
        <w:gridCol w:w="256"/>
        <w:gridCol w:w="109"/>
        <w:gridCol w:w="109"/>
        <w:gridCol w:w="109"/>
        <w:gridCol w:w="109"/>
        <w:gridCol w:w="109"/>
        <w:gridCol w:w="572"/>
        <w:gridCol w:w="572"/>
        <w:gridCol w:w="415"/>
        <w:gridCol w:w="193"/>
        <w:gridCol w:w="193"/>
        <w:gridCol w:w="193"/>
        <w:gridCol w:w="565"/>
        <w:gridCol w:w="565"/>
        <w:gridCol w:w="42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88.37%</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88.37% – 96.69%</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95.30% – 99.09%</w:t>
            </w:r>
          </w:p>
        </w:tc>
        <w:tc>
          <w:tcPr>
            <w:tcW w:w="154" w:type="dxa"/>
            <w:tcBorders/>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5.04%</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5.04% – 5.30%</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4.12% – 4.34%</w:t>
            </w:r>
          </w:p>
        </w:tc>
        <w:tc>
          <w:tcPr>
            <w:tcW w:w="154" w:type="dxa"/>
            <w:tcBorders/>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54"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in the following expense categories in its condensed consolidated statements of operations and comprehensive income (loss) for employees and non-employees:</w:t>
      </w:r>
    </w:p>
    <w:tbl>
      <w:tblPr>
        <w:tblW w:w="9095" w:type="dxa"/>
        <w:jc w:val="center"/>
        <w:tblInd w:w="0" w:type="dxa"/>
        <w:tblLayout w:type="fixed"/>
        <w:tblCellMar>
          <w:top w:w="28" w:type="dxa"/>
          <w:left w:w="28" w:type="dxa"/>
          <w:bottom w:w="28" w:type="dxa"/>
          <w:right w:w="28" w:type="dxa"/>
        </w:tblCellMar>
      </w:tblPr>
      <w:tblGrid>
        <w:gridCol w:w="1176"/>
        <w:gridCol w:w="1035"/>
        <w:gridCol w:w="1044"/>
        <w:gridCol w:w="109"/>
        <w:gridCol w:w="109"/>
        <w:gridCol w:w="109"/>
        <w:gridCol w:w="211"/>
        <w:gridCol w:w="721"/>
        <w:gridCol w:w="109"/>
        <w:gridCol w:w="109"/>
        <w:gridCol w:w="109"/>
        <w:gridCol w:w="109"/>
        <w:gridCol w:w="211"/>
        <w:gridCol w:w="721"/>
        <w:gridCol w:w="109"/>
        <w:gridCol w:w="109"/>
        <w:gridCol w:w="109"/>
        <w:gridCol w:w="109"/>
        <w:gridCol w:w="109"/>
        <w:gridCol w:w="109"/>
        <w:gridCol w:w="211"/>
        <w:gridCol w:w="826"/>
        <w:gridCol w:w="109"/>
        <w:gridCol w:w="109"/>
        <w:gridCol w:w="109"/>
        <w:gridCol w:w="109"/>
        <w:gridCol w:w="211"/>
        <w:gridCol w:w="721"/>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10.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operating leases expire between</w:t>
      </w:r>
      <w:r>
        <w:rPr>
          <w:color w:val="000000"/>
          <w:shd w:fill="FFFFFF" w:val="clear"/>
        </w:rPr>
        <w:t xml:space="preserve"> </w:t>
      </w:r>
      <w:r>
        <w:rPr>
          <w:rFonts w:ascii="Times New Roman;serif" w:hAnsi="Times New Roman;serif"/>
          <w:b w:val="false"/>
          <w:color w:val="000000"/>
          <w:sz w:val="20"/>
        </w:rPr>
        <w:t>2027</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2029</w:t>
      </w:r>
      <w:r>
        <w:rPr>
          <w:color w:val="000000"/>
          <w:shd w:fill="FFFFFF" w:val="clear"/>
        </w:rPr>
        <w:t xml:space="preserve"> </w:t>
      </w:r>
      <w:r>
        <w:rPr>
          <w:rFonts w:ascii="Times New Roman;serif" w:hAnsi="Times New Roman;serif"/>
          <w:b w:val="false"/>
          <w:color w:val="000000"/>
          <w:sz w:val="20"/>
        </w:rPr>
        <w:t xml:space="preserve">and are primarily for its corporate headquarters in San Mateo, California, as well as additional office space in Columbus, Ohio and Austin, Texas. Certain leases have rent abatement, escalating rent payment provisions, lease renewal options, and tenant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allowances. Rent expense is recognized on a straight-line basis over the non-cancelable lease term, except when it is reasonably certain that the renewal option will be exercised.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Company’s lease agreements, a letter of credit was issued on behalf of the Company for the benefit of the landlord. As of September 30, 2025 the letter of credit was $2.6 million. The letter of credit is secured by certificates of deposit which are included in restricted cash on the condensed consolidated balance sheets.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are as follows:</w:t>
      </w:r>
    </w:p>
    <w:tbl>
      <w:tblPr>
        <w:tblW w:w="5126" w:type="dxa"/>
        <w:jc w:val="center"/>
        <w:tblInd w:w="0" w:type="dxa"/>
        <w:tblLayout w:type="fixed"/>
        <w:tblCellMar>
          <w:top w:w="28" w:type="dxa"/>
          <w:left w:w="28" w:type="dxa"/>
          <w:bottom w:w="28" w:type="dxa"/>
          <w:right w:w="28" w:type="dxa"/>
        </w:tblCellMar>
      </w:tblPr>
      <w:tblGrid>
        <w:gridCol w:w="1081"/>
        <w:gridCol w:w="951"/>
        <w:gridCol w:w="953"/>
        <w:gridCol w:w="109"/>
        <w:gridCol w:w="109"/>
        <w:gridCol w:w="109"/>
        <w:gridCol w:w="352"/>
        <w:gridCol w:w="1205"/>
        <w:gridCol w:w="257"/>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44,316 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40,551 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no finance lease expense during the three and nine months ended September 30, 2024 and 2025. The Company’s operating lease expense consists of rent and variable lease payments. Variable lease payments such as common area maintenance and parking fees, were included in operating expenses. Rent expense for the Company’s short-term leases was immaterial during the periods presented. The Company had immaterial sublease income during the three and nine months ended September 30, 2024 and 2025. Operating lease expense was as follows:</w:t>
      </w:r>
    </w:p>
    <w:p>
      <w:pPr>
        <w:pStyle w:val="TextBody"/>
        <w:bidi w:val="0"/>
        <w:spacing w:before="0" w:after="0"/>
        <w:ind w:left="0" w:right="0" w:firstLine="630"/>
        <w:jc w:val="both"/>
        <w:rPr/>
      </w:pPr>
      <w:r>
        <w:rPr/>
      </w:r>
    </w:p>
    <w:tbl>
      <w:tblPr>
        <w:tblW w:w="7609" w:type="dxa"/>
        <w:jc w:val="center"/>
        <w:tblInd w:w="0" w:type="dxa"/>
        <w:tblLayout w:type="fixed"/>
        <w:tblCellMar>
          <w:top w:w="28" w:type="dxa"/>
          <w:left w:w="28" w:type="dxa"/>
          <w:bottom w:w="28" w:type="dxa"/>
          <w:right w:w="28" w:type="dxa"/>
        </w:tblCellMar>
      </w:tblPr>
      <w:tblGrid>
        <w:gridCol w:w="755"/>
        <w:gridCol w:w="662"/>
        <w:gridCol w:w="667"/>
        <w:gridCol w:w="109"/>
        <w:gridCol w:w="109"/>
        <w:gridCol w:w="109"/>
        <w:gridCol w:w="211"/>
        <w:gridCol w:w="616"/>
        <w:gridCol w:w="109"/>
        <w:gridCol w:w="109"/>
        <w:gridCol w:w="109"/>
        <w:gridCol w:w="109"/>
        <w:gridCol w:w="211"/>
        <w:gridCol w:w="616"/>
        <w:gridCol w:w="109"/>
        <w:gridCol w:w="109"/>
        <w:gridCol w:w="109"/>
        <w:gridCol w:w="109"/>
        <w:gridCol w:w="109"/>
        <w:gridCol w:w="109"/>
        <w:gridCol w:w="211"/>
        <w:gridCol w:w="721"/>
        <w:gridCol w:w="109"/>
        <w:gridCol w:w="109"/>
        <w:gridCol w:w="109"/>
        <w:gridCol w:w="109"/>
        <w:gridCol w:w="211"/>
        <w:gridCol w:w="72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cash flow and non-cash information related to the Company’s operating leases was as follows:</w:t>
      </w:r>
    </w:p>
    <w:tbl>
      <w:tblPr>
        <w:tblW w:w="10205" w:type="dxa"/>
        <w:jc w:val="center"/>
        <w:tblInd w:w="0" w:type="dxa"/>
        <w:tblLayout w:type="fixed"/>
        <w:tblCellMar>
          <w:top w:w="28" w:type="dxa"/>
          <w:left w:w="28" w:type="dxa"/>
          <w:bottom w:w="28" w:type="dxa"/>
          <w:right w:w="28" w:type="dxa"/>
        </w:tblCellMar>
      </w:tblPr>
      <w:tblGrid>
        <w:gridCol w:w="1697"/>
        <w:gridCol w:w="1487"/>
        <w:gridCol w:w="1495"/>
        <w:gridCol w:w="109"/>
        <w:gridCol w:w="109"/>
        <w:gridCol w:w="109"/>
        <w:gridCol w:w="211"/>
        <w:gridCol w:w="616"/>
        <w:gridCol w:w="109"/>
        <w:gridCol w:w="109"/>
        <w:gridCol w:w="109"/>
        <w:gridCol w:w="109"/>
        <w:gridCol w:w="211"/>
        <w:gridCol w:w="616"/>
        <w:gridCol w:w="109"/>
        <w:gridCol w:w="109"/>
        <w:gridCol w:w="109"/>
        <w:gridCol w:w="109"/>
        <w:gridCol w:w="109"/>
        <w:gridCol w:w="109"/>
        <w:gridCol w:w="211"/>
        <w:gridCol w:w="721"/>
        <w:gridCol w:w="109"/>
        <w:gridCol w:w="109"/>
        <w:gridCol w:w="109"/>
        <w:gridCol w:w="109"/>
        <w:gridCol w:w="211"/>
        <w:gridCol w:w="721"/>
        <w:gridCol w:w="155"/>
      </w:tblGrid>
      <w:tr>
        <w:trPr/>
        <w:tc>
          <w:tcPr>
            <w:tcW w:w="1697"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operating leases was as follows:</w:t>
      </w:r>
    </w:p>
    <w:tbl>
      <w:tblPr>
        <w:tblW w:w="8534" w:type="dxa"/>
        <w:jc w:val="center"/>
        <w:tblInd w:w="0" w:type="dxa"/>
        <w:tblLayout w:type="fixed"/>
        <w:tblCellMar>
          <w:top w:w="28" w:type="dxa"/>
          <w:left w:w="28" w:type="dxa"/>
          <w:bottom w:w="28" w:type="dxa"/>
          <w:right w:w="28" w:type="dxa"/>
        </w:tblCellMar>
      </w:tblPr>
      <w:tblGrid>
        <w:gridCol w:w="1495"/>
        <w:gridCol w:w="1312"/>
        <w:gridCol w:w="1317"/>
        <w:gridCol w:w="109"/>
        <w:gridCol w:w="109"/>
        <w:gridCol w:w="109"/>
        <w:gridCol w:w="574"/>
        <w:gridCol w:w="574"/>
        <w:gridCol w:w="576"/>
        <w:gridCol w:w="109"/>
        <w:gridCol w:w="109"/>
        <w:gridCol w:w="109"/>
        <w:gridCol w:w="589"/>
        <w:gridCol w:w="589"/>
        <w:gridCol w:w="591"/>
        <w:gridCol w:w="109"/>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2359" w:type="dxa"/>
            <w:gridSpan w:val="8"/>
            <w:tcBorders/>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240" w:after="283"/>
        <w:ind w:left="0" w:right="0" w:firstLine="63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11.    Commitments and Contingencies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2024 and September 30, 2025, the total loan purchase commitment included outstanding principal balance of $72.8 million and $113.7 million,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extended a line of credit in connection with one of its committed capital and other co-investment arrangements. As of December 31, 2024, the Company had unfunded commitments related to the line of credit of $7.6 million. As of September 30, 2025, the Company had no unfunded commitments related to the line of credit.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commitments to fund future advances on HELOCs. As of December 31, 2024 and September 30, 2025, these commitments were $7.6 million and $20.5 million, respectively, however, since these commitments could expire without being drawn upon, the total commitment amounts do not necessarily represent future cash requirements.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subject to, and it is presently involved in, various litigation and legal proceedings arising from the ordinary course of business activities, the outcome of which the Company cannot reasonably determine. Other than the class actions and derivative actions described below, the Company does not believe that it is presently a party to any litigation of which the outcome would individually, or taken together, have a material adverse effect on our business, operating results, cash flows, or financial condition. As of December 31, 2024 and September 30, 2025, immaterial loss contingencies were recorded in connection with legal proceedings.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Indemnifications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adverse effect on the Company’s condensed consolidated financial statements.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Repurchases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our agreements with lending partners and institutional investors, as well as in agreements with investors in securitizations and pass-through certificate transactions, the Company may, in certain circumstances, become obligated to repurchase loans from or indemnify such lending partners and institutional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lending partners and institutional investors, or a violation of the applicable federal, state, or local lending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maximum potential amount of future payments associated with any repurchase or indemnification obligation is the outstanding balances of the loans held by lending partners and institutional investors, which as of December 31, 2024 and September 30, 2025, was $11,237.2 million and $12,908.8 million, respectively. Actual payments made relating to the Company’s repurchase and indemnification obligations were immaterial and $4.9 million for the three and nine months ended September 30, 2024, respectively, and immaterial for the three and nine months ended September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material contingent liabilities related to future loan repurchase obligations as of December 31, 2024 and September 30, 2025. These amounts are included in accrued expenses and other liabilities on the Company’s condensed consolidated balance sheets.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Legal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26, 2022, a lawsuit was filed in United States District Court, Southern District of Ohio, captioned Crain v. Upstart Holdings, Inc. et al., Case No. 2:22-cv-02935-ALM-EPD (S.D. Ohio) against the Company, the Company’s Chief Executive Officer, and Chief Financial Officer, alleging that the defendants made false and/or misleading statements or omissions about the Company’s business, operations, and prospects in violation of Section 10(b) of the Securities Exchange Act of 1934, as amended, or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the defendants filed motions to dismiss the consolidated amended complaint. On September 29, 2023, the Court issued an order, granting in part and denying in part the Upstart defendants’ motion, and granting the motion filed by Third Point LLC and its CEO and Third Point Ventures LLC. On November 7, 2023, the Upstart defendants filed a motion for reconsideration, which the Court denied on August 5, 2024. On February 2, 2024, Lead Plaintiff, Universal-Investment-Gesellschaft mbH, and plaintiffs, Kathy Brooks and Kevin Crain, filed a motion for an order to certify this matter, now captioned In re Upstart Holdings Securities Litigation, as a class action, appoint themselves as class representatives, and approve their selection of Motley Rice LLC and Robbins Geller Rudman &amp; Dowd LLP as co-class counsel, which motion the Court granted on March 27, 2025. On December 6, 2024, plaintiffs filed a motion for leave to file a first amended complaint, which motion the Court granted on September 29, 2025. The first amended complaint adds back as defendants Third Point LLC and its CEO and Third Point Ventures LLC. The Company believes the remaining claims in the action are without merit and intends to defend itself vigorously.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28, 2022, a derivative lawsuit was filed in United States District Court, Southern District of Ohio, captioned OConnor v. Huber et al., Case No. 2:22-cv-02961-EAS-KAJ (S.D. Ohio). The OConnor action includes allegations similar to those in the Crain complaint, and names as defendants each of the Company’s current board members and its Chief Financial Officer. The Company is named as a nominal defendant. The OConnor action includes claims for violation of Section 10(b) of the Exchange Act and Rule 10b-5 promulgated thereunder, breach of fiduciary duty, aiding and abetting breach of fiduciary duty, unjust enrichment, and waste of corporate assets. The OConnor action seeks unspecified monetary damages and an accounting from the individual defendants. The OConnor action also seeks unspecified corporate governance and internal procedure modifications, punitive damages, and legal fees.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7, 2022, a second derivative lawsuit was filed in United States District Court, Southern District of Ohio, captioned Chung v. Huber et al., No. 2:22-cv-03620-MHW-CMV (S.D. Ohio). The Chung action includes allegations similar to those in the OConnor complaint, and names as defendants each of the Company’s current board members, a former board member, and its Chief Financial Officer. The Company is named as a nominal defendant. The Chung action includes claims for violation of Section 10(b), 14(a), and 21D of the Exchange Act, breach of fiduciary duties, unjust enrichment, abuse of control, gross mismanagement, and waste of corporate assets. The Chung action seeks unspecified monetary damages, restitution, and attorney’s fees and costs from the individual defendants. It also seeks corporate governance and internal procedure modifications.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12, 2022, in response to a joint motion by the parties, the Court consolidated the OConnor and Chung matters, appointed co-lead counsel, and stayed the consolidated case until resolution of the related securities class action. On April 24, 2024, the plaintiffs in the consolidated action filed an amended complaint. The amended complaint includes allegations similar to those in the initial complaint in the OConnor action, and names the same defendants as the initial complaint, along with an additional Company executive and another former board member. The amended complaint brings the same claims as the initial complaint in the OConnor action but adds claims under Section 14(a) of the Exchange Act and Rule 14a-9 promulgated thereunder, for contribution under Sections 10(b) and 21D of the Exchange Act, and for abuse of control and gross mismanagement. The amended complaint seeks similar relief to that sought in the initial complaint in the OConnor 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 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 February 16, 2023, in response to a joint stipulation and proposed order submitted by the parties, the Court stayed the Hsu action until resolution of the related securities class 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current board members, a former board member, its Chief Financial Officer, and a Company executive. The Company is named as a nominal defendant. The Sornchai action includes claims for violations of 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securities class 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5, 2023, a fifth derivative lawsuit was filed, in the Court of Chancery of the State of Delaware, captioned Okhai v. Girouard, et al., C.A. No. 2023-0401-BWD (Del. Ch.). The Okhai action includes allegations similar to those in the consolidated derivative matter pending in Ohio, and names as defendants the Company’s current board members, two former board members, its Chief Financial Officer, and two current or former Company executives, as well as Third Point LLC and Third Point Ventures LLC. The Okhai action includes claims for breach of fiduciary, aiding and abetting such alleged breaches, and unjust enrichment, and seeks equitable and/or injunctive relief, restitution, and attorney’s fees and costs from the individual defendants. On August 3, 2023, in response to a motion to stay by the defendants in the Okhai action, the Court stayed the Okhai action until resolution of the motion to dismiss in the related securities class action. Following the issuance of the September 29, 2023 order on the motion to dismiss in the related securities class action, on November 16, 2023, in response to a joint stipulation and proposed order submitted by the parties, the Court stayed the Okhai action until resolution of the motion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reconsideration of the September 29, 2023 order on the motion to dismiss in the related securities class action. Following denial of the motion for reconsideration in the related securities class action, the parties in the Okhai action finished briefing and argued the defendants’ motion to continue the stay. On October 24, 2024, the Court continued the stay until February 1, 2025. On January 31, 2025, the parties submitted to the Court a proposed schedule for briefing Defendants’ motion to continue the stay. On April 11, 2025, in response to a joint stipulation and proposed order submitted by the parties, the Court ordered that the case remain stayed pending plaintiffs filing a consolidated amended complaint on or before May 7, 2025, after which Defendants filed a renewed motion to stay. Subsequent developments are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13, 2023, a sixth derivative lawsuit was filed, in the Court of Chancery of the State of Delaware, captioned Romanyshyn v. Girouard, et al., C.A. No. 2023-1029-BWD (Del. Ch.). The Romanyshyn action includes allegations similar to those in the consolidated derivative matter pending in Ohio, and names as defendants current and former directors and Company executives, as well as Third Point LLC and its CEO, and Third Point Ventures LLC. The Romanyshyn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Romanyshyn action pending the outcome of the motion to stay in the related Okhai derivative action. Subsequent developments are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24, 2023, a seventh derivative lawsuit was filed, in the Court of Chancery of the State of Delaware, captioned Agarwal v. Girouard, et al., C.A. No. 2023-1075-BWD (Del. Ch.). The Agarwal action includes allegations similar to those in the consolidated derivative matter pending in Ohio, and names as defendants current and former directors and Company executives, as well as Third Point LLC and its CEO, and Third Point Ventures LLC. The Agarwal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Agarwal action pending the outcome of the motion to stay in the related Okhai derivative action. Subsequent developments are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22, 2024, in response to a joint stipulation and proposed order submitted by the parties, the Court consolidated the Okhai, Romanyshyn, and Agarwal matters under the consolidated caption In re Upstart Holdings, Inc. Derivative Litigation, Consolidated C.A. No. 2023-0401-BWD and appointed co-lead plaintiffs and co-lead counsel. On May 7, 2025, the plaintiffs in the consolidated action filed a consolidated amended complaint. The consolidated amended complaint names as plaintiffs Evan Levitan and Charlie Romanyshyn and removes plaintiffs Okhai and Agarwal. The consolidated amended complaint includes allegations similar to those in the initial Okhai complaint and names the same defendants as the initial Okhai complaint, along with the CEO of Third Point LLC. The consolidated amended complaint brings the same claims as the initial Okhai complaint and seeks similar relief. On June 4, 2025, Defendants filed a renewed motion to stay, which motion the Court granted on August 25,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12.    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rates for the three and nine months ended September 30, 2024 and 2025, are as follows:</w:t>
      </w:r>
    </w:p>
    <w:p>
      <w:pPr>
        <w:pStyle w:val="TextBody"/>
        <w:bidi w:val="0"/>
        <w:spacing w:before="0" w:after="0"/>
        <w:jc w:val="left"/>
        <w:rPr/>
      </w:pPr>
      <w:r>
        <w:rPr/>
      </w:r>
    </w:p>
    <w:tbl>
      <w:tblPr>
        <w:tblW w:w="7241" w:type="dxa"/>
        <w:jc w:val="left"/>
        <w:tblInd w:w="0" w:type="dxa"/>
        <w:tblLayout w:type="fixed"/>
        <w:tblCellMar>
          <w:top w:w="28" w:type="dxa"/>
          <w:left w:w="28" w:type="dxa"/>
          <w:bottom w:w="28" w:type="dxa"/>
          <w:right w:w="28" w:type="dxa"/>
        </w:tblCellMar>
      </w:tblPr>
      <w:tblGrid>
        <w:gridCol w:w="825"/>
        <w:gridCol w:w="726"/>
        <w:gridCol w:w="729"/>
        <w:gridCol w:w="109"/>
        <w:gridCol w:w="109"/>
        <w:gridCol w:w="109"/>
        <w:gridCol w:w="216"/>
        <w:gridCol w:w="369"/>
        <w:gridCol w:w="271"/>
        <w:gridCol w:w="109"/>
        <w:gridCol w:w="109"/>
        <w:gridCol w:w="109"/>
        <w:gridCol w:w="211"/>
        <w:gridCol w:w="466"/>
        <w:gridCol w:w="271"/>
        <w:gridCol w:w="109"/>
        <w:gridCol w:w="109"/>
        <w:gridCol w:w="109"/>
        <w:gridCol w:w="216"/>
        <w:gridCol w:w="369"/>
        <w:gridCol w:w="271"/>
        <w:gridCol w:w="109"/>
        <w:gridCol w:w="109"/>
        <w:gridCol w:w="109"/>
        <w:gridCol w:w="211"/>
        <w:gridCol w:w="466"/>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tax provision and the resulting effective tax rate for interim periods are determined based upon its estimated annual effective tax rate adjusted for the effect of discrete items arising during the period. The increase in the Company's effective tax rate for the three and nine months ended September 30, 2025, compared to the same periods in 2024, was primarily driven by an increase in the Company's state tax liabilities, despite maintaining a full valuation allowance. The effective tax rate differs from the U.S. statutory tax rate primarily due to the valuation allowance on the Company’s deferred tax assets as it is more likely than not that some or all of these deferred tax assets will not be realized.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“Act”) was enacted into law. The Act includes significant changes to the U.S. tax code, including restoration of immediate recognition of domestic research and development expenditures and reinstatement of 100% bonus depreciation for qualifying property. The Company has assessed the Act’s impact and concluded that it did not materially affect its effective tax rate for the current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13.    Net Income (Loss) Per Share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income (loss) per common share is based on the weighted-average common shares outstanding during the relevant period. Diluted net income (loss) per share is based on the weighted-average common shares outstanding during the relevant period, adjusted for the dilutive effect of share-based awards and convertible debt.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periods in which the Company reports net losses, basic and diluted net loss per share are the same because potentially dilutive common shares are not assumed to have been issued if their effect is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1429"/>
        <w:gridCol w:w="997"/>
        <w:gridCol w:w="1010"/>
        <w:gridCol w:w="109"/>
        <w:gridCol w:w="109"/>
        <w:gridCol w:w="109"/>
        <w:gridCol w:w="109"/>
        <w:gridCol w:w="109"/>
        <w:gridCol w:w="270"/>
        <w:gridCol w:w="811"/>
        <w:gridCol w:w="109"/>
        <w:gridCol w:w="109"/>
        <w:gridCol w:w="109"/>
        <w:gridCol w:w="109"/>
        <w:gridCol w:w="267"/>
        <w:gridCol w:w="919"/>
        <w:gridCol w:w="109"/>
        <w:gridCol w:w="109"/>
        <w:gridCol w:w="109"/>
        <w:gridCol w:w="109"/>
        <w:gridCol w:w="109"/>
        <w:gridCol w:w="109"/>
        <w:gridCol w:w="211"/>
        <w:gridCol w:w="878"/>
        <w:gridCol w:w="109"/>
        <w:gridCol w:w="109"/>
        <w:gridCol w:w="109"/>
        <w:gridCol w:w="109"/>
        <w:gridCol w:w="267"/>
        <w:gridCol w:w="919"/>
        <w:gridCol w:w="156"/>
      </w:tblGrid>
      <w:tr>
        <w:trPr/>
        <w:tc>
          <w:tcPr>
            <w:tcW w:w="142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Dilutive effect of convertible senior notes, net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calculate net income (loss)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90,119,481 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95,503,380 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RSUs, and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8,046,066 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8,039,386 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Convertible senior notes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2,378,819 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13,041,895 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10,418,205 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calculate net income (loss)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90,119,481 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109,724,669 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88,534,495 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105,921,585 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(1)For the three and nine months ended September 30, 2025, diluted earnings per share and diluted net income attributable to common stockholders excludes gain on extinguishment of debt and interest expense, net of tax, associated with convertible senior note activity during the period, as evaluated under the if-converted method.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(2)For the three and nine months ended September 30, 2025, includes incremental dilutive shares from the 2026 and 2032 convertible senior notes.</w:t>
      </w:r>
    </w:p>
    <w:p>
      <w:pPr>
        <w:pStyle w:val="TextBody"/>
        <w:bidi w:val="0"/>
        <w:spacing w:lineRule="auto" w:line="276" w:before="240" w:after="20"/>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The following securities were excluded from the computation of diluted net income (loss) per share for the periods presented, due to their anti-dilutive effect. These amounts represent the number of instruments outstanding at the end of each respective period: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6"/>
        <w:gridCol w:w="968"/>
        <w:gridCol w:w="971"/>
        <w:gridCol w:w="109"/>
        <w:gridCol w:w="109"/>
        <w:gridCol w:w="109"/>
        <w:gridCol w:w="540"/>
        <w:gridCol w:w="541"/>
        <w:gridCol w:w="188"/>
        <w:gridCol w:w="187"/>
        <w:gridCol w:w="187"/>
        <w:gridCol w:w="187"/>
        <w:gridCol w:w="544"/>
        <w:gridCol w:w="537"/>
        <w:gridCol w:w="200"/>
        <w:gridCol w:w="109"/>
        <w:gridCol w:w="109"/>
        <w:gridCol w:w="109"/>
        <w:gridCol w:w="109"/>
        <w:gridCol w:w="109"/>
        <w:gridCol w:w="540"/>
        <w:gridCol w:w="541"/>
        <w:gridCol w:w="181"/>
        <w:gridCol w:w="174"/>
        <w:gridCol w:w="174"/>
        <w:gridCol w:w="174"/>
        <w:gridCol w:w="540"/>
        <w:gridCol w:w="541"/>
        <w:gridCol w:w="272"/>
      </w:tblGrid>
      <w:tr>
        <w:trPr/>
        <w:tc>
          <w:tcPr>
            <w:tcW w:w="114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12,350,352 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1,250,222 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12,350,352 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1,398,669 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4,511,475 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256,118 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4,511,475 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1,970,324 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rights committed under the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162,977 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162,977 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10,494,253 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14,880,726 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10,494,253 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14,880,726 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27,519,057 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16,387,066 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27,519,057 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18,318,684 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organization and management structure is designed to support development of different lending product offerings, which are grouped into three operating segments - Personal Lending (unsecured personal loans and small dollar loans), Auto Lending (auto refinance, auto retail loans, and auto secured personal loans</w:t>
      </w:r>
      <w:r>
        <w:rPr>
          <w:rFonts w:ascii="Times New Roman;serif" w:hAnsi="Times New Roman;serif"/>
          <w:b w:val="false"/>
          <w:color w:val="000000"/>
          <w:sz w:val="13"/>
        </w:rPr>
        <w:t>(1)</w:t>
      </w:r>
      <w:r>
        <w:rPr>
          <w:rFonts w:ascii="Times New Roman;serif" w:hAnsi="Times New Roman;serif"/>
          <w:b w:val="false"/>
          <w:color w:val="000000"/>
          <w:sz w:val="20"/>
        </w:rPr>
        <w:t>), and Other (HELOCs and other). These operating segments are separately managed and evaluated by the Chief Operating Decision Maker (“CODM”), the Company’s Chief Executive Officer, who allocates resources and assesses performance at this level. The Company has determined that only one operating segment, Personal Lending, meets the definition of a reportable segment.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generates all its revenue in the U.S. and a majority is earned in exchange for the use of the Company’s platform and for borrower referrals as well as for loan servicing activities provided to its lending partners and institutional investors. Refer to “</w:t>
      </w:r>
      <w:r>
        <w:rPr>
          <w:rFonts w:ascii="Times New Roman;serif" w:hAnsi="Times New Roman;serif"/>
          <w:b w:val="false"/>
          <w:i/>
          <w:color w:val="000000"/>
          <w:sz w:val="20"/>
        </w:rPr>
        <w:t>Note 2. Revenue”</w:t>
      </w:r>
      <w:r>
        <w:rPr>
          <w:color w:val="000000"/>
        </w:rPr>
        <w:t xml:space="preserve"> </w:t>
      </w:r>
      <w:r>
        <w:rPr>
          <w:rFonts w:ascii="Times New Roman;serif" w:hAnsi="Times New Roman;serif"/>
          <w:b w:val="false"/>
          <w:color w:val="000000"/>
          <w:sz w:val="20"/>
        </w:rPr>
        <w:t>for further information related to the Company's disaggregation of revenue from fees by type of service.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Contribution Profit is the primary measure of segment profit and loss reviewed by the CODM to assess business performance and strategy, prepare the Company’s annual operating budget and financial forecasts, and communicate with the Company’s Board of Directors concerning the Company’s financial performance. To derive Contribution Profit, the Company subtracts the sum of borrower acquisition costs as well as borrower verification and servicing costs from revenue from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financial information, including Contribution Profit, for the Company’s Personal Lending segment:</w:t>
      </w:r>
    </w:p>
    <w:p>
      <w:pPr>
        <w:pStyle w:val="TextBody"/>
        <w:bidi w:val="0"/>
        <w:spacing w:before="0" w:after="0"/>
        <w:ind w:left="0" w:right="0" w:firstLine="720"/>
        <w:jc w:val="both"/>
        <w:rPr/>
      </w:pPr>
      <w:r>
        <w:rPr/>
      </w:r>
    </w:p>
    <w:tbl>
      <w:tblPr>
        <w:tblW w:w="9552" w:type="dxa"/>
        <w:jc w:val="left"/>
        <w:tblInd w:w="0" w:type="dxa"/>
        <w:tblLayout w:type="fixed"/>
        <w:tblCellMar>
          <w:top w:w="28" w:type="dxa"/>
          <w:left w:w="28" w:type="dxa"/>
          <w:bottom w:w="28" w:type="dxa"/>
          <w:right w:w="28" w:type="dxa"/>
        </w:tblCellMar>
      </w:tblPr>
      <w:tblGrid>
        <w:gridCol w:w="1312"/>
        <w:gridCol w:w="1149"/>
        <w:gridCol w:w="115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Personal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acquisition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verification and servicing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Profit for Personal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(1)Beginning in the third quarter of 2025, the Company reclassified auto secured personal loans from Personal Lending to Auto Lending operating segment. Prior period segment information reflects the change, which was immaterial to the Company’s condensed consolidated financial statements.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total Contribution Profit to Net income (loss) before income taxes: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506"/>
        <w:gridCol w:w="1243"/>
        <w:gridCol w:w="1250"/>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75"/>
        <w:gridCol w:w="109"/>
        <w:gridCol w:w="109"/>
        <w:gridCol w:w="109"/>
        <w:gridCol w:w="109"/>
        <w:gridCol w:w="211"/>
        <w:gridCol w:w="826"/>
        <w:gridCol w:w="156"/>
      </w:tblGrid>
      <w:tr>
        <w:trPr/>
        <w:tc>
          <w:tcPr>
            <w:tcW w:w="150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Personal Lending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Contribution Profit/(Loss)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 net of borrower acquisition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 operations, net of borrower verification and servicing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(1)Includes Auto Lending and Other operating segments, which did not meet the separate reporting or aggregation criteria under GAAP.</w:t>
      </w:r>
    </w:p>
    <w:p>
      <w:pPr>
        <w:pStyle w:val="TextBody"/>
        <w:bidi w:val="0"/>
        <w:spacing w:lineRule="auto" w:line="288" w:before="0" w:after="0"/>
        <w:ind w:left="0" w:right="0" w:hanging="540"/>
        <w:jc w:val="both"/>
        <w:rPr/>
      </w:pPr>
      <w:r>
        <w:rPr>
          <w:rFonts w:ascii="Times New Roman;serif" w:hAnsi="Times New Roman;serif"/>
          <w:b w:val="false"/>
          <w:color w:val="000000"/>
          <w:sz w:val="16"/>
        </w:rPr>
        <w:t>(2)Borrower acquisition costs were $32.7 million and $67.3 million for the three months ended September 30, 2024 and 2025, respectively, and were $80.8 million</w:t>
      </w:r>
      <w:r>
        <w:rPr>
          <w:color w:val="000000"/>
          <w:shd w:fill="FFFFFF" w:val="clear"/>
        </w:rPr>
        <w:t xml:space="preserve">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$176.8 million for the nine months ended September 30, 2024 and 2025, respectively. 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(3)Borrower verification and servicing costs were $32.5 million and $43.9 million for the three months ended September 30, 2024 and 2025, respectively, and were $95.8 million and $117.7 million for the nine months ended September 30, 2024 and 2025,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does not evaluate operating segments using asset information and, accordingly, the Company does not report asset information by segment.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15.    Reorganization Expenses</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the Company implemented a series of initiatives in order to decrease operating costs and streamline operations, which reduced the Company’s workforce by approximately 10%. In relation to these initiatives, the Company incurred $3.8 million in charges related to severance payments, employee benefits and associated taxes. These reorganization costs are reported in the relevant operating expense category on the condensed consolidated statements of operations and comprehensive income (loss). During the three months ended September 30, 2024 and three and nine months ended September 30, 2025, the Company incurred no reorganization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1080"/>
        <w:jc w:val="both"/>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evaluated events that have occurred through the filing date of this Quarterly Report on Form 10-Q. Based on its evaluation, other than any items recorded or disclosed within the condensed consolidated financial statements and related notes, the Company has determined no subsequent events were required to be recognized or disclosed.</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360" w:after="283"/>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63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the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Upstart is the leading artificial intelligence (“AI”) lending marketplace. We aim to radically reduce the cost and complexity of borrowing for all Americans by using our proprietary AI models to remake the entire lending process. Today, Upstart’s platform supports personal loans, including small dollar “relief” loans, auto loans, including retail, refinance, and auto secured personal loans, and home loans in the form of home equity lines of credit (“HELOCs”). Long-term, our vision is to become the always-on, everything-store for credit, where we can automatically approve borrowers at the right prices – instantly and effortlessly.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applies AI to more accurately quantify the true risk of a loan, a capability we refer to as “risk separation.” This differentiated approach to underwriting has generally led to higher borrower approvals and lower interest rates relative to traditional lending practices, with more predictable returns to our capital partners including banks and credit unions (collectively our “lending partners”) and institutional investors. With this as the foundation, we’ve added layers of automation, macroeconomic calibration, generalization, and personalization that can support increasing scale and business resilience over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Beyond core underwriting, we apply our AI models to income and identity verification, loan stacking, and servicing. The result is an exceptional digital-first experience with significant levels of automation. For example, during the nine months ended September 30, 2025, 91% of loans on our platform were fully automated, with no human intervention by Upstart. We also apply our AI models to consumer acquisition and targeting, making these activities increasingly efficient. Consumers primarily access Upstart-powered loans through Upstart.com and, for automotive retail in particular, through auto dealerships that use Upstart’s Auto Finance software.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AI models are continuously upgraded, trained and refined - and have been for more than ten years. We believe the flywheel effects generated by our constantly improving AI models provide a significant competitive advantage both in terms of the increasing sophistication of our algorithms and the range and volume of training data that underpins our systems.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dynamic marketplace allows us to serve borrowers across the credit spectrum. Loans issued through our marketplace are purchased by our network of institutional investors, retained by our lending partners, or in certain instances are funded by Upstart’s balance sheet. Out of the total principal of loans transacted on our marketplace during the nine months ended September 30, 2025, 62% were purchased by institutional investors, 25% were retained or purchased by our lending partners, and 13% were held on our balance sheet. Investors may also invest in Upstart-powered loans through our pass-through and securitization programs.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Institutional investors, including those often referred to as “private credit,” play an important role in our lending marketplace. They can provide capital for higher risk loans that may not be economically feasible for traditional banks and credit unions to hold. Today, more than 50% of the loan funding on our platform is through committed capital and other co-investment arrangements with institutional investors and lending partners, which provide valuable stability and resilience on the funding side of our platform.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retain certain loans on our balance sheet for research and development purposes (“R&amp;D Loans”), including to test and evaluate our AI models for newer products, to fill gaps in investor demand, and to aid in price discovery. As of September 30, 2025, 71% of loans held on our balance sheet were for R&amp;D purposes, primarily related to our auto refinance and auto retail loan products, small dollar loans and HELOCs.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Credit Performance</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credit performance of Upstart-powered loans to be one of the most important measures of the effectiveness of our AI models. However, credit performance is impacted by multiple factors, including factors that our models do not predict, such as macroeconomic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evaluate the credit performance of core personal loans by comparing the target returns expected at the time of origination to the returns received by our lending partners, institutional investors, or us. The target return, a critical component of our loan pricing, is calculated using estimated cash flows, which are developed based on a number of factors, including credit losses and prepayment rates. While target returns across our lending partners and institutional investors vary depending on their programs’ objectives and risk tolerance, overall performance is calculated based on the variance between the initially expected returns and the actual return on capital invested in Upstart-powered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equal investment in all vintages of Upstart-powered core personal loans originated in the third quarter of 2023 through the second quarter of 2025 is currently expected to deliver annual returns in line with a blended target of approximately 11.3% after servicing fees. At a more granular level, all quarterly vintages of core personal loans originated in the third quarter of 2023 through the first quarter of 2024 are currently forecasted to underperform relative to their target returns. Even though our underwriting models have over time utilized more variables and data points about borrowers, which has improved model performance, they were not designed to predict the severe impact changing macroeconomic conditions, credit market volatility and interest rate fluctuations that occurred following the COVID-19 pandemic, all of which were (and still are) beyond our control. The forecasted underperformance for these vintages reflects the impact of a combination of factors that occurred during that period, including the elimination of government stimulus measures and the worsening of the macroeconomic environment, via rising inflation and the resulting sharply higher interest rates.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core personal loans originated in the second quarter of 2024 or later are currently forecasted to deliver returns in line with target yields. This reversion in performance reflects a combination of factors including increased conservatism in underwriting, the relative stabilization of macroeconomic conditions, and improvements in our more recent models.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Impact of Macroeconomic Environment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impacting credit performance, the macroeconomic environment has a direct and indirect impact on our business financial condition, and results of operation. 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loan funding provided by institutional investors started to become constrained in 2022, largely due to concerns about the macroeconomic environment. Rising interest rates also led to more expensive loan offers across borrower categories, which decreased borrower demand. In order to create greater stability for our business, we began securing committed capital and co-investment arrangements with institutional investors and other third parties that provide loan funding over longer durations. While we believe that the macroeconomic environment started to improve in 2024, disruption in financial markets could once again lower borrower demand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impair our lending partners and result in constrained funding, which would adversely impact our business, financial condition and operating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respond to macroeconomic changes and provide relevant and up-to-date information to our lending partners, we introduced a new metric, the Upstart Macro Index (“UMI”), in 2023. As of September 30, 2025, UMI remained elevated, measured at approximately 1.54, meaning that current macroeconomic conditions contributed an incremental risk of approximately 54% to the repayment performance of an Upstart-powered unsecured personal loan, compared to the baseline measurement of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Key Operating and Non-GAAP Financial Metrics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focus on several key operating and Non-GAAP financial metrics to measure the performance of our business and help determine strategic direction. The following presents our key operating and financial metrics: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6"/>
        <w:gridCol w:w="1006"/>
        <w:gridCol w:w="1010"/>
        <w:gridCol w:w="109"/>
        <w:gridCol w:w="109"/>
        <w:gridCol w:w="109"/>
        <w:gridCol w:w="331"/>
        <w:gridCol w:w="465"/>
        <w:gridCol w:w="466"/>
        <w:gridCol w:w="165"/>
        <w:gridCol w:w="165"/>
        <w:gridCol w:w="165"/>
        <w:gridCol w:w="331"/>
        <w:gridCol w:w="465"/>
        <w:gridCol w:w="466"/>
        <w:gridCol w:w="109"/>
        <w:gridCol w:w="109"/>
        <w:gridCol w:w="109"/>
        <w:gridCol w:w="109"/>
        <w:gridCol w:w="266"/>
        <w:gridCol w:w="308"/>
        <w:gridCol w:w="465"/>
        <w:gridCol w:w="466"/>
        <w:gridCol w:w="153"/>
        <w:gridCol w:w="153"/>
        <w:gridCol w:w="153"/>
        <w:gridCol w:w="308"/>
        <w:gridCol w:w="404"/>
        <w:gridCol w:w="575"/>
      </w:tblGrid>
      <w:tr>
        <w:trPr/>
        <w:tc>
          <w:tcPr>
            <w:tcW w:w="11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ind w:left="0" w:right="0" w:firstLine="180"/>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Volume,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1,582,317</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3,822,847</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7,808,302</w:t>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Volume, Number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188,149</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451,429</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1,041,361</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Conversion Rate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Loans Fully Automated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Contribution Profit</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102,376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259,635</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390,321</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Contribution Margin</w:t>
            </w:r>
            <w:r>
              <w:rPr>
                <w:rFonts w:ascii="Times New Roman;serif" w:hAnsi="Times New Roman;serif"/>
                <w:b w:val="false"/>
                <w:i/>
                <w:color w:val="000000"/>
                <w:sz w:val="13"/>
              </w:rPr>
              <w:t>(3)</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(28,182)</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166,792</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i/>
                <w:color w:val="000000"/>
                <w:sz w:val="20"/>
              </w:rPr>
              <w:t>Adjusted EBITDA Margin</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 (Loss)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(47,770)</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133,400</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Basic</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(1)Transaction Volume, Number of Loans is shown in ones for the periods presented.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(2)Prior to the third quarter of 2025, home loans were included in “Transaction Volume, Number of Loans” but excluded from the rate inquiries used to calculate Conversion Rate. Beginning in the third quarter of 2025, they are included in rate inquiries. Earlier periods have not been adjusted, as the impact is immaterial and would have reduced the Conversion Rate by less than 0.5 percentage point.</w:t>
      </w:r>
    </w:p>
    <w:p>
      <w:pPr>
        <w:pStyle w:val="TextBody"/>
        <w:bidi w:val="0"/>
        <w:spacing w:lineRule="auto" w:line="288" w:before="0" w:after="0"/>
        <w:ind w:left="0" w:right="0" w:hanging="540"/>
        <w:jc w:val="both"/>
        <w:rPr/>
      </w:pPr>
      <w:r>
        <w:rPr>
          <w:rFonts w:ascii="Times New Roman;serif" w:hAnsi="Times New Roman;serif"/>
          <w:b w:val="false"/>
          <w:color w:val="000000"/>
          <w:sz w:val="16"/>
        </w:rPr>
        <w:t>(3)Represents a non-GAAP financial measure. See the section titled “</w:t>
      </w:r>
      <w:r>
        <w:rPr>
          <w:rFonts w:ascii="Times New Roman;serif" w:hAnsi="Times New Roman;serif"/>
          <w:b w:val="false"/>
          <w:i/>
          <w:color w:val="000000"/>
          <w:sz w:val="16"/>
        </w:rPr>
        <w:t>Management’s Discussion and Analysis of Financial Condition and Results of Operations—Reconciliation of Non-GAAP Financial Measures</w:t>
      </w:r>
      <w:r>
        <w:rPr>
          <w:color w:val="000000"/>
        </w:rPr>
        <w:t xml:space="preserve">” </w:t>
      </w:r>
      <w:r>
        <w:rPr>
          <w:rFonts w:ascii="Times New Roman;serif" w:hAnsi="Times New Roman;serif"/>
          <w:b w:val="false"/>
          <w:color w:val="000000"/>
          <w:sz w:val="16"/>
        </w:rPr>
        <w:t>for further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Transaction Volume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Transaction Volume, Dollars as the total principal of loan originations (or committed amounts for HELOCs) facilitated on our marketplace during the periods presented. We define Transaction Volume, Number of Loans as the number of loan originations (or commitments issued for HELOCs) facilitated on our marketplace during the periods presented. We believe these metrics are good proxies for our overall scale and reach as a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Volume is driven by improvements in our AI models and technology, including our ability to streamline and automate the loan application and origination process. Transaction Volume can also be driven by several other factors, including borrower acceptance rates and their sensitivity to the interest rates offered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platform. Transaction Volume is dependent on the availability of platform funding which is influenced by factors such as volatility in the capital markets and macroeconomic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Transaction Volume, Dollars increased 80% in the three months ended September 30, 2025 compared to the same period of 2024, and increased 104% in the </w:t>
      </w:r>
      <w:r>
        <w:rPr>
          <w:rFonts w:ascii="Times New Roman;serif" w:hAnsi="Times New Roman;serif"/>
          <w:b w:val="false"/>
          <w:color w:val="000000"/>
          <w:sz w:val="20"/>
          <w:shd w:fill="FFFFFF" w:val="clear"/>
        </w:rPr>
        <w:t xml:space="preserve">nine months ended September 30, 2025 compared to the same period of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Transaction Volume, Number o</w:t>
      </w:r>
      <w:r>
        <w:rPr>
          <w:rFonts w:ascii="Times New Roman;serif" w:hAnsi="Times New Roman;serif"/>
          <w:b w:val="false"/>
          <w:color w:val="000000"/>
          <w:sz w:val="20"/>
        </w:rPr>
        <w:t xml:space="preserve">f Loans increased 128% and 131% in the three and nine months ended September 30, 2025 compared to the </w:t>
      </w:r>
      <w:r>
        <w:rPr>
          <w:rFonts w:ascii="Times New Roman;serif" w:hAnsi="Times New Roman;serif"/>
          <w:b w:val="false"/>
          <w:color w:val="000000"/>
          <w:sz w:val="20"/>
          <w:shd w:fill="FFFFFF" w:val="clear"/>
        </w:rPr>
        <w:t xml:space="preserve">same period of </w:t>
      </w:r>
      <w:r>
        <w:rPr>
          <w:rFonts w:ascii="Times New Roman;serif" w:hAnsi="Times New Roman;serif"/>
          <w:b w:val="false"/>
          <w:color w:val="000000"/>
          <w:sz w:val="20"/>
        </w:rPr>
        <w:t xml:space="preserve">2024, respectively. These increases were primarily due to model improvements and product initiatives, which resulted in an increase in the number of qualified borrowers and more attractive loan offers. The increase in Transaction Volume, Number of Loans was higher than the increase in Transaction Volume, Dollars due to the decrease in average loan size, primarily as underwriting model improvements drove higher approval rates in smaller dollar categories of loans.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Conversion 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Conversion Rate as the Transaction Volume, Number of Loans in a period divided by the number of rate inquiries received that we estimate to be legitimate, which we record when a borrower requests a loan offer on our platform. We track this metric to understand the impact of improvements to the efficiency of our borrower funnel on our overall growth.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Historically, our Conversion Rate has benefited from improvements to our technology, which have made our evaluation of risk more accurate and our verification process more automated, or from the addition of capital partners that have made our offers more competitive. However, our Conversion Rate can be impacted by a variety of internal factors such as changes in the amount of platform and referral fees that we charge or changes in the rate of returns we target for our lending partners and institutional investors. External factors such as shifts in macroeconomic conditions, including interest rate changes, also impact our Conversion Rate. Our ability to continue to improve our Conversion Rate depends in part on our ability to continue to improve our AI models and Percentage of Loans Fully Automated and the mix of marketing channels in any given peri</w:t>
      </w:r>
      <w:r>
        <w:rPr>
          <w:rFonts w:ascii="Times New Roman;serif" w:hAnsi="Times New Roman;serif"/>
          <w:b w:val="false"/>
          <w:color w:val="000000"/>
          <w:sz w:val="20"/>
          <w:shd w:fill="FFFFFF" w:val="clear"/>
        </w:rPr>
        <w:t xml:space="preserve">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Our Conversion </w:t>
      </w:r>
      <w:r>
        <w:rPr>
          <w:rFonts w:ascii="Times New Roman;serif" w:hAnsi="Times New Roman;serif"/>
          <w:b w:val="false"/>
          <w:color w:val="000000"/>
          <w:sz w:val="20"/>
        </w:rPr>
        <w:t>Rate increased to 20.6% and 21.2% in the three and nine months ended September 30, 2025, respectively, fr</w:t>
      </w:r>
      <w:r>
        <w:rPr>
          <w:rFonts w:ascii="Times New Roman;serif" w:hAnsi="Times New Roman;serif"/>
          <w:b w:val="false"/>
          <w:color w:val="000000"/>
          <w:sz w:val="20"/>
          <w:shd w:fill="FFFFFF" w:val="clear"/>
        </w:rPr>
        <w:t xml:space="preserve">om </w:t>
      </w:r>
      <w:r>
        <w:rPr>
          <w:rFonts w:ascii="Times New Roman;serif" w:hAnsi="Times New Roman;serif"/>
          <w:b w:val="false"/>
          <w:color w:val="000000"/>
          <w:sz w:val="20"/>
        </w:rPr>
        <w:t>16.3%</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15.3%</w:t>
      </w:r>
      <w:r>
        <w:rPr>
          <w:color w:val="000000"/>
          <w:shd w:fill="FFFFFF" w:val="clear"/>
        </w:rPr>
        <w:t xml:space="preserve"> </w:t>
      </w:r>
      <w:r>
        <w:rPr>
          <w:rFonts w:ascii="Times New Roman;serif" w:hAnsi="Times New Roman;serif"/>
          <w:b w:val="false"/>
          <w:color w:val="000000"/>
          <w:sz w:val="20"/>
          <w:shd w:fill="FFFFFF" w:val="clear"/>
        </w:rPr>
        <w:t xml:space="preserve">in the same </w:t>
      </w:r>
      <w:r>
        <w:rPr>
          <w:rFonts w:ascii="Times New Roman;serif" w:hAnsi="Times New Roman;serif"/>
          <w:b w:val="false"/>
          <w:color w:val="000000"/>
          <w:sz w:val="20"/>
        </w:rPr>
        <w:t>periods of 2024, primarily driven by underwriting model improvements and product and pricing initiatives, coupled with continued optimization in our acquisition channels.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Percentage of Loans Fully Automated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driver of our Contribution Margin and operating efficiency is the Percentage of Loans Fully Automated, which is defined as the total number of loans in a given period originated end-to-end (from initial rate request to final funding for personal loans and small dollar loans and from initial rate request to signing of the loan agreement for auto loans) with no human involvement required by the Company divided by the Transaction Volume, Number of Loans in the same period.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have been successful in increasing the level of loan automation on the platform over the past few years while simultaneously holding fraud rates at very low levels. We believe our growth over the last several years has been driven in part by our ability to rapidly streamline and automate the loan application and o</w:t>
      </w:r>
      <w:r>
        <w:rPr>
          <w:rFonts w:ascii="Times New Roman;serif" w:hAnsi="Times New Roman;serif"/>
          <w:b w:val="false"/>
          <w:color w:val="000000"/>
          <w:sz w:val="20"/>
          <w:shd w:fill="FFFFFF" w:val="clear"/>
        </w:rPr>
        <w:t xml:space="preserve">rigination process on our platform. As we expand our loan offerings, this percentage may fluctuate from period to period depending on the loan offering mix and other external factors.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Our Percentage of Loans Fully Autom</w:t>
      </w:r>
      <w:r>
        <w:rPr>
          <w:rFonts w:ascii="Times New Roman;serif" w:hAnsi="Times New Roman;serif"/>
          <w:b w:val="false"/>
          <w:color w:val="000000"/>
          <w:sz w:val="20"/>
        </w:rPr>
        <w:t>ated remained flat at 91% for the three and nine months ended September 30, 2024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Contribution Profit and Contribution Margin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year-to-year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Contribution Profit and Contribution Margin have limitations as analytical tools,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reflect all expenses that we consider to be variable, which may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derive Contribution Profit, we subtract the sum of borrower acquisition costs as well as borrower verification and servicing costs from revenue from fees, net. To calculate Contribution Margin we divide Contribution Profit by revenue from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calculation of Contribution Profit and Contribution Margin: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7"/>
        <w:gridCol w:w="1041"/>
        <w:gridCol w:w="1045"/>
        <w:gridCol w:w="109"/>
        <w:gridCol w:w="109"/>
        <w:gridCol w:w="109"/>
        <w:gridCol w:w="211"/>
        <w:gridCol w:w="826"/>
        <w:gridCol w:w="271"/>
        <w:gridCol w:w="109"/>
        <w:gridCol w:w="109"/>
        <w:gridCol w:w="109"/>
        <w:gridCol w:w="211"/>
        <w:gridCol w:w="826"/>
        <w:gridCol w:w="271"/>
        <w:gridCol w:w="109"/>
        <w:gridCol w:w="109"/>
        <w:gridCol w:w="109"/>
        <w:gridCol w:w="109"/>
        <w:gridCol w:w="176"/>
        <w:gridCol w:w="211"/>
        <w:gridCol w:w="826"/>
        <w:gridCol w:w="271"/>
        <w:gridCol w:w="109"/>
        <w:gridCol w:w="109"/>
        <w:gridCol w:w="109"/>
        <w:gridCol w:w="211"/>
        <w:gridCol w:w="826"/>
        <w:gridCol w:w="318"/>
      </w:tblGrid>
      <w:tr>
        <w:trPr/>
        <w:tc>
          <w:tcPr>
            <w:tcW w:w="124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ind w:left="0" w:right="0" w:firstLine="90"/>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684,791 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acquisition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(176,759)</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verification and servicing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(117,711)</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direct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(111,133)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(176,555)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(294,470)</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390,321 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the section titled “</w:t>
      </w:r>
      <w:r>
        <w:rPr>
          <w:rFonts w:ascii="Times New Roman;serif" w:hAnsi="Times New Roman;serif"/>
          <w:b w:val="false"/>
          <w:i/>
          <w:color w:val="000000"/>
          <w:sz w:val="20"/>
        </w:rPr>
        <w:t>Management’s Discussion and Analysis of Financial Condition and Results of Operations—Reconciliation of Non-GAAP Financial Measures</w:t>
      </w:r>
      <w:r>
        <w:rPr>
          <w:color w:val="000000"/>
        </w:rPr>
        <w:t xml:space="preserve">” </w:t>
      </w:r>
      <w:r>
        <w:rPr>
          <w:rFonts w:ascii="Times New Roman;serif" w:hAnsi="Times New Roman;serif"/>
          <w:b w:val="false"/>
          <w:color w:val="000000"/>
          <w:sz w:val="20"/>
        </w:rPr>
        <w:t>for a reconciliation of income (loss) from operations to Contribution Profit.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Adjusted EBITDA and Adjusted EBITDA Margin are useful for investors to use in comparing our financial performance with the performance of other companies for the following reasons: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Adjusted EBITDA and Adjusted EBITDA Margin eliminate the impact of certain items such as stock-based compensation expense and certain payroll tax expense, expense on convertible n</w:t>
      </w:r>
      <w:r>
        <w:rPr>
          <w:rFonts w:ascii="Times New Roman;serif" w:hAnsi="Times New Roman;serif"/>
          <w:b w:val="false"/>
          <w:color w:val="000000"/>
          <w:sz w:val="20"/>
          <w:shd w:fill="FFFFFF" w:val="clear"/>
        </w:rPr>
        <w:t>otes, gain on debt extinguishment and reorganization expenses that may obscure trends in the underlying performance of our business; and</w:t>
      </w:r>
    </w:p>
    <w:p>
      <w:pPr>
        <w:pStyle w:val="TextBody"/>
        <w:bidi w:val="0"/>
        <w:spacing w:lineRule="auto" w:line="276"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Adjusted EBITDA and Adjusted EBITDA Margin provide consistency and comparability with o</w:t>
      </w:r>
      <w:r>
        <w:rPr>
          <w:rFonts w:ascii="Times New Roman;serif" w:hAnsi="Times New Roman;serif"/>
          <w:b w:val="false"/>
          <w:color w:val="000000"/>
          <w:sz w:val="20"/>
        </w:rPr>
        <w:t xml:space="preserve">ur past financial performance, and facilitate comparisons with other companies, many of which use similar non-GAAP financial measures to supplement their GAAP results.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calculate Adjusted EBITDA as net income (loss) adjusted to exclude stock-based compensation expense and certain payroll tax expenses, depreciation and amortization, expense on convertible notes, provision for income taxes, gain on debt extinguishment and reorganization expenses.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Times New Roman;serif" w:hAnsi="Times New Roman;serif"/>
          <w:b w:val="false"/>
          <w:i/>
          <w:color w:val="000000"/>
          <w:sz w:val="20"/>
        </w:rPr>
        <w:t>Management’s Discussion and Analysis of Financial Condition and Results of Operations—Reconciliation of Non-GAAP Financial Measures</w:t>
      </w:r>
      <w:r>
        <w:rPr>
          <w:color w:val="000000"/>
        </w:rPr>
        <w:t xml:space="preserve">” </w:t>
      </w:r>
      <w:r>
        <w:rPr>
          <w:rFonts w:ascii="Times New Roman;serif" w:hAnsi="Times New Roman;serif"/>
          <w:b w:val="false"/>
          <w:color w:val="000000"/>
          <w:sz w:val="20"/>
        </w:rPr>
        <w:t>for a reconciliation of net income (loss) to Adjusted EBITDA and Adjusted EBITDA Margin.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Adjusted Net Income (Loss) and Adjusted Net Income (Loss) Per Share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believe Adjusted Net Income (Loss) and Adjusted Net Income (Loss) Per Share are useful measures for investors in evaluating our ability to generate earnings, more readily comparable between past and future periods, and provide comparability of our performance with performance of other companies. We define Adjusted Net Income (Loss) as net income (loss) exclusive of stock-based compensation expense and certain payroll tax expenses as well as certain items that are not related to core business and ongoing operations, such as gain on debt extinguishment and reorganization expenses. Adjusted Net Income (Loss) Per Share is calculated by dividing Adjusted Net Income (Loss) Per Share by the weighted-average common shares outstanding. See the section titled “</w:t>
      </w:r>
      <w:r>
        <w:rPr>
          <w:rFonts w:ascii="Times New Roman;serif" w:hAnsi="Times New Roman;serif"/>
          <w:b w:val="false"/>
          <w:i/>
          <w:color w:val="000000"/>
          <w:sz w:val="20"/>
        </w:rPr>
        <w:t>Management’s Discussion and Analysis of Financial Condition and Results of Operations—Reconciliation of Non-GAAP Financial Measures</w:t>
      </w:r>
      <w:r>
        <w:rPr>
          <w:color w:val="000000"/>
        </w:rPr>
        <w:t xml:space="preserve">” </w:t>
      </w:r>
      <w:r>
        <w:rPr>
          <w:rFonts w:ascii="Times New Roman;serif" w:hAnsi="Times New Roman;serif"/>
          <w:b w:val="false"/>
          <w:color w:val="000000"/>
          <w:sz w:val="20"/>
        </w:rPr>
        <w:t>for a reconciliation of net income (loss) to Adjusted Net Income (Loss) and Adjusted Net Income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from Fees, Net </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Platform and Referral Fees, Net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certain lending partners monthly loan trailing fees based on the amount and timing of principal and interest payments made by borrowers of the underlying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also recognizes fees in relation to contracts with auto dealers for the use of Upstart Auto Finance software, a cloud-based solution that facilitates dealership operations and enables them to provide consumers with access to Upstart-powered auto loans. Refer to “</w:t>
      </w:r>
      <w:r>
        <w:rPr>
          <w:rFonts w:ascii="Times New Roman;serif" w:hAnsi="Times New Roman;serif"/>
          <w:b w:val="false"/>
          <w:i/>
          <w:color w:val="000000"/>
          <w:sz w:val="20"/>
        </w:rPr>
        <w:t>Note 2. Revenue</w:t>
      </w:r>
      <w:r>
        <w:rPr>
          <w:color w:val="000000"/>
        </w:rPr>
        <w:t xml:space="preserve">” </w:t>
      </w:r>
      <w:r>
        <w:rPr>
          <w:rFonts w:ascii="Times New Roman;serif" w:hAnsi="Times New Roman;serif"/>
          <w:b w:val="false"/>
          <w:color w:val="000000"/>
          <w:sz w:val="20"/>
        </w:rPr>
        <w:t xml:space="preserve">in Part I, Item 1 of this Quarterly Report on Form 10-Q for more information.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Servicing and Other Fees, Net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Servicing fees are calculated as a percentage of outstanding principal and are charged monthly to any entities holding loans facilitated through our marketplace, to compensate us for activities we perform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loan servicer for substantially all outstanding loans facilitated through the Upstart marketplace. Borrower payment collections for loans that are more than 30 days past due or charged off are generally outsourced to third-party collection agencies. Upstart charges lending partners and institutional investors for collection agency fees related to their outstanding loan portfolio. Upstart also receives certain ancillary fees on a per transaction basis inclusive of late payment fees and ACH fail fees.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Interest Income, Interest Expense, and Fair Value Adjustments, Net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interest expense,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interest expense, and fair value adjustments, net also includes realized gain or loss on the sale of loans. Interest income, interest expense, and fair value adjustments, net can fluctuate based on the fair value of financial instruments held on our condensed consolidated balance sheets. This amount has historically been a small percentage of our total revenue, and we do not manage our business with a focus on growing this component of revenue.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fluctuate as a percentage of our total revenue from period to period and may increase as we hire additional sales and marketing personnel, increase our marketing activities and build greater brand awareness.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Customer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generally fluctuate as a percentage of our total revenue from period to period, and may increase in absolute dollars as we expand our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Engineering and Product Development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generally fluctuate as a percentage of our total revenue from period to period, and may increase in absolute dollars as we expand our engineering and product development team to continue to improve our AI models and develop new products and product enhancements.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Administrative and Other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income, net primarily consists of dividend income earned by the Company on its unrestricted cash and cash equivalents balances in addition to coupon interest expense and amortization of the debt discount on its 2026, 2029, 2030, and 2032 convertible senior notes (collectively, the “Notes”).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Gain on Debt Extinguishment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August 2021, we issued $661.3 million in aggregate principal amount of 0.25% convertible senior notes due 2026 (the “2026 Notes”). Gain on debt extinguishment consists of the gain recognized from the repurchase of a portion of the ou</w:t>
      </w:r>
      <w:r>
        <w:rPr>
          <w:rFonts w:ascii="Times New Roman;serif" w:hAnsi="Times New Roman;serif"/>
          <w:b w:val="false"/>
          <w:color w:val="000000"/>
          <w:sz w:val="20"/>
          <w:shd w:fill="FFFFFF" w:val="clear"/>
        </w:rPr>
        <w:t xml:space="preserve">tstanding </w:t>
      </w:r>
      <w:r>
        <w:rPr>
          <w:rFonts w:ascii="Times New Roman;serif" w:hAnsi="Times New Roman;serif"/>
          <w:b w:val="false"/>
          <w:color w:val="000000"/>
          <w:sz w:val="20"/>
        </w:rPr>
        <w:t>2026 Notes</w:t>
      </w:r>
      <w:r>
        <w:rPr>
          <w:rFonts w:ascii="Times New Roman;serif" w:hAnsi="Times New Roman;serif"/>
          <w:b w:val="false"/>
          <w:color w:val="000000"/>
          <w:sz w:val="20"/>
          <w:shd w:fill="FFFFFF" w:val="clear"/>
        </w:rPr>
        <w:t xml:space="preserve">. Refer to </w:t>
      </w:r>
      <w:r>
        <w:rPr>
          <w:color w:val="000000"/>
          <w:shd w:fill="FFFFFF" w:val="clear"/>
        </w:rPr>
        <w:t>“</w:t>
      </w:r>
      <w:r>
        <w:rPr>
          <w:rFonts w:ascii="Times New Roman;serif" w:hAnsi="Times New Roman;serif"/>
          <w:b w:val="false"/>
          <w:i/>
          <w:color w:val="000000"/>
          <w:sz w:val="20"/>
        </w:rPr>
        <w:t>Note 8. Borrowings</w:t>
      </w:r>
      <w:r>
        <w:rPr>
          <w:color w:val="000000"/>
          <w:shd w:fill="FFFFFF" w:val="clear"/>
        </w:rPr>
        <w:t xml:space="preserve">” </w:t>
      </w:r>
      <w:r>
        <w:rPr>
          <w:rFonts w:ascii="Times New Roman;serif" w:hAnsi="Times New Roman;serif"/>
          <w:b w:val="false"/>
          <w:color w:val="000000"/>
          <w:sz w:val="20"/>
          <w:shd w:fill="FFFFFF" w:val="clear"/>
        </w:rPr>
        <w:t xml:space="preserve">in Part I, Item 1 of this Quarterly Report on Form 10-Q for further details on our </w:t>
      </w:r>
      <w:r>
        <w:rPr>
          <w:rFonts w:ascii="Times New Roman;serif" w:hAnsi="Times New Roman;serif"/>
          <w:b w:val="false"/>
          <w:color w:val="000000"/>
          <w:sz w:val="20"/>
        </w:rPr>
        <w:t>Notes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historical condensed consolidated statements of operations data: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589"/>
        <w:gridCol w:w="1202"/>
        <w:gridCol w:w="1207"/>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76"/>
        <w:gridCol w:w="109"/>
        <w:gridCol w:w="109"/>
        <w:gridCol w:w="109"/>
        <w:gridCol w:w="109"/>
        <w:gridCol w:w="211"/>
        <w:gridCol w:w="826"/>
        <w:gridCol w:w="156"/>
      </w:tblGrid>
      <w:tr>
        <w:trPr/>
        <w:tc>
          <w:tcPr>
            <w:tcW w:w="158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and other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(1)Includes stock-based compensation expense as follows:</w:t>
      </w:r>
    </w:p>
    <w:p>
      <w:pPr>
        <w:pStyle w:val="TextBody"/>
        <w:bidi w:val="0"/>
        <w:spacing w:before="0" w:after="0"/>
        <w:ind w:left="0" w:right="0" w:hanging="180"/>
        <w:jc w:val="both"/>
        <w:rPr/>
      </w:pPr>
      <w:r>
        <w:rPr/>
      </w:r>
    </w:p>
    <w:tbl>
      <w:tblPr>
        <w:tblW w:w="9095" w:type="dxa"/>
        <w:jc w:val="left"/>
        <w:tblInd w:w="0" w:type="dxa"/>
        <w:tblLayout w:type="fixed"/>
        <w:tblCellMar>
          <w:top w:w="28" w:type="dxa"/>
          <w:left w:w="28" w:type="dxa"/>
          <w:bottom w:w="28" w:type="dxa"/>
          <w:right w:w="28" w:type="dxa"/>
        </w:tblCellMar>
      </w:tblPr>
      <w:tblGrid>
        <w:gridCol w:w="1176"/>
        <w:gridCol w:w="1035"/>
        <w:gridCol w:w="1044"/>
        <w:gridCol w:w="109"/>
        <w:gridCol w:w="109"/>
        <w:gridCol w:w="109"/>
        <w:gridCol w:w="211"/>
        <w:gridCol w:w="721"/>
        <w:gridCol w:w="109"/>
        <w:gridCol w:w="109"/>
        <w:gridCol w:w="109"/>
        <w:gridCol w:w="109"/>
        <w:gridCol w:w="211"/>
        <w:gridCol w:w="721"/>
        <w:gridCol w:w="109"/>
        <w:gridCol w:w="109"/>
        <w:gridCol w:w="109"/>
        <w:gridCol w:w="109"/>
        <w:gridCol w:w="109"/>
        <w:gridCol w:w="109"/>
        <w:gridCol w:w="211"/>
        <w:gridCol w:w="826"/>
        <w:gridCol w:w="109"/>
        <w:gridCol w:w="109"/>
        <w:gridCol w:w="109"/>
        <w:gridCol w:w="109"/>
        <w:gridCol w:w="211"/>
        <w:gridCol w:w="721"/>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5,348</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49,493</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34,976</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360" w:after="283"/>
        <w:jc w:val="left"/>
        <w:rPr/>
      </w:pPr>
      <w:r>
        <w:rPr>
          <w:rFonts w:ascii="Times New Roman;serif" w:hAnsi="Times New Roman;serif"/>
          <w:b/>
          <w:color w:val="000000"/>
          <w:sz w:val="20"/>
        </w:rPr>
        <w:t>Revenue</w:t>
      </w:r>
      <w:r>
        <w:rPr>
          <w:color w:val="000000"/>
        </w:rPr>
        <w:t xml:space="preserv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from Fees, Net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 forth our revenue from fees, net in the periods shown:</w:t>
      </w:r>
    </w:p>
    <w:p>
      <w:pPr>
        <w:pStyle w:val="TextBody"/>
        <w:bidi w:val="0"/>
        <w:spacing w:before="0" w:after="0"/>
        <w:jc w:val="left"/>
        <w:rPr/>
      </w:pPr>
      <w:r>
        <w:rPr/>
      </w:r>
    </w:p>
    <w:tbl>
      <w:tblPr>
        <w:tblW w:w="12360" w:type="dxa"/>
        <w:jc w:val="left"/>
        <w:tblInd w:w="0" w:type="dxa"/>
        <w:tblLayout w:type="fixed"/>
        <w:tblCellMar>
          <w:top w:w="28" w:type="dxa"/>
          <w:left w:w="28" w:type="dxa"/>
          <w:bottom w:w="28" w:type="dxa"/>
          <w:right w:w="28" w:type="dxa"/>
        </w:tblCellMar>
      </w:tblPr>
      <w:tblGrid>
        <w:gridCol w:w="384"/>
        <w:gridCol w:w="258"/>
        <w:gridCol w:w="259"/>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271"/>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271"/>
        <w:gridCol w:w="109"/>
        <w:gridCol w:w="109"/>
        <w:gridCol w:w="109"/>
        <w:gridCol w:w="154"/>
      </w:tblGrid>
      <w:tr>
        <w:trPr/>
        <w:tc>
          <w:tcPr>
            <w:tcW w:w="3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and referral fees,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other fees,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fees,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from fees, net increased $90.9 million, or 54%, in the three months ended September 30, 2025, compared to the same period in 2024, which included an increase of $82.7 million in revenue from platform and referral fees, net, and an increase of $8.3 million in servicing fees, net. The increase of the platform and referral fees, net was primarily driven by a 80% increase in the Transaction Volume, Dollars from $1,582.3 million in the three months ended September 30, 2024 to $2,854.3 million in the same period in 2025, partially offset by lower fee rates, including those related to prime borrowers. The increase in servicing fees was primarily due to the increase in outstanding principal of serviced loans as well as the increase in net gain on servicing rights upon loan sales.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from fees, net increased $248.6 million, or 57%, in the nine months ended September 30, 2025, compared to the same period in 2024, which included an increase of $234.0 million in revenue from platform and referral fees, net, and an increase of $14.6 million in servicing fees, net. The increase of the platform and referral fees, net was primarily driven by a 104% increase in the Transaction Volume, Dollars from $3,822.8 million in the nine months ended September 30, 2024 to $7,808.3 million in the same period in 2025, partially offset by lower fee rates, including those related to prime borrowers. The increase in servicing fees was primarily due to the increase in net gain on servicing rights upon loan sales as well as the increase in outstanding principal of serviced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Income, Interest Expense, and Fair Value Adjustments, Net</w:t>
      </w:r>
    </w:p>
    <w:p>
      <w:pPr>
        <w:pStyle w:val="TextBody"/>
        <w:bidi w:val="0"/>
        <w:spacing w:before="0" w:after="0"/>
        <w:jc w:val="left"/>
        <w:rPr/>
      </w:pPr>
      <w:r>
        <w:rPr/>
      </w:r>
    </w:p>
    <w:tbl>
      <w:tblPr>
        <w:tblW w:w="12585" w:type="dxa"/>
        <w:jc w:val="left"/>
        <w:tblInd w:w="0" w:type="dxa"/>
        <w:tblLayout w:type="fixed"/>
        <w:tblCellMar>
          <w:top w:w="28" w:type="dxa"/>
          <w:left w:w="28" w:type="dxa"/>
          <w:bottom w:w="28" w:type="dxa"/>
          <w:right w:w="28" w:type="dxa"/>
        </w:tblCellMar>
      </w:tblPr>
      <w:tblGrid>
        <w:gridCol w:w="637"/>
        <w:gridCol w:w="296"/>
        <w:gridCol w:w="298"/>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1"/>
        <w:gridCol w:w="235"/>
        <w:gridCol w:w="271"/>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1"/>
        <w:gridCol w:w="235"/>
        <w:gridCol w:w="271"/>
        <w:gridCol w:w="109"/>
        <w:gridCol w:w="109"/>
        <w:gridCol w:w="109"/>
        <w:gridCol w:w="154"/>
      </w:tblGrid>
      <w:tr>
        <w:trPr/>
        <w:tc>
          <w:tcPr>
            <w:tcW w:w="6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entities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securitization entities: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Company: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interest income, interest expense, and fair value adjustments, net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(1)Consists of balances recognized by entities participating in ongoing operating activities of the Company, excluding entities associated with the UPST 2023-2 consolidated securitization.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 increased $24.0 million, or 441% in the three months ended September 30, 2025, compared to the same period in 2024. The increase was driven by a $16.4 million increase in interest income, a $5.6 million decrease in unfavorable fair value adjustments and a $2.0 million decrease in interest expense. The increase in interest income is consistent with an increase in the average outstanding principal balance of loans and the line of credit held on the condensed consolidated balance sheets by operating entities as well as an increase in loan premium amortization, partially offset by a decrease in the outstanding principal balance of loans held in the consolidated securitization during the period. The decrease in unfavorable fair value adjustments is attributable to a $16.0 million decrease in unrealized loss and loan charge-offs, and a $2.6 million decrease in realized loss on loan sales during the three months ended September 30, 2025 compared to the same period in 2024, partially offset by a $13.0 million increase in fair value loss on beneficial interests. The decrease in interest expense resulted from the decrease in average borrowings during the period, including a $0.8 million decrease in interest expense recognized by consolidated securitization entities due to lower payable to securitization note holders during the period, and a decrease in fair value of interest rate caps.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interest expense, and fair value adjustments, net increased $81.6 million, or 438% in the nine months ended September 30, 2025, compared to the same period in 2024. The increase was driven by a $73.7 million decrease in unfavorable fair value adjustments and a $9.4 million decrease in interest expense, partially offset by a $1.5 million decrease in interest income. The decrease in unfavorable fair value adjustments is attributable to a $37.1 million decrease in unrealized loss and loan charge-offs, a $20.6 million decrease in fair value loss on beneficial interests, and a $16.1 million increase in realized gain on loan sales during the nine months ended September 30, 2025 compared to the same period in 2024. The decrease in interest expense resulted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decrease in average borrowings during the period, including a $2.5 million decrease in interest expense recognized by consolidated securitization entities due to lower payable to securitization note holders in the period. The decrease in unfavorable fair value adjustments and interest expense was partially offset by a decrease in interest income due to a $9.6 million decrease in interest income recognized by consolidated securitization entities partially offset by a $8.1 million increase in interest income recognized by operating entities. Such decrease and increase of interest income is consistent with the decrease and increase of outstanding principal balance of loans held by consolidated securitization and operating entities, respectively, during the period. In addition, interest income by operating entities further increased due to loan premium amortization and an increase in the outstanding principal balance of the line of credit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10839"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09"/>
        <w:gridCol w:w="211"/>
        <w:gridCol w:w="193"/>
        <w:gridCol w:w="483"/>
        <w:gridCol w:w="109"/>
        <w:gridCol w:w="109"/>
        <w:gridCol w:w="109"/>
        <w:gridCol w:w="211"/>
        <w:gridCol w:w="193"/>
        <w:gridCol w:w="483"/>
        <w:gridCol w:w="109"/>
        <w:gridCol w:w="109"/>
        <w:gridCol w:w="109"/>
        <w:gridCol w:w="211"/>
        <w:gridCol w:w="338"/>
        <w:gridCol w:w="338"/>
        <w:gridCol w:w="109"/>
        <w:gridCol w:w="109"/>
        <w:gridCol w:w="109"/>
        <w:gridCol w:w="180"/>
        <w:gridCol w:w="181"/>
        <w:gridCol w:w="271"/>
        <w:gridCol w:w="109"/>
        <w:gridCol w:w="109"/>
        <w:gridCol w:w="109"/>
        <w:gridCol w:w="211"/>
        <w:gridCol w:w="224"/>
        <w:gridCol w:w="557"/>
        <w:gridCol w:w="109"/>
        <w:gridCol w:w="109"/>
        <w:gridCol w:w="109"/>
        <w:gridCol w:w="211"/>
        <w:gridCol w:w="224"/>
        <w:gridCol w:w="557"/>
        <w:gridCol w:w="109"/>
        <w:gridCol w:w="109"/>
        <w:gridCol w:w="109"/>
        <w:gridCol w:w="211"/>
        <w:gridCol w:w="338"/>
        <w:gridCol w:w="338"/>
        <w:gridCol w:w="109"/>
        <w:gridCol w:w="109"/>
        <w:gridCol w:w="109"/>
        <w:gridCol w:w="180"/>
        <w:gridCol w:w="181"/>
        <w:gridCol w:w="271"/>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27 </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$35.6 million, or 82%, in the three months ended September 30, 2025 compared to the same period in 2024, which was driven primarily by a $34.5 million increase in advertising and borrower acquisition costs, a $0.9 million increase in marketing operation expense, and a $0.2 million increase in payroll and other personnel-related expenses. As a percentage of total revenue, sales and marketing expenses increased from 27% to 28%.</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$99.6 million, or 89%, in the nine months ended September 30, 2025 compared to the same period in 2024, which was driven primarily by a $96.0 million increase in advertising and borrower acquisition costs, a $2.3 million increase in marketing operation expenses, and a $1.3 million increase in payroll and other personnel-related expenses. As a percentage of total revenue, sales and marketing expenses increased from 27% to 28%.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Customer Operations</w:t>
      </w:r>
    </w:p>
    <w:tbl>
      <w:tblPr>
        <w:tblW w:w="10368"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211"/>
        <w:gridCol w:w="193"/>
        <w:gridCol w:w="483"/>
        <w:gridCol w:w="109"/>
        <w:gridCol w:w="109"/>
        <w:gridCol w:w="109"/>
        <w:gridCol w:w="211"/>
        <w:gridCol w:w="193"/>
        <w:gridCol w:w="483"/>
        <w:gridCol w:w="109"/>
        <w:gridCol w:w="109"/>
        <w:gridCol w:w="109"/>
        <w:gridCol w:w="211"/>
        <w:gridCol w:w="338"/>
        <w:gridCol w:w="338"/>
        <w:gridCol w:w="109"/>
        <w:gridCol w:w="109"/>
        <w:gridCol w:w="109"/>
        <w:gridCol w:w="109"/>
        <w:gridCol w:w="109"/>
        <w:gridCol w:w="109"/>
        <w:gridCol w:w="109"/>
        <w:gridCol w:w="109"/>
        <w:gridCol w:w="109"/>
        <w:gridCol w:w="211"/>
        <w:gridCol w:w="224"/>
        <w:gridCol w:w="557"/>
        <w:gridCol w:w="109"/>
        <w:gridCol w:w="109"/>
        <w:gridCol w:w="109"/>
        <w:gridCol w:w="211"/>
        <w:gridCol w:w="224"/>
        <w:gridCol w:w="557"/>
        <w:gridCol w:w="109"/>
        <w:gridCol w:w="109"/>
        <w:gridCol w:w="109"/>
        <w:gridCol w:w="211"/>
        <w:gridCol w:w="338"/>
        <w:gridCol w:w="338"/>
        <w:gridCol w:w="109"/>
        <w:gridCol w:w="109"/>
        <w:gridCol w:w="109"/>
        <w:gridCol w:w="109"/>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612"/>
        <w:jc w:val="both"/>
        <w:rPr>
          <w:rFonts w:ascii="Times New Roman;serif" w:hAnsi="Times New Roman;serif"/>
          <w:b w:val="false"/>
          <w:color w:val="000000"/>
          <w:sz w:val="20"/>
        </w:rPr>
      </w:pPr>
      <w:r>
        <w:rPr>
          <w:rFonts w:ascii="Times New Roman;serif" w:hAnsi="Times New Roman;serif"/>
          <w:b w:val="false"/>
          <w:color w:val="000000"/>
          <w:sz w:val="20"/>
        </w:rPr>
        <w:t>Customer operations expenses increased by $10.5 million, or 27%, in the three months ended September 30, 2025, compared to the same period in 2024. The increase was primarily due to a $6.6 million increase in information verification expenses, a $2.3 million increase in servicing expenses, and a $1.5 million increase in payroll and other personnel-related expenses. As a percentage of total revenue, customer operations expenses decreased from 24% to 18%.</w:t>
      </w:r>
    </w:p>
    <w:p>
      <w:pPr>
        <w:pStyle w:val="TextBody"/>
        <w:bidi w:val="0"/>
        <w:spacing w:before="0" w:after="0"/>
        <w:ind w:left="0" w:right="0" w:firstLine="720"/>
        <w:jc w:val="both"/>
        <w:rPr/>
      </w:pPr>
      <w:r>
        <w:rPr/>
      </w:r>
    </w:p>
    <w:p>
      <w:pPr>
        <w:pStyle w:val="TextBody"/>
        <w:bidi w:val="0"/>
        <w:spacing w:lineRule="auto" w:line="288" w:before="0" w:after="0"/>
        <w:ind w:left="0" w:right="0" w:firstLine="612"/>
        <w:jc w:val="both"/>
        <w:rPr>
          <w:rFonts w:ascii="Times New Roman;serif" w:hAnsi="Times New Roman;serif"/>
          <w:b w:val="false"/>
          <w:color w:val="000000"/>
          <w:sz w:val="20"/>
        </w:rPr>
      </w:pPr>
      <w:r>
        <w:rPr>
          <w:rFonts w:ascii="Times New Roman;serif" w:hAnsi="Times New Roman;serif"/>
          <w:b w:val="false"/>
          <w:color w:val="000000"/>
          <w:sz w:val="20"/>
        </w:rPr>
        <w:t>Customer operations expenses increased by $19.1 million, or 16%, in the nine months ended September 30, 2025, compared to the same period in 2024. The increase was primarily due to a $15.9 million increase in information verification expenses and a $6.1 million increase in servicing expenses. The increase was partially offset by a $2.9 million decrease in payroll and other personnel-related expenses due to a decrease in headcount. As a percentage of total revenue, customer operations expenses decreased from 28% to 18%.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Engineering and Product Development</w:t>
      </w:r>
    </w:p>
    <w:tbl>
      <w:tblPr>
        <w:tblW w:w="10282" w:type="dxa"/>
        <w:jc w:val="left"/>
        <w:tblInd w:w="0" w:type="dxa"/>
        <w:tblLayout w:type="fixed"/>
        <w:tblCellMar>
          <w:top w:w="28" w:type="dxa"/>
          <w:left w:w="28" w:type="dxa"/>
          <w:bottom w:w="28" w:type="dxa"/>
          <w:right w:w="28" w:type="dxa"/>
        </w:tblCellMar>
      </w:tblPr>
      <w:tblGrid>
        <w:gridCol w:w="430"/>
        <w:gridCol w:w="377"/>
        <w:gridCol w:w="379"/>
        <w:gridCol w:w="109"/>
        <w:gridCol w:w="109"/>
        <w:gridCol w:w="109"/>
        <w:gridCol w:w="109"/>
        <w:gridCol w:w="211"/>
        <w:gridCol w:w="193"/>
        <w:gridCol w:w="483"/>
        <w:gridCol w:w="109"/>
        <w:gridCol w:w="109"/>
        <w:gridCol w:w="109"/>
        <w:gridCol w:w="211"/>
        <w:gridCol w:w="193"/>
        <w:gridCol w:w="483"/>
        <w:gridCol w:w="109"/>
        <w:gridCol w:w="109"/>
        <w:gridCol w:w="109"/>
        <w:gridCol w:w="211"/>
        <w:gridCol w:w="240"/>
        <w:gridCol w:w="241"/>
        <w:gridCol w:w="109"/>
        <w:gridCol w:w="109"/>
        <w:gridCol w:w="109"/>
        <w:gridCol w:w="110"/>
        <w:gridCol w:w="110"/>
        <w:gridCol w:w="111"/>
        <w:gridCol w:w="109"/>
        <w:gridCol w:w="109"/>
        <w:gridCol w:w="109"/>
        <w:gridCol w:w="211"/>
        <w:gridCol w:w="224"/>
        <w:gridCol w:w="557"/>
        <w:gridCol w:w="109"/>
        <w:gridCol w:w="109"/>
        <w:gridCol w:w="109"/>
        <w:gridCol w:w="211"/>
        <w:gridCol w:w="224"/>
        <w:gridCol w:w="557"/>
        <w:gridCol w:w="109"/>
        <w:gridCol w:w="109"/>
        <w:gridCol w:w="109"/>
        <w:gridCol w:w="211"/>
        <w:gridCol w:w="285"/>
        <w:gridCol w:w="286"/>
        <w:gridCol w:w="109"/>
        <w:gridCol w:w="109"/>
        <w:gridCol w:w="109"/>
        <w:gridCol w:w="109"/>
        <w:gridCol w:w="109"/>
        <w:gridCol w:w="109"/>
        <w:gridCol w:w="109"/>
        <w:gridCol w:w="109"/>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45 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Engineering and product development expenses decreased by $0.9 million, or 1%, for the three months ended September 30, 2025, compared to the same period in 2024. The decrease was primarily due to a $4.6 million decrease in payroll and other personnel-related expenses, partially offset by a $3.7 million increase in other engineering operating expenses driven by data and infrastructure costs. As a percentage of total revenue, engineering and product development expenses decreased from 40% to 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Engineering and product development expenses increased by $4.3 million, or 2%, for the nine months ended September 30, 2025, compared to the same period in 2024. The increase was primarily due to a $10.4 million increase in other engineering operating expenses driven by data and infrastructure costs, partially offset by a $6.1 million decrease in payroll and other personnel-related expenses from capitalization of internal-use software development costs. As a percentage of total revenue, engineering and product development expenses decreased from 45% to 26%.</w:t>
      </w:r>
    </w:p>
    <w:p>
      <w:pPr>
        <w:pStyle w:val="TextBody"/>
        <w:bidi w:val="0"/>
        <w:spacing w:lineRule="auto" w:line="288" w:before="360" w:after="283"/>
        <w:jc w:val="left"/>
        <w:rPr/>
      </w:pPr>
      <w:r>
        <w:rPr>
          <w:rFonts w:ascii="Times New Roman;serif" w:hAnsi="Times New Roman;serif"/>
          <w:b/>
          <w:i/>
          <w:color w:val="000000"/>
          <w:sz w:val="20"/>
        </w:rPr>
        <w:t>General, Administrative, and Other</w:t>
      </w:r>
      <w:r>
        <w:rPr>
          <w:color w:val="000000"/>
        </w:rPr>
        <w:t> </w:t>
      </w:r>
    </w:p>
    <w:tbl>
      <w:tblPr>
        <w:tblW w:w="10487"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109"/>
        <w:gridCol w:w="211"/>
        <w:gridCol w:w="193"/>
        <w:gridCol w:w="483"/>
        <w:gridCol w:w="109"/>
        <w:gridCol w:w="109"/>
        <w:gridCol w:w="109"/>
        <w:gridCol w:w="211"/>
        <w:gridCol w:w="193"/>
        <w:gridCol w:w="483"/>
        <w:gridCol w:w="109"/>
        <w:gridCol w:w="109"/>
        <w:gridCol w:w="109"/>
        <w:gridCol w:w="211"/>
        <w:gridCol w:w="210"/>
        <w:gridCol w:w="211"/>
        <w:gridCol w:w="109"/>
        <w:gridCol w:w="109"/>
        <w:gridCol w:w="109"/>
        <w:gridCol w:w="128"/>
        <w:gridCol w:w="128"/>
        <w:gridCol w:w="271"/>
        <w:gridCol w:w="109"/>
        <w:gridCol w:w="109"/>
        <w:gridCol w:w="109"/>
        <w:gridCol w:w="211"/>
        <w:gridCol w:w="224"/>
        <w:gridCol w:w="557"/>
        <w:gridCol w:w="109"/>
        <w:gridCol w:w="109"/>
        <w:gridCol w:w="109"/>
        <w:gridCol w:w="211"/>
        <w:gridCol w:w="224"/>
        <w:gridCol w:w="557"/>
        <w:gridCol w:w="109"/>
        <w:gridCol w:w="109"/>
        <w:gridCol w:w="109"/>
        <w:gridCol w:w="211"/>
        <w:gridCol w:w="721"/>
        <w:gridCol w:w="109"/>
        <w:gridCol w:w="109"/>
        <w:gridCol w:w="109"/>
        <w:gridCol w:w="109"/>
        <w:gridCol w:w="128"/>
        <w:gridCol w:w="128"/>
        <w:gridCol w:w="271"/>
        <w:gridCol w:w="109"/>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administrative, and other expenses increased by $0.9 million, or 2%, in the three months ended September 30, 2025, compared to the same period in 2024. The increase was primarily due to a $1.0 million increase in payroll and other personnel-related expenses, a $0.9 million increase in office and administrative operating related expenses, a $0.7 million increase in depreciation expenses, and a $0.4 million increase in professional fees, partially offset by a $2.2 million decrease in legal and compliance expenses. As a percentage of total revenue, general, administrative, and other expenses decreased from 37% to 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administrative, and other expenses increased by $15.4 million, or 9%, in the nine months ended September 30, 2025, compared to the same period in 2024. The increase was primarily due to a $13.0 million increase in payroll and other personnel-related expenses, a $4.4 million increase in office and administrative operating related expenses and office rent and other facility expenses, a $2.5 million increase in depreciation expenses, and a $1.8 million increase in professional fees, partially offset by a $6.3 million decrease in legal and compliance expenses. As a percentage of total revenue, general, administrative, and other expenses decreased from 41% to 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Other Income, Net </w:t>
      </w:r>
    </w:p>
    <w:tbl>
      <w:tblPr>
        <w:tblW w:w="11130"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188"/>
        <w:gridCol w:w="188"/>
        <w:gridCol w:w="271"/>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188"/>
        <w:gridCol w:w="188"/>
        <w:gridCol w:w="271"/>
        <w:gridCol w:w="109"/>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September 30, 2025, other income, net decreased by $4.1 million, or 80%, compared to the same period in 2024, due to a $3.6 million increase in interest expense primarily resulting from the 2029 and 2030 Notes issued in 2024 and the related amortization of issuance costs, and a $1.6 million decrease in miscellaneous other income, net, partially offset by a $1.2 million increase in dividend income.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other income, net decreased by $4.8 million, or 53%, compared to the same period in 2024, due to a $11.2 million increase in interest expense primarily resulting from the 2029 and 2030 Notes issued in 2024 and the related amortization of issuance costs, partially offset by a $6.3 million increase in dividend income earned on higher cash balances.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Gain on Debt Extinguishment</w:t>
      </w:r>
    </w:p>
    <w:tbl>
      <w:tblPr>
        <w:tblW w:w="12180" w:type="dxa"/>
        <w:jc w:val="left"/>
        <w:tblInd w:w="0" w:type="dxa"/>
        <w:tblLayout w:type="fixed"/>
        <w:tblCellMar>
          <w:top w:w="28" w:type="dxa"/>
          <w:left w:w="28" w:type="dxa"/>
          <w:bottom w:w="28" w:type="dxa"/>
          <w:right w:w="28" w:type="dxa"/>
        </w:tblCellMar>
      </w:tblPr>
      <w:tblGrid>
        <w:gridCol w:w="506"/>
        <w:gridCol w:w="444"/>
        <w:gridCol w:w="446"/>
        <w:gridCol w:w="109"/>
        <w:gridCol w:w="109"/>
        <w:gridCol w:w="109"/>
        <w:gridCol w:w="109"/>
        <w:gridCol w:w="109"/>
        <w:gridCol w:w="211"/>
        <w:gridCol w:w="721"/>
        <w:gridCol w:w="109"/>
        <w:gridCol w:w="109"/>
        <w:gridCol w:w="109"/>
        <w:gridCol w:w="109"/>
        <w:gridCol w:w="211"/>
        <w:gridCol w:w="616"/>
        <w:gridCol w:w="109"/>
        <w:gridCol w:w="109"/>
        <w:gridCol w:w="109"/>
        <w:gridCol w:w="109"/>
        <w:gridCol w:w="211"/>
        <w:gridCol w:w="736"/>
        <w:gridCol w:w="109"/>
        <w:gridCol w:w="109"/>
        <w:gridCol w:w="109"/>
        <w:gridCol w:w="109"/>
        <w:gridCol w:w="188"/>
        <w:gridCol w:w="188"/>
        <w:gridCol w:w="271"/>
        <w:gridCol w:w="109"/>
        <w:gridCol w:w="109"/>
        <w:gridCol w:w="109"/>
        <w:gridCol w:w="109"/>
        <w:gridCol w:w="109"/>
        <w:gridCol w:w="211"/>
        <w:gridCol w:w="721"/>
        <w:gridCol w:w="109"/>
        <w:gridCol w:w="109"/>
        <w:gridCol w:w="109"/>
        <w:gridCol w:w="109"/>
        <w:gridCol w:w="211"/>
        <w:gridCol w:w="616"/>
        <w:gridCol w:w="109"/>
        <w:gridCol w:w="109"/>
        <w:gridCol w:w="109"/>
        <w:gridCol w:w="109"/>
        <w:gridCol w:w="211"/>
        <w:gridCol w:w="736"/>
        <w:gridCol w:w="109"/>
        <w:gridCol w:w="109"/>
        <w:gridCol w:w="109"/>
        <w:gridCol w:w="109"/>
        <w:gridCol w:w="188"/>
        <w:gridCol w:w="188"/>
        <w:gridCol w:w="271"/>
        <w:gridCol w:w="109"/>
        <w:gridCol w:w="109"/>
        <w:gridCol w:w="154"/>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the three and nine months ended September 30, 2025, gain on debt extinguishment decreased by $26.1 million, compared to the same periods in 2024, primarily due to a smaller amount of the 2026 Notes repurchased and at a higher price relative to the prior year. During the quarter ended September 30, 2024 and 2025</w:t>
      </w:r>
      <w:r>
        <w:rPr>
          <w:rFonts w:ascii="Arial;sans-serif" w:hAnsi="Arial;sans-serif"/>
          <w:b w:val="false"/>
          <w:color w:val="000000"/>
          <w:sz w:val="20"/>
        </w:rPr>
        <w:t>,</w:t>
      </w:r>
      <w:r>
        <w:rPr>
          <w:color w:val="000000"/>
        </w:rPr>
        <w:t xml:space="preserve"> </w:t>
      </w:r>
      <w:r>
        <w:rPr>
          <w:rFonts w:ascii="Times New Roman;serif" w:hAnsi="Times New Roman;serif"/>
          <w:b w:val="false"/>
          <w:color w:val="000000"/>
          <w:sz w:val="20"/>
        </w:rPr>
        <w:t>the Company used approximately $325.3 million and $224.2 million to repurchase $362.1 million and $232.6 million in aggregate principal amount outstanding of the 2026 Notes,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Reconciliation of Non-GAAP Financial Measures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supplement our condensed consolidated financial statements prepared and presented in accordance with GAAP, we use the non-GAAP financial measures of Contribution Profit, Contribution Margin, Adjusted EBITDA, Adjusted EBITDA Margin, Adjusted Net Income (Loss), and Adjusted Net Income (Loss)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years with the performance of other companies.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some of the limitations with respect to Adjusted EBITDA and Adjusted Margin are as follows: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Although depreciation expense is a non-cash charge, the assets being depreciated may have to be replaced in the future, and Adjusted EBITDA and Adjusted EBITDA Margin do not reflect cash capital expenditure requirements for such replacements or for new capital expenditure requirements;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do not correlate to the operation of the business;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 </w:t>
      </w:r>
    </w:p>
    <w:p>
      <w:pPr>
        <w:pStyle w:val="TextBody"/>
        <w:bidi w:val="0"/>
        <w:spacing w:before="0" w:after="0"/>
        <w:ind w:left="0" w:right="0" w:firstLine="612"/>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address these limitations, we provide a reconciliation of Contribution Profit, Contribution Margin, Adjusted EBITDA, Adjusted EBITDA Margin, Adjusted Net Income (Loss), and Adjusted Net Income (Loss) Per Share to income (loss) from operations and net income (loss), respectively. We encourage investors and others to review our financial information in its entirety, not to rely on any single financial measure and to view Contribution Profit, Contribution Margin, Adjusted EBITDA, Adjusted EBITDA Margin, Adjusted Net Income (Loss), and Adjusted Net Income (Loss) Per Share in conjunction with their respective related GAAP financial measures.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Contribution Profit and Contribution Margin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income (loss) from operations to Contribution Profit and Contribution Margin. We define Operating Margin as our income (loss) from operations divided by revenue from fees, net.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351"/>
        <w:gridCol w:w="1023"/>
        <w:gridCol w:w="1027"/>
        <w:gridCol w:w="109"/>
        <w:gridCol w:w="109"/>
        <w:gridCol w:w="109"/>
        <w:gridCol w:w="211"/>
        <w:gridCol w:w="826"/>
        <w:gridCol w:w="271"/>
        <w:gridCol w:w="109"/>
        <w:gridCol w:w="109"/>
        <w:gridCol w:w="109"/>
        <w:gridCol w:w="211"/>
        <w:gridCol w:w="826"/>
        <w:gridCol w:w="271"/>
        <w:gridCol w:w="109"/>
        <w:gridCol w:w="109"/>
        <w:gridCol w:w="109"/>
        <w:gridCol w:w="109"/>
        <w:gridCol w:w="109"/>
        <w:gridCol w:w="211"/>
        <w:gridCol w:w="826"/>
        <w:gridCol w:w="271"/>
        <w:gridCol w:w="109"/>
        <w:gridCol w:w="109"/>
        <w:gridCol w:w="109"/>
        <w:gridCol w:w="211"/>
        <w:gridCol w:w="826"/>
        <w:gridCol w:w="317"/>
      </w:tblGrid>
      <w:tr>
        <w:trPr/>
        <w:tc>
          <w:tcPr>
            <w:tcW w:w="135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684,791 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 net of borrower acquisition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 operations, net of borrower verification and servicing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185,910 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390,321 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(1)Borrower acquisition costs were $32.7 million and $67.3 million for the three months ended September 30, 2024 and 2025, respectively, and were $80.8 million and $176.8 million for the nine months ended September 30, 2024 and 2025,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 </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(2)Borrower verification and servicing costs were $32.5 million and $43.9 million for the three months ended September 30, 2024 and 2025, respectively, and were $95.8 million and $117.7 million for the nine months ended September 30, 2024 and 2025,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Adjusted EBITDA and Adjusted EBITDA Margin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(loss) and Net Income (Loss) Margin to Adjusted EBITDA and Adjusted EBITDA Margin. We define Net Income (Loss) Margin as net income (loss) divided by total revenue.</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388"/>
        <w:gridCol w:w="950"/>
        <w:gridCol w:w="954"/>
        <w:gridCol w:w="109"/>
        <w:gridCol w:w="109"/>
        <w:gridCol w:w="109"/>
        <w:gridCol w:w="109"/>
        <w:gridCol w:w="211"/>
        <w:gridCol w:w="826"/>
        <w:gridCol w:w="271"/>
        <w:gridCol w:w="109"/>
        <w:gridCol w:w="109"/>
        <w:gridCol w:w="109"/>
        <w:gridCol w:w="211"/>
        <w:gridCol w:w="826"/>
        <w:gridCol w:w="271"/>
        <w:gridCol w:w="109"/>
        <w:gridCol w:w="109"/>
        <w:gridCol w:w="109"/>
        <w:gridCol w:w="109"/>
        <w:gridCol w:w="109"/>
        <w:gridCol w:w="211"/>
        <w:gridCol w:w="826"/>
        <w:gridCol w:w="271"/>
        <w:gridCol w:w="109"/>
        <w:gridCol w:w="109"/>
        <w:gridCol w:w="109"/>
        <w:gridCol w:w="211"/>
        <w:gridCol w:w="826"/>
        <w:gridCol w:w="317"/>
      </w:tblGrid>
      <w:tr>
        <w:trPr/>
        <w:tc>
          <w:tcPr>
            <w:tcW w:w="138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747,767 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Income (Loss) Margin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and certain payroll tax expenses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on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166,792 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(1)Payroll tax expenses include the employer payroll tax-related expense on employee stock transactions, as the amount is dependent on our stock price and other factors that are beyond our control and do not correlate to the operation of our business.</w:t>
      </w:r>
    </w:p>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Net Income (Loss) and Adjusted Net Income (Loss) Per Share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net income (loss) to Adjusted Net Income (Loss) and Adjusted Net Income (Loss) Per Share: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35"/>
        <w:gridCol w:w="997"/>
        <w:gridCol w:w="1005"/>
        <w:gridCol w:w="109"/>
        <w:gridCol w:w="109"/>
        <w:gridCol w:w="109"/>
        <w:gridCol w:w="109"/>
        <w:gridCol w:w="270"/>
        <w:gridCol w:w="811"/>
        <w:gridCol w:w="109"/>
        <w:gridCol w:w="109"/>
        <w:gridCol w:w="109"/>
        <w:gridCol w:w="109"/>
        <w:gridCol w:w="267"/>
        <w:gridCol w:w="919"/>
        <w:gridCol w:w="109"/>
        <w:gridCol w:w="109"/>
        <w:gridCol w:w="109"/>
        <w:gridCol w:w="109"/>
        <w:gridCol w:w="109"/>
        <w:gridCol w:w="109"/>
        <w:gridCol w:w="211"/>
        <w:gridCol w:w="887"/>
        <w:gridCol w:w="109"/>
        <w:gridCol w:w="109"/>
        <w:gridCol w:w="109"/>
        <w:gridCol w:w="109"/>
        <w:gridCol w:w="240"/>
        <w:gridCol w:w="946"/>
        <w:gridCol w:w="155"/>
      </w:tblGrid>
      <w:tr>
        <w:trPr/>
        <w:tc>
          <w:tcPr>
            <w:tcW w:w="15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and certain payroll tax expenses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per share: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Net Income (Loss) Per Share, basic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(Loss) Per Share, diluted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90,119,481 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95,503,380 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90,119,481 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124,605,395 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119,894,056 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(1)Payroll tax expenses include the amount of employer payroll tax-related expense on employee stock transactions, as the amount is dependent on our stock price and other factors that are beyond our control and do not correlate to the operation of our business.</w:t>
      </w:r>
    </w:p>
    <w:p>
      <w:pPr>
        <w:pStyle w:val="TextBody"/>
        <w:bidi w:val="0"/>
        <w:spacing w:before="0" w:after="0"/>
        <w:ind w:left="0" w:right="0" w:hanging="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Sources and Uses of Cash and Cash Equivalents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our primary source of liquidity was cash and cash equivalents of $489.8 million. We also held $5.0 million of investments in certificates of deposit that mature in December 2025. Changes in the balance of cash and cash equivalents are generally a result of working capital fluctuations and the timing of purchases and sales of loans facilitated through our marketplace. To finance purchases of certain loans facilitated through our lending marketplace, we rely on our warehouse credit facilities through the special-purpose trusts and corporate cash.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entered into an “at the market” offering program pursuant to which we may offer and sell, from time to time, shares of our common stock with an aggregate offering price of up to $500.0 million, as described in the prospectus supplement dated February 14, 2025 filed with the U.S. Securities and Exchange Commission. As of September 30, 2025, no shares were issued under the program.</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ind w:left="0" w:right="0" w:firstLine="720"/>
        <w:jc w:val="both"/>
        <w:rPr/>
      </w:pPr>
      <w:r>
        <w:rPr>
          <w:rFonts w:ascii="Times New Roman;serif" w:hAnsi="Times New Roman;serif"/>
          <w:b w:val="false"/>
          <w:color w:val="000000"/>
          <w:sz w:val="20"/>
        </w:rPr>
        <w:t>Our convertible senior notes have an aggregate principal balance of $1,687.8 million and bear interest at a rate of 0.25% per year in the case of the 2026 Notes, 2.00% per year in the case of the 2029 Notes, and 1.00% per year in the case of the 2030 Notes, in each case payable semiannually. The 2032 Notes do not bear regular interest. The Notes mature between 2026 to 2032, unless earlier converted, redeemed, or repurchased in accordance with their terms. The 2026 Notes have a principal balance of $66.5 million and are current and due August 2026. Refer to “</w:t>
      </w:r>
      <w:r>
        <w:rPr>
          <w:rFonts w:ascii="Times New Roman;serif" w:hAnsi="Times New Roman;serif"/>
          <w:b w:val="false"/>
          <w:i/>
          <w:color w:val="000000"/>
          <w:sz w:val="20"/>
        </w:rPr>
        <w:t>Note 8. Borrowings</w:t>
      </w:r>
      <w:r>
        <w:rPr>
          <w:color w:val="000000"/>
        </w:rPr>
        <w:t xml:space="preserve">” </w:t>
      </w:r>
      <w:r>
        <w:rPr>
          <w:rFonts w:ascii="Times New Roman;serif" w:hAnsi="Times New Roman;serif"/>
          <w:b w:val="false"/>
          <w:color w:val="000000"/>
          <w:sz w:val="20"/>
        </w:rPr>
        <w:t>in Part I, Item 1 of this Quarterly Report on Form 10-Q for further details on our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warehouse credit facilities, which mature between December 2026 and June 2028, allow us to borrow up to an aggregate of $475.0 million to purchase unsecured personal loans, $100.0 million to purchase small dollar loans, and up to $150.0 million to purchase auto loans. Our risk retention financing facility, which allows us to borrow up to $100.0 million, has a maturity which aligns with the stated maturities of the underlying notes pledged as collateral, which range from 2026 to 2035. As of September 30, 2025, we have drawn an aggregate of $140.5 million on our warehouse credit facilities and $60.7 million on our risk retention financing facility. Refer to “</w:t>
      </w:r>
      <w:r>
        <w:rPr>
          <w:rFonts w:ascii="Times New Roman;serif" w:hAnsi="Times New Roman;serif"/>
          <w:b w:val="false"/>
          <w:i/>
          <w:color w:val="000000"/>
          <w:sz w:val="20"/>
        </w:rPr>
        <w:t>Note 8. Borrowings</w:t>
      </w:r>
      <w:r>
        <w:rPr>
          <w:color w:val="000000"/>
        </w:rPr>
        <w:t xml:space="preserve">” </w:t>
      </w:r>
      <w:r>
        <w:rPr>
          <w:rFonts w:ascii="Times New Roman;serif" w:hAnsi="Times New Roman;serif"/>
          <w:b w:val="false"/>
          <w:color w:val="000000"/>
          <w:sz w:val="20"/>
        </w:rPr>
        <w:t>in Part I, Item 1 of this Quarterly Report on Form 10-Q for further details on our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lease office facilities under operating lease agreements which expire between 2027 and 2029. Our cash requirements related to these lease agreements are $44.3 million, of which $15.7 million is expected to be paid within the next 12 months. Refer to “</w:t>
      </w:r>
      <w:r>
        <w:rPr>
          <w:rFonts w:ascii="Times New Roman;serif" w:hAnsi="Times New Roman;serif"/>
          <w:b w:val="false"/>
          <w:i/>
          <w:color w:val="000000"/>
          <w:sz w:val="20"/>
        </w:rPr>
        <w:t>Note 10. Leases</w:t>
      </w:r>
      <w:r>
        <w:rPr>
          <w:color w:val="000000"/>
        </w:rPr>
        <w:t xml:space="preserve">” </w:t>
      </w:r>
      <w:r>
        <w:rPr>
          <w:rFonts w:ascii="Times New Roman;serif" w:hAnsi="Times New Roman;serif"/>
          <w:b w:val="false"/>
          <w:color w:val="000000"/>
          <w:sz w:val="20"/>
        </w:rPr>
        <w:t>in Part I, Item 1 of this Quarterly Report on Form 10-Q for further details on our operating lease obligations.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have committed to purchase loans from certain lending partners at the conclusion of the required holding period, which is generally equal to three business days. As of September 30, 2025, the total loan purchase commitment was $113.7 million. The Company also has commitments to fund future advances on HELOCs. As of September 30, 2025, these commitments were $20.5 million, however since we can limit these commitments under certain conditions or these commitments could expire without being drawn upon, the total commitment amounts do not necessarily represent future cash requirements. See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in Part I, Item 1 of this Quarterly Report on Form 10-Q for further details on our commitments.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connection with our committed capital and other co-investment arrangements, we are obligated to put a certain amount of our assets at risk in relation to the credit performance of the underlying loans. The risk in these arrangements is subject to a dollar cap, which represents the Company’s maximum exposure to losses in a particular arrangement under severe, hypothetical circumstances, for which the Company believes the possibility is remote. As of September 30, 2025, the Company’s aggregate maximum exposure to losses was $797.3 million. Refer to “</w:t>
      </w:r>
      <w:r>
        <w:rPr>
          <w:rFonts w:ascii="Times New Roman;serif" w:hAnsi="Times New Roman;serif"/>
          <w:b w:val="false"/>
          <w:i/>
          <w:color w:val="000000"/>
          <w:sz w:val="20"/>
        </w:rPr>
        <w:t>Note 4. Beneficial Interests</w:t>
      </w:r>
      <w:r>
        <w:rPr>
          <w:color w:val="000000"/>
        </w:rPr>
        <w:t xml:space="preserve">” </w:t>
      </w:r>
      <w:r>
        <w:rPr>
          <w:rFonts w:ascii="Times New Roman;serif" w:hAnsi="Times New Roman;serif"/>
          <w:b w:val="false"/>
          <w:color w:val="000000"/>
          <w:sz w:val="20"/>
        </w:rPr>
        <w:t>in Part I, Item 1 of this Quarterly Report on Form 10-Q for further details on our committed capital and co-investment arrangements. Our cash requirements for the next 12 months related to investments in these existing arrangements is estimated to be up to $221.9 million from cash and cash equivalents and up to $7.0 million from restricted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we believe that our cash and cash equivalents on hand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and cash equivalents balances and cash generated by operations are insufficient to satisfy liquidity needs, our results of operations and financial condition would be materially and adversely impacted.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during the periods indicated: </w:t>
      </w:r>
    </w:p>
    <w:p>
      <w:pPr>
        <w:pStyle w:val="TextBody"/>
        <w:bidi w:val="0"/>
        <w:spacing w:before="0" w:after="0"/>
        <w:ind w:left="0" w:right="0" w:firstLine="720"/>
        <w:jc w:val="both"/>
        <w:rPr/>
      </w:pPr>
      <w:r>
        <w:rPr/>
      </w:r>
    </w:p>
    <w:tbl>
      <w:tblPr>
        <w:tblW w:w="8350" w:type="dxa"/>
        <w:jc w:val="left"/>
        <w:tblInd w:w="0" w:type="dxa"/>
        <w:tblLayout w:type="fixed"/>
        <w:tblCellMar>
          <w:top w:w="28" w:type="dxa"/>
          <w:left w:w="28" w:type="dxa"/>
          <w:bottom w:w="28" w:type="dxa"/>
          <w:right w:w="28" w:type="dxa"/>
        </w:tblCellMar>
      </w:tblPr>
      <w:tblGrid>
        <w:gridCol w:w="1573"/>
        <w:gridCol w:w="1383"/>
        <w:gridCol w:w="1393"/>
        <w:gridCol w:w="109"/>
        <w:gridCol w:w="109"/>
        <w:gridCol w:w="109"/>
        <w:gridCol w:w="109"/>
        <w:gridCol w:w="109"/>
        <w:gridCol w:w="109"/>
        <w:gridCol w:w="140"/>
        <w:gridCol w:w="140"/>
        <w:gridCol w:w="271"/>
        <w:gridCol w:w="1063"/>
        <w:gridCol w:w="140"/>
        <w:gridCol w:w="109"/>
        <w:gridCol w:w="109"/>
        <w:gridCol w:w="109"/>
        <w:gridCol w:w="211"/>
        <w:gridCol w:w="901"/>
        <w:gridCol w:w="154"/>
      </w:tblGrid>
      <w:tr>
        <w:trPr/>
        <w:tc>
          <w:tcPr>
            <w:tcW w:w="15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593" w:type="dxa"/>
            <w:gridSpan w:val="6"/>
            <w:tcBorders/>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297,257 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(159,817)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187,980 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(139,358)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Net Cash from Operating Activities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main sources of cash provided by operating activities are our revenue from fees earned under contracts with lending partners and institutional investors and interest income we receive for loans held on our balance sheet.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main uses of cash in our operating activities include payments to marketing partners, vendor payments, payroll and other personnel-related expenses, payments for facilities, and other general business expenditures.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$256.3 million for the nine months ended September 30, 2025, which consisted of $278.6 million change in net changes in operating assets and liabilities, net income of $35.0 million, and adjustments for non-cash items of $12.7 million. The decrease in non-cash adjustments was primarily related to $83.4 million of changes in fair value of loans, $33.6 million loan premium amortization, and $7.2 million gain related to the partial extinguishment of the 2026 Notes, partially offset by $99.5 million stock-based compensation expense and $12.8 million changes in fair value of servicing assets primarily as a result of new loans added to the servicing portfolio. The decrease in net changes in operating assets and liabilities was primarily related to $415.6 million of net payments from purchase and sale of loans held-for-sale, $20.9 million decrease in accrued expenses and other liabilities, and $15.7 million of settlements of beneficial interest liabilities, partially offset by $138.5 million in principal payments received for loans held-for-sale, $29.8 million in principal payments received for loans held in consolidated securitization, and $3.8 million of changes in other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Net Cash from Investing Activities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$308.9 million for the nine months ended September 30, 2025 as a result of $666.0 million of purchases and originations of loans held-for-investment, partially offset by $222.0 million of principal payments received for loans held-for-investment, $94.2 million of proceeds from beneficial interest assets, and $51.2 million of proceeds from sale of loans held-for-investment.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Cash from 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$425.8 million for the nine months ended September 30, 2025 primarily due to $395.8 million proceeds received from the issuance of the 2032 Notes, net of debt issuance costs, purchase of capped calls, and partial repurchase of the 2026 Notes. The Company also received $212.8 million of proceeds from borrowings, which was partially offset by $207.5 million repayments of borrowings.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Composition of Balance Sheet Loan Portfolio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held $1,230.0 million of loans on our condensed consolidated balance sheet. $871.3 million of these loans were originated for research and development purposes, primarily in support of our auto lending products, HELOCs, and expansion of our unsecured personal loan product to new categories of borrowers. We also held $294.6 million of core personal loans, the majority of which would otherwise be purchased by institutional investors, and $64.1 million of core personal loans held by the consolidated securitization. We will continue to utilize our capital to support research and development activities and, at times, as a funding source for core personal loans during periods of marketplace funding constraints. The extent and timing of utilizing our capital as a funding source for loans will largely depend on the availability of capital in our marketplace relative to the demand from qualified borrowers and our business priorities. We plan to sell loans held on our balance sheet to institutional investors over time in the form of secondary sales or securitizations and pass through issuances.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Off-Balance Sheet Arrangements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the ordinary course of business, we engage in activities that are not reflected on our condensed consolidated balance sheets, generally referred to as off-balance sheet arrangements. These activities involve transactions with unconsolidated VIEs, including sale of whole loans, committed capital and other co-investment arrangements, and sponsored and co-sponsored securitization transactions, which we contractually service. We use these transactions to provide a source of liquidity to finance our business and to diversify our institutional investor base. If we are the retaining sponsor of a securitization transaction, we are required by law to retain at least 5% of the credit risk of the securities issued in these securitizations. We provide additional information regarding transactions with unconsolidated VIEs in “</w:t>
      </w:r>
      <w:r>
        <w:rPr>
          <w:rFonts w:ascii="Times New Roman;serif" w:hAnsi="Times New Roman;serif"/>
          <w:b w:val="false"/>
          <w:i/>
          <w:color w:val="000000"/>
          <w:sz w:val="20"/>
        </w:rPr>
        <w:t>Note 3. Variable Interest Entities</w:t>
      </w:r>
      <w:r>
        <w:rPr>
          <w:color w:val="000000"/>
        </w:rPr>
        <w:t xml:space="preserve">” </w:t>
      </w:r>
      <w:r>
        <w:rPr>
          <w:rFonts w:ascii="Times New Roman;serif" w:hAnsi="Times New Roman;serif"/>
          <w:b w:val="false"/>
          <w:color w:val="000000"/>
          <w:sz w:val="20"/>
        </w:rPr>
        <w:t>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critical accounting policies are described in Part II, Item 7, “</w:t>
      </w:r>
      <w:r>
        <w:rPr>
          <w:rFonts w:ascii="Times New Roman;serif" w:hAnsi="Times New Roman;serif"/>
          <w:b w:val="false"/>
          <w:i/>
          <w:color w:val="000000"/>
          <w:sz w:val="20"/>
        </w:rPr>
        <w:t>Critical Accounting Policies and Estimates</w:t>
      </w:r>
      <w:r>
        <w:rPr>
          <w:color w:val="000000"/>
        </w:rPr>
        <w:t xml:space="preserve">” </w:t>
      </w:r>
      <w:r>
        <w:rPr>
          <w:rFonts w:ascii="Times New Roman;serif" w:hAnsi="Times New Roman;serif"/>
          <w:b w:val="false"/>
          <w:color w:val="000000"/>
          <w:sz w:val="20"/>
        </w:rPr>
        <w:t>in our Annual Report on Form 10-K for the year ended December 31, 2024. There have been no material changes to these policies during the nine months ended September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Refer to </w:t>
      </w:r>
      <w:r>
        <w:rPr>
          <w:color w:val="000000"/>
        </w:rPr>
        <w:t>“</w:t>
      </w:r>
      <w:r>
        <w:rPr>
          <w:rFonts w:ascii="Times New Roman;serif" w:hAnsi="Times New Roman;serif"/>
          <w:b w:val="false"/>
          <w:i/>
          <w:color w:val="000000"/>
          <w:sz w:val="20"/>
        </w:rPr>
        <w:t xml:space="preserve">Note 1. Description of Business and Significant Accounting Policies” </w:t>
      </w:r>
      <w:r>
        <w:rPr>
          <w:rFonts w:ascii="Times New Roman;serif" w:hAnsi="Times New Roman;serif"/>
          <w:b w:val="false"/>
          <w:color w:val="000000"/>
          <w:sz w:val="20"/>
        </w:rPr>
        <w:t>in Part I, Item 1 of this Quarterly Report on Form 10-Q for recently adopted accounting pronouncements and recently issued accounting pronouncements not yet adopted when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institutional investor demand for loans facilitated through our marketplace, and availability of funding under our warehouse credit facilities. Our inability or failure to manage market risks could harm our business, financial condition or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Discount Rate Risk </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Discount rate sensitivity refers to the risk of loss to future earnings, values or future cash flows that may result from changes in market discount rates.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2024 and September 30, 2025, we were exposed to market discount rate risk on $703.4 million and $1,165.9 million, respectively, of loans held on our condensed consolidated balance sheets, excluding loans held in consolidated securitization. The fair value of these loans is estimated using a discounted cash flow methodology, where the discount rate represents an estimate of the required rate of return by market participants. The changes in the discount rates for loans held on our balance sheet reflect the expected returns of similar financial instruments available in the market and can be caused by changes in the market interest rates, expected loan performance, and other factors. Any gains and losses from discount rate changes are recorded in earnings. A hypothetical 100 basis point and 200 basis point increase in the discount rate would result in a $9.0 million and $17.9 million decrease, respectively, in the fair value of loans as of December 31, 2024 and a $14.0 million and $27.6 million decrease, respectively, as of September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and September 30, 2025, we held $102.9 million and $64.1 million, respectively, of loans held in the consolidated securitization which are included in loans, at fair value, on the condensed consolidated balance sheets. The fair value of these loans is determined by the sum of the fair value of the related securitization notes and residual certificates issued as part of the consolidated securitization, and uses the same projected net cash flows as the underlying collateral loan pool. As the Company retained all residual certificates issued by the consolidated securitization, their value is eliminated as part of the consolidation process. A hypothetical 100 basis point and 200 basis point increase in the discount rate do not result in a material impact to the fair value of loans held in consolidated securitization as of December 31, 2024 and September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and September 30, 2025, we were also exposed to market discount rate risk on payable to securitization note holders of $87.3 million and $55.2 million, respectively. A hypothetical 100 basis point and 200 basis point increase in the discount rate do not result in a material impact to the fair value of payable to securitization note holders as of December 31, 2024 and September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2024 and September 30, 2025, we were also exposed to market discount rate risk on other financial instruments, including $176.8 million and $316.2 million of beneficial interest assets, respectively. Beneficial interest assets are estimated at fair value using a discounted cash flow model which considers projected defaults, losses and recoveries to project future losses and net cash flows on the underlying loans. We use two different discount rates for expected cash flows associated with demonstrated to-date credit performance and those associated with future credit performance. Any gains and losses from discount rate changes are recorded in earnings. A hypothetical 100 basis point and 200 basis point increase in the discount rate would result in a $3.2 million and $6.4 million decrease, respectively, in the fair value of beneficial interest assets as of December 31, 2024, and a $4.6 million and $9.1 million decrease, respectively,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Credit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Credit risk refers to the risk of loss of loans arising from individual borrower default due to inability or unwillingness to meet their financial obligations. The performance of certain financial instruments, including loans, beneficial interests, securitization notes and residual certificates, and payable to securitization note holders on our condensed consolidated balance sheets are dependent on the credit performance of loans facilitated by us. To manage this risk, we monitor borrower payment performance through our lending marketplace and utilize our AI capabilities to price loans in a manner that we believe is reflective of their credit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loans and beneficial interests are estimated based on a discounted cash flow model which involves the use of significant unobservable inputs and assumptions. These instruments are sensitive to changes in credit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and September 30, 2025, we were exposed to credit risk on $703.4 million and $1,165.9 million, respectively, of loans held on our condensed consolidated balance sheets, excluding loans held in consolidated securitization. Loans bear fixed interest rates and are carried on our condensed consolidated balance sheets at fair value. As of December 31, 2024, a hypothetical 10% and 20% increase in credit risk would result in a $9.1 million and $18.1 million decrease, and as of September 30, 2025, a hypothetical 10% and 20% increase in credit risk would result in a $13.1 million and $25.6 million decrease in the fair value of loans,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2024 and September 30, 2025, we held $102.9 million and $64.1 million, respectively, of loans held in the consolidated securitization which are included in loans, at fair value, on the condensed consolidated balance sheets. The fair value of these loans is determined by the sum of the fair value of the related securitization notes and residual certificates issued by the consolidated entities, and uses the same projected net cash flows as the underlying collateral loan pool. As the Company retained all residual certificates issued by the consolidated securitization, the residual certificates value is eliminated as part of the consolidation process. A hypothetical 10% and 20% increase in the credit risk would result in a $1.8 million and $3.6 million decrease, respectively, in the fair value of loans held in consolidated securitization as of December 31, 2024. A hypothetical 10% and 20% increase in the credit risk do not result in a material impact to the fair value of loans held in consolidated securitization as of September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also exposed to credit risk through credit risk rate spreads on beneficial interest assets and beneficial interest liabilities held on the condensed consolidated balance sheet of $176.8 million and $10.1 million, respectively, as of December 31, 2024, and $316.2 million and $13.2 million, respectively, as of September 30, 2025. These assets and liabilities are associated with committed capital and other co-investment arrangements with institutional investors and lending partners, in which the Company puts certain amounts of assets at risk. See “</w:t>
      </w:r>
      <w:r>
        <w:rPr>
          <w:rFonts w:ascii="Times New Roman;serif" w:hAnsi="Times New Roman;serif"/>
          <w:b w:val="false"/>
          <w:i/>
          <w:color w:val="000000"/>
          <w:sz w:val="20"/>
        </w:rPr>
        <w:t>Note 4. Beneficial Interests</w:t>
      </w:r>
      <w:r>
        <w:rPr>
          <w:color w:val="000000"/>
        </w:rPr>
        <w:t xml:space="preserve">” </w:t>
      </w:r>
      <w:r>
        <w:rPr>
          <w:rFonts w:ascii="Times New Roman;serif" w:hAnsi="Times New Roman;serif"/>
          <w:b w:val="false"/>
          <w:color w:val="000000"/>
          <w:sz w:val="20"/>
        </w:rPr>
        <w:t>in Part I, Item 1 of this Quarterly Report on Form 10-Q for additional information on maximum exposure to losses from these arrangements. A hypothetical 10% and 20% adverse change in credit risk spread would result in a $44.4 million and $89.6 million decrease, respectively, in the fair value of beneficial interest assets held on our condensed consolidated balance sheet, and would result in a $4.7 million and $10.3 million increase in the fair value of beneficial interest liabilities on our condensed consolidated balance sheet, respectively, as of December 31, 2024. A hypothetical 10% and 20% adverse change in credit risk spread would result in a $71.4 million and $142.3 million decrease, respectively, in the fair value of beneficial interest assets, and would result in a $19.2 million and $37.9 million increase in the fair value of beneficial interest liabilities, respectively, as of September 30, 2025.</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Counterparty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risk that arises from our derivative financial instruments, line of credit receivable,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loss if such counterparty were unable to meet its obligations to us. We manage this risk by selecting only counterparties that we believe to be financially strong, spreading the risk among multiple such counterparties, and placing contractual limits on the amount of dependence on any single counterparty.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2024 and September 30, 2025, we held $976.3 million and $836.9 million, respectively, related to cash, cash equivalents and restricted cash in business checking accounts and interest-bearing deposit accounts as well as money market accounts at various financial institutions in the United States. We are exposed to credit risk in the event of default by these financial institutions to the extent the amount recorded on our condensed consolidated balance sheets exceeds the insured amounts by the Federal Deposit Insurance Corporation, or FDIC. We reduce credit risk by placing our cash, cash equivalents and restricted cash in reputable institutions.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2024 and September 30, 2025, $137.4 million and $194.3 million, respectively, of the Company’s cash was held by one of our institutional investors in relation to the line of credit receivable and the beneficial interest asset. We mitigate our risk exposure through corporate guarantees provided by the investor.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borrower bankruptcies and charge-offs, and decreasing recoveries, all of which could have a material adverse effect on our business. We expect these outcomes would generally invert in an environment of decreasing interest rates.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 increase or decrease in interest rates may also impact our exposure to interest rate risk on our warehouse credit facilities. As of December 31, 2024 and September 30, 2025, we were exposed to interest rate risk on $195.6 million and $140.5 million, respectively, under our warehouse credit facilities, which bear floating interest rates. Changes in interest rates may impact our cost of borrowing.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Investment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non-marketable equity securities are subject to a wide variety of market-related risks that could substantially reduce or increase the carrying value of our investments.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condensed consolidated statements of operations and comprehensive income (loss) upon recognition of such adjustments or impairments. As of December 31, 2024 and September 30, 2025, the carrying value of our non-marketable equity securities, which do not have readily determinable fair values, totaled $41.3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a.Evaluation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and supervision of our Chief Executive Officer and Chief Financial Officer, has evaluated the effectiveness of our disclosure controls and procedures as defined in Rules 13a-15(e) and 15d-15(e) under the Exchange Act. Based on that evaluation, our Chief Executive Officer and Chief Financial Officer have concluded that, as of September 30, 2025,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b.Changes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Rules 13a-15(d) and 15d-15(d) under the Exchange Act) that occurred during the quarter ended September 30, 2025 that has materially affected, or is reasonably likely to materially affect, our internal control over financial reporting.</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c.Limitations on Effectiveness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For a description of our material pending legal proceedings, please see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in Part I, Item 1 of this Quarterly Report on Form 10-Q and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II, Item 1A of this Quarterly Report on Form 10-Q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0" w:after="0"/>
        <w:jc w:val="center"/>
        <w:rPr>
          <w:rFonts w:ascii="Times New Roman;serif" w:hAnsi="Times New Roman;serif"/>
          <w:b/>
          <w:color w:val="000000"/>
          <w:sz w:val="22"/>
        </w:rPr>
      </w:pPr>
      <w:bookmarkStart w:id="1" w:name="i768280978da94aa5a3563a6c84387cdf_294134"/>
      <w:bookmarkEnd w:id="1"/>
      <w:r>
        <w:rPr>
          <w:rFonts w:ascii="Times New Roman;serif" w:hAnsi="Times New Roman;serif"/>
          <w:b/>
          <w:color w:val="000000"/>
          <w:sz w:val="22"/>
        </w:rPr>
        <w:t>RISK FACTORS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Investing in our common stock involves a high degree of risk. The risks and uncertainties described below should be carefully considered, together with all of the other information in this Quarterly Report on Form 10-Q, including the section titled “Management’s Discussion and Analysis of Financial Condition and Results of Operations” and our condensed</w:t>
      </w:r>
      <w:r>
        <w:rPr>
          <w:color w:val="000000"/>
        </w:rPr>
        <w:t xml:space="preserve"> </w:t>
      </w:r>
      <w:r>
        <w:rPr>
          <w:rFonts w:ascii="Times New Roman;serif" w:hAnsi="Times New Roman;serif"/>
          <w:b w:val="false"/>
          <w:i/>
          <w:color w:val="000000"/>
          <w:sz w:val="20"/>
        </w:rPr>
        <w:t>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bookmarkStart w:id="2" w:name="i768280978da94aa5a3563a6c84387cdf_294129"/>
      <w:bookmarkEnd w:id="2"/>
      <w:r>
        <w:rPr>
          <w:rFonts w:ascii="Times New Roman;serif" w:hAnsi="Times New Roman;serif"/>
          <w:b/>
          <w:color w:val="000000"/>
          <w:sz w:val="20"/>
        </w:rPr>
        <w:t>SUMMARY OF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material risks that may affect our business, financial condition or results of operations include, but are not limited to, those relating to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has been and will continue to be adversely affected by economic conditions and other factors that we cannot control.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continue to improve our AI models or if our AI models contain errors or are otherwise ineffective, our growth prospects, business, financial condition and results of operations would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our AI models do not accurately reflect the impact of economic conditions on borrowers’ credit risk in a timely manner, the performance of Upstart-powered loans may be worse than anticipated and our AI models may be perceived as ineffective.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approve a significant number of borrowers for loans through our marketplace, our growth prospects, business, financial condition and results of operations would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our existing lending partners cease or limit their participation in our marketplace or if we are unable to attract new lending partners to our marketplace, our business, financial condition and results of operations will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a relatively limited operating history, which may result in increased risks, uncertainties, expenses and difficulties, and makes it difficult to evaluate our future prospects.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manage the risks associated with the Upstart Macro Index (UMI), which we introduced in 2023 and which does not have a long history or proven track record, our credibility, reputation, business, 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incurred net losses in the past, and we may not be able to maintain or achieve profitability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manage risks associated with the loans on our balance sheet, our business, financial condition and results of operations may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revenue growth rate and financial performance in the past may not be indicative of future performance.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quarterly results are likely to fluctuate and as a result may adversely affect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loan funding arrangements with institutional investors, securitization programs, and warehouse credit and risk retention financing facilities expose us to certain risks, and if we fail to successfully manage such risks, it may result in the reduced supply of loan funding capital or require us to seek more costly or less efficient financing for our marketplace.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top three lending partners account for a significant portion of loan originations on our marketplace and our revenue.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is subject to a wide range of laws and regulations, many of which are evolving, and failure or perceived failure to comply with such laws and regulations could harm our business, financial condition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manage the risks related to our loan servicing and collections obligations, our business,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Substantially all of our revenue is derived from a single loan product, and we are thus particularly susceptible to fluctuations in the unsecured personal loan market.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sales and onboarding process of new lending partners could take longer than expected, leading to fluctuations or variability in expected revenues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continuing to introduce and develop new loan products and services, and if these products and services are not successful or we are unable to manage the related risks, our growth prospects, business, 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rely on strategic relationships with loan aggregators to attract applicants to our marketplace, and if we cannot maintain effective relationships with loan aggregators or successfully replace their services, our business could be adversely affected.</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bookmarkStart w:id="3" w:name="i768280978da94aa5a3563a6c84387cdf_294130"/>
      <w:bookmarkEnd w:id="3"/>
      <w:r>
        <w:rPr>
          <w:rFonts w:ascii="Times New Roman;serif" w:hAnsi="Times New Roman;serif"/>
          <w:b/>
          <w:color w:val="000000"/>
          <w:sz w:val="20"/>
        </w:rPr>
        <w:t>RISKS RELATED TO OUR BUSINESS AND INDUSTRY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business has been and will continue to be adversely affected by economic conditions and other factors that we cannot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Uncertainty, volatility and negative trends in general economic conditions historically have created a difficult operating environment for our industry. Many factors, including factors that are beyond our control, have impacted and will continue to impact our business, financial condition and results of operations by affecting the supply of capital to our marketplace from our lending partners and institutional investors, the demand by borrowers for Upstart-powered loans, and borrowers’ ability and willingness to repay their loans. These factors include, but are not limited to, interest rates, inflation, personal savings rates, U.S. politics (including state and federal elections, changes in presidential and gubernatorial administrations and related impact to policy), fiscal and monetary policies, recession or fear of recession, unemployment levels, disruptions in the banking sector, lower consumer confidence, reduced consumer discretionary spending, conditions in the housing market, immigration policies, gas prices, energy costs, government shutdowns, trade wars, tariff increases and delays in tax refunds, as well as events such as natural disasters, acts of war, geopolitical conflicts, terrorism, catastrophes and pandemics. If any of these factors negatively affect borrowers, lending partners or institutional investors, or if we are unable to mitigate the risks associated with them,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recent years, the United States experienced historically high levels of inflation. In response, the government implemented policy interventions. The U.S. Federal Reserve raised interest rates eleven times in 2022 and 2023. While the goal was to curb inflation, these interventions may have had, and could continue to have, broad macroeconomic implications, including contributing to an economic downturn, higher unemployment rates or disruptions to the banking sector. While the U.S. Federal Reserve lowered interest rates in the second half of 2024 and 2025 in response to indications of lower inflation levels, the timing of additional interest rate cuts, if any, is uncertain.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current macroeconomic environment and resulting uncertainty and volatility have had, and could continue to have, several effects on our business and results of operations, including, among other things:</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 decrease in loan origination volume;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reduction in loan funding from lending partners and institutional investors;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reduction in liquidity in the capital markets;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lower approval rates for, and acceptance of loan offers by, applicants;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increased utilization of our balance sheet to purchase Upstart-powered loans;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delays in the adoption of our AI lending marketplace by new lending partners;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increased delinquencies and default rates for Upstart-powered loans;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reductions in workforce.</w:t>
      </w:r>
    </w:p>
    <w:p>
      <w:pPr>
        <w:pStyle w:val="TextBody"/>
        <w:bidi w:val="0"/>
        <w:spacing w:lineRule="auto" w:line="288" w:before="0" w:after="0"/>
        <w:ind w:left="0" w:right="0" w:firstLine="720"/>
        <w:jc w:val="both"/>
        <w:rPr/>
      </w:pPr>
      <w:r>
        <w:rPr>
          <w:rFonts w:ascii="Times New Roman;serif" w:hAnsi="Times New Roman;serif"/>
          <w:b w:val="false"/>
          <w:color w:val="000000"/>
          <w:sz w:val="20"/>
        </w:rPr>
        <w:t>The current macroeconomic environment has had, and may continue to have, a material adverse effect on our business by affecting the supply of capital to our marketplace from institutional investors and lending partners. For more information, see the risk factors titled “—</w:t>
      </w:r>
      <w:r>
        <w:rPr>
          <w:rFonts w:ascii="Times New Roman;serif" w:hAnsi="Times New Roman;serif"/>
          <w:b w:val="false"/>
          <w:i/>
          <w:color w:val="000000"/>
          <w:sz w:val="20"/>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If our existing lending partners cease or limit their participation in our marketplace or if we are unable to attract new lending partners to our marketplace, our business, financial condition and results of operations will be adversely affected.</w:t>
      </w:r>
      <w:r>
        <w:rPr>
          <w:color w:val="00000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offer consumer loans on our marketplace, and many consumers that come to our marketplace have poor, limited or no credit history. Such consumers have historically been, and may in the future be, disproportionately affected by adverse macroeconomic conditions. Inflation, higher interest rates, recession or fear of recession, availability of government assistance programs, unemployment, bankruptcy, government interventions, such as stimulus measures, major medical expenses, divorce or death may affect borrowers’ ability or willingness to borrow or make payments on loans. Macroeconomic changes have in the past and may in the future negatively impact borrowers’ ability and willingness to borrow and make repayments. For more information, see the risk factors titled “—</w:t>
      </w:r>
      <w:r>
        <w:rPr>
          <w:rFonts w:ascii="Times New Roman;serif" w:hAnsi="Times New Roman;serif"/>
          <w:b w:val="false"/>
          <w:i/>
          <w:color w:val="000000"/>
          <w:sz w:val="20"/>
        </w:rPr>
        <w:t>If we are unable to approve a significant number of borrowers for loans through our marketplace, our growth prospects, business, financial condition and results of operations would be adversely affected</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an economic down cycle, there is a greater risk that borrowers will not make payments on loans. Also, borrowers may not prioritize repayment of unsecured personal loans over loans that are secured by necessities, for example, mortgages, home equity loans or auto loans. Higher interest rates often lead to higher payment obligations, which may reduce the ability of borrowers to remain current on their obligations. These factors may lead to increased delinquencies, defaults and bankruptcies declared by borrowers, resulting in more charge-offs and fewer recoveries, all of which have had, and could continue to have, a material adverse effect on the credit performance of loans facilitated on our marketplace and our business. From time to time, the vintages of core personal loans that originated in prior quarters may underperform relative to the target returns set at the time of loan origination. For example, as of September 30, 2025, the quarterly vintages that originated in the third quarter of 2023 through the first quarter of 2024 were forecasted to underperform. When a borrower defaults on a loan, it increases our costs to service the loan. If default rates exceed our expectations, demand by our lending partners to originate loans, and institutional investors to fund loans, facilitated through our marketplace could be negatively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impacted, with such impacts having occurred in the past. Similarly, any sustained decline in applicant approvability or acceptance of loan offers or loan origination volume, or any increase in delinquencies or defaults by borrowers beyond our expectation, would harm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depends on sourcing and maintaining diverse and resilient loan funding from institutional investors to our marketplace. The institutional investors provide loan funding to our marketplace by purchasing whole loans, pass-through certificates and asset-backed securities. Out of the total principal of loans transacted on our marketplace during the nine months ended September 30, 2025, 62% were purchased by institutional investors. The availability and capacity of loan funding from institutional investors depend on many factors that are outside of our control, such as economic and market conditions, interest rates, liquidity in the capital markets and regulatory requirements or restrictions, which are subject to change. While we have experienced funding constraints since 2022 due to the macroeconomic environment, we have since diversified loan funding capacity. We cannot be sure that the existing funding sources will continue to be available, or any new funding source will become available, on commercially reasonable terms or at all. Decreased funding from institutional investors has negatively impacted our business in the past, and may negatively impact us in the future. Any sustained decline in investor demand for Upstart-powered loans or securities secured by such loans for any reason, including due to adverse economic conditions or due to any increase in delinquencies, defaults or losses beyond our expectation, may adversely affect our financial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loan funding from institutional investors comes from committed capital and other co-investment arrangements. These arrangements may include terms that provide downside risk protection, subject to certain limits and conditions. In particular, we have agreed to compensate certain investors, subject to a limit, if credit performance on the loans under these arrangements deviates from our initial expectations and, subject to certain conditions, if we are unable to sell the minimum required volume of loans to our committed capital providers. As such, if the loans do not perform as expected due to unexpected shifts in borrower behaviors, ability to pay or otherwise, if we have a decrease in borrower demand for Upstart-powered loans, or if our models’ expectation for credit performance is inaccurate for any reason, our financial results could be adversely impacted. As of September 30, 2025, our maximum exposure to losses under these committed capital and other co-investment arrangements was approximately $797.3 million. This amount has grown from $357.9 million as of September 30, 2024, as we have entered into more committed capital and other co-investment arrangements. As the amount of our maximum exposure to losses under these arrangements grows and may continue to grow in the future, risks associated with committed capital and other co-investment arrangements could have a greater impact on our business, financial condition and results of operations. Committed capital and other co-investment arrangements may negatively impact our financial results through unfavorable fair value adjustments, with such impacts having occurred in the past and may occur again in the future. We may also experience declines in revenue and transaction volume if existing committed capital or other capital arrangements do not provide funding on the agreed upon terms or we fail to secure additional committed capital or other capital arrangements in the future on commercially reasonable terms or at all. Moreover, the capital arrangements that we entered into during a high interest rate environment, such as the committed capital and other co-investment arrangements, may become more costly if interest rates fall and the terms of such arrangements remain in place. Despite our efforts, we may continue to experience funding constraints and cannot be certain if any measures we have taken, such as committed capital or other co-investment arrangements, or will take to address or mitigate the effects of funding constraints, will be sufficient or successful. In the event of funding constraints, we may not be able to maintain our current loan origination volume without incurring substantially higher funding costs, agreeing to terms that are not favorable to us or relying on our balance sheet to support funding, each of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be certain about the level of investor demand for securitizations. Events of default or breaches of financial, performance or other covenants, or worse than expected performance of certain pools of loans underpinning our asset-backed securitizations, debt facilities or other structured and unstructured transactions, have limited in the past and could limit our access to funding from institutional investors. For example, as of September 30, 2025, the loans originated in 2021 through 2023 that were included in our asset-backed securitizations had underperformed relative to their expected target returns at the time of origination, resulting in negative rating agency actions in several of our asset-based securitizations.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continue to improve our AI models or if our AI models contain errors or are otherwise ineffective, our growth prospects,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attract potential borrowers, and thus increase loan originations on our marketplace, depends in large part on our ability to effectively evaluate the creditworthiness of borrowers and likelihood of default and, based on that evaluation, offer competitively priced loans. Our overall operating efficiency and margins further depend in part on our ability to maintain a high degree of automation in our application process and achieve incremental improvements in the degree of automation. If our AI models fail to adequately predict the creditworthiness of borrowers and the likelihood of default due to the design of our models or programming or any other errors or inaccuracies, and our AI models do not detect or account for such errors or inaccuracies, or any of the other components of our credit decisioning process fails, there could be higher than forecasted losses on Upstart-powered loans. Any of the foregoing could result in sub-optimally priced loans or incorrect approvals or denials of loans, any of which may lead to lower demand by borrowers and reduce loan originations and our revenue. Moreover, in addition to reduced borrower demand, higher than expected losses on Upstart-powered loans could further harm our ability to attract lending partners and/or capital to our marketplace. Our lending partners and institutional investors may decide to limit their funding or reduce the number of loans or types of loans they originate or fund if they experience higher than expected losses due to underperformance of the loans. The underperformance of Upstart-powered loans as compared to the expectations set by our AI models can have a negative impact on our financial results, as while subject to certain limits, we are obligated in certain arrangements to provide downside risk protection to our capital partners and compensate them for any deviation in expected credit performance of the loans sold in connection with the committed capital and other co-investment arrangements. It may also hinder our ability to increase the size of, or enter into new, debt facilities or other financing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AI models also target, optimize or predict other aspects of the lending process, such as borrower acquisition, fraud detection, default timing, loan stacking and prepayment timing.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update model assumptions and parameters in a timely manner. It is also possible that the instant approval process on our marketplace makes us a target for certain borrowers who intend to accumulate as much debt as quickly as possible without regard for the viability of repayment.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our AI models do not accurately reflect the impact of economic conditions on borrowers’ credit risk in a timely manner, the performance of Upstart-powered loans may be worse than anticipated and our AI models may be perceived as ineffective.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performance of loans facilitated through our marketplace is significantly dependent on the effectiveness of our proprietary AI models used to evaluate a borrower’s credit profile and likelihood of default. Our AI models have not been extensively tested during different types of economic downturns or recessions. Even if credit decisions take into account macroeconomic conditions, there is no assurance that our AI models can accurately predict loan performance during periods of adverse economic conditions or quickly respond to changing economic conditions. If our AI models are unable to accurately reflect the credit risk of loans under such economic conditions, we, our lending partners and our institutional investors would experience greater than expected losses on such loans, which would harm our reputation and erode the trust we have built with our lending partners and institutional investors. We have experienced and may continue to experience high delinquency rates and underperformance of loans originated using our AI models in recent periods. For example, as of September 30, 2025, the quarterly vintages of core personal loans that originated in the third quarter of 2023 through the first quarter of 2024 were forecasted to underperform relative to their target returns set at the time of loan origination. The fair value of the loans on our balance sheet has declined in the past and may decline in the future. Our business, financial condition and results of operations can continue to be adversely affected if our AI models are not able to accurately and timely assess the impact of macroeconomic conditions on the performance and default rates of loans facilitated through our marketplace.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approve a significant number of borrowers for loans through our marketplace, our growth prospects,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vast majority of our revenue comes from platform and referral fees and servicing fees on loans facilitated through our marketplace. Growing our revenue from fees depends in significant part on our ability to increase the transaction volume of consumer loans on our marketplace. To serve more consumer demand for credit and increase transaction volume on our marketplace, we must have an adequate supply of capital from lending partners and institutional investors, we must drive sufficient demand from potential borrowers seeking loans, and the borrowers must satisfy the requirements for approval established by our models and our lending partners.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continue to improve the accuracy of our AI models, which we believe is key to our long-term success, such improvements may not lead to more borrowers being approved on our platform. These improvements have led us in the past and may lead us in the future to reevaluate our credit decisioning process, including the risks associated with certain borrowers. Changes in borrower default patterns and increases in the numbers of borrowers who default have in the past and could in the future result in fewer borrowers being approved for loans on our platform. In addition, our lending partners' credit requirements and the target returns our institutional investors and lending partners demand in order to provide capital to our marketplace have, and could continue to, negatively impact our ability to extend loan offers with competitive terms or at all to certain borrowers on our marketplace. If we are not able to fill funding commitments by our institutional investors or lending partners, we risk jeopardizing our current or future supply of capital to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current macroeconomic environment with elevated costs of borrowing and risks associated with consumer credit, the pool of qualified borrowers has become smaller, and fewer applicants have received or accepted loan offers on our marketplace than they have in the past. Approving more borrowers can also be limited as we have historically held the maximum annual percentage rate of Upstart-powered loans to 35.99% or less due to regulatory reasons. Moreover, we have experienced an overall decrease in borrower demand. These factors have and may continue to negatively affect transaction volume on our marketplace and therefore our revenue. If we are not able to maintain or increase transaction volume on our marketplace, or attract and retain qualified borrowers, our growth prospects, business, financial condition and results of operations would be adversely affected.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our existing lending partners cease or limit their participation in our marketplace or if we are unable to attract new lending partners to our marketplace, our business, financial condition and results of operations will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in significant part on the participation of our lending partners in our marketplace. In the nine months ended September 30, 2025, 79% of our total revenue was generated from platform, referral and servicing fees that we receive from our lending partners. Our lending partners also provide loan funding to our marketplace by retaining a significant portion of the loans facilitated through our marketplace. Out of the total principal of loans transacted on our marketplace during the nine months ended September 30, 2025, 25% were retained or purchased by our lending partners. If we are unable to keep existing lending partners or attract new lending partners to our marketplace, or if we are unable to maintain or increase the portion of loans retained by the lending partners, our financial performance could suffer.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lending partners may suspend, limit or cease their participation in our marketplace for a number of reasons. While lending partners’ loan funding to our marketplace has started to improve, we have experienced a reduction of loan originations by lending partners in the past due to disruptions in the banking sector and adverse macroeconomic conditions. If our lending partners suspend, limit or cease their operations or terminate their relationships with us, the number of loans facilitated through our marketplace will decrease and our revenue will be adversely affected. Moreover, new lending partners may find our sales and onboarding process to be long and unpredictable. If we are unable to timely onboard our lending partners, or if our lending partners are not willing to work with us to complete an onboarding process, our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enter into a separate agreement with each of our lending partners. Our agreements with our lending partners are nonexclusive and may contain minimum fee amounts. Our lending partners could decide to stop working with us, ask to modify their agreement terms in a cost prohibitive manner when their agreement is up for renewal or enter into exclusive or more favorable relationships with our competitors. In addition, federal or state regulators may require that they terminate or otherwise limit their business with us, or impose regulatory pressure limiting their ability to do business with us. See the risk factors titled “—</w:t>
      </w:r>
      <w:r>
        <w:rPr>
          <w:rFonts w:ascii="Times New Roman;serif" w:hAnsi="Times New Roman;serif"/>
          <w:b w:val="false"/>
          <w:i/>
          <w:color w:val="000000"/>
          <w:sz w:val="20"/>
        </w:rPr>
        <w:t>Our business is subject to a wide range of laws and regulations, many of which are evolving, and failure or perceived failure to comply with such laws and regulations could harm our business, financial condition and results of operations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The CFPB has recently adopted a more restrictive view of its authority to regulate consumer financial services, creating uncertainty as to how the agency’s actions or the actions of any other agency could impact our business</w:t>
      </w:r>
      <w:r>
        <w:rPr>
          <w:color w:val="000000"/>
        </w:rPr>
        <w:t xml:space="preserve">” </w:t>
      </w:r>
      <w:r>
        <w:rPr>
          <w:rFonts w:ascii="Times New Roman;serif" w:hAnsi="Times New Roman;serif"/>
          <w:b w:val="false"/>
          <w:color w:val="000000"/>
          <w:sz w:val="20"/>
        </w:rPr>
        <w:t>for more information. Moreover, we could in the future have disagreements or disputes with any of our lending partners, which could negatively impact or threaten our relationship with them. In our agreements with lending partners, we make certain representations and warranties and covenants concerning our compliance with specific policies of a lending partner, certain procedures and guidelines related to laws and regulations applicable to our lending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lending partners would be adversely affected. Additionally, our lending partners may engage in mergers, acquisitions or consolidations with each other, our competitors or with third parties, any of which could be disruptive to our existing and prospective relationships with our lending partners. If we fail to maintain or grow the number of lending partners, our business, financial condition and results of operations could be adversely affected.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 have a relatively limited operating history, which may result in increased risks, uncertainties, expenses and difficulties, and makes it difficult to evaluate our future prospects.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were founded in 2012 and have been a publicly traded company for a limited number of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successfully mitigate any adverse effects of economic conditions such as high interest rates, inflation, unemployment levels, personal savings rates and other macroeconomic factors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improve the effectiveness and predictiveness of our AI models, including successfully adjusting our proprietary AI models, products and services in a timely manner in response to changing macroeconomic conditions and fluctuations in the credit market;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maintain and increase the volume of loans facilitated through our AI lending marketplace;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successfully maintain diverse and resilient loan funding to our marketplace from institutional investors;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attract new lending partners to our marketplace and maintain existing lending partnerships;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successfully meet our borrower demand with competitive products and terms;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offer competitive interest rates to borrowers on our marketplace, while enabling our lending partners and institutional investors to achieve an adequate return over their cost of funds;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successfully build our brand and protect our reputation from negative publicity;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 the effectiveness of our marketing strategies;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continue to expand the number of potential borrowers;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comply with and successfully adapt to complex and evolving regulatory environments;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protect against increasingly sophisticated fraudulent borrowing and online theft;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successfully compete with companies that are currently in, or may in the future enter, the business of providing online lending services to financial institutions or consumer financial services to borrowers;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enter into new markets and introduce new products and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effectively secure and maintain the confidentiality of the information received, accessed, stored, provided and used across our systems;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successfully obtain and maintain corporate funding and liquidity to support growth and for general corporate purposes;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attract, integrate and retain qualified employees;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effectively manage and expand the capabilities of our operations teams, outsourcing relationships and other business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If we are not able to timely and effectively address these risks and difficulties as well as those described elsewhere in this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our business and results of operations may be harmed.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the risks associated with the Upstart Macro Index (UMI), which we introduced in 2023 and which does not have a long history or proven track record, our credibility, reputation,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UMI is our effort to quantify the level of macroeconomic risks in terms of the losses or defaults within Upstart-powered unsecured personal loan portfolios, excluding small dollar loans. We introduced UMI in 2023 and it does not have a long history or track record. Since it is a relatively new initiative, UMI remains unproven and, therefore, may not perform as expected. We intend to continue our research and development efforts to improve UMI. In light of such efforts, we have revised our previously published UMI values, including to remove seasonal patterns, and may further change or revise the current or past UMI values in the future. Any significant changes or revisions could harm our reputation and credibility with our lending partners and institutional investors, which in turn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the correlation between UMI and the level of macroeconomic risks in terms of losses or defaults within Upstart-powered unsecured personal loan portfolios may not be as significant or meaningful as we expect. If the correlation between UMI and the level of macroeconomic risks is misaligned or skewed in a way that is unacceptable to our lending partners or institutional investors, or UMI fails to accurately or adequately quantify the level of macroeconomic risks, this lack of a meaningful correlation may result in distrust or disregard of UMI.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outcome could adversely affect our reputation and credibility with our lending partners and institutional investors and thus, negatively impact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UMI is based on our analysis of the losses within Upstart-powered unsecured personal loan portfolios, excluding small dollar loans, and is specific to our borrower base. Because the composition of our borrower base changes over time and UMI is an aggregate computed across all Upstart-powered unsecured personal loans, except small dollar loans, UMI may not be the best indicator of the level of macroeconomic risks for a specific subset of loans or borrower segments. UMI is not intended to measure the macroeconomic risks in terms of losses of loan portfolios or assets that are not Upstart-powered loans, including loans held by other segments of the U.S. population. It is not designed to measure the current state of the overall economy or to measure or predict future macroeconomic conditions, trends or risks. It is also not designed to measure or predict Upstart’s future loan performance, results of operations or stock price. Investors, lending partners and analysts may improperly use or rely on UMI for these or other unintended purposes, or otherwise misunderstand or misinterpret UMI. If UMI is misunderstood or misinterpreted in these ways, it could harm our reputation and credibility with our lending partners and institutional investors and impair our ability to retain and attract them to our lending marketplace. This could further reduce the number or types of loan products that our lending partners and institutional investors are willing to fund. Any failure to manage the foregoing risks could adversely affect our ability to maintain diverse and resilient loan funding to our marketplace, which in turn would negatively impact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have incurred net losses in the past, and we may not be able to maintain or achieve profitability in the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we achieved net income of $35.0 million. Although we have generated net income in certain periods, we have also incurred net losses and may do so again in the future. We have expended, and intend to continue to expend, significant funds to develop and improve our proprietary AI models, attract additional borrowers to our marketplace, enhance the features and overall user experience on our platform, expand loan product offerings and otherwise continue to grow our business, and we may not be able to increase our revenue enough to offset these significant expenditures. We have incurred in the past, and may incur in the future, significant losses for a number of reasons, including the other risks described in this section, and unforeseen expenses, difficulties, complications and delays, macroeconomic conditions and other unknown events. Any failure to maintain or increase our revenue sufficiently to keep pace with our investments and other expenses would prevent us from maintaining or achieving profitability. If we are unable to successfully address these risks and challenges as we encounter them,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risks associated with the loans on our balance sheet, our business, financial condition and results of operations may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held more Upstart-powered loans on our balance sheet in recent years and may continue to do so in the future. We have used, and may continue to use, our balance sheet to support our research and development activities for new loan products and borrower segments. In addition to research and development activities, we have used and may continue to use our balance sheet to purchase Upstart-powered loans from lending partners to address fluctuations in supply and demand in our marketplace and periodically sell these loans to institutional investors prior to their maturity. Out of the total principal of loans transacted on our marketplace during the nine months ended September 30, 2025, 13% were held on our balance sheet. As of September 30, 2025, we held $1,165.9 million of loans on our balance sheet, excluding loans held in consolidated securitization. We hold loans on our balance sheet at fair value and estimate fair value using a discounted cash flow methodology. An increase in the market interest rates reduces the fair value of loans held on our balance sheet by increasing the discount rate used to determine fair value under the discounted cash flow methodology. Currently, we are in a high interest rate environment. The high interest rates have negatively affected the fair value of loans held on our balance sheet and may continue to do so in the future. In addition, for these loans and any future loans to be held on our balance sheet, we bear the credit risk in the event of borrower default. Our exposure to rising borrower default rates and their volatility has increased, and may continue to increase, as we hold more Upstart-powered loans on our balance sheet. The R&amp;D loans make up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substantial portion of the loans held on our balance sheet and are generally more risky and more likely to default than the core personal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times, the default rates and charge-offs for these loans have been higher than expected for certain loan categories, and consequently, we had to make unfavorable fair value adjustments to the loans on our balance sheet. Unfavorable fair value adjustments have negatively impacted our revenue in the past, and if we experience higher than expected default rates or the loans otherwise fail to perform as expected, we would need to make unfavorable fair value adjustments in the future, which would negatively impact our revenue. It is also possible that we may recognize a loss if we sell the loans held on our balance sheet, such as the R&amp;D loans, at an unfavorable price. Furthermore, a portion of our revenue is interest income derived from the loans held on our balance sheet, and if we increase the amount of loans held on our balance sheet, we become more dependent on interest income as a source of revenue and become more vulnerable to credit risk and borrower defaults associated with these loans. From a liquidity perspective, a growing amount of loans on our balance sheet increases our liquidity risk. We cannot be certain whether we will be able to sell loans currently on our balance sheet, or any future loans to be put on our balance sheet, on commercially reasonable terms or at all. If we are unable to do so, it is possible that our ability to meet our operational needs and obligations may be disrupted. Moreover, the use of our balance sheet diverts financial resources from other uses, such as improving our products and services, which could have an adverse effect on our results of operations.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revenue growth rate and financial performance in the past may not be indicative of future performance.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grew rapidly in the past, and our historical revenue growth rate and financial performance may not be indicative of our future performance. Our revenue for any previous quarterly or annual periods should not be relied upon as any indication of our revenue or revenue growth in the future. Our revenue may decline in the future for a number of reasons, which may include: adverse macroeconomic conditions, changing interest rates, slowing demand for or reduced funding through our lending marketplace, sales of loans held on our balance sheet at a loss, losses from our committed capital and co-investment arrangements with institutional capital partners, increasing competition, credit market volatility, increasing regulatory costs and challenges and our failure to capitalize on growth opportunities.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our growth was driven in large part by our AI models and our continued improvements to our AI models. Future incremental improvements to our AI models may not lead to the same level of growth as they did in the past. In addition, we believe our past growth was driven in part by our ability to rapidly streamline and automate the loan application and origination process on our platform. We expect the Percentage of Loans Fully Automated to level off and remain relatively stable in the long term. However, the expansion of loan offerings on our platform beyond unsecured personal loans, such as auto financing and home equity lines of credit, may cause fluctuations of such percentage from period to period depending on the loan offering mix. As a result of these factors, our revenue may further decline, and our financial performance may continue to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quarterly results are likely to fluctuate and as a result may adversely affect the trading price of our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quarterly results of operations, including our revenue, net income (loss)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 but are not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economic conditions, including economic slowdowns, recessions, interest rate changes, inflation, tightening of credit markets and disruptions in the banking sector;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cost of borrowing money and access to loan funding 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improve the effectiveness and predictiveness of our AI models, including improvements that negatively impact transaction volume, such as lower approval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attract new lending partners and institutional investors to our marketplace;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maintain relationships with existing lending partners and institutional investors;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maintain or increase loan volumes, and improve loan mix and the channels through which the loans, lending partners and loan funding are sourced;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maintain effective relationships with loan aggregators from which prospective borrowers access our website;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identify and prevent fraudulent activity and the impact of fraud prevention measures;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fair value of assets and liabilities on our balance sheet;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and success of new products and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effectiveness of our direct marketing and other marketing channels;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amount and timing of operating expenses related to maintaining and expanding our business, operations and infrastructure, including acquiring new and maintaining existing lending partners and institutional investors and attracting borrowers to our marketplace;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number and extent of prepayments of loans facilitated on our platform;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availability and integrity of our network, products and services or infrastructure, or actual or perceived security breaches or incidents experienced by us or third parties that we rely on to operate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involvement in litigation or regulatory enforcement efforts (or the threat thereof) or those that impact our industry generally;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length of the onboarding process related to acquisitions of new lending partners;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laws and regulations, or interpretations of such laws and regulations, that impact our business;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competitive dynamics of our industry, including consolidation among competitors or the development of competitive products by larger well-funded incumbents.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Such seasonality and other fluctuations in our quarterly results may also adversely affect and, increase the volatility of, the trading price of our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loan funding arrangements with institutional investors, securitization programs, and warehouse credit and risk retention financing facilities expose us to certain risks, and if we fail to successfully manage such risks, it may result in the reduced supply of loan funding capital or require us to seek more costly or less efficient financing for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facilitated securitizations, and may in the future facilitate additional securitizations, of Upstart-powered loans to allow our institutional investors, certain lending partners and/or ourselves to liquidate or finance such loans through the asset-backed securities markets or through other capital markets products. In asset-backed securities transactions, we sell and convey pools of loans to a special purpose entity, or SPE. We likewise finance certain loans on our balance sheet by selling loans to warehouse trust SPEs and drawing on the associated warehouse credit facilities. Each securitization SPE issues notes and/or certificates pursuant to the terms of indentures and trust agreements. In the case of the warehouse credit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We, our institutional investors who have purchased whole loans or pass-through certificates,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and/or our lending partners contribute loans to the SPE and in exchange, receive cash and/or securities representing debt and/or equity interests in such SPE.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we are the sole sponsor of securitizations, we are required under Regulation RR to retain at least five percent of the credit risk in such transactions for a specific period of time. In certain cases, we finance all or a portion of our retained risk position through third-party financing arrangements, including dedicated risk retention financing facilities. If Regulation RR and related regulations were to change or these risk retention financing facilities become unavailable on acceptable terms, or at all, our ability to finance our credit risk retention balances may become constrained, which may impact our ability to be a sole sponsor of our securitizations in the future. We have in the past and may choose in the future to retain additional securities, such as notes or certificates, issued in asset-backed securitization transactions we sponsor or facilitate. The certificates represent residual equity interests in the SPEs and are subordinated to the notes and thus are exposed to greater credit risk. In 2023, 2024, and 2025, we acted as a sole retaining sponsor to asset-backed securitizations and, in one instance, retained not only the securities required for risk retention purposes under Regulation RR, but also additional residual equity interests, exposing us to greater credit risk. The securities we retain may lose value, including becoming worthless. In the future, we may retain securities issued as part of our securitizations beyond risk retention requirements again. In addition, other matters, such as capital and leverage requirements applicable to banks and other regulated financial institutions holding asset-backed securities, macroeconomic factors impacting allocations of funds or increasing competition from other issuers of asset-backed securities, could negatively impact our business by decreasing institutional investor demand for securities issued through our securitization transactions. In addition, compliance with certain regulatory requirements, including the Dodd-Frank Act, the Investment Company Act of 1940, as amended, or the Investment Company Act, the so-called “Volcker Rule,” and states licensing requirement changes, may affect the type of securitizations that we are able to complete.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it is not possible or economical for us to securitize loans in the future or for us to serve as risk retention holder in securitizations for the benefit of our investors who have purchased whole loans or pass-through certificates and/or our lending partners, we may need to seek alternative financing to provide loan funding to our marketplace and to meet our existing debt obligations. Such funding may not be available on commercially reasonable terms, or at all. If the cost of such loan funding mechanisms were to be higher than that of our securitizations it would negatively impact our results of operations. If we are unable to access such financing, our ability to originate loans and our results of operations, financial condition and liquidity may be materially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servicing fees generated by our loan servicing activities for the loans sold to institutional investors and contributed to asset-based securitizations and pass-through certificate transactions also represent a material portion of our earnings. There is no assurance that our institutional investors will continue to purchase loans or securities (either through whole loan sales, asset-backed securities, pass-through certificate issuances or other direct or indirect purchase arrangements) or that they will continue to purchase loans in transactions that generate the same spreads and/or fees that we have historically obtained. In the past, we sold loans that had been originated in an earlier, lower interest rate environment. We recognized losses on these sales which reduced our revenue. As we purchase and hold more loans on our balance sheet, our business, financial condition and results of operations could be adversely affected, including further reductions in revenue. Factors that may affect demand by institutional investors for Upstart-powered loans include: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competition in the whole loan sales markets where we compete with loan originators who can sell either larger loan portfolios or loans that have characteristics, pricing and terms that may be perceived to be more desirable to certain institutional investors than those offered in Upstart-powered loans that comprise our whole loan sales;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competition in the securitization markets where we compete with loan originators and other issuers who can securitize or sell pools of loans (which such pools may include Upstart-powered loans, on a commingled basis or otherwise) with characteristics, pricing and terms that may be perceived to be more desirable to certain institutional investors than those offered in Upstart-powered loans contributed to asset-based securitization transactions that we facilitate;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extent to which servicing fees and other expenses may reduce overall net return on purchased pools of loans;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actual or perceived credit performance of loan products offered through our marketplace;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economic conditions such as interest rates, inflation, economic volatility and other macroeconomic factors;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 appetite of our institutional investors;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loan grade and term mix of the portfolios of loans offered for sale;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institutional investors’ sector and company investment diversification requirements and strategies;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yielding investment opportunities at a risk profile deemed similar to our sold loan portfolios;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borrower prepayment behavior within the underlying pools;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regulatory or investment practices related to maintaining net asset value, mark-to-market and similar metrics surrounding pools of purchased loans;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of our institutional investors to access funding and liquidity channels, including but not limited to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connection with our committed capital and other co-investment arrangements, we have agreed to compensate our loan buyers/co-investors, subject to a limit, if credit performance on the loans deviates from expectations. As of September 30, 2025, our maximum exposure to losses under these committed capital and other co-investment arrangements was approximately $797.3 million. See “</w:t>
      </w:r>
      <w:r>
        <w:rPr>
          <w:rFonts w:ascii="Times New Roman;serif" w:hAnsi="Times New Roman;serif"/>
          <w:b w:val="false"/>
          <w:i/>
          <w:color w:val="000000"/>
          <w:sz w:val="20"/>
        </w:rPr>
        <w:t>Note 4. Beneficial Interests</w:t>
      </w:r>
      <w:r>
        <w:rPr>
          <w:color w:val="000000"/>
        </w:rPr>
        <w:t xml:space="preserve">” </w:t>
      </w:r>
      <w:r>
        <w:rPr>
          <w:rFonts w:ascii="Times New Roman;serif" w:hAnsi="Times New Roman;serif"/>
          <w:b w:val="false"/>
          <w:color w:val="000000"/>
          <w:sz w:val="20"/>
        </w:rPr>
        <w:t>in Part I, Item 1 of this Quarterly Report on Form 10-Q for more information. Committed capital and other co-investment arrangements could negatively impact our financial results. We may also experience declines in revenue and loan volume if existing committed capital or other co-investment arrangements do not provide funding on the agreed upon terms or we fail to secure additional committed capital or other capital arrangements on commercially reasonable terms, or at all.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subject to risk that arises from our derivative instruments,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which could adversely affect our business, financial condition and results of operations.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top three lending partners account for a significant portion of loan originations on our marketplace and our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top three lending partners originate a significant portion of loans on our marketplace. In the nine months ended September 30, 2025, our top three lending partners collectively originated 85% of the Transaction Volume, Number of Loans and accounted for 63% of our total revenue. There are no minimum commitments for our lending partners to originate any volume of loans under our agreements. If our top three lending partners were to suspend, limit or cease their operations or otherwise terminate their relationship with us, our business, financial condition and results of operations would be adversely affected. As of September 30, 2025, we had more than 100 lending partners participating on our marketplace, and we continue to expand our lending partnerships to new participants. If we are unable to continue to increase the participation by other lending partners on our marketplace, we will continue to be reliant on a small number of lending partners for a significant portion of loan originations and revenue, which could harm our business.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believe maintaining a strong brand and trustworthy reputation is critical to our success and our ability to attract borrowers to our marketplace, attract new lending partners, maintain diverse and resilient loan funding and sustain good relations with regulators. Factors that affect our brand and reputation include: perceptions of AI, our industry and our company, including the quality and reliability of our AI lending marketplace; the accuracy of our AI models; characterizations of our company due to our novel business model; perceptions regarding the application of AI to consumer lending specifically and that algorithmic-based lending is inherently biased; perceptions of rate exportation and the bank partnership model; the reputation of the vehicle dealerships with which we partner; loan funding to our marketplace; changes to the Upstart marketplace; our ability to effectively manage and resolve borrower complaints; collection practices; privacy and data security practices; litigation, such as class action and shareholder derivative lawsuits described in “Legal” section under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in Part I, Item 1 of this Quarterly Report on Form 10-Q; regulatory activity; and the overall user experience of our marketplace. Negative publicity or negative public perception of these factors, even if inaccurate, could adversely affect our brand and reputation.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example, consumer advocacy groups, state legislatures, politicians and certain government and media reports have advocated governmental action to prohibit or severely restrict consumer loan arrangements where banks contract with a third-party platform such as ours to provide origination assistance services to bank customers. Such criticism has frequently been levied in the context of high-interest “payday” loans, although other entities operating programs through which loans similar to Upstart-powered loans are originated have also faced criticism. In addition, some state legislatures are now challenging the right of state-chartered banks to export their home-state rates to other states by proposing, threatening to propose, or passing laws that opt out of the federal Depository Institution Deregulation Monetary Control Act, or DIDMCA. Opting out purportedly prevents out-of-state, state-chartered banks from exporting the rates from their home state for loans made to residents of the state that opted out. Iowa opted out of DIDMCA in the 1980s and in 2023, Colorado passed a law to opt out. The Colorado law is currently subject to an injunction that prevents enforcement, pending outcome of litigation regarding the effectiveness of such opt out. The high-interest loans that have been subject to more frequent criticism and challenge are fundamentally different from Upstart-powered consumer loans in many ways, including that Upstart-powered loans typically have lower interest rates and longer terms, and are not refinanced. In particular, interest rates of Upstart-powered consumer loans have always been and are currently less than 36% annual percentage rate (“APR”), as compared to the triple-digit interest rates of many payday or small dollar loans that have been subject to such criticism. However, states that are addressing their marketplace lending and rate exportation concerns through legislation may impact our marketplace if the state rate limit is below 36%. Where that happens, our state-chartered lending partners may need to scale back lending on our marketplace to comply with state laws or may terminate their participation in our marketplace, leading to a reduction in origination volume. These challenges to the marketplace lending model could also negatively impact demand for Upstart-powered loans, our ability to attract new lending partners, our ability to attract loan funding to our marketplace or reduce the number of potential borrowers to our marketplace. Any of the foregoing could adversely affect our results of operations and financial condition.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negative publicity or public perception of Upstart-powered loans or other similar consumer loans or the consumer lending services we provide may also result in us being subject to more restrictive laws and regulations and potential investigations and enforcement actions. For example, some unfair or deceptive practices by vehicle dealerships can be attributed to us as a purchaser of retail installment contracts under the FTC Holder Rule, which allows a vehicle purchaser to bring any claim it has against the dealership against the current holder of the retail installment contract. Borrowers may complain about our data sharing practices, even though such practices are described in our privacy policy and comply with applicable laws and regulations. In addition, regulators may decide they are no longer supportive of our AI lending marketplace if there is enough negative perception surrounding the use of AI or the bank partnership model. We may also become subject to lawsuits, including class action lawsuits, or other challenges such as government enforcement or arbitration, against our lending partners or us for loans originated by our lending partners on our marketplace, loans we service or have serviced, loans we hold for sale or investment on our balance sheet, or retail installment contracts we have purchased. If there are changes in the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 in the interpretation or enforcement of existing laws affecting consumer loans similar to those offered on our marketplace, or our marketing and servicing of such loans, or if we become subject to such lawsuits, our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AI and related technologies are subject to public debate and heightened regulatory scrutiny. Although policy prerogatives of the Consumer Financial Protection Bureau (“CFPB”) have changed with the recent change in the U.S. presidential administration, the CFPB previously indicated that AI was a regulatory hot topic for the agency, including the use of complex credit scoring models as part of the loan underwriting process. The agency previously took several steps to increase regulatory scrutiny of financial technology companies that rely on AI. In April 2023, the Federal Trade Commission (“FTC”), the Department of Justice (“DOJ”), the CFPB, and the Equal Employment Opportunity Commission (“EEOC”) released a joint statement on AI demonstrating their interest in monitoring the development and use of automated systems and enforcement of their respective laws and regulations. The Congressional Research Service released a report on April 3, 2024 on the use of AI and machine learning in financial services, noting that financial industry policymakers face competing pressures of providing beneficial technology and avoiding any consumer harm from such technology. In addition, recently, the SEC cautioned companies against “AI washing” and took enforcement actions against companies for their claims about the use of AI in their products and services. In June 2024, the Treasury Department also issued a request for information seeking public comments on the use of AI in the financial services sector and the opportunities and risks presented by developments and applications of AI within the sector. In August 2024, the CFPB also responded to a Department of Treasury Request For Information regarding the use of AI in financial services, reinforcing their expectation that companies using emerging technologies including AI comply with existing consumer protection laws and regulations. States have also started to regulate the use of AI, with Colorado passing the first comprehensive AI bill in June 2024. That same month, Colorado passed its AI Act, creating duties for developers of AI and persons using AI to use reasonable care to protect consumers from any known or reasonably foreseeable risks of algorithmic discrimination arising from the use of “high-risk AI systems.” Other states have begun proposing and passing legislation addressing the use of AI and automated decision making, and we expect the number of states with similar legislation to grow. Any negative publicity or negative public perception of AI could negatively impact demand for our AI lending marketplace, hinder our ability to attract new lending partners or slow the rate at which lending partners adopt our AI lending marketplace. From time to time, certain advocacy groups have made claims that unlawful or unethical discriminatory effects may result from the use of AI technology by various companies, including ours. Such claims, whether or not accurate, and whether or not concerning us or our AI lending marketplace, may harm our ability to attract prospective borrowers to our marketplace, retain existing and attract new lending partners and achieve regulatory acceptance of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2020, we entered into an agreement with the NAACP Legal Defense Education Fund (the “LDF”), and the Student Borrower Protection Center (the “SBPC”), to participate in fair lending reviews of our AI underwriting models by an independent third-party firm, Relman Colfax LLC (“Relman”). The fair lending testing was designed to determine if our AI underwriting models have caused or resulted in a disparate impact on any protected class, and if so, whether there are any alternative, less discriminatory practices that could be employed without sacrificing the models’ predictiveness. In March 2024, following a number of quantitative assessments and prior reports, Relman published a final report that summarized developments during the monitorship as well as industry fair lending recommendations. The Relman final report marked the conclusion of our agreement with the LDF and the SBPC and the fair lending reviews by Relman. If the conclusion of the Relman monitorship or any of the final report’s findings are viewed negatively for any reason, our brand and reputation and the overall market acceptance of, and trust in, our AI lending marketplace could suffer, and we could be subject to increased regulatory and litigation risk. In addition, the publication of information arising from our agreement with the LDF and the SBPC, including the reports published by Relman, could lead to additional regulatory scrutiny for us or our lending partners.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have been subject to other governmental inquiries on this topic. See the risk factor titled “</w:t>
      </w:r>
      <w:r>
        <w:rPr>
          <w:color w:val="000000"/>
        </w:rPr>
        <w:t>—</w:t>
      </w:r>
      <w:r>
        <w:rPr>
          <w:rFonts w:ascii="Times New Roman;serif" w:hAnsi="Times New Roman;serif"/>
          <w:b w:val="false"/>
          <w:i/>
          <w:color w:val="000000"/>
          <w:sz w:val="20"/>
        </w:rPr>
        <w:t>We have been in the past and may in the future be subject to federal and state regulatory inquiries regarding our business</w:t>
      </w:r>
      <w:r>
        <w:rPr>
          <w:color w:val="000000"/>
        </w:rPr>
        <w:t xml:space="preserve">” </w:t>
      </w:r>
      <w:r>
        <w:rPr>
          <w:rFonts w:ascii="Times New Roman;serif" w:hAnsi="Times New Roman;serif"/>
          <w:b w:val="false"/>
          <w:color w:val="000000"/>
          <w:sz w:val="20"/>
        </w:rPr>
        <w:t xml:space="preserve">for more information.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specifically. Any of the foregoing could negatively impact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Harm to our reputation can also arise from many other sources, including inaccurate or unfavorable statements made by securities analysts or others, failure by us or our lending partners to meet minimum standards of service and quality, loan underperformance,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is subject to a wide range of laws and regulations, many of which are evolving, and failure or perceived failure to comply with such laws and regulations could harm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numerous laws and regulations at a federal, state and local level, that are aimed at providing consumer protections in the financial services industry. This body of laws and regulations applicable to our business is complex, evolving and subject to varying interpretations, in many cases due to the lack of specificity regarding the application of AI and related technologies to the already highly regulated consumer lending industry or to changing sentiments about the bank partnership model. As a result, the application of such laws and regulations in practice may change or develop over time as more products are offered on our marketplace, and through judicial decisions or as new guidance or interpretations are provided by regulatory and governing bodies, such as federal, state and local administrative agencies.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New laws and regulations and changes to existing laws and regulations continue to be adopted, implemented and interpreted in response to our industry and the emergence of AI and related technologies. Recent financial, political and other events, including disruptions in the banking sector, may increase the level of regulatory scrutiny on financial technology companies. As we expand our business into new markets, introduce new financial products and services, and as we continue to improve and evolve our AI models, additional regulatory requirements will apply. In some cases, state licenses are required based on our business operations and regulatory bodies could reject our applications for licenses or deny renewals, delay or impede our ability to operate, charge us fees or levy fines or penalties, commence investigations or inquiries into our business practices, or otherwise disrupt our ability to operate our AI lending marketplace, any of which could adversely affect our business, financial condition and results of operations. We may also face additional regulatory scrutiny or supervision at a federal level. For example, in February 2024 and again in December 2024, the CFPB exercised a previously dormant provision of Dodd Frank to establish supervisory authority over non-bank entities based on its belief such entities posed risk to consumers. While the current presidential administration has proposed scaling back on this authority to some extent, if the CFPB decides to subject us to its supervisory process, it could significantly increase the level of regulatory scrutiny of our business practices.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Federal and state regulators have also focused on eliminating or regulating “junk fees,” which are often not well defined. The CFPB has identified the fees associated with the sale of ancillary products in connection with financing the purchase of an auto or undisclosed banking or collection fees as having the potential to be unfair or deceptive. More recently, the FTC finalized a rule on junk fees and narrowed the scope of the industries covered to exclude financial services. However, the increased focus on fees in the financial services space by federal and state regulators will likely continue. Should any of the fees charged to borrowers on loans obtained through our marketplace be deemed unfair or deceptive, such fees may be subject to refund or deemed uncollectable.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CFPB has the ability to regulate and investigate our business activity and has, in the past, increased their activity and scrutiny in the financial services industry. It has also issued several supervisory highlights focusing on various aspects of consumer lending, such as credit reporting, servicing and repossession activities in the auto lending space. In January 2025, the new U.S. presidential administration issued an Executive Order to halt all activity on the CFPB’s pending and proposed rules, and in May 2025, the CFPB rescinded nearly 70 guidance documents, including interpretive rules, policy statements, and advisory opinions. Due to the changing nature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regulatory environment and uncertainty about the priorities and direction of the CFPB under the new U.S. presidential administration, we cannot be certain how the regulatory environment may impact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State regulators have also increased the level of regulatory scrutiny on financial technology companies and the bank partnership model. Massachusetts previously used its unfair, deceptive or abusive acts or practices (“UDAAP”) law to find that a fintech company that partnered with a federally insured, state-chartered bank to offer loans in the state was the “true lender” of the loans, and required the fintech company to permanently cease all business in Massachusetts. A recent alert from the Ohio banking regulator announced a change in the regulator’s opinion that the small loan license is now required for fintech companies to broker loans to their bank partners. Increased scrutiny of bank partnership arrangements continues, as states codify laws to determine who is the true lender for certain loans with the goal of regulating either the non-bank partner or limiting the rate that can be charged and/or collected. Moreover, the OCC, FDIC, and the Board of Governors of the Federal Reserve System issued joint guidance indicating they intend to use their supervisory authority through examinations to review bank third-party relationships with financial technology companies to identify business practices that could pose a risk of potential consumer harm. Should the agencies review our program and identify any such risks or issue consent orders against any of our lending partners, it could impact the viability of the bank partnership model or require additional actions by us and the lending partner to mitigate risks identified.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been proactively working with the federal government and state regulatory bodies to ensure that our AI lending marketplace and other services are in compliance with applicable laws and regulations, we can provide no assurance that we will not be subject to any regulatory actions. For example, the CFPB issued Upstart the no-action letters, which provided that the CFPB, after a detailed review of Upstart’s fair lending program, did not recommend any supervisory or enforcement action against Upstart for a violation of the ECOA. However, in June 2022, at our request, the no-action letter was terminated so that we can keep our models accurate and updated during a period of significant economic change. As a result, we can provide no assurance that the CFPB or any other federal or state regulator will not take supervisory or enforcement action against us in the future.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have been subject to governmental inquiries as well. See the risk factor titled “—</w:t>
      </w:r>
      <w:r>
        <w:rPr>
          <w:rFonts w:ascii="Times New Roman;serif" w:hAnsi="Times New Roman;serif"/>
          <w:b w:val="false"/>
          <w:i/>
          <w:color w:val="000000"/>
          <w:sz w:val="20"/>
        </w:rPr>
        <w:t>We have been in the past and may in the future be subject to federal and state regulatory inquiries regarding our business</w:t>
      </w:r>
      <w:r>
        <w:rPr>
          <w:color w:val="000000"/>
        </w:rPr>
        <w:t xml:space="preserve">” </w:t>
      </w:r>
      <w:r>
        <w:rPr>
          <w:rFonts w:ascii="Times New Roman;serif" w:hAnsi="Times New Roman;serif"/>
          <w:b w:val="false"/>
          <w:color w:val="000000"/>
          <w:sz w:val="20"/>
        </w:rPr>
        <w:t>for more information. Any government investigations or inquiries, whether or not accurate or warranted, or whether concerning us or one of our competitors, could negatively affect our brand and reputation and the overall market acceptance of and trust in our AI lending marketplace. Any of the foregoing could harm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the risks related to our loan servicing and collections obligations,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loan servicing and collection efforts. In the nine months ended September 30, 2025, 17% of our revenue from fees, net was generated from loan servicing fees. The vast majority of Upstart-powered loans are not secured by any collateral, and none are guaranteed or insured by any third party or backed by any governmental authority. As a result, we are limited in our ability to collect on such loans on behalf of our lending partners and institutional investors if a borrower is unwilling or unable to repay them. Where the loan is secured by an automobile, for our auto product, or home, for our HELOC product, we could still be limited in our ability to collect on the loan if we cannot secure the automobile or home. The ability to collect on the loans is largely dependent on the borrower’s continuing financial stability, and consequently, collections can be adversely affected by a number of factors, including, but not limited to, unemployment, divorce, death, illness, bankruptcy or the economic or social factors beyond personal circumstances of a borrower. In addition, the application of various federal and state laws, including federal and state bankruptcy and insolvency laws, may limit the amount that can be recovered on these loans. It is possible that a higher percentage of consumers will seek protection under bankruptcy or debtor relief laws as a result of the current inflationary environment, the possibility of a recession and market volatility. Federal, state, or other restrictions could impair our ability to collect amounts owed and due on the loans facilitated through our marketplace, reduce income received from the loans facilitated through our marketplace, or negatively affect our business, financial condition and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began conducting first-party collection activities for our lending partners in the fourth quarter of 2022 for loans facilitated through our marketplace. We have limited experience conducting first-party or in-house collection activities, and we cannot be certain that we will be able to effectively manage risks associated with such activities. In addition to first-party collection activities, we partner with third-parties, including collection agencies, to collect on loans we service for our lending partners. In late 2024, we partnered with a third party to begin, for the first time, pursuing litigation as a strategy to collect from certain delinquent borrowers who demonstrate an ability but not a willingness to repay. If Upstart or the third-parties with whom we work on collections do not perform as expected or if we or these third parties act unprofessionally or otherwise cause harm to borrowers of Upstart-powered loans, our brand and reputation could be harmed and our ability to attract potential borrowers to our marketplace could be negatively impacted. For example, during periods of increased delinquencies caused by economic downturns or otherwise, it is important that we and collection agencies we use are proactive and consistent in contacting a borrower to bring a delinquent balance current and ultimately avoid the loan becoming charged off. If we or the third parties we work with are unable to maintain a high quality of service, or fulfill the servicing and collection obligations due to resource constraints, it could result in increased delinquencies and charge-offs on the loans, which could decrease fees payable to us, cause our lending partners to decrease their demand for Upstart-powered loans, erode trust in our lending marketplace or increase the costs of loan funding for our marketplace. If we fail to successfully address any of the foregoing risks associated with our collection activities,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the loan servicer for most loans facilitated through our marketplace, including the loans that are sold as part of whole loan sales, contributed to asset-backed securitizations and pass-through certificate transactions, and pledged in connection with warehouse credit facilities. Loan servicing is a highly manual process and an intensely regulated activity. Errors in our servicing activities, including payment collection and charge-off processes, or failures to comply with our servicing obligations, have in the past and could in the future affect our internal and external reporting of the loans that we service, adversely affect our business and reputation and expose us to liability to borrowers, lending partners or institutional investors. In addition, we charge our loan holders a fixed percentage servicing fee based on the outstanding balance of loans serviced. If we fail to efficiently service or collect on such loans and the costs incurred exceed the servicing fee charged, our results of operations would be adversely affected. Moreover, the laws and regulations governing these activities, including licensing obligations and requirements, are subject to change. For institutional investors that are statutory trusts, there is now additional risk based on a court decision in the United States Court of Appeals for the Third Circuit, where the CFPB recently obtained a favorable decision that it has enforcement authority over these trusts when the trusts engage in providing financial products or services, such as using third parties to collect on delinquent debts. Overall, if we are unable to comply with such laws and regulations governing servicing activities, we could lose one or more of our licenses or authorizations, become subject to greater scrutiny by regulatory agencies or become subject to sanctions or litigation, which may have an adverse effect on our ability to perform our servicing obligations or make our marketplace available to borrowers in particular states. Any of the foregoing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auto loans issued through our lending marketplace or retail installment contracts we purchase from automobile dealerships are secured by collateral, auto loans are inherently risky, as they are secured by assets that may be difficult to locate and can depreciate rapidly. We generally begin the repossession process for auto loans that become 60 days past due. We have engaged a third-party auto repossession vendor to handle all repossession activity. Following a repossession, if a borrower fails to redeem their vehicle or reinstate their loan agreement, whichever is required by law, the repossessed vehicle is sold at an auction and the proceeds are applied to the unpaid balance of the loan and related expenses. If the proceeds do not cover the unpaid balance of the loan and any related expenses permitted to be charged, and we are unable to recover the deficiency balance from the borrower, where permitted, the deficiency would be charged-off. Further, if a vehicle cannot be located, repossession and sale of the vehicle would not be possible and the outstanding loan balance may not be recovered. A significant number of delinquencies and charge-offs could decrease fees collectable by us, cause our lending partners to reduce loan originations, erode trust in our lending marketplace and lead to an increase in the costs of loan funding for our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if such repossession vendors do not perform consistent with agreements entered into with us, or if vendors act unprofessionally or otherwise cause harm to borrowers of Upstart-powered loans, our brand and reputation could be harmed and our ability to attract potential borrowers to our marketplace could be negatively impacted. We may also become subject to regulatory scrutiny and potential litigation based on the conduct of our repossession vendors.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Substantially all of our revenue is derived from a single loan product, and we are thus particularly susceptible to fluctuations in the unsecured personal loan market.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vast majority of loan originations currently facilitated through our marketplace are unsecured personal loans. While the market for unsecured personal loans has grown rapidly in recent years, it is unclear to what extent such market will continue to grow, if at all. A wide variety of factors could impact the market for unsecured personal loans, including macroeconomic conditions, competition, regulatory developments and other developments in the credit market. Our success will depend in part on the continued growth of the unsecured personal loan market, and if such market does not grow or grows more slowly than we expect,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preserve and expand our relationships with lending partners and institutional investors, it may become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loans facilitated through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because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those obligations before repaying their unsecured Upstart-powered personal loans. In addition, borrowers may not view Upstart-powered loans, originated through an online lending marketplace, as having the same significance as other credit obligations arising under more traditional circumstances, such as loans directly from banks or other commercial financial institutions. Any of the foregoing could lead to higher default rates and decreased demand by our lending partners and institutional investors to fund loans facilitated through our marketplace, which would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more susceptible to the risks of changing and increased regulations and other legal and regulatory actions targeted towards the unsecured personal loan market. If we are unable to manage the risks associated with the unsecured personal loan product,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sales and onboarding process of new lending partners could take longer than expected, leading to fluctuations or variability in expected revenues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sales and onboarding process with new lending partners can be long, vary widely and generally takes approximately two to twelve months. As a result, revenues and results of operations may vary significantly from period to period. Prospective lending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lending partners undertake an extensive diligence review of our platform, compliance and servicing activities before choosing to partner with us. Further, the implementation of our AI models often involve shifts by the lending partner to a new software platform or changes in their operational procedures, which may involve significant time and expense to implement. Delays in onboarding new lending partners can also arise while prospective lending partners complete their internal procedures to approve expenditures and test and accept our applications. Consequently, we face difficulty predicting the quarter in which new lending partners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begin using our platform and the volume of fees we will receive, which can lead to fluctuations in our revenues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introduced auto loan, small dollar loan, and home equity lines of credit products and are continuing to invest in developing these products and other new loan products and service offerings.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 as was the case with respect to the small business loan product when we decided to suspend its development in January 2023 due to the adverse macroeconomic conditions affecting our business at that time. We may also have difficulty with securing adequate loan funding, either from lending partners or from institutional investors, for new loan products and services, and if we are unable to do so, our ability to develop and grow these new offerings and services will be impaired. If the profile of borrowers using any new products and services is different from that of those currently served by the existing loan products offered through our marketplace, our AI models may not be able to accurately evaluate the credit risk of such borrowers, and we may not be able to obtain loan funding for new products and services on commercially reasonable terms, or at all. Moreover, it is possible that a new product in its development stage has a higher level of delinquencies or defaults than a more established product as our AI models calibrate to a potentially different set of data.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 If we are unable to effectively manage the foregoing risks, our growth prospects,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Misconduct and errors by our employees, former employees, vendors, or service providers could harm our reputation and subject us to significant legal liability.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an industry in which integrity and the confidence of our borrowers and lending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sensitive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 data, or failing to follow applicable laws and regulations or our internal policies or protocol when interacting with 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 other misconduct by financial services industry employees. We have experienced employee misconduct and may continue to do so in the future. Depending on the severity, any illegal, improper, or suspicious activity or other misconduct by our employees, vendors or service providers could result in serious harm to our reputation, financial condition, relationships with lending partners and borrowers, and our ability to attract new lending partners or borrowers. We could also be subject to civil or criminal liability as a result of actions by our employees, vendors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 service providers. Any of these occurrences could result in our diminished ability to operate our business, inability to attract future borrowers or lending partners, reputational damage, regulatory intervention, and financial harm, which could negatively impact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do not compete effectively in our target markets, our business, results of operations and financial condition could be harmed.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consumer lending market is highly competitive and increasingly dynamic as emerging technologies continue to enter the marketplace. With the introduction of new technologies and the influx of new entrants, competition may persist and intensify in the future, which could have an adverse effect on our operations or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inability to compete effectively could result in reduced loan volumes, reduced average size of loans facilitated on our marketplace, reduced fees, increased marketing and borrower acquisition costs or the failure of the Upstart marketplace to achieve or maintain more widespread market acceptance, any of which could have an adverse effect on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Consumer lending is a vast and competitive market, and we compete to varying degrees with all other sources of consumer credit. This can include banks, non-bank lenders, retail-based lenders and other financial technology lending platforms. Because personal loans often serve as a replacement for credit cards, we also compete with the convenience and ubiquity that credit cards and buy now, pay later products represent. Many of our competitors operate with different business models, such as lending-as-a-service,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face competition in a variety of areas. Our competitors may have longer operating histories, lower commercial financing costs or costs of capital, more extensive borrower bases, more diversified products and borrower bases, operational efficiencies, a better user experience, more versatile or extensive technology platforms, greater brand recognition and brand loyalty, broader borrower and partner relationships, more extensive and/or a more diversified loan funding institutional investor bases, greater capacity to fund loans through their balance sheets, and more extensive product and service offerings. Furthermore, our existing and potential competitors may decide to modify their pricing and business models to compete more directly with us. Our ability to compete will also be affected by our ability to provide our lending partners with a commensurate or more extensive suite of loan products than those offered by our competitors. In addition, current or potential competitors, including financial technology lending platforms and existing or potential lending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industry is driven by constant innovation. We utilize AI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will be preferred to any existing or newly-developed technologies, products or services. If we are unable to compete with such companies or fail to meet the need for innovation in our industry, the use of our technology could stagnate or substantially decline, or our AI lending marketplace could fail to maintain or achieve more widespread market acceptance, which could harm our business,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is heavily concentrated in U.S. consumer credit, and therefore our results are more susceptible to fluctuations in that market than a more diversified company.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such as rising interest rates and changes in monetary policy. We are also more susceptible to the risks of increased regulations and legal and other regulatory actions that are targeted at consumer credit. Our business concentration could have a material adverse effect on our business, results of operations, financial condition, and future prospects.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the risks associated with fraudulent activity, our brand and reputation,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Fraud is prevalent in the financial services industry and is likely to increase as perpetrators become more sophisticated. High profile fraudulent activity also could negatively impact our brand and reputation. We are subject to the risk of fraudulent activity associated with borrowers and third parties handling borrower information and, in limited situations, we cover certain fraud losses of our lending partners and institutional investors. For example, in the third quarter of 2021 and the first quarter of 2022, we experienced temporary increases in fraudulent activity. Fraud rates could also increase in a down-cycle economy. We have experienced employee misconduct in the past and continue to be subject to risk of fraudulent activity associated with our own employees.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marketplace and have a negative impact on our financial condition and operating results. It is also possible that fraud perpetrators target our marketplace because of the high degree of automation in our credit decision process where borrowers can be approved instantly. In addition, our lending partners, institutional investors or we may not be able to recover amounts disbursed on loans made in connection with inaccurate statements, omissions of fact or fraud, which could erode the trust in our brand and negatively impact our ability to attract new lending partners and institutional investors to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significant increases in fraudulent activity could lead to regulatory intervention, which could increase our costs and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depend on our key personnel and other highly skilled personnel, and if we fail to attract, retain and motivate our personnel,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significantly depends on the continued service of our senior management team and other highly skilled personnel. Our success also depends on our ability to identify, hire, develop, motivate and retain highly qualified personnel for all areas of our organization.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is high for skilled personnel, including engineering and data analytics personnel, particularly in the San Francisco Bay Area where our headquarters is located. While we have transitioned to a Digital First work model which allows us to recruit from a wider talent pool, we have experienced, and expect to continue to face, some difficulty identifying and hiring qualified personnel, especially as we pursue our growth strategy. We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 able to hire or retain such personnel at compensation or flexibility levels consistent with our existing compensation and salary structure and policies. We periodically review our compensation levels to ensure they remain competitive and have increased them when we believe market conditions warrant it. However, we may need to further increase our existing compensation levels in response to competition, rising inflation or labor shortages, which would increase our operating costs and reduce our margins. Many of the companies with which we compete for experienced employees have greater resources and may be able to offer more attractive terms of employment. In particular, candidates making employment decisions, specifically in high-technology industries, often consider the value of any equity they may receive in connection with their employment. The recent significant volatility in the price of our stock may have adversely contributed to, and in the future may affect, our ability to attract or retain highly skilled technical, financial and marketing personnel.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lending partners, institutional investors and borrowers whose loans we service may suffer, resulting in an adverse effect on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we have reduced our workforce in the past and may further reduce our workforce in the future to lower our operating costs and streamline operations. These reductions in our workforce may adversely affect employee morale, our culture and our ability to attract and retain personnel who are critical to our business. It may also negatively impact our ability to pursue new initiatives due to insufficient resources and personnel. We may be unsuccessful in distributing duties and obligations of impacted employees among the remaining employees. We also may not realize the anticipated benefits and cost savings and may suffer unintended consequences, such as the loss of institutional knowledge, higher than expected employee turnover and significant disruptions in our day-to-day operations. If we are unable to realize the expected operational efficiencies or cost savings from the reductions in our workforce, or if we experience significant adverse consequences as a result, our business, financial condition and results of operations may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fail to effectively manage the fluctuations in our business,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growth in the past placed significant demands on our management, processes and operational, technological and financial resources. Economic headwinds in recent years led to us announcing reductions in our workforce which were intended to help us achieve a more cost-efficient organization. These fluctuations in the momentum of our business challenge our ability to manage our growth effectively and to integrate new employees and technologies into our existing business. Our success as a business continues to require us to retain, attract, train, motivate and manage employees and invest strategically to refine our operational, technological and financial infrastructure. See also the risk factor titled “—</w:t>
      </w:r>
      <w:r>
        <w:rPr>
          <w:rFonts w:ascii="Times New Roman;serif" w:hAnsi="Times New Roman;serif"/>
          <w:b w:val="false"/>
          <w:i/>
          <w:color w:val="000000"/>
          <w:sz w:val="20"/>
        </w:rPr>
        <w:t>We depend on our key personnel and other highly skilled personnel, and if we fail to attract, retain and motivate our personnel, our business, financial condition and results of operations could be adversely affected</w:t>
      </w:r>
      <w:r>
        <w:rPr>
          <w:rFonts w:ascii="Times New Roman;serif" w:hAnsi="Times New Roman;serif"/>
          <w:b w:val="false"/>
          <w:color w:val="000000"/>
          <w:sz w:val="20"/>
        </w:rPr>
        <w:t>.” As part of that effort and from time to time, we rely on temporary independent contractor programs to scale our operations team. Failure to effectively implement and manage such programs could result in misclassification or other employment related claims or inquiries by governmental agencies. Continued fluctuations in the momentum of our business will strain our ability to develop and improve our operational policies and procedures, AI models and technology, disclosure controls and procedures, internal control over financial reporting, management oversight, loan funding and relationships with borrowers, lending partners and institutional investors. For example, there are certain aspects of our information technology and our operations, such as servicing activities, that have required, and still require, manual processes which are prone to errors and that we have not yet fully automated with new technologies. Some of the foregoing factors, like the manual processes, have negatively affected, and could continue to negatively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Security breaches, improper access to our or borrowers’ data, or other security incidents may harm our reputation, adversely affect our results of operations and expose us to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increasingly dependent on data, information systems, services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security and integrity of such sensitive information. We also have arrangements in place with certain third-party vendors that require us to share consumer information with the vendor in order to receive its services.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parties. As a result, our information technology systems, including the functions of third parties that are involved or have access to those systems, are large and complex, with many points of entry and access.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all information technology operations are inherently vulnerable to inadvertent or intentional security breaches, incidents, attacks and exposures, the size, complexity, accessibility and distributed nature of our information technology systems that house sensitive information make such systems potentially vulnerable to unintentional or malicious, internal and external attacks. Any vulnerabilities can be exploited from inadvertent or intentional actions of our employees, third-party vendors, lending partners, institutional investors, or by malicious threat actors. While we continuously mature our security controls to address the evolving threat landscape, such measures will not provide absolute security, and remediation efforts may not be successful. Cybersecurity attacks in the financial services industry are increasing in their frequency, levels of persistence, sophistication and intensity, and are being conducted by organized groups and individuals with a wide range of motives (including, but not limited to, industrial espionage) and expertise, including organized criminal groups, “hacktivists,” nation states and others. These risks may be heightened in connection with geopolitical conflicts. In addition to the extraction of sensitive information, cyber attacks could result in compromising the integrity or availability of our information systems, products and services or infrastructure to operate our business and the confidentiality of our and borrowers’ data. Such attacks could include the deployment of harmful malware, ransomware, denial-of-service attacks, social engineering and other means. The prevalent use of mobile devices increases the risk of data security incidents. Further, our Digital First working environment could increase the risks of security breaches and incidents as more of our employees are accessing our services and infrastructure remotely, reducing physical and social security controls on employee monitoring.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face indirect technology, cybersecurity and operational risks relating to the borrowers, lending partners, institutional investors, vendors and other third parties with whom we do business or upon whom we rely on to facilitate or enable our business activities. Security breaches and attacks on our information systems and infrastructure or those of our business partners may cause interruptions to the services we provide, degrade the user experience of our products and services, cause our customers, borrowers or business partners to lose confidence and trust in us, or harm our transaction volume, revenue or future growth prospects. Significant disruptions to information technology systems or other security incidents within our company, our lending partners and dealerships, or third parties that we or they do business with could adversely affect our business operations and result in the loss, misappropriation, or unauthorized access, use or disclosure of, or the prevention of access to, sensitive consumer or employee information, which could result in financial, legal, regulatory, business and reputational harm to us. When security breaches, incidents or attacks impact information systems of third parties, we may not always have control over security measures or responses to such events. For example, a mid-2024 cyber attack on CDK Global, a third-party vendor that provides customer relationship management and deal management services solutions to dealerships, temporarily disrupted dealership operations nationwide. While we promptly implemented workaround solutions to support our dealer partners and thus the business impact to our company was minimal, the dealers were impacted in their ability to make sales and provide auto loans. Our use of AI technology may create additional cybersecurity risks or increase cybersecurity risks, including risks of security breaches and incidents. Further, AI technology may be used in connection with certain types of cybersecurity attacks, resulting in heightened risks of security breaches and incidents.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techniques used to obtain unauthorized access or to sabotage systems change frequently and generally are not recognized until they are launched against a target, we, our business partners or any third parties that we rely on to operate our business may be unable to anticipate these techniques or to implement adequate preventative measures. In addition, many governments have enacted laws requiring companies to notify individuals of data security breaches involving their personal information. These mandatory disclosures regarding a security breach are costly to implement and often lead to widespread negative publicity following a breach, which may cause borrowers and potential borrowers to lose confidence in the effectiveness of our security measures for our products and enterprise. Any security breach or incident, whether actual or perceived, would harm our reputation and ability to attract new borrowers to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Like other financial and technology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 Any event that leads to unauthorized access, use or disclosure of personal information or other sensitive information that we or our vendors maintain, including our own proprietary business information and sensitive information such as personal information regarding borrowers or any security compromises in our industry or industries that we rely on to conduct our business, whether actual or perceived, or information technology system disruptions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Security incidents and other inappropriate access can be difficult to detect, and any delay in identifying them may lead to increased harm of the type described above. There can be no assurance that our security measures intended to protect our services and infrastructure will successfully prevent service interruptions or security incidents. We cannot provide any assurance that security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proprietary AI models rely in part on the use of loan applicant and borrower data and other third-party data, and if we lose the ability to use such data, or if such data contain inaccuracies, our business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our proprietary AI models, which are statistical models built using a variety of data sets. Our AI models rely on a wide variety of data sources, including data collected from applicants and borrowers, credit bureau data, and our credit experience gained through monitoring the payment performance of borrowers over time. In 2024, the CFPB issued a final rule on “open banking” and protection of personal financial data rights that would give consumers certain rights in deciding how financial institutions and companies like us can use and transfer consumer personal financial data, and also included additional restrictions and requirements on companies that use such data. The 2024 “open banking rule” is not currently in effect due to legal challenges, and is unlikely to go into effect in its current form. The new presidential administration issued an advanced notice of proposed rulemaking in 2025 to re-evaluate and propose amendments to the rule. As of November 2025, the public comment period for the advanced notice of proposed rulemaking had ended and the future of the rule and the timing of its implementation,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all, is still unknown. If we are unable to access and use data collected from applicants and borrowers, data received from credit bureaus, repayment data collected as part of our loan servicing activities, or any other data for our AI models, or our access to such data is limited or comes at a significant increase in cost, our ability to accurately evaluate potential borrowers, detect fraud and verify applicant data would be compromised. Any of the foregoing could negatively impact the accuracy of our pricing, the degree of automation in our loan application process and the volume of loans facilitated on our marketplace. In addition, if we were required to share unique data we collect from applicants and borrowers with third parties, that could lessen Upstart’s competitive advantage.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Third-party data sources on which we rely include the consumer reporting agencies regulated by the CFPB and other alternative data sources. Such data is electronically obtained from third parties and used, for example,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Loan applicants’ credit scores may not reflect such applicants’ actual creditworthiness because the credit scores or data underlying those credit scores may be outdated, incomplete or inaccurate. Although regulatory protections, such as ECOA and the FCRA, are in place to afford consumers the right to dispute inaccuracies and despite the fact that we use numerous third-party data sources and multiple credit factors within our proprietary models, which helps mitigate this risk, it does not eliminate the risk of an inaccurate individual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although we attempt to verify the income, employment and education information provided by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applicants may be incomplete, inaccurate or intentionally false. Applicants may also misrepresent their intentions for the use of loan proceeds. We do not verify or confirm any statements by applicants as to how loan proceeds are to be used after loan funding, although borrowers agree that they will use the funds for household or personal use. If an applicant supplied false, misleading or inaccurate information and our fraud detection processes do not flag the application, repayments on the corresponding loan may be lower, in some cases significantly lower, than expected, leading to losses for the lending partner or institutional investor.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if any data used to train and improve our AI models is inaccurate or otherwise unreliable, or access to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lending partners and institutional investors to our marketplace or increase the number of Upstart-powered loans and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 connection with asset-backed securitizations, pass-through certificate transactions, warehouse credit facilities and whole loan sales, we make representations and warranties concerning the loans transferred, and if such representations and warranties are not accurate when made, we could be required to repurchase the applicable loans or make other 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our asset-backed securitizations, pass-through certificate transactions, warehouse credit facilities, whole loan sale arrangements and other commercial transactions,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institutional investors. If those representations and warranties were not accurate when made and are not timely cured or incurable, we may be required to repurchase the underlying loans or make payments. Failure to repurchase such loans or make payments could constitute a default or termination event under the agreements governing our various arrangements or transactions and could require us to indemnify certain financing parties. Through September 30, 2025, the number of Upstart-powered loans requiring repurchase or payments from Upstart as a result of inaccurate representations and warranties represents less than 1% of all Upstart-powered loans. While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immaterial number of Upstart-powered loans have been historically repurchased by us or required us to make payments, there can be no assurance that we would have adequate cash or other qualifying assets available to make such repurchases or payments if and when required. Such repurchases or payments could be limited in scope, relating to small pools of loans, or significant in scope, across multiple pools of loans. If we were required to make such repurchases or payments and if we do not have adequate liquidity to fund such repurchases or payments, our business, financial condition and results of operations could be adversely affected. In addition, a high volume of repurchases or payments due to a breach of such representations and warranties could have an adverse impact on our reputation as a loan seller and servicer.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Borrowers may prepay a loan at any time without penalty, which could reduce our servicing fees and deter our lending partners and institutional investors from investing in loans facilitated through our lending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borrower may decide to prepay all or a portion of the outstanding principal amount on a loan at any time without penalty. If the entire outstanding unpaid principal amount of a loan is prepaid, we would not receive a servicing fee, or we would receive significantly less servicing fees for such prepaid loan. Our AI models are designed to predict prepayment rates, but prepayment may occur for a variety of reasons. If a significant volume of prepayments occur that our AI models do not accurately predict, the amount of our revenue from servicing fees would decline and returns targeted by our lending partners and institutional investors would be adversely affected, which would harm our business and results or operations and our ability to attract new lending partners and institutional 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marketing efforts and brand promotion activities may not be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Promoting awareness of our AI lending marketplace is important to our ability to grow our business, attract new lending partners, increase the number of potential borrowers on our marketplace and attract institutional investors to our marketplace. We believe that the importance of brand recognition will increase as competition in the consumer lending industry expands. For example, because some of our lending partners have adopted our lending partner-branded version of our AI lending marketplace through their own websites, potential borrowers may not be aware they are experiencing our AI lending marketplace, which may hinder recognition of our brand. Successful promotion of our brand will depend largely on the effectiveness of marketing efforts and the overall user experience of our lending partners and potential borrowers on the Upstart marketplace.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the CFPB has proposed a rule that limits how data brokers can share consumer information and that prohibits secondary use of data, including for targeted marketing. Similarly,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brand promotion activities may not yield increased revenues. If we fail to successfully build trust in our AI lending marketplace and the performance and predictability of Upstart-powered loans, we may lose existing lending partners and institutional investors to our competitors or be unable to attract new lending partners and institutional investors,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increases due to greater marketing expenditures, could have an adverse effect on our business, financial condition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Unfavorable outcomes in legal proceedings may harm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and may in the future become, subject to lawsuits by governmental agencies or private parties, other claims, examinations, investigations, enforcement actions, legal and administrative cases and proceedings, whether civil or criminal, all of which may affect our results of operations. These claims, lawsuits, and proceedings could involve, and in some cases have involved,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alleged federal and state securities and “blue sky” law violations or other investor claims, and other matters. For example, we are a defendant in a number of securities class action and other related lawsuits. See the “</w:t>
      </w:r>
      <w:r>
        <w:rPr>
          <w:rFonts w:ascii="Times New Roman;serif" w:hAnsi="Times New Roman;serif"/>
          <w:b w:val="false"/>
          <w:i/>
          <w:color w:val="000000"/>
          <w:sz w:val="20"/>
        </w:rPr>
        <w:t>Legal</w:t>
      </w:r>
      <w:r>
        <w:rPr>
          <w:color w:val="000000"/>
        </w:rPr>
        <w:t xml:space="preserve">” </w:t>
      </w:r>
      <w:r>
        <w:rPr>
          <w:rFonts w:ascii="Times New Roman;serif" w:hAnsi="Times New Roman;serif"/>
          <w:b w:val="false"/>
          <w:color w:val="000000"/>
          <w:sz w:val="20"/>
        </w:rPr>
        <w:t>section under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in Part I, Item 1 of this Quarterly Report on Form 10-Q and the risk factor titled “—</w:t>
      </w:r>
      <w:r>
        <w:rPr>
          <w:rFonts w:ascii="Times New Roman;serif" w:hAnsi="Times New Roman;serif"/>
          <w:b w:val="false"/>
          <w:i/>
          <w:color w:val="000000"/>
          <w:sz w:val="20"/>
        </w:rPr>
        <w:t>The trading price of our common stock may be volatile, and you could lose all or part of your investment</w:t>
      </w:r>
      <w:r>
        <w:rPr>
          <w:color w:val="000000"/>
        </w:rPr>
        <w:t xml:space="preserve">” </w:t>
      </w:r>
      <w:r>
        <w:rPr>
          <w:rFonts w:ascii="Times New Roman;serif" w:hAnsi="Times New Roman;serif"/>
          <w:b w:val="false"/>
          <w:color w:val="000000"/>
          <w:sz w:val="20"/>
        </w:rPr>
        <w:t>for more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due to the consumer-oriented nature of our business and the application of certain laws and regulations, participants in our industry are regularly named as defendants in litigation alleging violations of federal and state laws and regulations, including consumer protection laws.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the risk factor titled “—</w:t>
      </w:r>
      <w:r>
        <w:rPr>
          <w:rFonts w:ascii="Times New Roman;serif" w:hAnsi="Times New Roman;serif"/>
          <w:b w:val="false"/>
          <w:i/>
          <w:color w:val="000000"/>
          <w:sz w:val="20"/>
        </w:rPr>
        <w:t>If loans facilitated through our marketplace for one or more lending partners were subject to successful challenge that the lending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r>
        <w:rPr>
          <w:color w:val="000000"/>
        </w:rPr>
        <w:t xml:space="preserve">” </w:t>
      </w:r>
      <w:r>
        <w:rPr>
          <w:rFonts w:ascii="Times New Roman;serif" w:hAnsi="Times New Roman;serif"/>
          <w:b w:val="false"/>
          <w:color w:val="000000"/>
          <w:sz w:val="20"/>
        </w:rPr>
        <w:t>for more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also the risk factors titled “—</w:t>
      </w:r>
      <w:r>
        <w:rPr>
          <w:rFonts w:ascii="Times New Roman;serif" w:hAnsi="Times New Roman;serif"/>
          <w:b w:val="false"/>
          <w:i/>
          <w:color w:val="000000"/>
          <w:sz w:val="20"/>
        </w:rPr>
        <w:t>If loans originated by our lending partners were found to violate the laws of one or more states, whether at origination or after sale by the lending partner, loans facilitated through our marketplace may be unenforceable or otherwise impaired, we or our lending partners or institutional investors may be subject to, among other things, fines and penalties, and/or our commercial relationships may suffer, each of which would adversely affect our business and results of operations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We have been in the past and may in the future be subject to federal and state regulatory inquiries regarding our business</w:t>
      </w:r>
      <w:r>
        <w:rPr>
          <w:color w:val="000000"/>
        </w:rPr>
        <w:t xml:space="preserve">” </w:t>
      </w:r>
      <w:r>
        <w:rPr>
          <w:rFonts w:ascii="Times New Roman;serif" w:hAnsi="Times New Roman;serif"/>
          <w:b w:val="false"/>
          <w:color w:val="000000"/>
          <w:sz w:val="20"/>
        </w:rPr>
        <w:t xml:space="preserve">for more information.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subject to such litigation or enforcement, then any unfavorable results of pending or future legal proceedings may result in contractual damages, usury related claims, fines, penalties, injunctions, the unenforceability, rescission or other impairment of loans originated through our marketplace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long-term impact of operating with a Digital First workforce on our business, financial condition and results of operations is uncertain.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announcement of a Digital First work model in June 2021, remote work with less time in the office has been the primary experience for most of our employees. Our workforce is principally distributed across the U.S., with only limited presence in Canada, and we expect this to continue. Although we anticipate that this Digital First model will have a long-term positive impact on our business, financial condition and results of operations, there is no guarantee that we will realize any anticipated benefits to our business from this model, including cost savings, operational efficiencies, or productivity.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Furthermore, our understanding of applicable legal and regulatory requirements related to a remote workforce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a provider of automotive retail software.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diversion of management time and focus from operating our business to addressing acquisition integration challenges;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utilization of our financial resources for acquisitions or investments that may fail to realize the anticipated benefits;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inability of the acquired technologies, products or businesses to achieve expected levels of revenue, profitability, productivity or other benefits;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coordination of technology, product development and sales and marketing functions and integration of administrative systems;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transition of the acquired company’s borrowers to our systems;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retention of employees from the acquired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regulatory risks, including maintaining good standing with existing regulatory bodies or receiving any necessary approvals, as well as being subject to new regulators with oversight over an acquired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attracting financing;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cultural challenges associated with integrating employees from the acquired company into our organization;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need to implement or improve controls, procedures and policies at a business that prior to the acquisition may have lacked effective controls, procedures and policies;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potential write-offs of loans or intangibles or other assets acquired in such transactions that may have an adverse effect on our results of operations in a given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liability for activities of the acquired company before the acquisition, including patent and trademark infringement claims, violations of laws, commercial disputes, tax liabilities and other known and unknown liabilities;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assumption of contractual obligations that contain terms that are not beneficial to us, require us to license or waive intellectual property or increase our risk for liability;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litigation, claims or other liabilities in connection with the acquired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failure to address these risks or other problems encountered in connection with any future acquisitions and strategic investments could cause us to fail to realize the anticipated benefits of these acquisitions or investments, or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is subject to the risks of natural disasters and other catastrophic events, many of which are becoming more acute and frequent due to climate change, and to interruption by human-induced problems.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a failure of banking or other financial institutions, power outages or increased risk of cybersecurity breaches due to a swift transition to remote work brought about by a catastrophic event, could have an adverse effect on our business, results of operations and financial condition.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long-term effects of climate change on the global economy and our industry in particular are unclear; however, we recognize that there are inherent climate-related risks wherever business is conducted. Either of our headquarters may be vulnerable to the adverse effects of climate change. Our headquarters is located in the San Francisco Bay Area, a region that is prone to seismic activity and has experienced and may continue to experience, climate-related events and at an increasing rate. Examples include but are not limited to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Our office in Columbus, Ohio is a region at higher risk for extreme winter weather, including blizzards. Although we maintain a disaster response plan and insurance, such events could disrupt our business, the business of our lending partners or third-party suppliers, and may cause us to experience losses and additional costs to maintain and resume operations. 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acts of war and other armed conflicts, disruptions in global trade, travel restrictions and quarantines, terrorism and other civil, political and geopolitical conflicts,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generally accepted accounting principles in the United States requires our management to make estimates and assumptions that affect the amounts reported and disclosed in our condensed consolidated financial statements and accompanying notes. We base our estimates and assumptions on historical experience and on various other data points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assumptions which we believe are critical in understanding and evaluating our financial results include: (i) fair value determinations; (ii) stock-based compensation; (iii) consolidation of VIEs; and (iv) the evaluation for impairment of goodwill and acquired intangible assets. The judgments and assumptions used in accounting conclusions related to committed capital and other co-investment arrangements are especially complex.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Sarbanes-Oxley Act requires, among other things, that we maintain effective disclosure controls and procedures and internal controls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controls over financial reporting. In order to maintain and improve the effectiveness of our disclosure controls and procedures and internal controls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Weaknesses in our disclosure controls and internal control over financial reporting have been discovered in the past and may be discovered in the future.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pPr>
      <w:r>
        <w:rPr>
          <w:rFonts w:ascii="Times New Roman;serif" w:hAnsi="Times New Roman;serif"/>
          <w:b w:val="false"/>
          <w:color w:val="000000"/>
          <w:sz w:val="20"/>
        </w:rPr>
        <w:t xml:space="preserve">the consolidation of variable interest entities, determinations regarding the fair value of financial assets and liabilities (including loans, line of credit receivable, notes receivable, payable to securitization note holders and residual certificate holders, servicing assets and liabilities, and trailing fee liabilities) and the appropriate classification of various items within our financial statements. See </w:t>
      </w:r>
      <w:r>
        <w:rPr>
          <w:color w:val="000000"/>
        </w:rPr>
        <w:t>“</w:t>
      </w:r>
      <w:r>
        <w:rPr>
          <w:rFonts w:ascii="Times New Roman;serif" w:hAnsi="Times New Roman;serif"/>
          <w:b w:val="false"/>
          <w:i/>
          <w:color w:val="000000"/>
          <w:sz w:val="20"/>
        </w:rPr>
        <w:t xml:space="preserve">Note 1. Description of Business and Significant Accounting Policies” </w:t>
      </w:r>
      <w:r>
        <w:rPr>
          <w:rFonts w:ascii="Times New Roman;serif" w:hAnsi="Times New Roman;serif"/>
          <w:b w:val="false"/>
          <w:color w:val="000000"/>
          <w:sz w:val="20"/>
        </w:rPr>
        <w:t>in Part I, Item 1 of this Quarterly Report on Form 10-Q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Some of our estimates, including our key metrics in this report, are subject to inherent challenges in measurement, and any real or perceived inaccuracies may harm our reputation and negatively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estimates and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lending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maintain cash deposits in excess of federally insured limits. Adverse developments affecting financial institutions, including bank failures, could adversely affect our liquidity and financial performance.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maintain domestic cash deposits in Federal Deposit Insurance Corporation (“FDIC”) insured banks that exceed the FDIC insurance limits. Bank failures, events involving limited liquidity, defaults, non-performance or other adverse developments that affect financial institutions, or concerns or rumors about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events, may lead to liquidity constraints. For example, on March 10, 2023, Silicon Valley Bank failed and was taken into receivership by the FDIC. Similarly, on March 12, 2023, Signature Bank and Silvergate Capital Corp. were each swept into receivership.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bookmarkStart w:id="4" w:name="i768280978da94aa5a3563a6c84387cdf_294131"/>
      <w:bookmarkEnd w:id="4"/>
      <w:r>
        <w:rPr>
          <w:rFonts w:ascii="Times New Roman;serif" w:hAnsi="Times New Roman;serif"/>
          <w:b/>
          <w:color w:val="000000"/>
          <w:sz w:val="20"/>
        </w:rPr>
        <w:t>RISKS RELATED TO OUR INTELLECTUAL PROPERTY AND PLATFORM DEVELOPMENT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 may be difficult and costly to protect our intellectual property rights, and we may not be able to ensure their protection.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operate our platform depends, in part, upon our proprietary technology. We may be unable to protect our proprietary technology effectively, which would allow competitors to duplicate our AI models or AI lending marketplace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as of September 30, 2025, four patents granted and six patent applications pending in the United States related to our proprietary risk model and data engineering, we have limited patent protection and our patent applications may not be successful.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proprietary technology, including our AI models, may actually or may be alleged to infringe upon third-party intellectual property rights,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cease using the technology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Any significant disruption in our AI lending platform could prevent us from processing loan applicants and servicing loans, reduce the effectiveness of our AI models and result in a loss of lending partners, institutional investors, applicants or borrowers.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of a system outage or other event resulting in data loss or corruption, our ability to process loan applications, service loans or otherwise facilitate loans through our marketplace would be adversely affected. We also rely on facilities, components, and services supplied by third parties, including data center facilities, cloud storage services and national consumer reporting agencies to process loan applications, service loans and otherwise facilitate loans through our marketplace.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For a large portion of borrowers’ data used in our AI lending marketplace, we obtain borrowers’ data from national consumer reporting agencies, such as TransUnion, and rely on their services in order to process loan applications for our lending partners. Any interference or disruption of our technology and underlying infrastructure or our use of third-party services could adversely affect our relationships with our lending partners and institutional investors, and the overall user experience of our marketplace. Depending on the type and severity of any such disruption, we could be exposed to litigation and regulatory risk. For example, a cybersecurity incident could result in the exposure of consumer data triggering remedial measures, notification requirements, as well as litigation and regulatory exposure.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platform and internal systems rely on software that is highly technical, and if our software contains undetected errors, our business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platform and internal systems rely on software that is highly technical and complex. In addition, our platform and internal systems depend on the ability of such software to store, retrieve, process and manage high volumes of data. The software on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lending partners or institutional investors, failure to present or properly display regulatory disclosures to applicants for an extended period of time, failure to detect fraudulent activity on our platform, a negative experience for consumers or lending partners, delayed introductions of new features or enhancements, or failure to protect borrower data or our intellectual property. Any errors, bugs or defects discovered in the software on which we rely could result in harm to our reputation, loss of consumers or lending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aspects of our business processes include open source software, and any failure to comply with the terms of one or more of these open source licenses could negatively affect our business.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open source licenses contain requirements that we make source code available at no cost for modifications or derivative works we create based upon the type of open source software we use.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face claims from third parties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use of generative AI technologies by our employees or contractors could expose us to unexpected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employees and contractors use generative AI technologies in connection with their performance of services and, as with many developing technologies, generative AI presents risks and challenges that could affect its further development, adoption, and use, and therefore our business. While we have policies and processes in place to protect against it, we face the risk of security threats from employee or contractor errors (such as unauthorized use of third-party generative AI technologies in job functions, our products, or in the operation of our business) or malfeasance in connection with generative AI technologies. Even authorized use of generative AI technologies by our employees or contractors may generate content, including software code, that appears facially correct but is factually inaccurate or flawed or contains security vulnerabilities. Our customers, employees, or others may rely on or use such factually incorrect or flawed content to their detriment, which may expose us to brand or reputational harm, competitive harm, and/or legal liability. Further, security vulnerabilities introduced by generative AI technologies into our software could expose us to cybersecurity risks. Questions surrounding license rights and liability for infringement in AI technology generally, and generative AI technology specifically, have not been fully addressed by competent legal tribunals or applicable laws or regulations. The use or adoption of third-party AI technology, including generative AI technology, into our products and services and our internal business operations may result in exposure to claims of copyright infringement, other intellectual property-related causes of action, or other potential reputational harms.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have policies governing our personnel’s use of third-party generative AI technologies, we cannot guarantee that the policies will be adhered to by all of our employees and contractors and we cannot guarantee that the policies will protect us from all potential liability relating to our adoption of generative AI technologies.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center"/>
        <w:rPr>
          <w:rFonts w:ascii="Times New Roman;serif" w:hAnsi="Times New Roman;serif"/>
          <w:b/>
          <w:color w:val="000000"/>
          <w:sz w:val="20"/>
        </w:rPr>
      </w:pPr>
      <w:bookmarkStart w:id="5" w:name="i768280978da94aa5a3563a6c84387cdf_294128"/>
      <w:bookmarkEnd w:id="5"/>
      <w:r>
        <w:rPr>
          <w:rFonts w:ascii="Times New Roman;serif" w:hAnsi="Times New Roman;serif"/>
          <w:b/>
          <w:color w:val="000000"/>
          <w:sz w:val="20"/>
        </w:rPr>
        <w:t>RISKS RELATED TO OUR DEPENDENCE ON THIRD PARTIES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rely on strategic relationships with loan aggregators to attract applicants to our marketplace, and if we cannot maintain effective relationships with loan aggregators or successfully replace their services, our business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significant number of consumers that apply for a loan on Upstart.com learn about and access Upstart.com through the websites of loan aggregators, typically with hyperlinks from such loan aggregators’ websites to landing pages on our website. While we are continuing to expand our direct acquisition channels, we anticipate that we will continue to depend in significant part on relationships with loan aggregators to maintain and grow our business. For example, a significant amount of our loan originations was derived from traffic from Credit Karma, one of the loan aggregators with whom we partner. The loan aggregators, including Credit Karma, are not required to display offers from our lending partners on their websites nor are they prohibited from working with our competitors or adding our competitors to their platforms. If traffic from Credit Karma or other loan aggregators decreases in the future for any reason or if the loan aggregators implement policies that would adversely impact our business, our loan originations and results of operations would be adversely affected. There is also no assurance that Credit Karma or other loan aggregators will continue to partner with us on commercially reasonable terms or at all. Our competitors may be effective in providing incentives to loan aggregators to favor their products or services or in reducing the volume of loans facilitated through our marketplace.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lending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unrelated to our product, and it is possible that our brand and reputation may be adversely affected by being associated with such content. An unsatisfied borrower could also seek to bring claims against us based on the content presented on a loan aggregator’s website. Such claims could be costly and time-consuming to defend and could distract management’s attention from the operation of the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rely on third-party vendors and if such third parties do not perform adequately or terminate their relationships with us, our costs may increase and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payment processors or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 frame. We also rely on other software and services supplied by vendors, such as communications, analytics and software-as-a-service platforms,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of our third-party partners, including any publicity related to quality standards or safety concerns, could adversely affect our reputation and brand, and could potentially lead to increased regulatory or litigation exposure.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Failure by our third-party vendors or our failure to comply with legal or regulatory requirements or other contractual requirements could have an adverse effect on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service outages, regulatory enforcement actions, consumer demands and lawsuits and suffer economic and reputational damage to our business. Further, we may incur significant costs to resolve any such disruptions in service or failure to provide contracted services, which could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CFPB and each of the prudential bank regulators that supervise our lending partners have issued guidance stating that institutions under their supervision may be held responsible for the actions of the companies with which they contract. In addition, several state regulators have issued rules that impact how non-banks protect data that is shared by or with third parties, and eight federal regulators issued a proposed rule to establish joint standards for collection of information reported to those agencies, including proposed standards for data transmission to the agencies. As a service provider to supervised entities and when subject to state laws on similar topics, we must ensure we have implemented an adequate vendor management program and would have to comply with any data transmission requirements to which our lending partners are subject related to loans our bank partners originated through our marketplace. We or our lending partners could be adversely impacted to the extent we fail to implement a vendor management system that is satisfactory to the CFPB and other regulators or our vendors fail to comply with the legal requirements applicable to the particular products or services being offered. Our use of third-party vendors is subject to increasing regulatory attention.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CFPB and other regulators have also issued regulatory guidance that has focused on the need for financial institutions to perform increased due diligence and ongoing monitoring of third-party vendor relationships, including, for example, the June 2023 interagency guidance on third party risk management and the supplement guidance released for community banks issued in March 2024. Such guidance increased the scope of management involvement in connection with using third-party vendors. Moreover, if regulators conclude that we or our lending partners have not met the heightened standards for oversight of our third-party vendors, we or our lending partners could be subject to enforcement actions, civil monetary penalties, supervisory orders to cease and desist or other remedial actions, which could have an adverse effect on our business, financial condition and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loans originated by our lending partners were found to violate the laws of one or more states, whether at origination or after sale by the lending partner, loans facilitated through our marketplace may be unenforceable or otherwise impaired, we or our lending partners or institutional investors may be subject to, among other things, fines and penalties, and/or our commercial relationships may suffer, each of which would adversely affect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establishing the interest rates and structures (and the amounts and structures of certain fees constituting interest under federal and state banking laws, such as origination fees, late fees and non-sufficient funds fees) that are charged to borrowers on loans originated through our marketplace, our lending partners rely on authority under federal law to export the interest rate requirements of each lending partner’s home state. Further, we, our securitization vehicles and our institutional investors that purchase Upstart-powered loans originated by our lending partners rely on the ability, as subsequent holders of the loans, to continue charging the interest rates and fee structures and enforce other contractual terms agreed to between the lending partners and the borrowers, as permitted under federal banking laws. The current maximum annual percentage rate of the loans facilitated through our marketplace is 35.99% and in some cases, the maximum rate is lower based on regulatory or legislative action in a particular state. In other states, the interest rates and fee structures of certain Upstart-powered loans exceed the maximum interest rate or may not align with the fee structure permitted for consumer loans applicable to non-bank lenders to borrowers residing in, or that have nexus to, such states. In 2024 and 2025, several states introduced legislation to opt out of the federal law that allows for the exportation of interest rates by state-chartered banks (DIDMCA), which, if passed, would arguably prevent out-of-state banks from exporting their higher interest rates into the states that opted out. Iowa opted out of rate exportation many years ago and more recently, Colorado passed legislation to opt out, although the law is the subject of litigation and is not currently enforceable.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Usury, fee, and disclosure related claims involving Upstart-powered loans may be raised in multiple ways. We or the participants in our marketplace, including lending partners and institutional investors, may face litigation, government enforcement or other challenges, for example, based on claims that our lending partners did not establish loan terms that were permissible in the state they were located or did not correctly identify the home state in which they were located for purposes of interest exportation authority under federal law. Alternatively, we or our institutional investors may face litigation, government enforcement or other challenge, for example, based on claims that rates and fees were lawful at origination and through any period during which the lending partner retained the loan and interests therein, but following the sale of loans, we or other purchasers of the loans, including our institutional investors, are not permitted to enforce the loans pursuant to their contracted-for terms, or that while certain disclosures were not required at origination because the loans were originated by banks, they may be required following the sale of such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w:t>
      </w:r>
      <w:r>
        <w:rPr>
          <w:rFonts w:ascii="Times New Roman;serif" w:hAnsi="Times New Roman;serif"/>
          <w:b w:val="false"/>
          <w:i/>
          <w:color w:val="000000"/>
          <w:sz w:val="20"/>
        </w:rPr>
        <w:t>Madden v. Midland Funding, LLC,</w:t>
      </w:r>
      <w:r>
        <w:rPr>
          <w:color w:val="000000"/>
        </w:rPr>
        <w:t xml:space="preserve"> </w:t>
      </w:r>
      <w:r>
        <w:rPr>
          <w:rFonts w:ascii="Times New Roman;serif" w:hAnsi="Times New Roman;serif"/>
          <w:b w:val="false"/>
          <w:color w:val="000000"/>
          <w:sz w:val="20"/>
        </w:rPr>
        <w:t>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The Madden case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The Supreme Court denied certiorari on June 27, 2016, and therefore, the Second Circuit’s decision remains binding on federal courts in the Second Circuit (which include all federal courts in New York, Connecticut, and Vermont). Upon remand to the District Court for consideration of additional issues, the parties settled the matter in 2019.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scope and validity of the Second Circuit’s Madden decision remain subject to challenge and clarification, including outside of the Second Circuit. For example, the Colorado Administrator of the Colorado Uniform Consumer Credit Code, or the UCCC, reached a settlement with respect to complaints against two online lending platforms whose operations share certain commonalities with ours, including with respect to the role of lending partners originating loans and non-bank purchasers of such loans. The complaints included, among other claims, allegations, grounded in the Second Circuit’s </w:t>
      </w:r>
      <w:r>
        <w:rPr>
          <w:rFonts w:ascii="Times New Roman;serif" w:hAnsi="Times New Roman;serif"/>
          <w:b w:val="false"/>
          <w:i/>
          <w:color w:val="000000"/>
          <w:sz w:val="20"/>
        </w:rPr>
        <w:t>Madden</w:t>
      </w:r>
      <w:r>
        <w:rPr>
          <w:color w:val="000000"/>
        </w:rPr>
        <w:t xml:space="preserve"> </w:t>
      </w:r>
      <w:r>
        <w:rPr>
          <w:rFonts w:ascii="Times New Roman;serif" w:hAnsi="Times New Roman;serif"/>
          <w:b w:val="false"/>
          <w:color w:val="000000"/>
          <w:sz w:val="20"/>
        </w:rPr>
        <w:t>decision, that the rates and fees for certain loans could not be enforced lawfully by non-bank purchasers of bank-originated loans. Under the settlement, the banks and non-bank purchasers committed to, among other things, limit the annual percentage rates on loans to Colorado consumers to 36% and take other actions to ensure that the banks were in fact the true lenders. The non-bank purchasers also agreed to obtain and maintain a Colorado lending license. In Colorado, this settlement created a helpful model for what constitutes an acceptable bank partnership model; however, Colorado passed legislation to opt out of the federal law that allows state-chartered banks to export their rates, with such law scheduled to become effective July 1, 2024 but was later subject to an injunction pending the outcome of a legal challenge of the law. Regardless, the settlement may also invite other states to initiate their own actions and set their own regulatory standards through enforcement.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addition, in June 2019, private plaintiffs filed class action complaints against multiple traditional credit card securitization programs, including, </w:t>
      </w:r>
      <w:r>
        <w:rPr>
          <w:rFonts w:ascii="Times New Roman;serif" w:hAnsi="Times New Roman;serif"/>
          <w:b w:val="false"/>
          <w:i/>
          <w:color w:val="000000"/>
          <w:sz w:val="20"/>
        </w:rPr>
        <w:t>Petersen, et al. v. Chase Card Funding, LLC, et al.,</w:t>
      </w:r>
      <w:r>
        <w:rPr>
          <w:color w:val="000000"/>
        </w:rPr>
        <w:t xml:space="preserve"> </w:t>
      </w:r>
      <w:r>
        <w:rPr>
          <w:rFonts w:ascii="Times New Roman;serif" w:hAnsi="Times New Roman;serif"/>
          <w:b w:val="false"/>
          <w:color w:val="000000"/>
          <w:sz w:val="20"/>
        </w:rPr>
        <w:t xml:space="preserve">(No. 1:19-cv-00741-LJV-JJM (W.D.N.Y. June 6, 2019)) and </w:t>
      </w:r>
      <w:r>
        <w:rPr>
          <w:rFonts w:ascii="Times New Roman;serif" w:hAnsi="Times New Roman;serif"/>
          <w:b w:val="false"/>
          <w:i/>
          <w:color w:val="000000"/>
          <w:sz w:val="20"/>
        </w:rPr>
        <w:t>Cohen, et al. v. Capital One Funding, LLC et al.</w:t>
      </w:r>
      <w:r>
        <w:rPr>
          <w:rFonts w:ascii="Times New Roman;serif" w:hAnsi="Times New Roman;serif"/>
          <w:b w:val="false"/>
          <w:color w:val="000000"/>
          <w:sz w:val="20"/>
        </w:rPr>
        <w:t xml:space="preserve">, (No. 19-03479 (E.D.N.Y. June 12, 2019)). In </w:t>
      </w:r>
      <w:r>
        <w:rPr>
          <w:rFonts w:ascii="Times New Roman;serif" w:hAnsi="Times New Roman;serif"/>
          <w:b w:val="false"/>
          <w:i/>
          <w:color w:val="000000"/>
          <w:sz w:val="20"/>
        </w:rPr>
        <w:t>Petersen</w:t>
      </w:r>
      <w:r>
        <w:rPr>
          <w:rFonts w:ascii="Times New Roman;serif" w:hAnsi="Times New Roman;serif"/>
          <w:b w:val="false"/>
          <w:color w:val="000000"/>
          <w:sz w:val="20"/>
        </w:rPr>
        <w:t xml:space="preserve">, the plaintiffs sought class action status against certain defendants affiliated with a national bank that have acted as special purpose entities in securitization transactions sponsored by the bank. The complaint alleged that the defendants’ acquisition, collection and enforcement of the bank’s credit card receivables violated New York’s civil usury law and that, as in </w:t>
      </w:r>
      <w:r>
        <w:rPr>
          <w:rFonts w:ascii="Times New Roman;serif" w:hAnsi="Times New Roman;serif"/>
          <w:b w:val="false"/>
          <w:i/>
          <w:color w:val="000000"/>
          <w:sz w:val="20"/>
        </w:rPr>
        <w:t>Madden</w:t>
      </w:r>
      <w:r>
        <w:rPr>
          <w:rFonts w:ascii="Times New Roman;serif" w:hAnsi="Times New Roman;serif"/>
          <w:b w:val="false"/>
          <w:color w:val="000000"/>
          <w:sz w:val="20"/>
        </w:rPr>
        <w:t xml:space="preserve">,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The </w:t>
      </w:r>
      <w:r>
        <w:rPr>
          <w:rFonts w:ascii="Times New Roman;serif" w:hAnsi="Times New Roman;serif"/>
          <w:b w:val="false"/>
          <w:i/>
          <w:color w:val="000000"/>
          <w:sz w:val="20"/>
        </w:rPr>
        <w:t>Cohen</w:t>
      </w:r>
      <w:r>
        <w:rPr>
          <w:color w:val="000000"/>
        </w:rPr>
        <w:t xml:space="preserve"> </w:t>
      </w:r>
      <w:r>
        <w:rPr>
          <w:rFonts w:ascii="Times New Roman;serif" w:hAnsi="Times New Roman;serif"/>
          <w:b w:val="false"/>
          <w:color w:val="000000"/>
          <w:sz w:val="20"/>
        </w:rPr>
        <w:t xml:space="preserve">case involved a materially similar claim against another national bank. In September 2020, both District Courts dismissed the </w:t>
      </w:r>
      <w:r>
        <w:rPr>
          <w:rFonts w:ascii="Times New Roman;serif" w:hAnsi="Times New Roman;serif"/>
          <w:b w:val="false"/>
          <w:i/>
          <w:color w:val="000000"/>
          <w:sz w:val="20"/>
        </w:rPr>
        <w:t>Peterson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Cohen</w:t>
      </w:r>
      <w:r>
        <w:rPr>
          <w:color w:val="000000"/>
        </w:rPr>
        <w:t xml:space="preserve"> </w:t>
      </w:r>
      <w:r>
        <w:rPr>
          <w:rFonts w:ascii="Times New Roman;serif" w:hAnsi="Times New Roman;serif"/>
          <w:b w:val="false"/>
          <w:color w:val="000000"/>
          <w:sz w:val="20"/>
        </w:rPr>
        <w:t>finding that the usury claims were expressly preempted by the National Bank Act and that a subsequent sale, assignment or transfer of a valid loan (e.g. credit card receivables) did not affect legally permissible interest charged on such loans. The plaintiffs in both cases filed, but ultimately dropped, their appeals of the decision to the second circuit.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noted above, federal prudential regulators have also taken actions to address the </w:t>
      </w:r>
      <w:r>
        <w:rPr>
          <w:rFonts w:ascii="Times New Roman;serif" w:hAnsi="Times New Roman;serif"/>
          <w:b w:val="false"/>
          <w:i/>
          <w:color w:val="000000"/>
          <w:sz w:val="20"/>
        </w:rPr>
        <w:t>Madden</w:t>
      </w:r>
      <w:r>
        <w:rPr>
          <w:color w:val="000000"/>
        </w:rPr>
        <w:t xml:space="preserve"> </w:t>
      </w:r>
      <w:r>
        <w:rPr>
          <w:rFonts w:ascii="Times New Roman;serif" w:hAnsi="Times New Roman;serif"/>
          <w:b w:val="false"/>
          <w:color w:val="000000"/>
          <w:sz w:val="20"/>
        </w:rPr>
        <w:t xml:space="preserve">decision. The OCC and FDIC each issued rules in 2020 clarifying that, when a national bank or savings association sells, assigns, or otherwise transfers a loan, interest permissible before the transfer continues to be permissible after the transfer. Both rules were subject to legal challenge, with several states challenging permissible interest rates post-loan transfer on the grounds that the OCC and FDIC exceeded their authority when promulgating those rules. While the court ruled in favor of the OCC and FDIC holding that the agencies did not exceed their statutory authorities when promulgating their “valid when made” rules, there is risk that the OCC and FDIC rules continue to be challenged or are repealed in the future through legislation.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There are factual distinctions between our program and the circumstances addressed in the Second Circuit’s </w:t>
      </w:r>
      <w:r>
        <w:rPr>
          <w:rFonts w:ascii="Times New Roman;serif" w:hAnsi="Times New Roman;serif"/>
          <w:b w:val="false"/>
          <w:i/>
          <w:color w:val="000000"/>
          <w:sz w:val="20"/>
        </w:rPr>
        <w:t>Madden</w:t>
      </w:r>
      <w:r>
        <w:rPr>
          <w:color w:val="000000"/>
        </w:rPr>
        <w:t xml:space="preserve"> </w:t>
      </w:r>
      <w:r>
        <w:rPr>
          <w:rFonts w:ascii="Times New Roman;serif" w:hAnsi="Times New Roman;serif"/>
          <w:b w:val="false"/>
          <w:color w:val="000000"/>
          <w:sz w:val="20"/>
        </w:rPr>
        <w:t xml:space="preserve">decision, as well as the circumstances in the Colorado UCCC settlement, credit card securitization litigation, and similar cases. As noted above, there are also bases on which the </w:t>
      </w:r>
      <w:r>
        <w:rPr>
          <w:rFonts w:ascii="Times New Roman;serif" w:hAnsi="Times New Roman;serif"/>
          <w:b w:val="false"/>
          <w:i/>
          <w:color w:val="000000"/>
          <w:sz w:val="20"/>
        </w:rPr>
        <w:t>Madden</w:t>
      </w:r>
      <w:r>
        <w:rPr>
          <w:color w:val="000000"/>
        </w:rPr>
        <w:t xml:space="preserve"> </w:t>
      </w:r>
      <w:r>
        <w:rPr>
          <w:rFonts w:ascii="Times New Roman;serif" w:hAnsi="Times New Roman;serif"/>
          <w:b w:val="false"/>
          <w:color w:val="000000"/>
          <w:sz w:val="20"/>
        </w:rPr>
        <w:t xml:space="preserve">decision’s validity might be subject to challenge or the Madden decision may be addressed by federal regulation or legislation. Nevertheless, there can be no guarantee that a Madden-like claim will not be brought against us, our lending partners or our institutional investors.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By mid-2025, at least thirteen (13) states had or proposed to enact true lender laws. Also known as anti-evasion laws, true lender laws are statutory tests, providing that a non-bank entity is a “lender” subject to certain requirements of the state consumer lending license laws if the entity, among other things: (i) has the predominant economic interest in a loan; (ii) brokers, arranges, or facilitates a loan with a greater rate of interest than is permitted by the state’s lending laws; (iii) brokers, arranges or facilitates a loan and has the right to purchase the loan; or (iv) based on the totality of the circumstances, appears to be the lender (e.g. operates or controls the credit program). Washington passed a true lender law that became effective June 6, 2024. More states may also institute similar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statutory “true lender” tests, which may increase the risk of true lender litigation in certain jurisdictions. More true lender tests may also result in increased usury and licensing risk or an unwillingness by our lending partners or investors to originate or purchase loans in states with these laws. Other states may take different paths to promulgate similar “true lender” restrictions, and if not through a legislative path, impacted parties may have little to no advance notice of new restrictions and compliance obligations (e.g. Massachusetts previously concluded a non-bank entity was the true lender using the state’s unfair and deceptive practices statute).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borrower or any state agency were to successfully bring a claim against us, our lending partners, our securitization vehicles and/or the trustees of such vehicles or our institutional investors that we are the true lender and therefore, violated for a state usury law or fee limitation or state licensing requirement or restriction, we, our lending partners, securitization vehicles and/or trustees or institutional investors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lending partners, securitization trustees or institutional investors to enter into or renew relationships; and were such repercussions to apply to our lending partners or institutional investors, such parties could be discouraged from using our marketplace. We may also be subject to payment of damages in situations where we agreed to provide indemnification, as well as fines and penalties assessed by state and federal regulatory agencies.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loans facilitated through our marketplace for one or more lending partners were subject to successful challenge that the lending partner was not the “true lender,” such loans may be unenforceable, subject to rescission or otherwise impaired, we or other program participants may be subject to penalties, and/or our commercial relationships may suffer, each of which would adversely affect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originated through Upstart’s marketplace are originated in reliance on the fact that our lending partners are the “true lenders” for such loans. Their true lender status determines various loan program details, and Upstart-powered loans may involve interest rates and structures (including certain fees and fees structures) permissible at origination because the loan terms and lending practices are set by duly chartered and insured banks or credit unions. Because the loans facilitated by our marketplace are originated by our lending partners, many state consumer financial regulatory requirements, including usury restrictions (other than the restrictions of the state in which a lending partner originating the loans is located) and many licensing requirements and substantive requirements under state consumer credit laws, are inapplicable to the loans, based on principles of federal preemption or express exemptions provided in relevant state laws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recent litigation and regulatory enforcement has challenged, or is currently challenging, the characterization of bank partners as the “true lender” of loans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such settlement to end in 2025 or under the change to Colorado law to prohibit rate exportation to the state. Other states could also bring lawsuits based on these types of bank-partnership relationships. For example, in June 2020, the Washington, D.C. Attorney General filed a lawsuit against online lender Elevate for allegedly deceptively marketing high-cost loans with interest rates above the District’s usury cap of 24%. The usury claim is based on an allegation that Elevate, and not its partner bank, is the true lender of these loans, and was therefore in violation of the state’s usury laws. This case ultimately settled, with Elevate agreeing to charge rates only up to 24%, instead of rates over 100%, and to refund consumers who were charged rates over what is allowed under Washington, DC law. Similarly, in June 2021, a putative class action lawsuit was filed against the online lender Marlette Funding LLC, alleging that the company, doing business as Best Egg, was the true lender of usurious loans originated through a partnership with Cross River Bank, with a rate of interest in excess of the 6% rate permitted to be charged in Pennsylvania by unlicensed non-banks. Furthermore, in April 2022, Opportunity Financial, LLC (“OppFi”) filed a lawsuit against the California Department of Financial Protection and Innovation to challenge the Department’s application of California usury caps to loans originated on OppFi’s online platform. OppFi argued that the Department was applying a “true lender” test to several loans to California residents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exceeded the applicable California usury limit for small dollar loans, even though such test does not exist in California law. While OppFi received a favorable decision in October 2023 that denied California’s motion for preliminary injunction, in California and other states where OppFi faced legal challenges, the case has not yet been resolved and there is an ongoing risk that government agencies and private plaintiffs will seek to challenge these types of relationships that are similar to our business model. Finally, in June 2024, the Massachusetts Attorney General entered into a settlement with a fintech company it believed to be the true lender of loans originated using the bank partnership model, relying on the state’s UDAAP authority to reach such a conclusion, rather than a state licensing or true lender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Although supported by the FDIC, no similar rule applicable to state-chartered banks was issued by the FDIC, and thus there is no clear federal standard.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taken steps to comply with the safe harbor in the Colorado settlement and other laws, regulations and guidance, we, lending partners, institutional investors, securitization vehicles and other similarly situated parties could become subject to challenges like those presented above, by private actions or by state or federal regulators, and, if so, we could face penalties and/or Upstart-powered loans may be void, voidable or otherwise impaired in a manner that may have adverse effects on our operations (directly, or as a result of adverse impact on our relationships with our lending partners, institutional investors or other commercial counterparties). There have been no formal proceedings against us or indication of any proceedings against us to date, but there can be no assurance that the Colorado Administrator or any other regulator will not make assertions similar to those made in its present actions with respect to the loans facilitated by our marketplace in the future.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are subject to counterparty risk with respect to the capped call transactions.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counterparties to the capped call transactions entered into in connection with the 2026 Notes (as defined below), 2029 Notes (as defined below) and 2032 Notes (as defined below) are financial institutions, and we are subject to the risk that one or more of the counterparties may default or otherwise fail to perform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a capped call transaction becomes subject to bankruptcy or other insolvency proceedings, we will become an unsecured creditor in those proceedings with a claim equal to our exposure at the time under the relevant capped call transaction. Our exposure will depend on many factors but, generally, our exposure will increase to the extent there is an increase in our common stock market price and in the volatility of the market price of our common stock. In addition, upon a default or other failure to perform, or a termination of obligations by a counterparty, we may suffer adverse consequences or experience more dilution with respect to our common stock than anticipated. We can provide no assurance as to the financial stability or viability of any of the counterparties.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center"/>
        <w:rPr>
          <w:rFonts w:ascii="Times New Roman;serif" w:hAnsi="Times New Roman;serif"/>
          <w:b/>
          <w:color w:val="000000"/>
          <w:sz w:val="20"/>
        </w:rPr>
      </w:pPr>
      <w:bookmarkStart w:id="6" w:name="i768280978da94aa5a3563a6c84387cdf_294135"/>
      <w:bookmarkEnd w:id="6"/>
      <w:r>
        <w:rPr>
          <w:rFonts w:ascii="Times New Roman;serif" w:hAnsi="Times New Roman;serif"/>
          <w:b/>
          <w:color w:val="000000"/>
          <w:sz w:val="20"/>
        </w:rPr>
        <w:t>RISKS RELATED TO OUR REGULATORY ENVIRONMENT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Litigation, regulatory actions and compliance issues could subject us to significant fines, penalties, judgments, remediation costs and/or requirements resulting in increased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have been named as a defendant in various legal actions, including class action lawsuits and other litigation. Generally, this litigation arises from the dissatisfaction of a consumer with the products or services offered on our marketplace; some of this litigation, however, has arisen from other matters, including claims of violation of laws related to credit reporting, statements made regarding our business and prospects, collections, and do-not-call requests or restrictions.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lending partners’ reputations,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 number of participants in the consumer financial services industry have been the subject of putative class action lawsuits, state attorney general actions and other state regulatory actions or federal regulatory enforcement actions alleging noncompliance with various laws and regulations relating to originating, servicing and collecting consumer loans and providing consumer financial services and products, including actions relating to alleged unfair, deceptive or abusive acts or practices, violations of state licensing and lending laws, including state usury and disclosure laws and actions alleging discrimination on the basis of race, ethnicity, gender or other prohibited bases. The current regulatory environment, increased regulatory compliance efforts, and enhanced regulatory enforcement have resulted in us undertaking significant time-consuming and expensive operational and compliance efforts to operate in accordance with relevant laws, which may delay or preclude our or our lending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or federal consumer protection statutes may result in a separate fine assessed for each violation or substantial damages from class action lawsuits, potentially in excess of the amounts we earned from the underlying activities or that may be covered by our insurance.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of the agreements used in the course of our business include arbitration clauses that permit either party to request arbitration.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from time to time, through our operational and compliance controls, we identify compliance issues that require us to make operational changes and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are subject to or facilitate compliance with a variety of federal, state, and local laws, including those related to consumer protection and lending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must comply with regulatory regimes or facilitate compliance with regulatory regimes on behalf of our lending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It is possible that regulators in the current or future presidential administrations could promulgate rulemakings and bring enforcement actions that materially impact our business and the business of our lending partners. These regulators may augment requirements that apply to loans facilitated by our marketplace, or impose new programs and restrictions, and could otherwise revise or create new regulatory requirements that apply to us (or our lending partners), impacting our business, operations, and profitability.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Federal and certain state laws regulate financial products and services, including requirements that apply to the origination, servicing and collection of loans originated on our marketplace, and the purchase and sale of whole loans or asset-backed securitizations. In particular, the laws, regulations and rules we or our lending partners are subject to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state lending laws and regulations that require certain parties to hold licenses or other government approvals or filings in connection with specified lending activities, and impose requirements related to brokering loans,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Fair Credit Reporting Act and Regulation V promulgated thereunder, which impose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Credit Practices Rule which (i) prohibits lenders from using certain contract provisions that the Federal Trade Commission has found to be unfair to consumers and (ii) prohibits certain activity relating to the assessment of late charges;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Fair Debt Collection Practices Act, and Regulation F promulgated thereunder, and similar state debt collection laws, which provide guidelines and limitations on the conduct of third-party debt collectors (and some limitation on creditors collecting their own debts) in connection with the collection of consumer debts;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Gramm-Leach-Bliley Act, or GLBA, and Regulation P promulgated thereunder, and similar state privacy laws, which include limitations on financial institutions’ disclosure of nonpublic personal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state privacy laws and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Bankruptcy Code, which limits the extent to which creditors may seek to enforce debts against parties who have filed for bankruptcy protection;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Servicemembers Civil Relief Act and similar state laws,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Telephone Consumer Protection Act and the regulations promulgated thereunder, and similar state laws,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Controlling the Assault of Non-Solicited Pornography and Marketing Act of 2003 and the Telemarketing Sales Rule and similar state laws, which impose various restrictions on commercial marketing conducted use of email, telephone, fax or text message;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 that would otherwise be provided in a physical writing;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Right to Financial Privacy Act and similar state laws enacted to provide financial institution customers a reasonable amount of privacy from government scrutiny of their financial records;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Bank Secrecy Act and the USA PATRIOT Act, which relate to compliance with anti-money laundering, borrower due diligence and record-keeping policies and procedures;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federal and state securities laws, including, among others, the Securities Act of 1933, as amended, or the Securities Act, the Exchange Act, the Investment Advisers Act of 1940, as amended, or the IAA, and the Investment Company Act, rules and regulations adopted under those laws, and similar state laws and regulations, which govern how we offer, sell and transact in our loan financing products;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state-specific and local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not always have been, and may not always be, in compliance with these and other applicable laws, regulations and rules. And while compliance with these requirements is a business priority for us, it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marketplace and related services or facilitate the origination of loans for our lending partners. These laws also are subject to changes that could severely limit the operations of our business model.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marketplace, which could end rate exportation in their states by out-of-state, state-chartered banks. Colorado was the first state to enact such legislation since Iowa, and other states have proposed but have not yet passed similar legislation. Further, in late 2020, California created the Department of Financial Protection and Innovation (“DFPI”), a “mini-CFPB,” through expansion of regulation of financial service providers under the California Consumer Financial Protection Law. This increases the state’s authority and oversight of bank partnership relationships and strengthens state consumer protection authority to police debt collections and unfair, deceptive or abusive acts and practices. Voter referendums also have introduced and, in some cases, passed, restrictions on interest rates and/or APRs. If such legislation or bills were to be propagated with rates and/or APRs under 36%, or if state or federal regulators seek to restrict regulated financial institutions such as our lending partners from engaging in business with Upstart in certain ways, our lending partners’ ability to originate loans in certain states could be greatly reduced, and as a result, our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Where applicable, we seek to comply with state broker, small loan, automobile lender,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marketplace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Internet-based loan origination processes may give rise to greater risks than paper-based processes and may not always be allowed under state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loan documents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auto loans issued through our auto lending marketplace, certain state laws may not allow for electronic lien and title transfer, which would require us to use a paper-based title process to secure title to the underlying collateral. Because it is highly manual and outside of our usual practices and titling rules can vary by state, we may be prone to errors or delays in placing titles or otherwise encounter greater difficulty complying with the proper procedures. If we fail to effectively follow such procedures we may, among other things, be limited in our ability to secure the collateral associated with loans issued through our auto lending marketplace.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found to be operating without having obtained necessary state or local licenses,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states have adopted laws regulating and requiring licensing by parties that engage in certain activities regarding consumer finance transactions, including facilitating and assisting such transactions or in connection with collecting, servicing and/or purchasing or selling consumer loans. While we believe we have obtained or are in the process of obtaining all necessary licenses, the application of some consumer finance licensing laws to our AI lending marketplace and the related activities we perform, as well as to our lending partners, is unclear. In addition, state licensing requirements and state regulators’ interpretation of such requirements may evolve over time, including, in particular, recent trends toward increased licensing requirements and regulation of parties engaged in loan solicitation, student loan servicing activities and debt collection. If we or one of our lending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lending partners on our marketplace could be rendered void or unenforceable in whole or in part, any of which could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CFPB has recently adopted a more restrictive view of its authority to regulate consumer financial services, creating uncertainty as to how the agency’s actions or the actions of any other agency could impact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CFPB, which commenced operations in July 2011, has broad authority to create and modify regulations under federal consumer financial protection laws and regulations, such as UDAAP authority under the Consumer Financial Protection Act, the Truth in Lending Act and Regulation Z, ECOA and Regulation B, the Fair Credit Reporting Act and Regulation V, the Electronic Funds Transfer Act and Regulation E, among other regulations, and to enforce compliance with those laws. The CFPB has broad enforcement authority over all providers of financial products and services. The CFPB also has supervisory authority over banks, thrifts and credit unions with assets over $10 billion and certain participants in the consumer financial services market, including short-term, small dollar lenders, non-bank mortgage originators and servicers, and larger participants in other areas of financial services, including some of our lending partners and Upstart Mortgage LLC. The CFPB is also authorized to prevent “unfair, deceptive or abusive acts or practices” through its rulemaking, supervisory and enforcement authority. To assist in its enforcement and supervisory activity, the CFPB maintains an online complaint system that allows consumers to log complaints with respect to various consumer finance products, including the loan products offered through our marketplace.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Biden administration, the CFPB increased hiring in its Enforcement Division and created a Repeat Offender Unit. It also, for the first time, officially established the CFPB’s supervisory authority over a non-bank entity not otherwise subject to the CFPB’s supervisory authority due to the risk the non-bank lender posed to consumers. The CFPB exercised this previously dormant authority for the second time in December 2024, establishing supervisory authority over a technology company offering a peer-to-peer payment product. While the standard for exercising this authority is being revised under the current presidential administration, if the CFPB decides to subject us to its supervisory process, it could significantly increase the level of regulatory scrutiny of our business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Despite this history of enforcement of consumer protection laws, as of the filing of this Quarterly Report Form 10-Q, given that the priorities and direction of the CFPB and other federal agencies under the new U.S. presidential administration have changed, we cannot be certain how the regulatory environment under the new administration may impact our business. See the risk factor titled “—</w:t>
      </w:r>
      <w:r>
        <w:rPr>
          <w:rFonts w:ascii="Times New Roman;serif" w:hAnsi="Times New Roman;serif"/>
          <w:b w:val="false"/>
          <w:i/>
          <w:color w:val="000000"/>
          <w:sz w:val="20"/>
        </w:rPr>
        <w:t>Our business is subject to a wide range of laws and regulations, many of which are evolving, and failure or perceived failure to comply with such laws and regulations could harm our business, financial condition and results of operations</w:t>
      </w:r>
      <w:r>
        <w:rPr>
          <w:color w:val="000000"/>
        </w:rPr>
        <w:t xml:space="preserve">” </w:t>
      </w:r>
      <w:r>
        <w:rPr>
          <w:rFonts w:ascii="Times New Roman;serif" w:hAnsi="Times New Roman;serif"/>
          <w:b w:val="false"/>
          <w:color w:val="000000"/>
          <w:sz w:val="20"/>
        </w:rPr>
        <w:t>for more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See the risk factor titled “—</w:t>
      </w:r>
      <w:r>
        <w:rPr>
          <w:rFonts w:ascii="Times New Roman;serif" w:hAnsi="Times New Roman;serif"/>
          <w:b w:val="false"/>
          <w:i/>
          <w:color w:val="000000"/>
          <w:sz w:val="20"/>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r>
        <w:rPr>
          <w:color w:val="000000"/>
        </w:rPr>
        <w:t xml:space="preserve">” </w:t>
      </w:r>
      <w:r>
        <w:rPr>
          <w:rFonts w:ascii="Times New Roman;serif" w:hAnsi="Times New Roman;serif"/>
          <w:b w:val="false"/>
          <w:color w:val="000000"/>
          <w:sz w:val="20"/>
        </w:rPr>
        <w:t>for more information. The CFPB could also implement rules that restrict our effectiveness in servicing our financial products and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have committed resources to enhancing our compliance programs, future actions by the CFPB (or other regulators) against us, our lending partners or our competitors could discourage the use of our services or those of our lending partners, which could result in reputational harm, a loss of lending partners, borrowers or institutional investors, or discourage the use of our or their services and adversely affect our business. If the CFPB changes regulations that were adopted in the past by other regulators and transferred to the CFPB by the Dodd-Frank Act, or modifies through supervision or enforcement of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former presidential administration appointed consumer-oriented regulators at federal agencies such as the CFPB, the FTC, the OCC and the FDIC. The current presidential administration has significantly reduced staff at these agencies and has appointed persons who favor less government regulation to lead the agencies. While we expect the government to continue to enforce federal consumer protection laws, it remains to be seen how the new presidential administration will address consumer protection under new leadership.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have been in the past and may in the future be subject to federal and state regulatory inquiries regarding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from time to time in the normal course of our business, received, and may in the future receive or be subject to, inquiries or investigations by state and federal regulatory agencies and bodies such as the CFPB, the FTC, state Attorneys General, the SEC, state financial regulatory agencies and other state or federal agencies or bodies regarding the Upstart marketplace, including the marketing of loans for lenders, underwriting and pricing of consumer loans for our lending partners, our fair lending compliance program and licensing and registration requirements. While we expect to address inquiries or investigations and engage in open dialogue with regulators, we cannot guarantee that a federal or state regulator will not take supervisory or enforcement action against us in the future. Since the no-action letter with the CFPB was terminated in June 2022, we no longer enjoy the protection of the no-action letter which had provided that the CFPB would not take supervisory or enforcement action against us for a violation of ECOA. We intend to continue to pursue a transparent and cooperative relationship with the CFPB, which could involve sharing information about our models and other aspects of our business. It is also possible the CFPB may take supervisory or enforcement action against us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also carries reputational risk. The market price of our common stock could decline as a result of the initiation of a regulatory investigation of Upstart or even the perception that such an investigation could occur, even in the absence of any finding by a regulator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Moreover, the FTC previously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FTC claimed were deceptive because of their use of dark patterns. Based upon prior enforcement actions, staff reports, and statements by FTC officials, we believe this scrutiny of financial technology company marketing and disclosure practices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collection, processing, storage, use and disclosure of personal information could give rise to liabilities as a result of existing or new governmental regulation, conflicting legal requirements or differing views of personal privacy rights.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receive, transmit and store large volumes of personal information and other sensitive data, which may potentially include biometric data as defined by state law, from applicants and borrowers. Each lending partner can access information about their respective borrowers and declined applicants via daily loan reports and other reporting tools that are provided via the platform. For loan institutional investors, while we generally limit access to personal information, we do share some personal information about borrowers with certain institutional investors. There are federal, state and foreign laws regarding privacy and the storing, sharing, use, disclosure and protection of personal information and sensitive data including those specific to biometric data. Specifically, cybersecurity and data privacy issues, particularly with respect to personal information, are increasingly subject to legislation and regulations to protect the privacy and security of personal information that is collected, processed and transmitted. For example, the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FTC, and under Section 5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Federal Trade Commission Act, we and our lending partners are prohibited from engaging in unfair and deceptive acts and practices, or UDAP. For example, both the FTC and CFPB have relied on UDAP/UDAAP principles to increase enforcement of “dark patterns,” the definition of which varies but has been defined as “design features used to deceive, steer, or manipulate users into behavior that is profitable for an online service, but often harmful to users or contrary to their intent.” We are and our lending partners are also prohibited from sharing consumer information without proper notification and consent. For example, lawsuits were previously filed against TD Bank and Capital One for alleged privacy violations under GLBA and similar state privacy laws and unfair and deceptive practices under UDAAP, for the alleged sharing of nonpublic personal information (“NPI”) with Meta without (1) properly disclosing in the bank’s privacy policy or elsewhere that NPI was shared with Meta; and (2) allowing customers to opt out of having their NPI shared with Meta.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FTC’s heightened focus on UDAP/UDAAP regulations, the FTC enhanced guidance to the FTC Safeguards Rule, enacted under the GLBA, which mandates that financial institutions develop, implement, and maintain comprehensive information security programs to protect customer data. The revisions reflect technological advancements and rising threats to consumer data, introducing specific measures like multifactor authentication, annual written reports to senior management, data retention requirements, and stricter third-party oversight.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state level, the California Consumer Privacy Act, or the CCPA, which went into effect on January 1, 2020, requires, among other things, that covered companies provide disclosures to California residents and afford such persons new abilities to opt-out of certain sales or retention of their personal information by us. Aspects of the CCPA and its interpretation remain unclear. In addition, California voters approved Proposition 24 in the November 2020 election to create the California Privacy Rights Act, or CPRA, which amends and purports to strengthen the CCPA and created a state agency, the California Privacy Protection Agency, to enforce privacy laws. The CPRA amendments create obligations relating to consumer data as of January 1, 2023 (with a one-year lookback), and enforcement began March 29, 2024. In September 2025, the California Privacy Protection Agency issued final regulations under the CCPA to cover cybersecurity audits, risk assessments, and automated decision-making technologies, with effective dates beginning January 1, 2026, which impose additional compliance obligations on us. Following the enactment of the CCPA, certain states have enacted, and other states are proposing to enact, laws and regulations that impose obligations similar to the CCPA or that otherwise involve significant obligations and restrictions. While many of these laws include exemptions for information covered by the GLBA, and we therefore may be exempt from all or most obligations under many of these state privacy laws, some states do not provide for such exemptions, and such exemptions may not fully exempt us from compliance with state laws.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privacy and data security laws, such as the CCPA, apply to biometric data. Some states also have passed or are considering legislation that is biometric-specific. For instance, in Illinois, the Biometric Information Privacy Act, or BIPA, specifically governs the collection, possession, and disclosure of biometric information or biometric identifiers. There has been a corresponding increase in litigation related specifically to state biometric privacy laws. Whether information we receive from borrowers is subject to state laws expressly governing biometric data depends on how such laws define “biometric data” or other similar terms of art.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Compliance with current and future borrower privacy data protection and information security laws and regulations could result in higher compliance, technical or operating costs. We cannot fully predict the impact of the CCPA, BIPA, or other privacy and data security state laws on our business or operations, but it may require us to further modify our data infrastructure and data processing practices and policies and to incur additional costs and expenses in an effort to continue to comply.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2023 and 2024, New York adopted and later amended its Cybersecurity Regulation (23 NYCRR Part 500). As a part of these amendments, NYDFS Cybersecurity Regulation addresses evolving cyber threats. Key changes include: new obligations for larger entities, enhanced governance requirements related to cybersecurity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oversight, expanded incident reporting requirements, and strengthened requirements for technical controls such as encryption, multi-factor authentication, and vulnerability management to safeguard nonpublic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 the regulatory framework for AI and machine learning technology evolves, our business, financial condition and results of operations may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regulatory framework for AI and machine learning technology is evolving and remains uncertain. For example, in April 2023, the FTC, DOJ, EEOC and CFPB released a joint statement on potential “threats” posed by AI, such as contributing to discriminatory outcomes. Additionally, the CFPB published statements in May 2022 and September 2023 on the applicability of ECOA to AI and machine learning underwriting models when generating adverse action notices. Several federal agencies including the CFPB and Treasury Department have issued requests for information to investigate the impacts of AI on the provision of financial goods and services. On the other hand, in January 2025, the U.S. President issued an Executive Order directing heads of executive departments and agencies to develop an action plan to enhance the United States’s global AI dominance. On July 23, 2025, the U.S. federal government released a policy roadmap and set of initiatives referred to as America’s AI Action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also a significant amount of proposed legislation at the state and federal levels addressing the use and development of AI and on AI governance and oversight. For example, the Colorado Artificial Intelligence Act (the “CAIA”), the first comprehensive state AI regulation, will go into effect in June 2026. Among other things, the CAIA imposes a duty of reasonable care on developers and deployers to avoid “algorithmic discrimination” in high-risk AI systems, and sets forth various disclosure, risk assessment, and governance requirements. Several other states have passed legislation regulating the use of AI and many more are working to pass such legislation.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language of the primary fair lending law (i.e. ECOA) remains unaltered. However, in September 2025, the CFPB indicated that it is considering a proposed rulemaking under Regulation B to clarify obligations under ECOA. Therefore, it is possible that new laws and regulations will be adopted in the United States, or existing laws and regulations may be interpreted in new ways, which would affect the operation of our marketplace and the way in which we use AI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required to register under the Investment Company Act, our ability to conduct business could be materially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Our business involves developing and operating an online lending marketplace that provides our lending partners with access to technology, including proprietary AI models, and related services, so lending partners can assess the credit risk of potential borrowers and offer loans online, and our revenue derives primarily from fees based on the platform and referral services provided to our lending partners and loan servicing.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We believe that we have never been an investment company because, among other reasons, we are primarily engaged in the business of providing an AI-based lending marketplace, and therefore can reasonably rely on exemptions from investment company status.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not able to rely on exemptions from investment company status, we could be deemed an investment company and may be required to institute burdensome compliance requirements, restricting our activities in a way that could adversely affect our business, financial condition and results of operations. For example, among other things, we could be subject to investment company governance requirements; restricted as to future borrowings and in our transactions with affiliates; and be more limited in available corporate financing alternatives and compensation arrangements.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required to register under the Investment Advisers Act, our ability to conduct business could be materially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marketplace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a fund.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believe our current practices do not require us or any of our other affiliates or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transactions involving institutional investors who provide loan funding to our marketplace are found to have been conducted in violation of the Securities Act or similar state law, or we have generally violated any applicable law, our ability to obtain financing for loans facilitated through our marketplace could be materially adversely affected, and we could be subject to private or regulatory 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transactions involving institutional investors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required to register with the SEC or under state securities laws as a broker-dealer, our ability to conduct business could be materially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Anti-money laundering, anti-terrorism financing, anti-corruption and economic sanctions laws could have adverse consequences for 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these laws and regulations could subject us to significant sanctions, fines, penalties, contractual liability to our lending partners or institutional investors, and reputational harm, all of which could harm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securitizations are subject to regulation under federal law, and failure to comply with those laws could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bookmarkStart w:id="7" w:name="i768280978da94aa5a3563a6c84387cdf_294132"/>
      <w:bookmarkEnd w:id="7"/>
      <w:r>
        <w:rPr>
          <w:rFonts w:ascii="Times New Roman;serif" w:hAnsi="Times New Roman;serif"/>
          <w:b/>
          <w:color w:val="000000"/>
          <w:sz w:val="20"/>
        </w:rPr>
        <w:t>RISKS RELATED TO INDEBTEDNESS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rely on borrowings under our warehouse credit facilities and risk retention financing facilities to fund certain aspects of our operations, and any inability to meet our obligations as they come due or to comply with various covenants or representations contained in our warehouse credit facilities could harm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through our warehouse trust special purpose entities, have entered into warehouse credit facilities to partially finance the purchase of certain loans from certain lending partners that originate loans through our marketplace, which credit facilities are secured by the purchased loans.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warehouse credit facilities, we may borrow up to an aggregate of $475.0 million to purchase unsecured personal loans, $100.0 million to purchase small dollar loans, and up to $150.0 million to purchase auto loans. Our risk retention financing facility allows us to borrow up to an aggregate of $100.0 million. Our warehouse credit facilities mature between December 2026 and June 2028, by which time the outstanding principal, together with any accrued and unpaid interest, are due and payable. Our risk retention financing facility’s maturity aligns with the stated maturities of the underlying notes pledged as collateral, which range from 2026 to 2035.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September 30, 2025, we have drawn an aggregate of $140.5 million on our warehouse credit facilities and $60.7 million on our risk retention financing facility. As of September 30, 2025, $258.8 million of the aggregate outstanding principal of loans and restricted cash and $60.7 million of securitization notes, at fair value, were pledged as collateral.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warehouse credit facilities impose operating and financial covenants on the applicable warehouse trust special purpose entity, and under certain termination events or events of default, the applicable lender could require that all or a portion of our outstanding borrowings become immediately due and payable or terminate their respective agreement with us. We have in the past, and may in the future, fail to comply with certain operating or financial covenants in our warehouse credit facilities, requiring a waiver from our lenders. If we are unable to repay our obligations at maturity or in the event of a termination event or default, the applicable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 termination event or an event of default would negatively impact our ability to purchase loans from our marketplace and require us to rely on alternative funding sources, which might increase our costs or which might not be available when needed. If we were unable to arrange new or alternative methods of financing on favorable terms, we might have to limit our loan funding, which could have an adverse effect on our lending partners’ ability or willingness to originate new loans or our ability to use leverage for the loans we hold, which in turn would have an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Corporate and asset-backed debt ratings could adversely affect our ability to support loan funding for our marketplace at attractive rates, which could negatively affect our results of operations, financial condition and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asset-backed securities have been subject to downgrades in the past, and any future downgrade or non-publication of ratings may increase the interest rates that are required to attract investment in such asset-backed securities, adversely impacting our ability to provide liquidity or financing to our lending partners and institutional investors. Our lack of parent debt rating and any further downgrades to the ratings of our asset-backed securities could negatively impact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need to raise additional funds in the future, including through equity, equity-linked, or debt financings, to support business growth and those funds may not be available on acceptable terms, or at all.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continue to make investments to support our business growth and may require additional funds to respond to business challenges, including the need to develop new loan products, enhance our AI models, supplement loan funding, improve our operating infrastructure, acquire complementary businesses and technologies, or make strategic investments. Accordingly, we may need to engage in equity, equity-linked, or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our outstanding Notes (as defined below), it may have a dilutive effect on our stockholders’ equity holdings. Further, debt financing, if available, may involve protective provisions or covenants restricting our operations or our ability to incur additional debt. Any additional financing that we raise may contain terms that are not favorable to us or our stockholders.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unable to obtain adequate financing or on terms satisfactory to us when we require it, we may pursue alternate transactions or be unable to pursue certain business opportunities and our ability to continue to support our business growth and to respond to business challenges could be impaired and our business may be harmed.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August 2021, we issued $661.3 million in aggregate principal amount of 0.25% convertible senior notes due 2026 (the “2026 Notes”). In September 2024, we issued $431.3 million in aggregate principal amount of 2.00% convertible senior notes due 2029 (the “2029 Notes”). In November 2024, we issued $500.0 million in aggregate principal amount of 1.00% convertible senior notes due 2030 (the “2030 Notes”) and in August 2025, we issued $690.0 million in aggregate principal amount of 0% convertible senior notes due 2032 (the “2032 Notes” and together with the 2026 Notes, 2029 Notes and 2030 Notes, the “Notes”). Concurrently with the issuance of the 2029 Notes, we used approximately $302.4 million </w:t>
      </w:r>
      <w:r>
        <w:rPr>
          <w:rFonts w:ascii="Times New Roman;serif" w:hAnsi="Times New Roman;serif"/>
          <w:b w:val="false"/>
          <w:color w:val="000000"/>
          <w:sz w:val="20"/>
          <w:shd w:fill="FFFFFF" w:val="clear"/>
        </w:rPr>
        <w:t xml:space="preserve">of the </w:t>
      </w:r>
      <w:r>
        <w:rPr>
          <w:rFonts w:ascii="Times New Roman;serif" w:hAnsi="Times New Roman;serif"/>
          <w:b w:val="false"/>
          <w:color w:val="000000"/>
          <w:sz w:val="20"/>
        </w:rPr>
        <w:t>proceeds of the 2029 Notes to repurchase approximately $334.2 million in aggregate principal amount of the outstanding 2026 Notes in individually negotiated transactions and additionally repurchased approximately $27.9 million of the outstanding 2026 Notes in open-market purchases. Concurrently with the issuance of the 2032 Notes, we used approximately $224.2 million of the proceeds of the 2032 Notes to repurchase approximately $232.6 million in aggregate principal amount of the outstanding 2026 Notes in individually negotiated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Holders of the Notes may require us to purchase all or a portion of their Notes upon the occurrence of a fundamental change (as defined in the applicable Indenture) with respect to such series of Notes before the applicable maturity date, at a fundamental change repurchase price equal to 100% of the principal amount of the Notes of such series to be repurchased, plus accrued and unpaid interest, if any. Additionally, upon conversion of the Notes, as applicable, unless we elect to deliver solely shares of our common stock to settle such conversion (other than paying cash in lieu of delivering any fractional share), we will be required to make cash payments in respect of the Notes being converted. Moreover, we will be required to repay the Notes of each series in cash at their respective maturities unless earlier converted, redeemed or repurchased. However, we may not have enough available cash or be able to obtain financing at the respective times we are required to make repurchases of the Notes of each series, pay cash for the Notes being converted, or at their respective maturities. In addition, our ability to repurchase the Notes of each series or to pay cash upon conversion of any such Notes may be limited by law, by regulatory authority or by agreements governing our future indebtedness at the time. Our failure to repurchase the Notes of a series at a time when the repurchase is required by the applicable Indenture, or to pay any cash payable upon future conversions of the Notes of a series as required by the applicable Indenture would constitute a default under such Indenture. A default under the applicable Indenture or the fundamental change itself could also lead to a default under agreements governing our other existing or future indebtedness. If the repayment of the related indebtedness were to be accelerated after any applicable notice or grace periods, we may not have sufficient funds to repay the indebtedness and repurchase the Notes of each series, pay cash with respect to the Notes being converted, or at the respective maturities of the Notes.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Provisions in the Indentures governing our Notes may deter or prevent a business combination that may be favorable to you.</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fundamental change (as defined in the applicable Indenture) occurs prior to the maturity date for a series of Notes, holders of the applicable series of Notes will have the right, at their option, to require us to repurchase all or a portion of such Notes. In addition, if a make-whole fundamental change (as defined in the applicable Indenture) occurs prior to the maturity date of the applicable series of Notes, we will in some cases be required to increase the conversion rate for a holder that elects to convert its Notes of such series in connection with such make-whole fundamental change in the manner specified in the applicable Indenture. Furthermore, the Indentures prohibit us from engaging in certain mergers or acquisitions unless, among other things, the surviving entity assumes our obligations under the Notes. These and other provisions in the Indentures could deter or prevent a third party from acquiring us even when the acquisition may be favorable to you.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bookmarkStart w:id="8" w:name="i768280978da94aa5a3563a6c84387cdf_294133"/>
      <w:bookmarkEnd w:id="8"/>
      <w:r>
        <w:rPr>
          <w:rFonts w:ascii="Times New Roman;serif" w:hAnsi="Times New Roman;serif"/>
          <w:b/>
          <w:color w:val="000000"/>
          <w:sz w:val="20"/>
        </w:rPr>
        <w:t>RISKS RELATED TO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ability to use our deferred tax assets to offset future taxable income may be subject to certain limitations, which may have a material impact on our result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a valuation allowance has been recorded to recognize only deferred tax assets that are more likely than not to be realized in the United States federal, state and local tax jurisdictions.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be limited in the portion of NOLs that we can use in the future to offset taxable income for U.S. federal and state income tax purposes. The Tax Cuts and Jobs Act, or the Tax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future offerings, as well as other changes that may be outside of our control, could result in additional ownership changes under Section 382 of the Code. Our NOLs may also be limited under similar provisions of state and local law.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assess the realizability of our deferred tax assets in the future. Future adjustments in our valuation allowance may be required, which may have a material impact on our quarterly and annual operating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tax laws could have a material adverse effect on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imposes a one-percent non-deductible excise tax on repurchases of stock that are made by U.S. publicly traded corporations on or after January 1, 2023, which may affect our share repurchase program. In addition, the One Big Beautiful Bill Act, enacted on July 4, 2025, introduces significant changes to the Code, including restoring immediate expensing of domestic research and development expenditures and reinstating 100% bonus depreciation for qualifying property.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faced, and may face in the future,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 past tax liabilities on our financial statements, a successful assertion by one or more tax authorities could result in substantial tax liabilities in excess of such reserves as well as penalties and interest, and could harm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these and other factors, the ultimate amount of tax obligations owed may differ from the amounts recorded in our financial statements and any such difference may adversely impact our results of operations in future years in which we change our estimates of our tax obligations or in which the ultimate tax outcome is determined.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trading price of our common stock may be volatile, and you could lose all or part of your investment.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volatility in the trading prices and trading volumes of financial technology stocks;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economic conditions, including economic slowdowns, recessions, changes in interest and inflation rates, tightening of credit markets and disruptions in the banking sector;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reduction in the availability of loan funding and liquidity from lending partners and institutional investors;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quarterly fluctuations in demand for the loans we facilitate through our marketplace;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operating performance and stock market valuations of other financial technology companies and technology companies that offer services to financial institutions;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sales of shares of our common stock by us or our stockholders, including sales to cover tax withholding obligations upon vesting of RSUs issued to our employees;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issuance of shares of our common stock, whether in connection with an acquisition or upon conversion of some or all of the outstanding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of securities analysts to maintain coverage of us, changes in financial estimates or other statements made by securities analysts or others, or our failure to meet these estimates or the expectations of investors;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financial projections we may provide to the public, any changes in those projections, or our failure to meet those projections;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announcements by us or our competitors of new products, features, or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or anticipated changes in our results of operations or fluctuations in our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fluctuations in the trading volume of our shares or the size of our public float;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compliance with government policies or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issuance of any cease-and-desist orders from regulatory agencies that we are subject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market perception of the accuracy of our AI models;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or perceived data security breaches or other data security incidents;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announced or completed acquisitions of businesses, products, services, or technologies by us or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recruitment or departure of key personnel;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events or factors, including those resulting from war, incidents of terrorism, political unrest, natural disasters, pandemics or responses to these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For example, in May 2022, June 2022 and July 2022, we and certain of our officers were sued in purported class action lawsuits alleging violations of the federal securities laws for allegedly making materially false and misleading statements about our business, operations, and prospects. This litigation could result in substantial costs and a diversion of our management’s attention and resources, which could harm our business. We may be the target of additional litigation of this type in the future as well.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capped call transactions entered into in connection with the issuance of each of the 2026 Notes, the 2029 Notes and the 2032 Notes may affect the market price of our common stock.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each of the 2026 Notes, the 2029 Notes and the 2032 Notes, we entered into privately negotiated capped call transactions with certain financial institutions as counterparties. These capped call transactions are expected generally to offset the potential dilution to our common stock upon any conversion of the applicable series of Notes and/or reduce any cash payments we are required to make in excess of the principal amount of such converted Notes, as the case may be, with such offset and/or reduction subject to a cap.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applicable series of Notes (and are likely to do so following May 15, 2026, in the case of the 2026 Notes, July 1, 2029, in the case of the 2029 Notes, and November 15, 2031, in the case of the 2032 Notes, during the observation period for conversions of the applicable series of Notes following any conversion of such Notes prior to May 15, 2026, in the case of the 2026 Notes, July 1, 2029, in the case of the 2029 Notes, and November 15, 2031, in the case of the 2032 Notes, in connection with any repurchase or redemption of the Notes of the applicable series, to the extent we unwind a corresponding portion of the capped call transactions, or if we otherwise unwind all or a portion of the capped call transactions). This activity could also cause or prevent an increase or a decrease in the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Certain insiders have significant voting power, which could limit your ability to influence the outcome of key transactions, including a change of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directors, officers, and each of our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large number of shares of our capital stock eligible or registered for public sale could depress the market price of our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could decline as a result of sales of a large number of shares of our common stock in the market, and the perception that these sales could occur may also depress the market price of our common stock. We have filed and in the future may file registration statements on Form S-8 to register shares reserved for future issuance under our equity compensation plans. As a result, subject to the satisfaction of applicable exercise periods or vesting conditions and compliance with our Insider Trading Policy, the shares issued upon exercise of outstanding stock options and settlement of fully vested RSUs will be available for immediate resale in the United States in the open market.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also filed a shelf registration statement on Form S-3ASR in connection with the commencement of an “at the market” offering program, pursuant to which we may offer and sell up to $500.0 million of our common stock. 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 As of September 30, 2025, no shares were issued under the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common stock does not provide any rights directly related to the loans we hold.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You may be diluted by the future issuance of additional common stock in connection with our equity incentive plans, acquisitions or otherwise.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authorizes us to issue 602,724,456 shares of authorized but unissued common stock and rights relating to common stock for the consideration and on the terms and conditions established by our Board of Directors in its sole discretion, whether in connection with acquisitions or otherwise. We have reserved 11,190,851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Transactions relating to our 2026 Notes, 2029 Notes, 2030 Notes and 2032 Notes may dilute the ownership interest of stockholders, or may otherwise depress the price of our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2026 Notes, the 2029 Notes, the 2030 Notes or the 2032 Notes are converted by holders of such series, we are required under the applicable Indenture to pay or deliver, as the case may be, either cash, shares of common stock, or a combination of cash and shares of common stock, at our election. If we elect to deliver any shares of common stock upon conversion of the 2026 Notes, the 2029 Notes, the 2030 Notes or the 2032 Notes with respect to our conversion obligation, it would dilute the ownership interests of existing stockholders. Any sales in the public market of the common stock issuable upon such conversion could adversely affect prevailing market prices of our common stock. In addition, certain holders of the 2026 Notes, the 2029 Notes, the 2030 Notes or the 2032 Notes may engage in short selling to hedge their position in the Notes. Anticipated future issuances of shares of our common stock upon conversion of the 2026 Notes, 2029 Notes, 2030 Notes or 2032 Notes could depress the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To the extent a large number of shares of our common stock are sold in connection with any “sell to cover” transactions upon vesting of restricted stock units (RSUs) issued to our employees, our stock price may fluctuate.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U.S. tax laws, employment tax withholding and remittance obligations for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are subsequently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To the extent a large number of shares are sold in connection with any vesting event, such sales volume may cause our stock price to fluctuate.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Delaware law and provisions in our amended and restated certificate of incorporation and amended and restated bylaws could make a merger, tender offer, or proxy contest difficult, thereby depressing the market price of our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Board of Directors is classified into three classes of directors with staggered three-year terms and directors are only able to be removed from office for cause;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vacancies and newly-created seats on our Board of Directors will be able to be filled only by our Board of Directors and not by stockholders;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only the Chair of our Board of Directors, our Chief Executive Officer, our president, or a majority of our entire Board of Directors are authorized to call a special meeting of stockholders;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certain litigation against us or our directors, stockholders, officers or employees can only be brought in Delaware;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advance notice procedures apply for stockholders to nominate candidates for election as directors or to bring matters before an annual meeting of stockholders;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are the sole and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governing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common stock market price and trading volume could decline if equity or industry analysts do not publish research or publish inaccurate or unfavorable research about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requirements of being a public company may strain our resources, divert management’s attention and affect our ability to attract and retain qualified board members.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the Dodd-Frank Act, the listing requirements of the Nasdaq Global Select Market and other applicable securities rules and regulations. Our management and other personnel must devote substantial time to these public company requirements that would otherwise be focused on operational and other business matters. Compliance with these rules and regulations has increased our legal and financial compliance costs, made some activities more difficult, time-consuming or costly and increased demand on our systems and resources, and we will need to continue to invest additional resources and incur substantial costs on ongoing compliance burdens, including compliance with new rules and regulations that are adopted from time to time and applicable to us as a public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do not intend to pay dividends for the foreseeable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pPr>
      <w:r>
        <w:rPr>
          <w:rFonts w:ascii="Times New Roman;serif" w:hAnsi="Times New Roman;serif"/>
          <w:b/>
          <w:color w:val="000000"/>
          <w:sz w:val="22"/>
        </w:rPr>
        <w:t xml:space="preserve">ITEM 2. UNREGISTERED SALES OF EQUITY SECURITIES </w:t>
      </w:r>
      <w:r>
        <w:rPr>
          <w:rFonts w:ascii="Times New Roman;serif" w:hAnsi="Times New Roman;serif"/>
          <w:b/>
          <w:color w:val="000000"/>
          <w:sz w:val="22"/>
          <w:shd w:fill="FFFFFF" w:val="clear"/>
        </w:rPr>
        <w:t>AND USE OF PROCEEDS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60" w:after="283"/>
        <w:jc w:val="left"/>
        <w:rPr/>
      </w:pPr>
      <w:hyperlink w:anchor="i2a40b956322447e08a7eb781591fe5c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Securities Trading Plans of Executive Officers and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some of the Company’s executive officers or directors may enter into trading plans that are designed to comply with the Company’s Insider Trading Policy and intended to satisfy the affirmative defense conditions of Rule 10b5-1(c) of the Securities Exchange Act of 1934, as amended (the “Exchange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the following directors and officers (as defined in Rule 16a-1(f) of the Exchange Act) of the Company each adopted a “Rule 10b5-1 trading arrangement” (as defined in Item 408(a) of Regulation 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and title of director and officer: Dave Girouard, Chief Executive Officer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of adoption: September 8,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Duration of the trading arrangement: Through December 31, 2026 or earlier if all transactions under the trading arrangement are completed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Aggregate number of securities to be sold from time to time: up to 1,576,000 shares, including shares issuable upon the exercise of outstanding options upon reaching the pricing targets defined in the trading arrangement.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of director: Kerry Whorton Cooper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of adoption: September 4,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Duration of the trading arrangement: Through December 31, 2026 or earlier if all transactions under the trading arrangement are completed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Aggregate number of securities to be sold from time to time: up to 9,000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of director: Hilliard C. Terry III</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of adoption: September 3,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Duration of the trading arrangement: Through December 3, 2026 or earlier if all transactions under the trading arrangement are completed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Aggregate number of securities to be sold from time to time: up to 60,000 shares, including shares issuable upon the exercise of outstanding options upon reaching the pricing targets defined in the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exhibits listed below are filed as part of this Quarterly Report on Form 10-Q or are incorporated herein by reference, in each case as indicated below.</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1"/>
        <w:gridCol w:w="308"/>
        <w:gridCol w:w="309"/>
        <w:gridCol w:w="109"/>
        <w:gridCol w:w="109"/>
        <w:gridCol w:w="109"/>
        <w:gridCol w:w="1657"/>
        <w:gridCol w:w="1451"/>
        <w:gridCol w:w="1466"/>
        <w:gridCol w:w="109"/>
        <w:gridCol w:w="109"/>
        <w:gridCol w:w="109"/>
        <w:gridCol w:w="195"/>
        <w:gridCol w:w="195"/>
        <w:gridCol w:w="196"/>
        <w:gridCol w:w="109"/>
        <w:gridCol w:w="109"/>
        <w:gridCol w:w="109"/>
        <w:gridCol w:w="285"/>
        <w:gridCol w:w="260"/>
        <w:gridCol w:w="173"/>
        <w:gridCol w:w="120"/>
        <w:gridCol w:w="120"/>
        <w:gridCol w:w="120"/>
        <w:gridCol w:w="245"/>
        <w:gridCol w:w="245"/>
        <w:gridCol w:w="246"/>
        <w:gridCol w:w="120"/>
        <w:gridCol w:w="120"/>
        <w:gridCol w:w="120"/>
        <w:gridCol w:w="308"/>
        <w:gridCol w:w="250"/>
        <w:gridCol w:w="364"/>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15"/>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File No. </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9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u w:val="single"/>
                </w:rPr>
                <w:t>Indenture, dated August 14, 2025, between Upstart Holdings, Inc. and U.S. Bank Trust Company, National Association.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001-39797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2025</w:t>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"https://www.sec.gov/Archives/edgar/data/1647639/000119312525180825/d16038dex41.htm" \l "exa"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0% Convertible Senior Note due 2032 (included in Exhibit 4.1).</w:t>
            </w:r>
            <w:r>
              <w:rPr>
                <w:rStyle w:val="InternetLink"/>
                <w:sz w:val="20"/>
                <w:u w:val="single"/>
                <w:b w:val="false"/>
                <w:rFonts w:ascii="Times New Roman;serif" w:hAnsi="Times New Roman;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001-39797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2025</w:t>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Form of Capped Call Confirmation.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001-39797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2025</w:t>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311q32025.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exhibit312q32025.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1q32025.htm">
              <w:r>
                <w:rPr>
                  <w:rStyle w:val="InternetLink"/>
                  <w:rFonts w:ascii="Times New Roman;serif" w:hAnsi="Times New Roman;serif"/>
                  <w:b w:val="false"/>
                  <w:color w:val="0000FF"/>
                  <w:sz w:val="20"/>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212529"/>
          <w:shd w:fill="FFFFFF" w:val="clear"/>
        </w:rPr>
      </w:pPr>
      <w:r>
        <w:rPr>
          <w:color w:val="212529"/>
          <w:shd w:fill="FFFFFF" w:val="clear"/>
        </w:rPr>
        <w:t>—————</w:t>
      </w:r>
    </w:p>
    <w:p>
      <w:pPr>
        <w:pStyle w:val="TextBody"/>
        <w:bidi w:val="0"/>
        <w:spacing w:lineRule="auto" w:line="288" w:before="0" w:after="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    Filed herewith.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before="60" w:after="283"/>
        <w:jc w:val="left"/>
        <w:rPr/>
      </w:pPr>
      <w:r>
        <w:rPr/>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296" w:type="dxa"/>
        <w:jc w:val="center"/>
        <w:tblInd w:w="0" w:type="dxa"/>
        <w:tblLayout w:type="fixed"/>
        <w:tblCellMar>
          <w:top w:w="28" w:type="dxa"/>
          <w:left w:w="28" w:type="dxa"/>
          <w:bottom w:w="28" w:type="dxa"/>
          <w:right w:w="28" w:type="dxa"/>
        </w:tblCellMar>
      </w:tblPr>
      <w:tblGrid>
        <w:gridCol w:w="759"/>
        <w:gridCol w:w="668"/>
        <w:gridCol w:w="672"/>
        <w:gridCol w:w="323"/>
        <w:gridCol w:w="323"/>
        <w:gridCol w:w="323"/>
        <w:gridCol w:w="1015"/>
        <w:gridCol w:w="1015"/>
        <w:gridCol w:w="1044"/>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Upstart Holdings,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Dave Girouard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Dave Girouard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Sanjay Datta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Sanjay Datta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Dave Girouard, certify that: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Upstart Holdings,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Date: </w:t>
      </w:r>
      <w:r>
        <w:rPr>
          <w:rFonts w:ascii="Times New Roman;serif" w:hAnsi="Times New Roman;serif"/>
          <w:b w:val="false"/>
          <w:color w:val="000000"/>
          <w:sz w:val="20"/>
        </w:rPr>
        <w:t>November 4, 2025</w:t>
      </w:r>
    </w:p>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24"/>
        <w:gridCol w:w="109"/>
        <w:gridCol w:w="109"/>
        <w:gridCol w:w="385"/>
        <w:gridCol w:w="385"/>
        <w:gridCol w:w="385"/>
        <w:gridCol w:w="723"/>
        <w:gridCol w:w="723"/>
        <w:gridCol w:w="1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UPSTART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 Dave Girouard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7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Dave Girouard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Sanjay Datta, certify that: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Upstart Holdings,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November 4, 2025</w:t>
      </w:r>
    </w:p>
    <w:p>
      <w:pPr>
        <w:pStyle w:val="TextBody"/>
        <w:bidi w:val="0"/>
        <w:spacing w:before="0" w:after="0"/>
        <w:jc w:val="left"/>
        <w:rPr/>
      </w:pPr>
      <w:r>
        <w:rPr/>
      </w:r>
    </w:p>
    <w:tbl>
      <w:tblPr>
        <w:tblW w:w="3911" w:type="dxa"/>
        <w:jc w:val="left"/>
        <w:tblInd w:w="0" w:type="dxa"/>
        <w:tblLayout w:type="fixed"/>
        <w:tblCellMar>
          <w:top w:w="28" w:type="dxa"/>
          <w:left w:w="28" w:type="dxa"/>
          <w:bottom w:w="28" w:type="dxa"/>
          <w:right w:w="28" w:type="dxa"/>
        </w:tblCellMar>
      </w:tblPr>
      <w:tblGrid>
        <w:gridCol w:w="124"/>
        <w:gridCol w:w="109"/>
        <w:gridCol w:w="109"/>
        <w:gridCol w:w="385"/>
        <w:gridCol w:w="385"/>
        <w:gridCol w:w="385"/>
        <w:gridCol w:w="705"/>
        <w:gridCol w:w="705"/>
        <w:gridCol w:w="10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UPSTART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 Sanjay Datta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Sanjay Datta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CERTIFICATIONS OF PRINCIPAL EXECUTIVE OFFICER AND PRINCIPAL FINANCIAL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 Dave Girouard, certify, pursuant to 18 U.S.C. Section 1350, as adopted pursuant to Section 906 of the Sarbanes-Oxley Act of 2002, that the Quarterly Report on Form 10-Q of Upstart Holdings, Inc. for the quarter ended September 30, 2025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 </w:t>
      </w:r>
    </w:p>
    <w:p>
      <w:pPr>
        <w:pStyle w:val="TextBody"/>
        <w:bidi w:val="0"/>
        <w:spacing w:before="240" w:after="283"/>
        <w:jc w:val="both"/>
        <w:rPr/>
      </w:pPr>
      <w:r>
        <w:rPr/>
      </w:r>
    </w:p>
    <w:tbl>
      <w:tblPr>
        <w:tblW w:w="6853" w:type="dxa"/>
        <w:jc w:val="left"/>
        <w:tblInd w:w="0" w:type="dxa"/>
        <w:tblLayout w:type="fixed"/>
        <w:tblCellMar>
          <w:top w:w="28" w:type="dxa"/>
          <w:left w:w="28" w:type="dxa"/>
          <w:bottom w:w="28" w:type="dxa"/>
          <w:right w:w="28" w:type="dxa"/>
        </w:tblCellMar>
      </w:tblPr>
      <w:tblGrid>
        <w:gridCol w:w="885"/>
        <w:gridCol w:w="778"/>
        <w:gridCol w:w="782"/>
        <w:gridCol w:w="238"/>
        <w:gridCol w:w="238"/>
        <w:gridCol w:w="243"/>
        <w:gridCol w:w="1079"/>
        <w:gridCol w:w="1079"/>
        <w:gridCol w:w="1531"/>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Date: November 4, 2025</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68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/s/ Dave Girouard</w:t>
            </w:r>
          </w:p>
        </w:tc>
      </w:tr>
      <w:tr>
        <w:trPr/>
        <w:tc>
          <w:tcPr>
            <w:tcW w:w="244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689" w:type="dxa"/>
            <w:gridSpan w:val="3"/>
            <w:tcBorders>
              <w:top w:val="single" w:sz="2" w:space="0" w:color="000000"/>
            </w:tcBorders>
            <w:shd w:fill="FEFEFE"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Dave Girouard</w:t>
            </w:r>
          </w:p>
        </w:tc>
      </w:tr>
      <w:tr>
        <w:trPr/>
        <w:tc>
          <w:tcPr>
            <w:tcW w:w="244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68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 and President</w:t>
            </w:r>
          </w:p>
        </w:tc>
      </w:tr>
      <w:tr>
        <w:trPr/>
        <w:tc>
          <w:tcPr>
            <w:tcW w:w="244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EFEFE"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p>
            <w:pPr>
              <w:pStyle w:val="TableContents"/>
              <w:bidi w:val="0"/>
              <w:spacing w:before="0" w:after="0"/>
              <w:jc w:val="left"/>
              <w:rPr/>
            </w:pPr>
            <w:r>
              <w:rPr/>
            </w:r>
          </w:p>
        </w:tc>
      </w:tr>
    </w:tbl>
    <w:p>
      <w:pPr>
        <w:pStyle w:val="TextBody"/>
        <w:bidi w:val="0"/>
        <w:spacing w:lineRule="auto" w:line="288" w:before="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 Sanjay Datta, certify, pursuant to 18 U.S.C. Section 1350, as adopted pursuant to Section 906 of the Sarbanes-Oxley Act of 2002, that the Quarterly Report on Form 10-Q of Upstart Holdings, Inc. for the quarter ended September 30, 2025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 </w:t>
      </w:r>
    </w:p>
    <w:p>
      <w:pPr>
        <w:pStyle w:val="TextBody"/>
        <w:bidi w:val="0"/>
        <w:spacing w:before="40" w:after="283"/>
        <w:jc w:val="both"/>
        <w:rPr/>
      </w:pPr>
      <w:r>
        <w:rPr/>
      </w:r>
    </w:p>
    <w:tbl>
      <w:tblPr>
        <w:tblW w:w="5924" w:type="dxa"/>
        <w:jc w:val="left"/>
        <w:tblInd w:w="0" w:type="dxa"/>
        <w:tblLayout w:type="fixed"/>
        <w:tblCellMar>
          <w:top w:w="28" w:type="dxa"/>
          <w:left w:w="28" w:type="dxa"/>
          <w:bottom w:w="28" w:type="dxa"/>
          <w:right w:w="28" w:type="dxa"/>
        </w:tblCellMar>
      </w:tblPr>
      <w:tblGrid>
        <w:gridCol w:w="885"/>
        <w:gridCol w:w="778"/>
        <w:gridCol w:w="782"/>
        <w:gridCol w:w="238"/>
        <w:gridCol w:w="238"/>
        <w:gridCol w:w="243"/>
        <w:gridCol w:w="807"/>
        <w:gridCol w:w="807"/>
        <w:gridCol w:w="1146"/>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Date: November 4, 2025</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60"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/s/ Sanjay Datta</w:t>
            </w:r>
          </w:p>
        </w:tc>
      </w:tr>
      <w:tr>
        <w:trPr/>
        <w:tc>
          <w:tcPr>
            <w:tcW w:w="244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760" w:type="dxa"/>
            <w:gridSpan w:val="3"/>
            <w:tcBorders>
              <w:top w:val="single" w:sz="2" w:space="0" w:color="000000"/>
            </w:tcBorders>
            <w:shd w:fill="FEFEFE"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Sanjay Datta</w:t>
            </w:r>
          </w:p>
        </w:tc>
      </w:tr>
      <w:tr>
        <w:trPr/>
        <w:tc>
          <w:tcPr>
            <w:tcW w:w="244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760"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244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EFEFE"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47639/000119312525180825/d16038dex41.htm" TargetMode="External"/><Relationship Id="rId4" Type="http://schemas.openxmlformats.org/officeDocument/2006/relationships/hyperlink" Target="https://www.sec.gov/Archives/edgar/data/1647639/000119312525180825/d16038d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86862</Words>
  <Characters>485920</Characters>
  <CharactersWithSpaces>568632</CharactersWithSpaces>
  <Paragraphs>6127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