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50993.xml.htm"/>
      <w:bookmarkStart w:id="1" w:name="kswkform4_17873509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Mirgorodskaya Natalia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UPSTART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PARK ROAD,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Upstart Holdings, Inc.</w:t>
              </w:r>
            </w:hyperlink>
            <w:r>
              <w:rPr/>
              <w:t xml:space="preserve"> [ </w:t>
            </w:r>
            <w:r>
              <w:rPr>
                <w:rFonts w:ascii="Times;serif" w:hAnsi="Times;serif"/>
                <w:color w:val="0000FF"/>
                <w:sz w:val="24"/>
                <w:shd w:fill="FFFFFF" w:val="clear"/>
              </w:rPr>
              <w:t>UPST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28.0899</w:t>
            </w:r>
            <w:r>
              <w:rPr>
                <w:rFonts w:ascii="Times;serif" w:hAnsi="Times;serif"/>
                <w:color w:val="008000"/>
                <w:position w:val="7"/>
                <w:sz w:val="16"/>
                <w:sz w:val="20"/>
                <w:shd w:fill="FFFFFF" w:val="clear"/>
              </w:rPr>
              <w:t>(2)</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36,788</w:t>
            </w:r>
            <w:r>
              <w:rPr>
                <w:rFonts w:ascii="Times;serif" w:hAnsi="Times;serif"/>
                <w:color w:val="008000"/>
                <w:position w:val="7"/>
                <w:sz w:val="16"/>
                <w:sz w:val="20"/>
                <w:shd w:fill="FFFFFF" w:val="clear"/>
              </w:rPr>
              <w:t>(3)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to cover tax withholding obligations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$27.97 to $28.41.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RSUs. Each RSU represents a contingent right to receive one share of Common Stock, subject to the applicable vesting schedule and conditions of each RSU.</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Accounting Officer and Controller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Madrid,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851" TargetMode="External"/><Relationship Id="rId5" Type="http://schemas.openxmlformats.org/officeDocument/2006/relationships/hyperlink" Target="http://www.sec.gov/cgi-bin/browse-edgar?action=getcompany&amp;CIK=00016476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3741</Characters>
  <CharactersWithSpaces>4359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