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3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(Mark One)</w:t>
      </w:r>
    </w:p>
    <w:p>
      <w:pPr>
        <w:spacing w:after="0" w:line="154" w:lineRule="exact"/>
        <w:rPr>
          <w:sz w:val="24"/>
          <w:szCs w:val="24"/>
          <w:color w:val="auto"/>
        </w:rPr>
      </w:pPr>
    </w:p>
    <w:p>
      <w:pPr>
        <w:ind w:left="3960" w:right="2020" w:hanging="3399"/>
        <w:spacing w:after="0" w:line="213" w:lineRule="auto"/>
        <w:tabs>
          <w:tab w:leader="none" w:pos="1381" w:val="left"/>
        </w:tabs>
        <w:numPr>
          <w:ilvl w:val="0"/>
          <w:numId w:val="1"/>
        </w:numPr>
        <w:rPr>
          <w:rFonts w:ascii="MS PGothic" w:cs="MS PGothic" w:eastAsia="MS PGothic" w:hAnsi="MS PGothic"/>
          <w:sz w:val="29"/>
          <w:szCs w:val="29"/>
          <w:color w:val="auto"/>
        </w:rPr>
      </w:pPr>
      <w:r>
        <w:rPr>
          <w:rFonts w:ascii="Arial" w:cs="Arial" w:eastAsia="Arial" w:hAnsi="Arial"/>
          <w:sz w:val="16"/>
          <w:szCs w:val="16"/>
          <w:color w:val="auto"/>
        </w:rPr>
        <w:t>QUARTERLY REPORT PURSUANT TO SECTION 13 OR 15(d) OF THE SECURITIES EXCHANGE ACT OF 1934 For the quarterly period ended September 30, 2021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Arial" w:cs="Arial" w:eastAsia="Arial" w:hAnsi="Arial"/>
          <w:sz w:val="16"/>
          <w:szCs w:val="16"/>
          <w:color w:val="auto"/>
        </w:rPr>
        <w:t>TRANSITION REPORT PURSUANT TO SECTION 13 OR 15(d) OF THE SECURITIES EXCHANGE ACT OF 1934</w:t>
      </w:r>
    </w:p>
    <w:p>
      <w:pPr>
        <w:spacing w:after="0" w:line="7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For the transition period from</w:t>
      </w:r>
      <w:r>
        <w:rPr>
          <w:rFonts w:ascii="Arial" w:cs="Arial" w:eastAsia="Arial" w:hAnsi="Arial"/>
          <w:sz w:val="16"/>
          <w:szCs w:val="16"/>
          <w:b w:val="1"/>
          <w:bCs w:val="1"/>
          <w:u w:val="single" w:color="auto"/>
          <w:color w:val="auto"/>
        </w:rPr>
        <w:t>_________</w:t>
      </w:r>
      <w:r>
        <w:rPr>
          <w:rFonts w:ascii="Arial" w:cs="Arial" w:eastAsia="Arial" w:hAnsi="Arial"/>
          <w:sz w:val="16"/>
          <w:szCs w:val="16"/>
          <w:b w:val="1"/>
          <w:bCs w:val="1"/>
          <w:color w:val="auto"/>
        </w:rPr>
        <w:t xml:space="preserve">to </w:t>
      </w:r>
      <w:r>
        <w:rPr>
          <w:rFonts w:ascii="Arial" w:cs="Arial" w:eastAsia="Arial" w:hAnsi="Arial"/>
          <w:sz w:val="16"/>
          <w:szCs w:val="16"/>
          <w:b w:val="1"/>
          <w:bCs w:val="1"/>
          <w:u w:val="single" w:color="auto"/>
          <w:color w:val="auto"/>
        </w:rPr>
        <w:t>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001-39797</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Upstart Holdings,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53"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Arial" w:cs="Arial" w:eastAsia="Arial" w:hAnsi="Arial"/>
                <w:sz w:val="16"/>
                <w:szCs w:val="16"/>
                <w:b w:val="1"/>
                <w:bCs w:val="1"/>
                <w:color w:val="auto"/>
                <w:w w:val="91"/>
              </w:rPr>
              <w:t>Delaware</w:t>
            </w:r>
          </w:p>
        </w:tc>
        <w:tc>
          <w:tcPr>
            <w:tcW w:w="326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Arial" w:cs="Arial" w:eastAsia="Arial" w:hAnsi="Arial"/>
                <w:sz w:val="16"/>
                <w:szCs w:val="16"/>
                <w:color w:val="auto"/>
                <w:w w:val="93"/>
              </w:rPr>
              <w:t>(State or other jurisdiction of</w:t>
            </w:r>
          </w:p>
        </w:tc>
        <w:tc>
          <w:tcPr>
            <w:tcW w:w="3260" w:type="dxa"/>
            <w:vAlign w:val="bottom"/>
          </w:tcPr>
          <w:p>
            <w:pPr>
              <w:jc w:val="center"/>
              <w:ind w:left="1979"/>
              <w:spacing w:after="0" w:line="162" w:lineRule="exact"/>
              <w:rPr>
                <w:sz w:val="20"/>
                <w:szCs w:val="20"/>
                <w:color w:val="auto"/>
              </w:rPr>
            </w:pPr>
            <w:r>
              <w:rPr>
                <w:rFonts w:ascii="Arial" w:cs="Arial" w:eastAsia="Arial" w:hAnsi="Arial"/>
                <w:sz w:val="16"/>
                <w:szCs w:val="16"/>
                <w:color w:val="auto"/>
                <w:w w:val="95"/>
              </w:rPr>
              <w:t>(I.R.S. Employer</w:t>
            </w:r>
          </w:p>
        </w:tc>
      </w:tr>
      <w:tr>
        <w:trPr>
          <w:trHeight w:val="206"/>
        </w:trPr>
        <w:tc>
          <w:tcPr>
            <w:tcW w:w="4020" w:type="dxa"/>
            <w:vAlign w:val="bottom"/>
          </w:tcPr>
          <w:p>
            <w:pPr>
              <w:jc w:val="center"/>
              <w:ind w:right="1979"/>
              <w:spacing w:after="0"/>
              <w:rPr>
                <w:sz w:val="20"/>
                <w:szCs w:val="20"/>
                <w:color w:val="auto"/>
              </w:rPr>
            </w:pPr>
            <w:r>
              <w:rPr>
                <w:rFonts w:ascii="Arial" w:cs="Arial" w:eastAsia="Arial" w:hAnsi="Arial"/>
                <w:sz w:val="16"/>
                <w:szCs w:val="16"/>
                <w:color w:val="auto"/>
                <w:w w:val="94"/>
              </w:rPr>
              <w:t>incorporation or organization)</w:t>
            </w:r>
          </w:p>
        </w:tc>
        <w:tc>
          <w:tcPr>
            <w:tcW w:w="3260" w:type="dxa"/>
            <w:vAlign w:val="bottom"/>
          </w:tcPr>
          <w:p>
            <w:pPr>
              <w:jc w:val="center"/>
              <w:ind w:left="1979"/>
              <w:spacing w:after="0"/>
              <w:rPr>
                <w:sz w:val="20"/>
                <w:szCs w:val="20"/>
                <w:color w:val="auto"/>
              </w:rPr>
            </w:pPr>
            <w:r>
              <w:rPr>
                <w:rFonts w:ascii="Arial" w:cs="Arial" w:eastAsia="Arial" w:hAnsi="Arial"/>
                <w:sz w:val="16"/>
                <w:szCs w:val="16"/>
                <w:color w:val="auto"/>
                <w:w w:val="96"/>
              </w:rPr>
              <w:t>Identification No.)</w:t>
            </w:r>
          </w:p>
        </w:tc>
      </w:tr>
    </w:tbl>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Upstart Holdings,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2950 S. Delaware Street, Suite 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Mateo, California 94403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(650) 204-1000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8"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color w:val="auto"/>
                <w:w w:val="93"/>
              </w:rPr>
              <w:t>Title of each class:</w:t>
            </w:r>
          </w:p>
        </w:tc>
        <w:tc>
          <w:tcPr>
            <w:tcW w:w="2620" w:type="dxa"/>
            <w:vAlign w:val="bottom"/>
            <w:gridSpan w:val="3"/>
          </w:tcPr>
          <w:p>
            <w:pPr>
              <w:jc w:val="center"/>
              <w:ind w:right="540"/>
              <w:spacing w:after="0"/>
              <w:rPr>
                <w:sz w:val="20"/>
                <w:szCs w:val="20"/>
                <w:color w:val="auto"/>
              </w:rPr>
            </w:pPr>
            <w:r>
              <w:rPr>
                <w:rFonts w:ascii="Arial" w:cs="Arial" w:eastAsia="Arial" w:hAnsi="Arial"/>
                <w:sz w:val="14"/>
                <w:szCs w:val="14"/>
                <w:color w:val="auto"/>
                <w:w w:val="93"/>
              </w:rPr>
              <w:t>Trading Symbol</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98"/>
        </w:trPr>
        <w:tc>
          <w:tcPr>
            <w:tcW w:w="31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par value $0.0001 per share</w:t>
            </w:r>
          </w:p>
        </w:tc>
        <w:tc>
          <w:tcPr>
            <w:tcW w:w="580" w:type="dxa"/>
            <w:vAlign w:val="bottom"/>
          </w:tcPr>
          <w:p>
            <w:pPr>
              <w:spacing w:after="0"/>
              <w:rPr>
                <w:sz w:val="17"/>
                <w:szCs w:val="17"/>
                <w:color w:val="auto"/>
              </w:rPr>
            </w:pPr>
          </w:p>
        </w:tc>
        <w:tc>
          <w:tcPr>
            <w:tcW w:w="20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UPST</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182" w:lineRule="exact"/>
        <w:rPr>
          <w:sz w:val="24"/>
          <w:szCs w:val="24"/>
          <w:color w:val="auto"/>
        </w:rPr>
      </w:pPr>
    </w:p>
    <w:p>
      <w:pPr>
        <w:ind w:right="20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4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52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72" w:lineRule="exact"/>
        <w:rPr>
          <w:sz w:val="24"/>
          <w:szCs w:val="24"/>
          <w:color w:val="auto"/>
        </w:r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4480"/>
        <w:spacing w:after="0" w:line="24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4, 2021 there were 81,957,413 shares of the registrant’s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8"/>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7080" w:type="dxa"/>
            <w:vAlign w:val="bottom"/>
            <w:gridSpan w:val="13"/>
            <w:vMerge w:val="restart"/>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FF"/>
            </w:tcBorders>
            <w:gridSpan w:val="8"/>
            <w:vMerge w:val="continue"/>
          </w:tcPr>
          <w:p>
            <w:pPr>
              <w:spacing w:after="0"/>
              <w:rPr>
                <w:sz w:val="14"/>
                <w:szCs w:val="14"/>
                <w:color w:val="auto"/>
              </w:rPr>
            </w:pPr>
          </w:p>
        </w:tc>
        <w:tc>
          <w:tcPr>
            <w:tcW w:w="7080" w:type="dxa"/>
            <w:vAlign w:val="bottom"/>
            <w:gridSpan w:val="13"/>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w:t>
              </w:r>
            </w:hyperlink>
          </w:p>
        </w:tc>
        <w:tc>
          <w:tcPr>
            <w:tcW w:w="6980" w:type="dxa"/>
            <w:vAlign w:val="bottom"/>
            <w:gridSpan w:val="12"/>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5560" w:type="dxa"/>
            <w:vAlign w:val="bottom"/>
            <w:gridSpan w:val="9"/>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w:t>
              </w:r>
            </w:hyperlink>
          </w:p>
        </w:tc>
        <w:tc>
          <w:tcPr>
            <w:tcW w:w="10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Borders>
              <w:bottom w:val="single" w:sz="8" w:color="0000FF"/>
            </w:tcBorders>
            <w:gridSpan w:val="17"/>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Condensed Consolidated Statements of Convertible Preferred Stock and Stockholders’ Equity (Deficit)</w:t>
              </w:r>
            </w:hyperlink>
          </w:p>
        </w:tc>
        <w:tc>
          <w:tcPr>
            <w:tcW w:w="1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Condensed Consolidated Statements of Cash Flows</w:t>
              </w:r>
            </w:hyperlink>
          </w:p>
        </w:tc>
        <w:tc>
          <w:tcPr>
            <w:tcW w:w="4780" w:type="dxa"/>
            <w:vAlign w:val="bottom"/>
            <w:gridSpan w:val="7"/>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Notes to Condensed Consolidated Financial Statements</w:t>
              </w:r>
            </w:hyperlink>
          </w:p>
        </w:tc>
        <w:tc>
          <w:tcPr>
            <w:tcW w:w="4500" w:type="dxa"/>
            <w:vAlign w:val="bottom"/>
            <w:gridSpan w:val="6"/>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850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Management’s Discussion and Analysis of Financial Condition and Results of Operations</w:t>
              </w:r>
            </w:hyperlink>
          </w:p>
        </w:tc>
        <w:tc>
          <w:tcPr>
            <w:tcW w:w="106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8"/>
                <w:szCs w:val="18"/>
                <w:color w:val="auto"/>
              </w:rPr>
            </w:pPr>
          </w:p>
        </w:tc>
        <w:tc>
          <w:tcPr>
            <w:tcW w:w="2040" w:type="dxa"/>
            <w:vAlign w:val="bottom"/>
            <w:gridSpan w:val="2"/>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73</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Controls and Procedures</w:t>
              </w:r>
            </w:hyperlink>
          </w:p>
        </w:tc>
        <w:tc>
          <w:tcPr>
            <w:tcW w:w="6720" w:type="dxa"/>
            <w:vAlign w:val="bottom"/>
            <w:gridSpan w:val="11"/>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479"/>
        </w:trPr>
        <w:tc>
          <w:tcPr>
            <w:tcW w:w="2780" w:type="dxa"/>
            <w:vAlign w:val="bottom"/>
            <w:tcBorders>
              <w:bottom w:val="single" w:sz="8" w:color="0000FF"/>
            </w:tcBorders>
            <w:gridSpan w:val="5"/>
          </w:tcPr>
          <w:p>
            <w:pPr>
              <w:spacing w:after="0"/>
              <w:rPr>
                <w:rFonts w:ascii="Arial" w:cs="Arial" w:eastAsia="Arial" w:hAnsi="Arial"/>
                <w:sz w:val="18"/>
                <w:szCs w:val="18"/>
                <w:b w:val="1"/>
                <w:bCs w:val="1"/>
                <w:color w:val="0000FF"/>
              </w:rPr>
            </w:pPr>
            <w:hyperlink w:anchor="page76">
              <w:r>
                <w:rPr>
                  <w:rFonts w:ascii="Arial" w:cs="Arial" w:eastAsia="Arial" w:hAnsi="Arial"/>
                  <w:sz w:val="18"/>
                  <w:szCs w:val="18"/>
                  <w:b w:val="1"/>
                  <w:bCs w:val="1"/>
                  <w:color w:val="0000FF"/>
                </w:rPr>
                <w:t>PART II. OTHER INFORMATION</w:t>
              </w:r>
            </w:hyperlink>
          </w:p>
        </w:tc>
        <w:tc>
          <w:tcPr>
            <w:tcW w:w="7380" w:type="dxa"/>
            <w:vAlign w:val="bottom"/>
            <w:gridSpan w:val="16"/>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8500" w:type="dxa"/>
            <w:vAlign w:val="bottom"/>
            <w:gridSpan w:val="18"/>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Legal Proceedings</w:t>
              </w:r>
            </w:hyperlink>
          </w:p>
        </w:tc>
        <w:tc>
          <w:tcPr>
            <w:tcW w:w="106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77</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Risk Factors</w:t>
              </w:r>
            </w:hyperlink>
          </w:p>
        </w:tc>
        <w:tc>
          <w:tcPr>
            <w:tcW w:w="420" w:type="dxa"/>
            <w:vAlign w:val="bottom"/>
            <w:tcBorders>
              <w:top w:val="single" w:sz="8" w:color="0000FF"/>
            </w:tcBorders>
            <w:gridSpan w:val="3"/>
          </w:tcPr>
          <w:p>
            <w:pPr>
              <w:spacing w:after="0"/>
              <w:rPr>
                <w:sz w:val="18"/>
                <w:szCs w:val="18"/>
                <w:color w:val="auto"/>
              </w:rPr>
            </w:pPr>
          </w:p>
        </w:tc>
        <w:tc>
          <w:tcPr>
            <w:tcW w:w="7160" w:type="dxa"/>
            <w:vAlign w:val="bottom"/>
            <w:gridSpan w:val="14"/>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77</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33">
              <w:r>
                <w:rPr>
                  <w:rFonts w:ascii="Arial" w:cs="Arial" w:eastAsia="Arial" w:hAnsi="Arial"/>
                  <w:sz w:val="18"/>
                  <w:szCs w:val="18"/>
                  <w:color w:val="0000FF"/>
                  <w:w w:val="89"/>
                </w:rPr>
                <w:t>Unregistered Sales of Equity Securities and Use of Proceeds</w:t>
              </w:r>
            </w:hyperlink>
          </w:p>
        </w:tc>
        <w:tc>
          <w:tcPr>
            <w:tcW w:w="4140" w:type="dxa"/>
            <w:vAlign w:val="bottom"/>
            <w:gridSpan w:val="5"/>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133</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8500" w:type="dxa"/>
            <w:vAlign w:val="bottom"/>
            <w:gridSpan w:val="18"/>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Defaults Upon Senior Securities</w:t>
              </w:r>
            </w:hyperlink>
          </w:p>
        </w:tc>
        <w:tc>
          <w:tcPr>
            <w:tcW w:w="106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134">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18"/>
                <w:szCs w:val="18"/>
                <w:color w:val="auto"/>
              </w:rPr>
            </w:pPr>
          </w:p>
        </w:tc>
        <w:tc>
          <w:tcPr>
            <w:tcW w:w="6180" w:type="dxa"/>
            <w:vAlign w:val="bottom"/>
            <w:gridSpan w:val="10"/>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8500" w:type="dxa"/>
            <w:vAlign w:val="bottom"/>
            <w:gridSpan w:val="18"/>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Other Information</w:t>
              </w:r>
            </w:hyperlink>
          </w:p>
        </w:tc>
        <w:tc>
          <w:tcPr>
            <w:tcW w:w="106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8500" w:type="dxa"/>
            <w:vAlign w:val="bottom"/>
            <w:gridSpan w:val="18"/>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Exhibits and Financial Statement Schedule</w:t>
              </w:r>
            </w:hyperlink>
          </w:p>
        </w:tc>
        <w:tc>
          <w:tcPr>
            <w:tcW w:w="106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rFonts w:ascii="Arial" w:cs="Arial" w:eastAsia="Arial" w:hAnsi="Arial"/>
                <w:sz w:val="18"/>
                <w:szCs w:val="18"/>
                <w:color w:val="0000FF"/>
              </w:rPr>
            </w:pPr>
            <w:hyperlink w:anchor="page135">
              <w:r>
                <w:rPr>
                  <w:rFonts w:ascii="Arial" w:cs="Arial" w:eastAsia="Arial" w:hAnsi="Arial"/>
                  <w:sz w:val="18"/>
                  <w:szCs w:val="18"/>
                  <w:color w:val="0000FF"/>
                </w:rPr>
                <w:t>Signatures</w:t>
              </w:r>
            </w:hyperlink>
          </w:p>
        </w:tc>
        <w:tc>
          <w:tcPr>
            <w:tcW w:w="9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10" w:lineRule="exact"/>
        <w:rPr>
          <w:sz w:val="20"/>
          <w:szCs w:val="20"/>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our operating expenses, our ability to determine reserves and our ability to remain profitable;</w:t>
      </w:r>
    </w:p>
    <w:p>
      <w:pPr>
        <w:spacing w:after="0" w:line="8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 and our expectations that improvements in our AI models can lead to higher approval rates and lower interest rates;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volume of loans facilitated by our AI lending platform;</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a diversified loan funding strategy, including bank partnerships and whole loan sales and securitization transactions;</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competitive interest rates offered to borrowers on our platform, while enabling our bank partners to achieve an adequate return over their cost of funding;</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build our brand and protect our reputation from negative publicity;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effectiveness of our marketing strategies, including our direct consumer marketing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business and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management of future growth, including expanding the number of potential borrowers;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adjust our proprietary AI models, products and services in a timely manner in response to changing macroeconomic conditions and fluctuations in the credit market;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applicable local, state and federal laws;</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and successfully adapt to complex and evolving regulatory environments, including regulation of artificial intelligence and machine learning technology;</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support of our approach to AI-based lending, including our ongoing discussions with the Consumer Financial Protection Bureau, or CFPB;</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success of our strategic acquisitions, including integration of acquired operations, products, technology, internal controls and personnel;</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against increasingly sophisticated fraudulent borrowing and online theft;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loans and the ability of third-party collection agents, to pursue collection of delinquent and defaulted loans;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with companies that are currently in, or may in the future enter, the markets in which we operate;</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new and evolving markets and our ability enter into new markets and introduce new products and services, such as our recent introduction of auto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secure and maintain the confidentiality of the information received, accessed, stored, provided and used across our systems;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obtain and maintain funding and liquidity to support continued growth and general corporate purposes;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integrate and retain qualified employees;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and expand the capabilities of our operations teams, outsourcing relationships and other business operations;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outstanding litigation and regulatory investigations;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250,819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1,041,460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130,301</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129,625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70,025</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Non-marketable equity securities</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66,866</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20,975</w:t>
            </w:r>
          </w:p>
        </w:tc>
        <w:tc>
          <w:tcPr>
            <w:tcW w:w="0" w:type="dxa"/>
            <w:vAlign w:val="bottom"/>
          </w:tcPr>
          <w:p>
            <w:pPr>
              <w:spacing w:after="0"/>
              <w:rPr>
                <w:sz w:val="1"/>
                <w:szCs w:val="1"/>
                <w:color w:val="auto"/>
              </w:rPr>
            </w:pP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Other assets (includes $6,831 and $12,380 at fair value as of December 31, 2020 and September 30, 2021,</w:t>
            </w: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77,491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460"/>
              <w:spacing w:after="0" w:line="22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1,606,130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Payable to investors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84,312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649,222</w:t>
            </w:r>
          </w:p>
        </w:tc>
        <w:tc>
          <w:tcPr>
            <w:tcW w:w="0" w:type="dxa"/>
            <w:vAlign w:val="bottom"/>
          </w:tcPr>
          <w:p>
            <w:pPr>
              <w:spacing w:after="0"/>
              <w:rPr>
                <w:sz w:val="1"/>
                <w:szCs w:val="1"/>
                <w:color w:val="auto"/>
              </w:rPr>
            </w:pPr>
          </w:p>
        </w:tc>
      </w:tr>
      <w:tr>
        <w:trPr>
          <w:trHeight w:val="175"/>
        </w:trPr>
        <w:tc>
          <w:tcPr>
            <w:tcW w:w="7860" w:type="dxa"/>
            <w:vAlign w:val="bottom"/>
          </w:tcPr>
          <w:p>
            <w:pPr>
              <w:ind w:left="240"/>
              <w:spacing w:after="0" w:line="176" w:lineRule="exact"/>
              <w:rPr>
                <w:sz w:val="20"/>
                <w:szCs w:val="20"/>
                <w:color w:val="auto"/>
              </w:rPr>
            </w:pPr>
            <w:r>
              <w:rPr>
                <w:rFonts w:ascii="Arial" w:cs="Arial" w:eastAsia="Arial" w:hAnsi="Arial"/>
                <w:sz w:val="18"/>
                <w:szCs w:val="18"/>
                <w:color w:val="auto"/>
                <w:w w:val="94"/>
              </w:rPr>
              <w:t>Accrued expenses and other liabilities (includes $9,530 and $10,522 at fair value as of December 31,</w:t>
            </w: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35,669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71,951</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2020 and September 30, 2021, respectively)</w:t>
            </w: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line="223" w:lineRule="exact"/>
              <w:rPr>
                <w:sz w:val="20"/>
                <w:szCs w:val="20"/>
                <w:color w:val="auto"/>
              </w:rPr>
            </w:pPr>
            <w:r>
              <w:rPr>
                <w:rFonts w:ascii="Arial" w:cs="Arial" w:eastAsia="Arial" w:hAnsi="Arial"/>
                <w:sz w:val="18"/>
                <w:szCs w:val="18"/>
                <w:color w:val="auto"/>
              </w:rPr>
              <w:t>Total liabilities</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887,041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w w:val="94"/>
              </w:rPr>
              <w:t>Common stock, $0.0001 par value; 700,000,000 shares authorized; 73,314,026 and 81,539,547, shares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issued and outstanding as of December 31, 2020 and September 30, 2021, respectively</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711,804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719,089</w:t>
            </w:r>
          </w:p>
        </w:tc>
        <w:tc>
          <w:tcPr>
            <w:tcW w:w="0" w:type="dxa"/>
            <w:vAlign w:val="bottom"/>
          </w:tcPr>
          <w:p>
            <w:pPr>
              <w:spacing w:after="0"/>
              <w:rPr>
                <w:sz w:val="1"/>
                <w:szCs w:val="1"/>
                <w:color w:val="auto"/>
              </w:rPr>
            </w:pP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1,606,130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340" w:hanging="332"/>
        <w:spacing w:after="0" w:line="214" w:lineRule="auto"/>
        <w:tabs>
          <w:tab w:leader="none" w:pos="335"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2020 and September 30, 2021.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29,131</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9,545</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161,001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36"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62,861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210,421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144,179</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513,888</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Interest income and fair value adjustments, net (includes $0 and</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$1,014 from related parties expense and $0 and $4,238 of related</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parties fair value adjustments for the three and nine months ended</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2020,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146,706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543,741</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65,113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218,638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76,530</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Engineering and product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24,651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87,504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463,274</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on warrants and convertible notes,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74,464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before attribution to noncontrolling interests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w w:val="95"/>
              </w:rPr>
              <w:t>Net income attributable to Upstart Holdings, Inc. common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9"/>
              </w:rPr>
              <w:t>Net income per share attributable to Upstart Holdings, Inc. common</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5"/>
                <w:szCs w:val="15"/>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stockholders, basic</w:t>
            </w:r>
          </w:p>
        </w:tc>
        <w:tc>
          <w:tcPr>
            <w:tcW w:w="3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Net income per share attributable to Upstart Holdings, Inc. common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diluted</w:t>
            </w: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3"/>
              </w:rPr>
              <w:t>Weighted-average number of shares outstanding used in computing net</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rPr>
              <w:t>income per share attributable to Upstart Holdings, Inc. common</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14,707,717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79,392,600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14,663,623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6"/>
              </w:rPr>
              <w:t>76,586,395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stockholders, basic</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Weighted-average number of shares outstanding used in computing net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per share attributable to Upstart Holdings, Inc. common</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26,745,480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96,057,210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14,663,623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94,165,325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diluted</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5"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September 30,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720" w:type="dxa"/>
            <w:vAlign w:val="bottom"/>
            <w:tcBorders>
              <w:top w:val="single" w:sz="8" w:color="auto"/>
              <w:right w:val="single" w:sz="8" w:color="auto"/>
            </w:tcBorders>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Convertible</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Upstart</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720" w:type="dxa"/>
            <w:vAlign w:val="bottom"/>
            <w:tcBorders>
              <w:right w:val="single" w:sz="8" w:color="auto"/>
            </w:tcBorders>
            <w:gridSpan w:val="4"/>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720" w:type="dxa"/>
            <w:vAlign w:val="bottom"/>
            <w:tcBorders>
              <w:right w:val="single" w:sz="8" w:color="auto"/>
            </w:tcBorders>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1720" w:type="dxa"/>
            <w:vAlign w:val="bottom"/>
            <w:tcBorders>
              <w:bottom w:val="single" w:sz="8" w:color="auto"/>
              <w:right w:val="single" w:sz="8" w:color="auto"/>
            </w:tcBorders>
            <w:gridSpan w:val="4"/>
            <w:vMerge w:val="continue"/>
          </w:tcPr>
          <w:p>
            <w:pPr>
              <w:spacing w:after="0"/>
              <w:rPr>
                <w:sz w:val="9"/>
                <w:szCs w:val="9"/>
                <w:color w:val="auto"/>
              </w:rPr>
            </w:pPr>
          </w:p>
        </w:tc>
        <w:tc>
          <w:tcPr>
            <w:tcW w:w="60" w:type="dxa"/>
            <w:vAlign w:val="bottom"/>
            <w:gridSpan w:val="2"/>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08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20" w:type="dxa"/>
            <w:vAlign w:val="bottom"/>
          </w:tcPr>
          <w:p>
            <w:pPr>
              <w:spacing w:after="0"/>
              <w:rPr>
                <w:sz w:val="9"/>
                <w:szCs w:val="9"/>
                <w:color w:val="auto"/>
              </w:rPr>
            </w:pPr>
          </w:p>
        </w:tc>
        <w:tc>
          <w:tcPr>
            <w:tcW w:w="11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gridSpan w:val="2"/>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84"/>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162,546</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14,659,961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(79,918)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(62,177)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(62,177)</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101,996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connection with an incentive</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282,750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agreement</w:t>
            </w: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w w:val="91"/>
              </w:rPr>
              <w:t>Stock-based compensation expense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share expense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9,669</w:t>
            </w:r>
          </w:p>
        </w:tc>
        <w:tc>
          <w:tcPr>
            <w:tcW w:w="0" w:type="dxa"/>
            <w:vAlign w:val="bottom"/>
          </w:tcPr>
          <w:p>
            <w:pPr>
              <w:spacing w:after="0"/>
              <w:rPr>
                <w:sz w:val="1"/>
                <w:szCs w:val="1"/>
                <w:color w:val="auto"/>
              </w:rPr>
            </w:pPr>
          </w:p>
        </w:tc>
      </w:tr>
      <w:tr>
        <w:trPr>
          <w:trHeight w:val="211"/>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1"/>
              </w:rPr>
              <w:t>Balance as of September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47,349,577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162,546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15,044,707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(70,249)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(47,333)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September 30,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720" w:type="dxa"/>
            <w:vAlign w:val="bottom"/>
            <w:tcBorders>
              <w:top w:val="single" w:sz="8" w:color="auto"/>
              <w:right w:val="single" w:sz="8" w:color="auto"/>
            </w:tcBorders>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Convertible</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Upstart</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720" w:type="dxa"/>
            <w:vAlign w:val="bottom"/>
            <w:tcBorders>
              <w:right w:val="single" w:sz="8" w:color="auto"/>
            </w:tcBorders>
            <w:gridSpan w:val="4"/>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720" w:type="dxa"/>
            <w:vAlign w:val="bottom"/>
            <w:tcBorders>
              <w:right w:val="single" w:sz="8" w:color="auto"/>
            </w:tcBorders>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1720" w:type="dxa"/>
            <w:vAlign w:val="bottom"/>
            <w:tcBorders>
              <w:bottom w:val="single" w:sz="8" w:color="auto"/>
              <w:right w:val="single" w:sz="8" w:color="auto"/>
            </w:tcBorders>
            <w:gridSpan w:val="4"/>
            <w:vMerge w:val="continue"/>
          </w:tcPr>
          <w:p>
            <w:pPr>
              <w:spacing w:after="0"/>
              <w:rPr>
                <w:sz w:val="9"/>
                <w:szCs w:val="9"/>
                <w:color w:val="auto"/>
              </w:rPr>
            </w:pPr>
          </w:p>
        </w:tc>
        <w:tc>
          <w:tcPr>
            <w:tcW w:w="60" w:type="dxa"/>
            <w:vAlign w:val="bottom"/>
            <w:gridSpan w:val="2"/>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08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20" w:type="dxa"/>
            <w:vAlign w:val="bottom"/>
          </w:tcPr>
          <w:p>
            <w:pPr>
              <w:spacing w:after="0"/>
              <w:rPr>
                <w:sz w:val="9"/>
                <w:szCs w:val="9"/>
                <w:color w:val="auto"/>
              </w:rPr>
            </w:pPr>
          </w:p>
        </w:tc>
        <w:tc>
          <w:tcPr>
            <w:tcW w:w="11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gridSpan w:val="2"/>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84"/>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Balance as of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162,546</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14,561,398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(75,205)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(62,714)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200,559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connection with an incentive</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282,750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agreement</w:t>
            </w: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w w:val="91"/>
              </w:rPr>
              <w:t>Stock-based compensation expense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7,432</w:t>
            </w: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Return of capital to interests in</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VIEs</w:t>
            </w: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Incentive share expense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4,552</w:t>
            </w:r>
          </w:p>
        </w:tc>
        <w:tc>
          <w:tcPr>
            <w:tcW w:w="0" w:type="dxa"/>
            <w:vAlign w:val="bottom"/>
          </w:tcPr>
          <w:p>
            <w:pPr>
              <w:spacing w:after="0"/>
              <w:rPr>
                <w:sz w:val="1"/>
                <w:szCs w:val="1"/>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w w:val="91"/>
              </w:rPr>
              <w:t>Balance as of September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47,349,577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162,546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15,044,707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22,914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(70,249)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(47,333)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(47,333)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5" w:lineRule="exact"/>
        <w:rPr>
          <w:sz w:val="20"/>
          <w:szCs w:val="20"/>
          <w:color w:val="auto"/>
        </w:rPr>
      </w:pPr>
    </w:p>
    <w:p>
      <w:pPr>
        <w:jc w:val="center"/>
        <w:ind w:left="20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2040"/>
        <w:spacing w:after="0"/>
        <w:rPr>
          <w:sz w:val="20"/>
          <w:szCs w:val="20"/>
          <w:color w:val="auto"/>
        </w:rPr>
      </w:pPr>
      <w:r>
        <w:rPr>
          <w:rFonts w:ascii="Arial" w:cs="Arial" w:eastAsia="Arial" w:hAnsi="Arial"/>
          <w:sz w:val="18"/>
          <w:szCs w:val="18"/>
          <w:b w:val="1"/>
          <w:bCs w:val="1"/>
          <w:color w:val="auto"/>
        </w:rPr>
        <w:t>September 30,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1400" w:type="dxa"/>
            <w:vAlign w:val="bottom"/>
            <w:tcBorders>
              <w:top w:val="single" w:sz="8" w:color="auto"/>
            </w:tcBorders>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Convertible</w:t>
            </w:r>
          </w:p>
        </w:tc>
        <w:tc>
          <w:tcPr>
            <w:tcW w:w="30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Upstart</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4"/>
                <w:szCs w:val="4"/>
                <w:color w:val="auto"/>
              </w:rPr>
            </w:pPr>
          </w:p>
        </w:tc>
        <w:tc>
          <w:tcPr>
            <w:tcW w:w="108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6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8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10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00" w:type="dxa"/>
            <w:vAlign w:val="bottom"/>
          </w:tcPr>
          <w:p>
            <w:pPr>
              <w:spacing w:after="0"/>
              <w:rPr>
                <w:sz w:val="9"/>
                <w:szCs w:val="9"/>
                <w:color w:val="auto"/>
              </w:rPr>
            </w:pPr>
          </w:p>
        </w:tc>
        <w:tc>
          <w:tcPr>
            <w:tcW w:w="118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2021</w:t>
            </w: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77,626,866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737,924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716,096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716,096</w:t>
            </w: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3,656,385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6,841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6,841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6,841</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upon</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restricted stock units</w:t>
            </w:r>
          </w:p>
        </w:tc>
        <w:tc>
          <w:tcPr>
            <w:tcW w:w="3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Stock-based compensation</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21,417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21,417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21,417</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under</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243,725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3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Purchase of capped calls</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(58,523)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(58,523)</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29,113</w:t>
            </w:r>
          </w:p>
        </w:tc>
        <w:tc>
          <w:tcPr>
            <w:tcW w:w="0" w:type="dxa"/>
            <w:vAlign w:val="bottom"/>
          </w:tcPr>
          <w:p>
            <w:pPr>
              <w:spacing w:after="0"/>
              <w:rPr>
                <w:sz w:val="1"/>
                <w:szCs w:val="1"/>
                <w:color w:val="auto"/>
              </w:rPr>
            </w:pPr>
          </w:p>
        </w:tc>
      </w:tr>
      <w:tr>
        <w:trPr>
          <w:trHeight w:val="115"/>
        </w:trPr>
        <w:tc>
          <w:tcPr>
            <w:tcW w:w="206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Balance as of September 30,</w:t>
            </w:r>
          </w:p>
        </w:tc>
        <w:tc>
          <w:tcPr>
            <w:tcW w:w="680" w:type="dxa"/>
            <w:vAlign w:val="bottom"/>
          </w:tcPr>
          <w:p>
            <w:pPr>
              <w:spacing w:after="0"/>
              <w:rPr>
                <w:sz w:val="10"/>
                <w:szCs w:val="10"/>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81,539,547</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711,804</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7,277</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719,089</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719,089</w:t>
            </w:r>
          </w:p>
        </w:tc>
        <w:tc>
          <w:tcPr>
            <w:tcW w:w="0" w:type="dxa"/>
            <w:vAlign w:val="bottom"/>
          </w:tcPr>
          <w:p>
            <w:pPr>
              <w:spacing w:after="0"/>
              <w:rPr>
                <w:sz w:val="1"/>
                <w:szCs w:val="1"/>
                <w:color w:val="auto"/>
              </w:rPr>
            </w:pPr>
          </w:p>
        </w:tc>
      </w:tr>
      <w:tr>
        <w:trPr>
          <w:trHeight w:val="162"/>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September 30,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1400" w:type="dxa"/>
            <w:vAlign w:val="bottom"/>
            <w:tcBorders>
              <w:top w:val="single" w:sz="8" w:color="auto"/>
            </w:tcBorders>
            <w:gridSpan w:val="4"/>
            <w:vMerge w:val="restart"/>
          </w:tcPr>
          <w:p>
            <w:pPr>
              <w:jc w:val="center"/>
              <w:ind w:left="208"/>
              <w:spacing w:after="0"/>
              <w:rPr>
                <w:sz w:val="20"/>
                <w:szCs w:val="20"/>
                <w:color w:val="auto"/>
              </w:rPr>
            </w:pPr>
            <w:r>
              <w:rPr>
                <w:rFonts w:ascii="Arial" w:cs="Arial" w:eastAsia="Arial" w:hAnsi="Arial"/>
                <w:sz w:val="14"/>
                <w:szCs w:val="14"/>
                <w:b w:val="1"/>
                <w:bCs w:val="1"/>
                <w:color w:val="auto"/>
                <w:w w:val="93"/>
              </w:rPr>
              <w:t>Convertible</w:t>
            </w:r>
          </w:p>
        </w:tc>
        <w:tc>
          <w:tcPr>
            <w:tcW w:w="30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Upstart</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4"/>
                <w:szCs w:val="4"/>
                <w:color w:val="auto"/>
              </w:rPr>
            </w:pPr>
          </w:p>
        </w:tc>
        <w:tc>
          <w:tcPr>
            <w:tcW w:w="108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1400" w:type="dxa"/>
            <w:vAlign w:val="bottom"/>
            <w:gridSpan w:val="4"/>
            <w:vMerge w:val="restart"/>
          </w:tcPr>
          <w:p>
            <w:pPr>
              <w:jc w:val="center"/>
              <w:ind w:left="228"/>
              <w:spacing w:after="0"/>
              <w:rPr>
                <w:sz w:val="20"/>
                <w:szCs w:val="20"/>
                <w:color w:val="auto"/>
              </w:rPr>
            </w:pPr>
            <w:r>
              <w:rPr>
                <w:rFonts w:ascii="Arial" w:cs="Arial" w:eastAsia="Arial" w:hAnsi="Arial"/>
                <w:sz w:val="14"/>
                <w:szCs w:val="14"/>
                <w:b w:val="1"/>
                <w:bCs w:val="1"/>
                <w:color w:val="auto"/>
                <w:w w:val="93"/>
              </w:rPr>
              <w:t>Preferred Stock</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6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8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10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Balance as of December 31, 2020</w:t>
            </w: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73,314,026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369,467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(69,222)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4,941,362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9,773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9,773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9,773</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upon</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restricted stock units</w:t>
            </w:r>
          </w:p>
        </w:tc>
        <w:tc>
          <w:tcPr>
            <w:tcW w:w="72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Exercise of common stock</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72,407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52,245</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2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withheld related to net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 settlement of restricted stock</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units</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650,740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connection with acquisition</w:t>
            </w:r>
          </w:p>
        </w:tc>
        <w:tc>
          <w:tcPr>
            <w:tcW w:w="72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connection with follow-on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offering, net of underwriting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discounts, commissions, and</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263,930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263,931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263,931</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offering costs</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Issuance of common stock under</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243,725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Purchase of capped calls</w:t>
            </w: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(58,523)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(58,523)</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76,499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76,499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76,499</w:t>
            </w:r>
          </w:p>
        </w:tc>
        <w:tc>
          <w:tcPr>
            <w:tcW w:w="0" w:type="dxa"/>
            <w:vAlign w:val="bottom"/>
          </w:tcPr>
          <w:p>
            <w:pPr>
              <w:spacing w:after="0"/>
              <w:rPr>
                <w:sz w:val="1"/>
                <w:szCs w:val="1"/>
                <w:color w:val="auto"/>
              </w:rPr>
            </w:pPr>
          </w:p>
        </w:tc>
      </w:tr>
      <w:tr>
        <w:trPr>
          <w:trHeight w:val="115"/>
        </w:trPr>
        <w:tc>
          <w:tcPr>
            <w:tcW w:w="206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Balance as of September 30,</w:t>
            </w:r>
          </w:p>
        </w:tc>
        <w:tc>
          <w:tcPr>
            <w:tcW w:w="680" w:type="dxa"/>
            <w:vAlign w:val="bottom"/>
          </w:tcPr>
          <w:p>
            <w:pPr>
              <w:spacing w:after="0"/>
              <w:rPr>
                <w:sz w:val="10"/>
                <w:szCs w:val="10"/>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81,539,547</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711,804</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7,277</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719,089</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719,089</w:t>
            </w:r>
          </w:p>
        </w:tc>
        <w:tc>
          <w:tcPr>
            <w:tcW w:w="0" w:type="dxa"/>
            <w:vAlign w:val="bottom"/>
          </w:tcPr>
          <w:p>
            <w:pPr>
              <w:spacing w:after="0"/>
              <w:rPr>
                <w:sz w:val="1"/>
                <w:szCs w:val="1"/>
                <w:color w:val="auto"/>
              </w:rPr>
            </w:pPr>
          </w:p>
        </w:tc>
      </w:tr>
      <w:tr>
        <w:trPr>
          <w:trHeight w:val="162"/>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3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4"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Nine Months Ended</w:t>
      </w:r>
    </w:p>
    <w:p>
      <w:pPr>
        <w:jc w:val="center"/>
        <w:ind w:left="784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income before attribution to noncontrolling interests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40"/>
              <w:spacing w:after="0" w:line="176" w:lineRule="exact"/>
              <w:rPr>
                <w:sz w:val="20"/>
                <w:szCs w:val="20"/>
                <w:color w:val="auto"/>
              </w:rPr>
            </w:pPr>
            <w:r>
              <w:rPr>
                <w:rFonts w:ascii="Arial" w:cs="Arial" w:eastAsia="Arial" w:hAnsi="Arial"/>
                <w:sz w:val="18"/>
                <w:szCs w:val="18"/>
                <w:color w:val="auto"/>
                <w:w w:val="92"/>
              </w:rPr>
              <w:t>Change in fair value of financial instruments (includes $(4,238) from related parties for the nine months</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18,801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ended September 30, 2020)</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Gain on loan servicing arrangements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Incentive share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Net 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loans for immediate resale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(5,872,988)</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Proceeds from immediate resale of loans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1,554,705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5,872,988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loans held-for-sale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(80,305)</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Principal payments received for loans held-for-sale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sale of loans held-for-sale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90,537</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(22,806)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and right-of-use asset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to investors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179,497</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Principal payments received for loans held by consolidated securitizations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proceeds from sale of loans held-for-investment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Principal payments received for loans held-for-investment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14,722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received for notes receivable and repayments of residual certificates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loans held-for-investment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(92,738)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non-marketable equity securities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notes receivable and residual certificates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Capitalized software costs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 net of cash acquired</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127,710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(124,101)</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Proceeds from secondary offering, net of underwriting discounts, commissions, and offering costs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263,931</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issuance of convertible debt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661,250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debt issuance costs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0"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Nine Months Ended</w:t>
      </w:r>
    </w:p>
    <w:p>
      <w:pPr>
        <w:jc w:val="center"/>
        <w:ind w:left="784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capped calls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(58,523)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76"/>
        </w:trPr>
        <w:tc>
          <w:tcPr>
            <w:tcW w:w="7860" w:type="dxa"/>
            <w:vAlign w:val="bottom"/>
          </w:tcPr>
          <w:p>
            <w:pPr>
              <w:ind w:left="240"/>
              <w:spacing w:after="0" w:line="176" w:lineRule="exact"/>
              <w:rPr>
                <w:sz w:val="20"/>
                <w:szCs w:val="20"/>
                <w:color w:val="auto"/>
              </w:rPr>
            </w:pPr>
            <w:r>
              <w:rPr>
                <w:rFonts w:ascii="Arial" w:cs="Arial" w:eastAsia="Arial" w:hAnsi="Arial"/>
                <w:sz w:val="18"/>
                <w:szCs w:val="18"/>
                <w:color w:val="auto"/>
                <w:w w:val="93"/>
              </w:rPr>
              <w:t>Payments made on securitization notes and certificates (includes $1,034 paid to related parties for the</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(26,126)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nine months ended September 30, 2020)</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borrowings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(65,412)</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Distributions made to noncontrolling interests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borrowings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805,032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restricted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860,428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1,171,761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acquisition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80,256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Derecognition of loans held-for-investment in consolidated VIE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Derecognition of payable to securitization note holders and residual certificate holders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Upstart Holdings, Inc. and its subsidiaries (together “Upstart”, the “Company”, “we”, or “our”) apply modern data science and technology to the process of originating consumer credit. The Company helps bank partners originate credit by providing them with a proprietary, cloud-based, artificial intelligence lending platform. As the Company’s technology continues to improve and additional banks adopt the Upstart platform, consumers benefit from improved access to affordable and frictionless credit.</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Network, Inc. was incorporated in Delaware in 2012. Pursuant to a restructuring, Upstart Holdings, Inc. was incorporated in December 2013 and became the holding company of Upstart Network, Inc. The Company currently operates in the United States and is headquartered in San Mateo, California and Columbus, Ohio. The Company’s fiscal year ends on December 31.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on the same basis as the annual consolidated financial statements included in our Annual Report on Form 10-K and in the opinion of management, reflect all adjustments, which include only normal recurring adjustments, necessary to state fairly the Company’s financial position, results of operations, comprehensive income and cash flows for the periods presented, but are not necessarily indicative of the results of operations to be anticipated of any future annual or interim periods.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2020.</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provision for income taxes, net of valuation allowance for deferred tax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issues stock options, restricted stock units (“RSUs”), and restricted stock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and restricted stock are measured at the fair market value of our common stock at the grant date. Stock-based compensation expenses are recognized based on their respective grant-date fair values. Forfeitures are estimated at the time of grant and revised, as necessary, in subsequent periods if actual forfeitures differ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initial estimates. Stock-based compensation expense is recorded net of estimated forfeitures, such that the expense is recorded only for those awards that are expected to vest.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the fair values of assets acquired and liabilities assumed to be recognized in the interim condensed consolidated financial statements. Assets acquired and liabilities assumed in a business combination are recognized at their estimated fair value as of the acquisition date. The excess purchase price over the fair value of assets acquired and liabilities assumed is recorded as goodwill. The allocation of fair values may be subject to adjustment after the initial allocation for up to a one-year period, with the corresponding offset to goodwill. Acquisition-related costs, such as legal and consulting fees, are recognized separately from the business combination and are expensed as incurred.</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strategic investment consisting of non-marketable equity securities on the condensed consolidated balance sheets is an investment in a privately held company. Non-marketable equity securities do not have a readily determinable fair value and are measured by the Company at cost less impairment, if any, and adjusted for changes resulting from observable price changes in orderly transactions for an identical or similar investment in the same issuer (the “measurement alternative”). Gains and losses on the investment, realized and unrealized, are recognized in other income (expense), net on our condensed consolidated statements of operations and comprehensive income and a new carrying value is established for the investment upon such recognition of the gains and losses. There have been no unrealized or realized gains and losses or impairments related to non-marketable equity securities accounted for under the measurement alternative for any period presented. As of September 30, 2021, the carrying value of our non-marketable equity securities, which do not have a readily determinable fair value, totaled $40 million. The Company had no such securities as of December 31, 2020.</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determination of whether an orderly transaction is for an identical or similar investment requires significant management judgment. In its evaluation, the Company considers factors such as differences in the rights and preferences of the investment and the extent to which those differences would affect the fair value of the investment. In the event the Company identifies an observable price change from an orderly transaction for an identical or similar investment of the same issuer, the Company must estimate the fair value of its strategic investments using the most recent data available. The Company’s impairment analysis encompasses an assessment of both qualitative and quantitative factors.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represents the excess of the purchase price over the fair value of identifiable net assets acquired. Goodwill is reviewed for impairment annually, or more frequently if an event or a change in circumstances indicates that goodwill may be impaired. We first assess qualitative factors to determine if it is more likely than not that the fair value of the reporting unit is less than its carrying value. If the Company concludes the fair value of the reporting unit is less than its carrying value, a quantitative test is performed.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Acquired intangible assets are recorded at fair value on the date of acquisition and amortized on a straight-line basis over their estimated useful lives. Acquired intangible assets are presented net of accumulated amortization on the condensed consolidated balance sheets. The Company reviews the carrying amounts of intangible assets for impairment whenever an event or change in circumstances indicates that the carrying amount of the assets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 recoverable. We measure the recoverability of intangible assets by comparing the carrying amount of each asset to the future undiscounted cash flows we expect the asset to generate. Impairment is measured by the amount in which the carrying value of the asset exceeds its fair value. In addition, we periodically evaluate the estimated remaining useful lives of long-lived intangible assets to determine whether events or changes in circumstances warrant a revision to the remaining period of amortization.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13, 2021, the Company completed a follow-on offering, in which 2,300,000 shares of common stock (including the exercise in full of the underwriters’ option to purchase 300,000 additional shares) were issued and sold at $120.00 per share. The Company received net proceeds of $263.9 million after deducting underwriting discounts and commissions of $11.0 million and offering expenses of $1.0 million. Offering expenses consisted of incremental accounting, legal, and other fees incurred related to the follow-on offering.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(expense) primarily consists of dividend income earned by the Company on its unrestricted cash balance which is recognized in the period earned.</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 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determined that forgiveness of the loan under the CARES Act was reasonably assured and recorded the full amount of proceeds as other income in the condensed consolidated statement of operations and comprehensive income in 2020. In March 2021, the Company voluntarily repaid proceeds received under the Paycheck Protection Program plus accrued interest totaling $5.3 million. The Company recognized the loan principal repayment as an other expense.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condensed consolidated financial statements may not be comparable to companies that comply with the new or revised accounting pronouncements as of public company effective dates.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no longer qualify as an emerging growth company on the last day of the fiscal year ending December 31, 2021. Accordingly, the Company will be required to comply with the new or revised accounting pronouncements as of the effective dates applicable to public companies that are not emerging growth companies, as disclosed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adopted the following accounting standards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August 2018, the Financial Accounting Standards Board (“FASB”) issued ASU 2018-15, </w:t>
      </w:r>
      <w:r>
        <w:rPr>
          <w:rFonts w:ascii="Arial" w:cs="Arial" w:eastAsia="Arial" w:hAnsi="Arial"/>
          <w:sz w:val="17"/>
          <w:szCs w:val="17"/>
          <w:i w:val="1"/>
          <w:iCs w:val="1"/>
          <w:color w:val="auto"/>
        </w:rPr>
        <w:t>Customer’s Accounting for Implementation Costs</w:t>
      </w:r>
      <w:r>
        <w:rPr>
          <w:rFonts w:ascii="Arial" w:cs="Arial" w:eastAsia="Arial" w:hAnsi="Arial"/>
          <w:sz w:val="17"/>
          <w:szCs w:val="17"/>
          <w:color w:val="auto"/>
        </w:rPr>
        <w:t xml:space="preserve"> </w:t>
      </w:r>
      <w:r>
        <w:rPr>
          <w:rFonts w:ascii="Arial" w:cs="Arial" w:eastAsia="Arial" w:hAnsi="Arial"/>
          <w:sz w:val="17"/>
          <w:szCs w:val="17"/>
          <w:i w:val="1"/>
          <w:iCs w:val="1"/>
          <w:color w:val="auto"/>
        </w:rPr>
        <w:t>Incurred in a Cloud Computing Arrangement That Is a Service Contract</w:t>
      </w:r>
      <w:r>
        <w:rPr>
          <w:rFonts w:ascii="Arial" w:cs="Arial" w:eastAsia="Arial" w:hAnsi="Arial"/>
          <w:sz w:val="17"/>
          <w:szCs w:val="17"/>
          <w:color w:val="auto"/>
        </w:rPr>
        <w:t>, which requires a customer in a hosting arrangement that is a service contract to</w:t>
      </w:r>
      <w:r>
        <w:rPr>
          <w:rFonts w:ascii="Arial" w:cs="Arial" w:eastAsia="Arial" w:hAnsi="Arial"/>
          <w:sz w:val="17"/>
          <w:szCs w:val="17"/>
          <w:i w:val="1"/>
          <w:iCs w:val="1"/>
          <w:color w:val="auto"/>
        </w:rPr>
        <w:t xml:space="preserve"> </w:t>
      </w:r>
      <w:r>
        <w:rPr>
          <w:rFonts w:ascii="Arial" w:cs="Arial" w:eastAsia="Arial" w:hAnsi="Arial"/>
          <w:sz w:val="17"/>
          <w:szCs w:val="17"/>
          <w:color w:val="auto"/>
        </w:rPr>
        <w:t>follow the internal-use software guidance in 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guidance became effective on January 1, 2021 and the Company adopted the standard on a prospective basis. The adoption of the standard did not have a material impact on the Company’s condensed consolidated financial statements or related disclosures.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 required under current U.S. GAAP. The standard removes certain settlement conditions that are required for equity contracts to qualify for the derivative scope exception and also simplifies the diluted earnings per share calculation in certain areas. The amendments in this update are effective for public business entities for fiscal years beginning after December 15, 2021, and interim periods within those fiscal years. The amendment is to be adopted through either a fully retrospective or modified retrospective method of transition. Early adoption is permitted. The Company early adopted ASU 2020-06 on January 1, 2021 with no material impact on the Company’s condensed consolidated financial statements or related disclosures.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June 2016, the FASB amended guidance related to impairment of financial instruments as part of ASU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(Topic 326): Measurement of Credit Losses on Financial Instruments</w:t>
      </w:r>
      <w:r>
        <w:rPr>
          <w:rFonts w:ascii="Arial" w:cs="Arial" w:eastAsia="Arial" w:hAnsi="Arial"/>
          <w:sz w:val="17"/>
          <w:szCs w:val="17"/>
          <w:color w:val="auto"/>
        </w:rPr>
        <w:t>, which will be effective January 1, 2023 for emerging growth companies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adopted the private company relief. The guidance replaces the incurred loss impairment methodology with an expected credit loss model for which a company recognizes an allowance based on the estimate of expected credit loss. The Company accounts for its loans at fair value through net income, which is outside the scope of Topic 326. For available for sale debt securities, the guidance will require recognition of expected credit losses by recognizing an allowance for credit losses when the fair value of the security is below amortized cost and the recognition of this allowance is limited to the difference between the security’s amortized cost basis and fair value. The Company is evaluating the impact this ASU will have on its condensed consolidated financial statements and related disclosures. The Company plans to adopt Topic 326 effective as of January 1, 2021 in the Company’s Annual Report on Form 10-K for the year ending December 31, 2021.</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followed by ASU 2021-01,</w:t>
      </w:r>
      <w:r>
        <w:rPr>
          <w:rFonts w:ascii="Arial" w:cs="Arial" w:eastAsia="Arial" w:hAnsi="Arial"/>
          <w:sz w:val="17"/>
          <w:szCs w:val="17"/>
          <w:i w:val="1"/>
          <w:iCs w:val="1"/>
          <w:color w:val="auto"/>
        </w:rPr>
        <w:t xml:space="preserve"> Reference Rate Reform, Scop</w:t>
      </w:r>
      <w:r>
        <w:rPr>
          <w:rFonts w:ascii="Arial" w:cs="Arial" w:eastAsia="Arial" w:hAnsi="Arial"/>
          <w:sz w:val="17"/>
          <w:szCs w:val="17"/>
          <w:color w:val="auto"/>
        </w:rPr>
        <w:t>e issued in January 2021. ASU 2020-04 and ASU 2021-01 provide temporary</w:t>
      </w:r>
      <w:r>
        <w:rPr>
          <w:rFonts w:ascii="Arial" w:cs="Arial" w:eastAsia="Arial" w:hAnsi="Arial"/>
          <w:sz w:val="17"/>
          <w:szCs w:val="17"/>
          <w:i w:val="1"/>
          <w:iCs w:val="1"/>
          <w:color w:val="auto"/>
        </w:rPr>
        <w:t xml:space="preserve"> </w:t>
      </w:r>
      <w:r>
        <w:rPr>
          <w:rFonts w:ascii="Arial" w:cs="Arial" w:eastAsia="Arial" w:hAnsi="Arial"/>
          <w:sz w:val="17"/>
          <w:szCs w:val="17"/>
          <w:color w:val="auto"/>
        </w:rPr>
        <w:t>optional expedients and exceptions for applying U.S. GAAP to contracts, hedging relationships, and other transactions that reference the London Interbank Offered Rate or another reference rate expected to be discontinued because of reference rate reform, if certain criteria are met. The guidance in ASU 2020-04 and ASU 2021-01 was effective upon issuance and, once adopted, may be applied prospectively to contract modifications and hedging relationships through December 31, 2022. The Company is currently evaluating the impact of the adoption of ASU 2020-04 and ASU 2021-01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disaggregates revenue from fees by type of service for the periods presented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3420" w:type="dxa"/>
            <w:vAlign w:val="bottom"/>
            <w:gridSpan w:val="6"/>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9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44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4460" w:type="dxa"/>
            <w:vAlign w:val="bottom"/>
          </w:tcPr>
          <w:p>
            <w:pPr>
              <w:ind w:left="360"/>
              <w:spacing w:after="0"/>
              <w:rPr>
                <w:sz w:val="20"/>
                <w:szCs w:val="20"/>
                <w:color w:val="auto"/>
              </w:rPr>
            </w:pPr>
            <w:r>
              <w:rPr>
                <w:rFonts w:ascii="Arial" w:cs="Arial" w:eastAsia="Arial" w:hAnsi="Arial"/>
                <w:sz w:val="18"/>
                <w:szCs w:val="18"/>
                <w:color w:val="auto"/>
              </w:rPr>
              <w:t>Platform and referral fees, net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55,643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191,442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123,485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467,476</w:t>
            </w:r>
          </w:p>
        </w:tc>
      </w:tr>
      <w:tr>
        <w:trPr>
          <w:trHeight w:val="230"/>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Servicing fees, net</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46,412</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revenue from fees, net</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62,861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144,179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513,888</w:t>
            </w:r>
          </w:p>
        </w:tc>
      </w:tr>
      <w:tr>
        <w:trPr>
          <w:trHeight w:val="21"/>
        </w:trPr>
        <w:tc>
          <w:tcPr>
            <w:tcW w:w="4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and referral fees,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enters into contracts with bank partners to provide access to a cloud-based artificial intelligence lending platform developed by the Company (the “Upstart platform”) to enable banks to originate unsecured personal and secured auto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After origination, Upstart-powered loans are either retained by bank partners, purchased by the Company for immediate resale to institutional investors under loan sale agreements, or purchased and held by the Company. For loans purchased by the Company, Upstart pays bank partners a one-time loan premium fee upon completion of the minimum holding periods. Upstart also pays bank partners monthly loan trailing fees based on the amount and timing of principal and interest payments made by borrowers of the underlying loans. The monthly loan trailing fees are paid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condensed consolidated statements of operations and comprehensive income for the periods presented. The Company recognized $1.8 million and $5.6 million, of loan premium fees and loan trailing fees as contra-revenue within platform and referral fees, net for the three and nine months ended September 30, 2020, respectively, and $6.6 million and $16.2 million, for the three and nine months ended September 30, 2021, respectively.</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2020 and September 30, 2021, the Company recorded $1.3 million and $3.3 million of loan trailing fee liability, respectively, which is recorded at fair value and included within accrued expenses other liabilities on the Company’s condensed consolidated balance sheets. Refer to “</w:t>
      </w:r>
      <w:r>
        <w:rPr>
          <w:rFonts w:ascii="Arial" w:cs="Arial" w:eastAsia="Arial" w:hAnsi="Arial"/>
          <w:sz w:val="17"/>
          <w:szCs w:val="17"/>
          <w:i w:val="1"/>
          <w:iCs w:val="1"/>
          <w:color w:val="auto"/>
        </w:rPr>
        <w:t>Note 4. Fair Value Measurement</w:t>
      </w:r>
      <w:r>
        <w:rPr>
          <w:rFonts w:ascii="Arial" w:cs="Arial" w:eastAsia="Arial" w:hAnsi="Arial"/>
          <w:sz w:val="17"/>
          <w:szCs w:val="17"/>
          <w:color w:val="auto"/>
        </w:rPr>
        <w:t>” for additional information on changes in fair value associated with trailing fee liabilities.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Platform and referral services are typically provided under a fixed or declining (tier-based) price per unit based on volume or as a percentage of the total value of loans originated each period; however, pricing for these services may also be based on minimum usage fees. The tier-based pricing, when offered, resets on a monthly basis and does not accumulate. Given that the nature of the Company’s promise is to stand-ready and provide continuous access to and process transactions through the platform, tier-based pricing based on usage represents variable consideration. Since the variable fees relate directly to the day in which such services are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 Fees for platform and referrals services are typically billed and paid on a monthly basis. As such, the Company’s contracts with customers do not include a significant financing component.</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did not recognize revenue from performance obligations related to prior periods for the periods presented. The Company had no material contract assets, contract liabilities, or deferred contract costs recorded as of December 31, 2020 and September 30, 2021. The Company had $8.1 million and $17.0 million of accounts receivable that are included in other assets on the condensed consolidated balance sheets related to contracts with customers as of December 31, 2020 and September 30, 2021, respectively. The Company’s allowance for bad debt was immaterial as of December 31, 2020 and September 30, 2021, and the Company’s bad debt expense was immaterial for the periods presented.</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capitalizes incremental costs of obtaining a contract with a customer, which are certain sales commissions paid to acquire bank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September 30, 2021, the Company had an immaterial amount of contract costs capitalized within other assets on the condensed consolidated balance sheets. For the three and nine months ended September 30, 2021, the Company amortized an immaterial amount of capitalized contracts costs to sales and marketing in the condensed consolidated statements of operations and comprehensive income.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2020, the Company had one customer (“Customer A”) which accounted for 59% and 65% of the Company’s total revenue, respectively, and a second customer (“Customer B”) accounted for 21% and 15% of the Company’s total revenue, respectively. For the three and nine months ended September 30, 2021, Customer A accounted for 56% and 59%, respectively, of the Company’s total revenue, and Customer B accounted for 28% and 25%, respectively, of the Company’s total revenue.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One customer accounted for 34% of accounts receivable as of December 31, 2020, and a second customer accounted for 15% of accounts receivable for both December 31, 2020 and September 30, 2021. A third customer accounted for 10% as of September 30, 2021.</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Servicing fees, net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Transfers and servicing of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Servicing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the Company for carrying out its servicing obligations. Servicing fees also include changes in fair value of loan servicing assets and liabilities in the periods presented.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 on changes in fair value associated with servicing assets and liabilities.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gains related to loan servicing rights upon loan sales for the periods presented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8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r>
      <w:tr>
        <w:trPr>
          <w:trHeight w:val="229"/>
        </w:trPr>
        <w:tc>
          <w:tcPr>
            <w:tcW w:w="44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related to loan servicing rights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bl>
    <w:p>
      <w:pPr>
        <w:spacing w:after="0" w:line="3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generally outsources borrower payment collections for loans that are more than 30 days past due or charged off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fees, net as part of revenue from fees, net in the Company’s condensed consolidated statements of operations and comprehensive income. The total fees charged by collection agencies are also recognized in the period incurred and reported as part of customer operations expenses.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fees, net for the periods presented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28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44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 agency fees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Borrower fees</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4,043</w:t>
            </w:r>
          </w:p>
        </w:tc>
      </w:tr>
    </w:tbl>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in the Company’s normal course of business at fair value, including loans, notes receivable and residual certificates, payable to securitization note holders and residual certificate holders.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components of the interest income and fair value adjustments, net presented in the Company’s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ind w:left="52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4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5"/>
              </w:rPr>
              <w:t>September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2021</w:t>
            </w:r>
          </w:p>
        </w:tc>
      </w:tr>
      <w:tr>
        <w:trPr>
          <w:trHeight w:val="23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5,797</w:t>
            </w:r>
          </w:p>
        </w:tc>
        <w:tc>
          <w:tcPr>
            <w:tcW w:w="10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22,705</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500"/>
              <w:spacing w:after="0"/>
              <w:rPr>
                <w:sz w:val="20"/>
                <w:szCs w:val="20"/>
                <w:color w:val="auto"/>
              </w:rPr>
            </w:pPr>
            <w:r>
              <w:rPr>
                <w:rFonts w:ascii="Arial" w:cs="Arial" w:eastAsia="Arial" w:hAnsi="Arial"/>
                <w:sz w:val="18"/>
                <w:szCs w:val="18"/>
                <w:color w:val="auto"/>
                <w:w w:val="98"/>
              </w:rPr>
              <w:t>12,020</w:t>
            </w: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(2,796)</w:t>
            </w:r>
          </w:p>
        </w:tc>
      </w:tr>
      <w:tr>
        <w:trPr>
          <w:trHeight w:val="229"/>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and other adjustments, net</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(1,861)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20,629</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18,029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29,853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Amounts above include interest income, interest expense and fair value adjustments, net related to consolidated securitization trusts for the nine months ended September 30, 2020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Nine Months Ended</w:t>
            </w:r>
          </w:p>
        </w:tc>
      </w:tr>
      <w:tr>
        <w:trPr>
          <w:trHeight w:val="230"/>
        </w:trPr>
        <w:tc>
          <w:tcPr>
            <w:tcW w:w="8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September 30, 2020</w:t>
            </w:r>
          </w:p>
        </w:tc>
      </w:tr>
      <w:tr>
        <w:trPr>
          <w:trHeight w:val="20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fair value adjustments, net related to consolidated securitization trusts:</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30"/>
        </w:trPr>
        <w:tc>
          <w:tcPr>
            <w:tcW w:w="88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5,173</w:t>
            </w:r>
          </w:p>
        </w:tc>
      </w:tr>
      <w:tr>
        <w:trPr>
          <w:trHeight w:val="229"/>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29"/>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and other adjustments, net</w:t>
            </w: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is recognized based on the terms of the underlying agreements with borrowers for loans held on the Company’s condensed consolidated balance sheets and is earned over the life of a loan.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As of December 31, 2020 and September 30, 2021, the Company has recorded $0.9 million and $1.4 million of accrued interest income in loans on the condensed consolidated balance sheets,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is primarily related to interest recorded on the Company’s borrowings and the notes issued as part of the consolidated securitizations. Interest expense includes accrued interest incurred but not paid. Accrued interest expenses were immaterial as of December 31, 2020 and September 30,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and other adjustments, net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and other adjustments, net include changes in fair value of financial instruments, other than loan servicing assets and liabilities, common stock warrant liabilities, and convertible preferred stock warrant liabilities. These adjustments are recorded in the Company’s condensed consolidated statements of operations and comprehensive income and include both realized and unrealized changes to the value of related assets and liabilities.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Fair value and other adjustments, net also include gains received through our securitization programs and amounts received from borrowers for previously charged-off loans held on the Company’s condensed consolidated balance sheets. These amounts are recognized in the period received.</w:t>
      </w:r>
    </w:p>
    <w:p>
      <w:pPr>
        <w:spacing w:after="0" w:line="14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Securitizations and Variable Interest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Warehouse Entity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established Upstart Loan Trust to enter into warehouse credit facilities for the purpose of purchasing Upstart-powered loans. See “</w:t>
      </w:r>
      <w:r>
        <w:rPr>
          <w:rFonts w:ascii="Arial" w:cs="Arial" w:eastAsia="Arial" w:hAnsi="Arial"/>
          <w:sz w:val="18"/>
          <w:szCs w:val="18"/>
          <w:i w:val="1"/>
          <w:iCs w:val="1"/>
          <w:color w:val="auto"/>
        </w:rPr>
        <w:t>Note 9. Borrowings”</w:t>
      </w:r>
      <w:r>
        <w:rPr>
          <w:rFonts w:ascii="Arial" w:cs="Arial" w:eastAsia="Arial" w:hAnsi="Arial"/>
          <w:sz w:val="18"/>
          <w:szCs w:val="18"/>
          <w:color w:val="auto"/>
        </w:rPr>
        <w:t xml:space="preserve"> for additional information. The entity is a Delaware statutory trust that is structured to be bankruptcy-remote, with third-party banks operating as trustees.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Consolidated MOAs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sponsored three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 Company consolidated these MOAs as of December 31, 2020 and the MOAs continue to remain consolidated as of September 30, 2021. The Company determined that it is not the primary beneficiary of the trusts which hold the loans associated with these securitization transactions, primarily because the Company’s servicing fees are not considered variable interests, and that the transfer of loans as collateral into these securitization transactions met the definition of a sale under Topic 860, Transferring and Servicing. As such, the Company derecognized these loans from the condensed consolidated balance sheets upon the closing of these securitization transactions. Refer to the Unconsolidated Securitizations section below for more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Consolidated VIEs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Upstart Loan Trust 2, a Delaware statutory trust, holds personal loans facilitated through the Upstart platform. These loans include, but are not limited to, loans which do not satisfy the warehouse requirements or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were the result of the Company’s repurchases of loans for breaches of representations and warranties made to institutional investors, as described above.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Assets</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Warehouse Entity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35,109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36,421</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16,243</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Assets</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Warehouse Entity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57,870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56,494</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93,564</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157,794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 however the Company does not hold a significant economic interest in these entities.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2021, the Company’s unconsolidated VIEs include entities established as the issuers and grantor trusts for the 2017-1, 2017-2, 2018-1, 2018-2, 2019-1, and 2019-2 securitization transactions (the “Unconsolidated Securitizations”). The Company’s continued involvement in the unconsolidated VIEs is in the form of its role as the sponsor and the servicer of these transactions. For each of the unconsolidated securitizations, the Company determined that it is not the primary beneficiary.</w:t>
      </w:r>
    </w:p>
    <w:p>
      <w:pPr>
        <w:spacing w:after="0" w:line="21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summarize the aggregate carrying value of assets and liabilities of unconsolidated VIEs in which the Company holds a variable interest but is not the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7"/>
                <w:szCs w:val="17"/>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Maximum Exposure</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Securitizations and other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524,358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430,006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94,352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539"/>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4"/>
                <w:szCs w:val="2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Maximum Exposure</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Securitizations and other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279,161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214,547</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64,614</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assets that relate to variable interests in unconsolidated VIEs consists of $18.9 million and $10.5 million which are included in notes receivable and residual certificates on the condensed consolidated balance sheets as of December 31, 2020 and September 30, 2021, respectively. The Company also had $7.2 million of cash deposits made to reserve accounts for related securitizations, included in other assets on the condensed consolidated balance sheets as of December 31, 2020 and September 30, 2021.</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Retained Interest in Unconsolidated VIEs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Off-Balance Sheet Loans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Starting December 2019, the Company co-sponsored several securitization transactions with an investment bank. The Company was not required to retain economic risk in these securitization transactions as the co-sponsor investment bank acted as the retaining sponsor. Similar to 2018-2, 2019-1, and 2019-2, the Company contributed certain loans to this securitization as collateral and recognized this transfer under Topic 860, Transferring and Servicing. The Company is also the servicer of these securitization transactions.</w:t>
      </w:r>
    </w:p>
    <w:p>
      <w:pPr>
        <w:spacing w:after="0" w:line="200" w:lineRule="exact"/>
        <w:rPr>
          <w:sz w:val="20"/>
          <w:szCs w:val="20"/>
          <w:color w:val="auto"/>
        </w:rPr>
      </w:pPr>
    </w:p>
    <w:p>
      <w:pPr>
        <w:spacing w:after="0" w:line="22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assets and liabilities measured at fair value and categorized as Level 3 in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129,625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 servicing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152,494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Trailing fee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are categorized in the fair value hierarchy based on the significance of unobservable factors in the overall fair value measurement. Since the Company’s loans, notes receivable and residual certificates, other assets, loan servicing assets and liabilities, and trailing fee liabilities do not trade in an active market with readily observable prices, the Company uses significant unobservable inputs to measure the fair value of these assets and liabilities.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Level 2 or Level 3 of the fair value hierarchy during the periods presented.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Loans included in the Company’s condensed consolidated balance sheets are classified as either held-for-sale or held-for-investment. The Company reclassified loans held by the warehouse entities from held-for-investment to held-for-sale as of January 1, 2020, due to the Company’s intent to sell the loans prior to maturity and increasing evidence of their marketability. Other loans held on the Company’s condensed consolidated balance sheets retained their classification as held-for-investment. These loans include, but are not limited to, loans which do not satisfy the warehouse requirements and loans held in the consolidated securitizations.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660"/>
              <w:spacing w:after="0"/>
              <w:rPr>
                <w:sz w:val="20"/>
                <w:szCs w:val="20"/>
                <w:color w:val="auto"/>
              </w:rPr>
            </w:pPr>
            <w:r>
              <w:rPr>
                <w:rFonts w:ascii="Arial" w:cs="Arial" w:eastAsia="Arial" w:hAnsi="Arial"/>
                <w:sz w:val="18"/>
                <w:szCs w:val="18"/>
                <w:color w:val="auto"/>
              </w:rPr>
              <w:t>The following table presents the fair value of classes of loans held by the Company:</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68"/>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Loans held-for-investment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98,417</w:t>
            </w: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 which was immaterial as of December 31, 2020 and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elected the measurement alternative under Topic 810, Consolidation, and maximizes the use of observable inputs to estimate the fair value of the financial assets and liabilities of consolidated securitization entities. Under the measurement alternative, the Company measures the financial assets, which consist of held-for-investment and held-for-sale loans in the condensed consolidated balance sheets, and financial liabilities, which consist of securitization notes and residual certificates issued to institutional investors, included in payable to securitization note holders and residual certificate holders in the condensed consolidated balance sheets, using the more observable of the fair value of the financial assets and liabilities. The Company determined the fair value of the amounts payable to securitization note holders and residual certificate holders is more observable than that of the loans. The securitization notes and residual certificates are measured at fair value, and the loans are measured based on the sum of the fair value of the securitization notes and residual certificates, with changes in fair value included in the condensed consolidated statements of operations and comprehensive income.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loans held-for-investment and held-for-sale: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89"/>
              </w:rPr>
              <w:t>September 30, 2021</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4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3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Minimum</w:t>
            </w:r>
          </w:p>
        </w:tc>
        <w:tc>
          <w:tcPr>
            <w:tcW w:w="80" w:type="dxa"/>
            <w:vAlign w:val="bottom"/>
          </w:tcPr>
          <w:p>
            <w:pPr>
              <w:spacing w:after="0"/>
              <w:rPr>
                <w:sz w:val="14"/>
                <w:szCs w:val="14"/>
                <w:color w:val="auto"/>
              </w:rPr>
            </w:pPr>
          </w:p>
        </w:tc>
        <w:tc>
          <w:tcPr>
            <w:tcW w:w="1520" w:type="dxa"/>
            <w:vAlign w:val="bottom"/>
            <w:gridSpan w:val="3"/>
            <w:vMerge w:val="restart"/>
          </w:tcPr>
          <w:p>
            <w:pPr>
              <w:ind w:left="300"/>
              <w:spacing w:after="0"/>
              <w:rPr>
                <w:sz w:val="20"/>
                <w:szCs w:val="20"/>
                <w:color w:val="auto"/>
              </w:rPr>
            </w:pPr>
            <w:r>
              <w:rPr>
                <w:rFonts w:ascii="Arial" w:cs="Arial" w:eastAsia="Arial" w:hAnsi="Arial"/>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60" w:type="dxa"/>
            <w:vAlign w:val="bottom"/>
          </w:tcPr>
          <w:p>
            <w:pPr>
              <w:jc w:val="right"/>
              <w:ind w:right="57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460" w:type="dxa"/>
            <w:vAlign w:val="bottom"/>
          </w:tcPr>
          <w:p>
            <w:pPr>
              <w:jc w:val="right"/>
              <w:ind w:right="59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0.36 %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0.08 %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50.85 %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17.65 %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10.24 %</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13" w:lineRule="exact"/>
        <w:rPr>
          <w:rFonts w:ascii="Arial" w:cs="Arial" w:eastAsia="Arial" w:hAnsi="Arial"/>
          <w:sz w:val="14"/>
          <w:szCs w:val="14"/>
          <w:color w:val="auto"/>
        </w:rPr>
      </w:pPr>
    </w:p>
    <w:p>
      <w:pPr>
        <w:ind w:left="1300" w:hanging="644"/>
        <w:spacing w:after="0"/>
        <w:tabs>
          <w:tab w:leader="none" w:pos="1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rates of return used to discount future expected cash flows to arrive at a present value,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 entire life of a</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an estimate of the cumulative principal prepayments that will occur over the entire life of a loan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original principal amount of the loan. The assumption regarding cumulative prepayments impact the projected balances and expected terms of the loans.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inputs are similarly used in estimating fair value of related financial instruments. Refer to the Assets and Liabilities related to Securitization Transactions section below for more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below table presents the sensitivity of the loans held-for-sale and held-for-investment to adverse changes in key assumptions used in the valuation model as of December 31, 2020 and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respectively. The estimated fair value of these loans is not sensitive to adverse changes in expected prepayment rates as such changes would not result in a significant impact on the fair value in either periods.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129,625</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(3,482)</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the loans classified within Level 3 of the fair value hierarchy: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Loans Held-for-</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(Securitized)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123,298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639,471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(639,471)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(639,471)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122,708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Held-for-</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(Securitized)</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232,305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Reclassification of loans from HFI to HFS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(94,949)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1,554,705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(1,554,705)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(1,554,705)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(18,800)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Changes due to deconsolidation</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(57,222)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122,708</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Held-for-</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(Securitized)</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92,184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2,458,757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2,458,757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(2,458,757)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September 30,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Held-for-</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(Securitized)</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Reclassification of loans from HFI to HFS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(101,330)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5,872,988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(5,872,988)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(5,872,988)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129,625</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related to Securitization Transactions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and September 30, 2021, the Company held notes receivable and residual certificates with an aggregate fair value of $19.1 million and $10.5 million, respectively. The balances consist of securitization notes and residual certificates corresponding to the 5% economic risk retention the Company is required to maintain as the retaining sponsor of the unconsolidated securitizations.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discounted cash flow methodology is used to estimate the fair value of notes receivable and residual certificates, using the same projected net cash flows as their related loans. This model uses inputs that are inherently judgmental and reflect the Company’s best estimates of the assumptions a market participant would use to calculate fair value.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of assets related to securitization transactions: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0"/>
              </w:rPr>
              <w:t>September 30, 2021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4"/>
                <w:szCs w:val="14"/>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Minimum</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18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tcPr>
          <w:p>
            <w:pPr>
              <w:jc w:val="right"/>
              <w:ind w:right="360"/>
              <w:spacing w:after="0" w:line="23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1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1180" w:type="dxa"/>
            <w:vAlign w:val="bottom"/>
          </w:tcPr>
          <w:p>
            <w:pPr>
              <w:jc w:val="right"/>
              <w:ind w:right="170"/>
              <w:spacing w:after="0" w:line="230" w:lineRule="exact"/>
              <w:rPr>
                <w:sz w:val="20"/>
                <w:szCs w:val="20"/>
                <w:color w:val="auto"/>
              </w:rPr>
            </w:pPr>
            <w:r>
              <w:rPr>
                <w:rFonts w:ascii="Arial" w:cs="Arial" w:eastAsia="Arial" w:hAnsi="Arial"/>
                <w:sz w:val="18"/>
                <w:szCs w:val="18"/>
                <w:b w:val="1"/>
                <w:bCs w:val="1"/>
                <w:color w:val="auto"/>
                <w:w w:val="94"/>
              </w:rPr>
              <w:t xml:space="preserve">Average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05"/>
        </w:trPr>
        <w:tc>
          <w:tcPr>
            <w:tcW w:w="28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Notes receivable and residual</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certificates</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Pr>
          <w:p>
            <w:pPr>
              <w:jc w:val="right"/>
              <w:spacing w:after="0"/>
              <w:rPr>
                <w:sz w:val="20"/>
                <w:szCs w:val="20"/>
                <w:color w:val="auto"/>
              </w:rPr>
            </w:pPr>
            <w:r>
              <w:rPr>
                <w:rFonts w:ascii="Arial" w:cs="Arial" w:eastAsia="Arial" w:hAnsi="Arial"/>
                <w:sz w:val="18"/>
                <w:szCs w:val="18"/>
                <w:color w:val="auto"/>
              </w:rPr>
              <w:t>3.01 %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5.80 %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15.70 %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18.22 %</w:t>
            </w:r>
          </w:p>
        </w:tc>
        <w:tc>
          <w:tcPr>
            <w:tcW w:w="0" w:type="dxa"/>
            <w:vAlign w:val="bottom"/>
          </w:tcPr>
          <w:p>
            <w:pPr>
              <w:spacing w:after="0"/>
              <w:rPr>
                <w:sz w:val="1"/>
                <w:szCs w:val="1"/>
                <w:color w:val="auto"/>
              </w:rPr>
            </w:pPr>
          </w:p>
        </w:tc>
      </w:tr>
      <w:tr>
        <w:trPr>
          <w:trHeight w:val="304"/>
        </w:trPr>
        <w:tc>
          <w:tcPr>
            <w:tcW w:w="288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300" w:type="dxa"/>
            <w:vAlign w:val="bottom"/>
          </w:tcPr>
          <w:p>
            <w:pPr>
              <w:jc w:val="right"/>
              <w:spacing w:after="0"/>
              <w:rPr>
                <w:sz w:val="20"/>
                <w:szCs w:val="20"/>
                <w:color w:val="auto"/>
              </w:rPr>
            </w:pPr>
            <w:r>
              <w:rPr>
                <w:rFonts w:ascii="Arial" w:cs="Arial" w:eastAsia="Arial" w:hAnsi="Arial"/>
                <w:sz w:val="18"/>
                <w:szCs w:val="18"/>
                <w:color w:val="auto"/>
              </w:rPr>
              <w:t>15.60 %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36.88 %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27.63 %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15.60 %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36.16 %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27.75 %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w:t>
      </w:r>
    </w:p>
    <w:p>
      <w:pPr>
        <w:spacing w:after="0" w:line="8"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financial instruments</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14% decrease in the fair value of the residual certificates as of September 30, 2021. The remaining classes of securities, with the exception of those in 2018-2, are all overcollateralized such that changes in credit risk rates are not expected to have significant impacts on their fair values.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1.23% and 0.77% as of December 31, 2020 and September 30, 2021, respectively. On average, a hypothetical 200 basis point increase in discount rates results in a decrease in fair value of the securities (including securitization notes and residual certificates) of 2.36% and 1.53% as of December 31, 2020 and September 30, 2021, respectively.</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securitization notes and residual certificates are not sensitive to adverse changes in expected prepayment rates as such changes would not result in a significant impact on the fair value as of December 31, 2020 and September 30,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a rollforward of the notes receivable and residual certificates related to securitization transactions classified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within Level 3 of the fair value hierarchy: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30"/>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24,840</w:t>
            </w:r>
          </w:p>
        </w:tc>
      </w:tr>
      <w:tr>
        <w:trPr>
          <w:trHeight w:val="230"/>
        </w:trPr>
        <w:tc>
          <w:tcPr>
            <w:tcW w:w="908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(3,690)</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22,053</w:t>
            </w: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30"/>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color w:val="auto"/>
              </w:rPr>
              <w:t>Purchases and issuances of securitization notes and residual certificates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22,053</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29"/>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(2,766)</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10,489</w:t>
            </w:r>
          </w:p>
        </w:tc>
      </w:tr>
      <w:tr>
        <w:trPr>
          <w:trHeight w:val="21"/>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29"/>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(9,115)</w:t>
            </w:r>
          </w:p>
        </w:tc>
      </w:t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10,489</w:t>
            </w: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Servicing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 servicing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 2020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3"/>
          </w:tcPr>
          <w:p>
            <w:pPr>
              <w:jc w:val="right"/>
              <w:ind w:right="1275"/>
              <w:spacing w:after="0"/>
              <w:rPr>
                <w:sz w:val="20"/>
                <w:szCs w:val="20"/>
                <w:color w:val="auto"/>
              </w:rPr>
            </w:pPr>
            <w:r>
              <w:rPr>
                <w:rFonts w:ascii="Arial" w:cs="Arial" w:eastAsia="Arial" w:hAnsi="Arial"/>
                <w:sz w:val="18"/>
                <w:szCs w:val="18"/>
                <w:b w:val="1"/>
                <w:bCs w:val="1"/>
                <w:color w:val="auto"/>
                <w:w w:val="89"/>
              </w:rPr>
              <w:t>September 30, 2021</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18.29 %</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Market-servicing rate </w:t>
            </w:r>
            <w:r>
              <w:rPr>
                <w:rFonts w:ascii="Arial" w:cs="Arial" w:eastAsia="Arial" w:hAnsi="Arial"/>
                <w:sz w:val="23"/>
                <w:szCs w:val="23"/>
                <w:color w:val="auto"/>
                <w:vertAlign w:val="superscript"/>
              </w:rPr>
              <w:t>(3)(4)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r>
        <w:trPr>
          <w:trHeight w:val="304"/>
        </w:trPr>
        <w:tc>
          <w:tcPr>
            <w:tcW w:w="270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89.01 %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31.62 %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92.60 %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34.37 %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w:t>
      </w:r>
    </w:p>
    <w:p>
      <w:pPr>
        <w:spacing w:after="0" w:line="8"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the Company’s estimate of the rates of return that market participants in servicing rights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Credit risk rate</w:t>
      </w:r>
      <w:r>
        <w:rPr>
          <w:rFonts w:ascii="Arial" w:cs="Arial" w:eastAsia="Arial" w:hAnsi="Arial"/>
          <w:sz w:val="18"/>
          <w:szCs w:val="18"/>
          <w:color w:val="auto"/>
        </w:rPr>
        <w:t>s–The credit risk rates are the Company’s estimate of the net cumulative principal payments that will not be repaid over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a loan expressed as a percentage of the original principal amount of the loan. The assumption regarding net cumulative losses impact the projected balances and expected terms of the loans, which are used to project future servicing revenues.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Market-servicing rates</w:t>
      </w:r>
      <w:r>
        <w:rPr>
          <w:rFonts w:ascii="Arial" w:cs="Arial" w:eastAsia="Arial" w:hAnsi="Arial"/>
          <w:sz w:val="18"/>
          <w:szCs w:val="18"/>
          <w:color w:val="auto"/>
        </w:rPr>
        <w:t>–Market-servicing rate is an estimated measure of adequate compensation for a market participant, if one was required.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the Company’s estimate of the cumulative principal prepayments that will occur over the entire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loan as a percentage of the original principal amount of the loan. The assumption regarding cumulative prepayments impact the projected balances and expected terms of the loans, which are used to project future servicing revenues.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2020 and September 30, 2021,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3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w:t>
            </w: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(7,354)</w:t>
            </w: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3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6"/>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9,972</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a rollforward of the loan servicing assets and liabilities classified by the Company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Loan Servicing</w:t>
            </w:r>
          </w:p>
        </w:tc>
      </w:tr>
      <w:tr>
        <w:trPr>
          <w:trHeight w:val="22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8"/>
              </w:rPr>
              <w:t>5,880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8"/>
              </w:rPr>
              <w:t>6,615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1,833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1,766</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4"/>
              </w:rPr>
              <w:t>(1,155)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4"/>
              </w:rPr>
              <w:t>(1,032)</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88"/>
              </w:rPr>
              <w:t>6,558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88"/>
              </w:rPr>
              <w:t>7,349</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Loan Servicing</w:t>
            </w:r>
          </w:p>
        </w:tc>
      </w:tr>
      <w:tr>
        <w:trPr>
          <w:trHeight w:val="22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8"/>
              </w:rPr>
              <w:t>4,725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8"/>
              </w:rPr>
              <w:t>5,140</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5,003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3,256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4"/>
              </w:rPr>
              <w:t>(3,170)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4"/>
              </w:rPr>
              <w:t>(1,047)</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88"/>
              </w:rPr>
              <w:t>6,558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88"/>
              </w:rPr>
              <w:t>7,349</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29"/>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2,783</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29"/>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10,610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Trailing Fee Liabilities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6.80% to 16.99% and 3.39% to 17.26% and credit risk rates of 0.36% to 52.31% and 0.08% to 50.85% as of December 31, 2020 and September 30, 2021, respectively.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sensitivity of trailing fee liabilities to adverse changes in key assumptions would not result in a material impact on the Company’s financial 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trailing fee liabilities classified by the Company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bl>
      <w:tblPr>
        <w:tblLayout w:type="fixed"/>
        <w:tblInd w:w="0" w:type="dxa"/>
        <w:tblCellMar>
          <w:top w:w="0" w:type="dxa"/>
          <w:left w:w="0" w:type="dxa"/>
          <w:bottom w:w="0" w:type="dxa"/>
          <w:right w:w="0" w:type="dxa"/>
        </w:tblCellMar>
      </w:tblPr>
      <w:tr>
        <w:trPr>
          <w:trHeight w:val="254"/>
        </w:trPr>
        <w:tc>
          <w:tcPr>
            <w:tcW w:w="1280" w:type="dxa"/>
            <w:vAlign w:val="bottom"/>
            <w:tcBorders>
              <w:top w:val="single" w:sz="8" w:color="0000FF"/>
            </w:tcBorders>
          </w:tcPr>
          <w:p>
            <w:pPr>
              <w:spacing w:after="0"/>
              <w:rPr>
                <w:sz w:val="22"/>
                <w:szCs w:val="22"/>
                <w:color w:val="auto"/>
              </w:rPr>
            </w:pPr>
          </w:p>
        </w:tc>
        <w:tc>
          <w:tcPr>
            <w:tcW w:w="832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Upstart Holdings, Inc.</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9"/>
        </w:trPr>
        <w:tc>
          <w:tcPr>
            <w:tcW w:w="1280" w:type="dxa"/>
            <w:vAlign w:val="bottom"/>
          </w:tcPr>
          <w:p>
            <w:pPr>
              <w:spacing w:after="0"/>
              <w:rPr>
                <w:sz w:val="20"/>
                <w:szCs w:val="20"/>
                <w:color w:val="auto"/>
              </w:rPr>
            </w:pPr>
          </w:p>
        </w:tc>
        <w:tc>
          <w:tcPr>
            <w:tcW w:w="83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Notes to Condensed Consolidated Financial Statements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8320" w:type="dxa"/>
            <w:vAlign w:val="bottom"/>
          </w:tcPr>
          <w:p>
            <w:pPr>
              <w:jc w:val="center"/>
              <w:ind w:left="290"/>
              <w:spacing w:after="0"/>
              <w:rPr>
                <w:sz w:val="20"/>
                <w:szCs w:val="20"/>
                <w:color w:val="auto"/>
              </w:rPr>
            </w:pPr>
            <w:r>
              <w:rPr>
                <w:rFonts w:ascii="Arial" w:cs="Arial" w:eastAsia="Arial" w:hAnsi="Arial"/>
                <w:sz w:val="18"/>
                <w:szCs w:val="18"/>
                <w:color w:val="auto"/>
                <w:w w:val="89"/>
              </w:rPr>
              <w:t>(Tabular Amounts in Thousands, Except Share and Per Share Data and Ratios, or as Noted)</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1280" w:type="dxa"/>
            <w:vAlign w:val="bottom"/>
          </w:tcPr>
          <w:p>
            <w:pPr>
              <w:spacing w:after="0"/>
              <w:rPr>
                <w:sz w:val="22"/>
                <w:szCs w:val="22"/>
                <w:color w:val="auto"/>
              </w:rPr>
            </w:pPr>
          </w:p>
        </w:tc>
        <w:tc>
          <w:tcPr>
            <w:tcW w:w="8320" w:type="dxa"/>
            <w:vAlign w:val="bottom"/>
          </w:tcPr>
          <w:p>
            <w:pPr>
              <w:jc w:val="center"/>
              <w:ind w:left="27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702"/>
        </w:trPr>
        <w:tc>
          <w:tcPr>
            <w:tcW w:w="128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ind w:left="140"/>
              <w:spacing w:after="0"/>
              <w:rPr>
                <w:sz w:val="20"/>
                <w:szCs w:val="20"/>
                <w:color w:val="auto"/>
              </w:rPr>
            </w:pPr>
            <w:r>
              <w:rPr>
                <w:rFonts w:ascii="Arial" w:cs="Arial" w:eastAsia="Arial" w:hAnsi="Arial"/>
                <w:sz w:val="18"/>
                <w:szCs w:val="18"/>
                <w:b w:val="1"/>
                <w:bCs w:val="1"/>
                <w:color w:val="auto"/>
              </w:rPr>
              <w:t>Trailing Fee</w:t>
            </w:r>
          </w:p>
        </w:tc>
      </w:tr>
      <w:tr>
        <w:trPr>
          <w:trHeight w:val="229"/>
        </w:trPr>
        <w:tc>
          <w:tcPr>
            <w:tcW w:w="128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720</w:t>
            </w:r>
          </w:p>
        </w:tc>
      </w:tr>
      <w:tr>
        <w:trPr>
          <w:trHeight w:val="223"/>
        </w:trPr>
        <w:tc>
          <w:tcPr>
            <w:tcW w:w="9600" w:type="dxa"/>
            <w:vAlign w:val="bottom"/>
            <w:gridSpan w:val="2"/>
          </w:tcPr>
          <w:p>
            <w:pPr>
              <w:ind w:left="2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19"/>
                <w:szCs w:val="19"/>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rPr>
              <w:t>263</w:t>
            </w:r>
          </w:p>
        </w:tc>
      </w:tr>
      <w:tr>
        <w:trPr>
          <w:trHeight w:val="230"/>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3"/>
              </w:rPr>
              <w:t>(89)</w:t>
            </w:r>
          </w:p>
        </w:tc>
      </w:tr>
      <w:tr>
        <w:trPr>
          <w:trHeight w:val="223"/>
        </w:trPr>
        <w:tc>
          <w:tcPr>
            <w:tcW w:w="96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September 30, 2020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894</w:t>
            </w:r>
          </w:p>
        </w:tc>
      </w:tr>
      <w:tr>
        <w:trPr>
          <w:trHeight w:val="21"/>
        </w:trPr>
        <w:tc>
          <w:tcPr>
            <w:tcW w:w="12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September 30,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September 30, 2021</w:t>
      </w:r>
    </w:p>
    <w:p>
      <w:pPr>
        <w:spacing w:after="0" w:line="20" w:lineRule="exact"/>
        <w:rPr>
          <w:sz w:val="20"/>
          <w:szCs w:val="20"/>
          <w:color w:val="auto"/>
        </w:rPr>
      </w:pPr>
      <w:r>
        <w:rPr>
          <w:sz w:val="20"/>
          <w:szCs w:val="20"/>
          <w:color w:val="auto"/>
        </w:rPr>
        <w:br w:type="column"/>
      </w: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p>
    <w:p>
      <w:pPr>
        <w:ind w:left="1289" w:hanging="1289"/>
        <w:spacing w:after="0"/>
        <w:tabs>
          <w:tab w:leader="none" w:pos="12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504</w:t>
      </w:r>
    </w:p>
    <w:p>
      <w:pPr>
        <w:spacing w:after="0" w:line="36" w:lineRule="exact"/>
        <w:rPr>
          <w:rFonts w:ascii="Arial" w:cs="Arial" w:eastAsia="Arial" w:hAnsi="Arial"/>
          <w:sz w:val="18"/>
          <w:szCs w:val="18"/>
          <w:color w:val="auto"/>
        </w:rPr>
      </w:pPr>
    </w:p>
    <w:p>
      <w:pPr>
        <w:ind w:left="1289"/>
        <w:spacing w:after="0"/>
        <w:rPr>
          <w:rFonts w:ascii="Arial" w:cs="Arial" w:eastAsia="Arial" w:hAnsi="Arial"/>
          <w:sz w:val="18"/>
          <w:szCs w:val="18"/>
          <w:color w:val="auto"/>
        </w:rPr>
      </w:pPr>
      <w:r>
        <w:rPr>
          <w:rFonts w:ascii="Arial" w:cs="Arial" w:eastAsia="Arial" w:hAnsi="Arial"/>
          <w:sz w:val="18"/>
          <w:szCs w:val="18"/>
          <w:color w:val="auto"/>
        </w:rPr>
        <w:t>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1045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(219)</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w:t>
      </w:r>
    </w:p>
    <w:p>
      <w:pPr>
        <w:spacing w:after="0" w:line="35" w:lineRule="exact"/>
        <w:rPr>
          <w:sz w:val="20"/>
          <w:szCs w:val="20"/>
          <w:color w:val="auto"/>
        </w:rPr>
      </w:pPr>
    </w:p>
    <w:p>
      <w:pPr>
        <w:ind w:left="1289" w:hanging="1289"/>
        <w:spacing w:after="0"/>
        <w:tabs>
          <w:tab w:leader="none" w:pos="12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p>
    <w:p>
      <w:pPr>
        <w:ind w:left="1149" w:hanging="1149"/>
        <w:spacing w:after="0"/>
        <w:tabs>
          <w:tab w:leader="none" w:pos="11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2,513</w:t>
      </w:r>
    </w:p>
    <w:p>
      <w:pPr>
        <w:spacing w:after="0" w:line="49" w:lineRule="exact"/>
        <w:rPr>
          <w:rFonts w:ascii="Arial" w:cs="Arial" w:eastAsia="Arial" w:hAnsi="Arial"/>
          <w:sz w:val="18"/>
          <w:szCs w:val="18"/>
          <w:color w:val="auto"/>
        </w:rPr>
      </w:pPr>
    </w:p>
    <w:p>
      <w:pPr>
        <w:ind w:left="1149"/>
        <w:spacing w:after="0"/>
        <w:rPr>
          <w:rFonts w:ascii="Arial" w:cs="Arial" w:eastAsia="Arial" w:hAnsi="Arial"/>
          <w:sz w:val="18"/>
          <w:szCs w:val="18"/>
          <w:color w:val="auto"/>
        </w:rPr>
      </w:pPr>
      <w:r>
        <w:rPr>
          <w:rFonts w:ascii="Arial" w:cs="Arial" w:eastAsia="Arial" w:hAnsi="Arial"/>
          <w:sz w:val="18"/>
          <w:szCs w:val="18"/>
          <w:color w:val="auto"/>
        </w:rPr>
        <w:t>1,148</w:t>
      </w:r>
    </w:p>
    <w:p>
      <w:pPr>
        <w:spacing w:after="0" w:line="23" w:lineRule="exact"/>
        <w:rPr>
          <w:rFonts w:ascii="Arial" w:cs="Arial" w:eastAsia="Arial" w:hAnsi="Arial"/>
          <w:sz w:val="18"/>
          <w:szCs w:val="18"/>
          <w:color w:val="auto"/>
        </w:rPr>
      </w:pPr>
    </w:p>
    <w:p>
      <w:pPr>
        <w:ind w:left="1209"/>
        <w:spacing w:after="0"/>
        <w:rPr>
          <w:rFonts w:ascii="Arial" w:cs="Arial" w:eastAsia="Arial" w:hAnsi="Arial"/>
          <w:sz w:val="18"/>
          <w:szCs w:val="18"/>
          <w:color w:val="auto"/>
        </w:rPr>
      </w:pPr>
      <w:r>
        <w:rPr>
          <w:rFonts w:ascii="Arial" w:cs="Arial" w:eastAsia="Arial" w:hAnsi="Arial"/>
          <w:sz w:val="17"/>
          <w:szCs w:val="17"/>
          <w:color w:val="auto"/>
        </w:rPr>
        <w:t>(350)</w:t>
      </w:r>
    </w:p>
    <w:p>
      <w:pPr>
        <w:spacing w:after="0" w:line="34" w:lineRule="exact"/>
        <w:rPr>
          <w:rFonts w:ascii="Arial" w:cs="Arial" w:eastAsia="Arial" w:hAnsi="Arial"/>
          <w:sz w:val="18"/>
          <w:szCs w:val="18"/>
          <w:color w:val="auto"/>
        </w:rPr>
      </w:pPr>
    </w:p>
    <w:p>
      <w:pPr>
        <w:ind w:left="1369"/>
        <w:spacing w:after="0"/>
        <w:rPr>
          <w:rFonts w:ascii="Arial" w:cs="Arial" w:eastAsia="Arial" w:hAnsi="Arial"/>
          <w:sz w:val="18"/>
          <w:szCs w:val="18"/>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-439420</wp:posOffset>
            </wp:positionV>
            <wp:extent cx="10458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 w:lineRule="exact"/>
        <w:rPr>
          <w:sz w:val="20"/>
          <w:szCs w:val="20"/>
          <w:color w:val="auto"/>
        </w:rPr>
      </w:pPr>
    </w:p>
    <w:p>
      <w:pPr>
        <w:ind w:left="1149" w:hanging="1149"/>
        <w:spacing w:after="0"/>
        <w:tabs>
          <w:tab w:leader="none" w:pos="11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3,334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p>
    <w:p>
      <w:pPr>
        <w:ind w:left="1149" w:hanging="1149"/>
        <w:spacing w:after="0"/>
        <w:tabs>
          <w:tab w:leader="none" w:pos="11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1,276</w:t>
      </w:r>
    </w:p>
    <w:p>
      <w:pPr>
        <w:spacing w:after="0" w:line="49" w:lineRule="exact"/>
        <w:rPr>
          <w:rFonts w:ascii="Arial" w:cs="Arial" w:eastAsia="Arial" w:hAnsi="Arial"/>
          <w:sz w:val="18"/>
          <w:szCs w:val="18"/>
          <w:color w:val="auto"/>
        </w:rPr>
      </w:pPr>
    </w:p>
    <w:p>
      <w:pPr>
        <w:ind w:left="1149"/>
        <w:spacing w:after="0"/>
        <w:rPr>
          <w:rFonts w:ascii="Arial" w:cs="Arial" w:eastAsia="Arial" w:hAnsi="Arial"/>
          <w:sz w:val="18"/>
          <w:szCs w:val="18"/>
          <w:color w:val="auto"/>
        </w:rPr>
      </w:pPr>
      <w:r>
        <w:rPr>
          <w:rFonts w:ascii="Arial" w:cs="Arial" w:eastAsia="Arial" w:hAnsi="Arial"/>
          <w:sz w:val="18"/>
          <w:szCs w:val="18"/>
          <w:color w:val="auto"/>
        </w:rPr>
        <w:t>2,753</w:t>
      </w:r>
    </w:p>
    <w:p>
      <w:pPr>
        <w:spacing w:after="0" w:line="23" w:lineRule="exact"/>
        <w:rPr>
          <w:rFonts w:ascii="Arial" w:cs="Arial" w:eastAsia="Arial" w:hAnsi="Arial"/>
          <w:sz w:val="18"/>
          <w:szCs w:val="18"/>
          <w:color w:val="auto"/>
        </w:rPr>
      </w:pPr>
    </w:p>
    <w:p>
      <w:pPr>
        <w:ind w:left="1209"/>
        <w:spacing w:after="0"/>
        <w:rPr>
          <w:rFonts w:ascii="Arial" w:cs="Arial" w:eastAsia="Arial" w:hAnsi="Arial"/>
          <w:sz w:val="18"/>
          <w:szCs w:val="18"/>
          <w:color w:val="auto"/>
        </w:rPr>
      </w:pPr>
      <w:r>
        <w:rPr>
          <w:rFonts w:ascii="Arial" w:cs="Arial" w:eastAsia="Arial" w:hAnsi="Arial"/>
          <w:sz w:val="17"/>
          <w:szCs w:val="17"/>
          <w:color w:val="auto"/>
        </w:rPr>
        <w:t>(766)</w:t>
      </w:r>
    </w:p>
    <w:p>
      <w:pPr>
        <w:spacing w:after="0" w:line="34" w:lineRule="exact"/>
        <w:rPr>
          <w:rFonts w:ascii="Arial" w:cs="Arial" w:eastAsia="Arial" w:hAnsi="Arial"/>
          <w:sz w:val="18"/>
          <w:szCs w:val="18"/>
          <w:color w:val="auto"/>
        </w:rPr>
      </w:pPr>
    </w:p>
    <w:p>
      <w:pPr>
        <w:ind w:left="1369"/>
        <w:spacing w:after="0"/>
        <w:rPr>
          <w:rFonts w:ascii="Arial" w:cs="Arial" w:eastAsia="Arial" w:hAnsi="Arial"/>
          <w:sz w:val="18"/>
          <w:szCs w:val="18"/>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-439420</wp:posOffset>
            </wp:positionV>
            <wp:extent cx="10458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5" w:lineRule="exact"/>
        <w:rPr>
          <w:sz w:val="20"/>
          <w:szCs w:val="20"/>
          <w:color w:val="auto"/>
        </w:rPr>
      </w:pPr>
    </w:p>
    <w:p>
      <w:pPr>
        <w:ind w:left="1149" w:hanging="1149"/>
        <w:spacing w:after="0"/>
        <w:tabs>
          <w:tab w:leader="none" w:pos="11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3,334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162"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at Fair Value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Loans</w:t>
            </w:r>
          </w:p>
        </w:tc>
        <w:tc>
          <w:tcPr>
            <w:tcW w:w="1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Loans &gt; 90 Days Past Due</w:t>
            </w:r>
          </w:p>
        </w:tc>
      </w:tr>
      <w:tr>
        <w:trPr>
          <w:trHeight w:val="218"/>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principal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0"/>
              </w:rPr>
              <w:t>97,497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149,049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2"/>
              </w:rPr>
              <w:t>(19,037)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5"/>
              </w:rPr>
              <w:t>(19,424)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48"/>
        </w:trPr>
        <w:tc>
          <w:tcPr>
            <w:tcW w:w="44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Fair value</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0"/>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8"/>
              </w:rPr>
              <w:t>129,625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55" w:lineRule="auto"/>
        <w:tabs>
          <w:tab w:leader="none" w:pos="383"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$2.4 million and $70.3 million of auto loans as of December 31, 2020 and September 30, 2021, respectively, of which an immaterial amount is 90 days or more past due for each period presented.</w:t>
      </w:r>
    </w:p>
    <w:p>
      <w:pPr>
        <w:spacing w:after="0" w:line="2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200" w:lineRule="exact"/>
        <w:rPr>
          <w:sz w:val="20"/>
          <w:szCs w:val="20"/>
          <w:color w:val="auto"/>
        </w:rPr>
      </w:pPr>
    </w:p>
    <w:p>
      <w:pPr>
        <w:spacing w:after="0" w:line="23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April 2021, the Company completed its acquisition of Prodigy Software, Inc. (“Prodigy”). Prodigy provides an e-commerce platform for car dealerships which enables both online and in-store vehicle discovery, credit application, and checkout. Prodigy provides a modern multi-channel car buying experience, helping dealerships serve consumers with a holistic software solution that integrates legacy systems. In addition to modernizing the car buying experience, Prodigy will bring Upstart's AI enabled auto loans to dealerships across the country where a significant number of auto loans are transacted.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total consideration the Company provided for Prodigy was approximately $89.0 million, comprised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April 8, 2021</w:t>
            </w:r>
          </w:p>
        </w:tc>
      </w:tr>
      <w:tr>
        <w:trPr>
          <w:trHeight w:val="223"/>
        </w:trPr>
        <w:tc>
          <w:tcPr>
            <w:tcW w:w="88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Fair value of Upstart common stock issued to Prodigy stockholders</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70,121</w:t>
            </w:r>
          </w:p>
        </w:tc>
      </w:tr>
      <w:tr>
        <w:trPr>
          <w:trHeight w:val="229"/>
        </w:trPr>
        <w:tc>
          <w:tcPr>
            <w:tcW w:w="8840" w:type="dxa"/>
            <w:vAlign w:val="bottom"/>
          </w:tcPr>
          <w:p>
            <w:pPr>
              <w:ind w:left="20"/>
              <w:spacing w:after="0" w:line="230" w:lineRule="exact"/>
              <w:rPr>
                <w:sz w:val="20"/>
                <w:szCs w:val="20"/>
                <w:color w:val="auto"/>
              </w:rPr>
            </w:pPr>
            <w:r>
              <w:rPr>
                <w:rFonts w:ascii="Arial" w:cs="Arial" w:eastAsia="Arial" w:hAnsi="Arial"/>
                <w:sz w:val="18"/>
                <w:szCs w:val="18"/>
                <w:color w:val="auto"/>
              </w:rPr>
              <w:t>Cash paid to common and preferred stockholders, warrant holders, and vested option holders</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17,151</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assumed Prodigy options attributable to pre-combination service period</w:t>
            </w: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Transactions costs paid by Upstart on behalf of Prodigy</w:t>
            </w:r>
          </w:p>
        </w:tc>
        <w:tc>
          <w:tcPr>
            <w:tcW w:w="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41" w:lineRule="auto"/>
        <w:tabs>
          <w:tab w:leader="none" w:pos="357"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fair value is based on 568,539 shares of Company common stock at $123.33 per share, the closing stock price on April 8, 2021, and 87,339 shares are held in escrow as security for certain indemnification obligations of former Prodigy stockholders.</w:t>
      </w:r>
    </w:p>
    <w:p>
      <w:pPr>
        <w:ind w:left="360" w:hanging="352"/>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$1.9 million of the cash paid is being held in escrow as security for certain indemnification obligations of former Prodigy stockholders.</w:t>
      </w:r>
    </w:p>
    <w:p>
      <w:pPr>
        <w:spacing w:after="0" w:line="2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Excluded from the total purchase consideration above are 82,201 shares of the Company’s restricted common stock ("restricted stock") with a fair value of $10.1 million issued to certain Prodigy employees. The restricted stock is subject to transfer restrictions and a repurchase option and is contingent upon the employees' continued employment with the Company. The repurchase option will lapse with respect to 1/8th of the shares of restricted stock at the end of each successive three-month period following the closing date of the Prodigy acquisition. The Company will record stock-based compensation expense straight-line over the two-year period that the repurchase option lapses.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acquisition has been accounted for as a business combination. The purchase consideration was allocated to the tangible and intangible assets and liabilities acquired as of the acquisition date, with the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recorded to goodwill as shown below. The values assigned to the assets acquired and liabilities assumed are based on preliminary estimates of fair value available as of the date of this Quarterly Report on Form 10-Q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April 8, 2021</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66,866</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Acquisition-related intangible assets</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23,200</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Deferred tax liability, net</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(2,328)</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 and liabilities assumed, net</w:t>
            </w:r>
          </w:p>
        </w:tc>
        <w:tc>
          <w:tcPr>
            <w:tcW w:w="4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89,044</w:t>
            </w:r>
          </w:p>
        </w:tc>
      </w:tr>
      <w:tr>
        <w:trPr>
          <w:trHeight w:val="21"/>
        </w:trPr>
        <w:tc>
          <w:tcPr>
            <w:tcW w:w="8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goodwill recognized was primarily attributable to the opportunity to bring Upstart's AI enabled auto loans to dealerships across the country where the vast majority of loans are transacted. The goodwill is not deductible for U.S. federal income tax purposes.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recognized acquisition-related costs of approximately $1.2 million in the nine months ended September 30, 2021 which are included in the general and administrative expense in the condensed consolidated statement of operations and comprehensive income. No acquisition-related costs were incurred during the three months ended September 30,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24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Estimated fair values</w:t>
            </w:r>
          </w:p>
        </w:tc>
        <w:tc>
          <w:tcPr>
            <w:tcW w:w="100" w:type="dxa"/>
            <w:vAlign w:val="bottom"/>
          </w:tcPr>
          <w:p>
            <w:pPr>
              <w:spacing w:after="0"/>
              <w:rPr>
                <w:sz w:val="18"/>
                <w:szCs w:val="18"/>
                <w:color w:val="auto"/>
              </w:rPr>
            </w:pPr>
          </w:p>
        </w:tc>
        <w:tc>
          <w:tcPr>
            <w:tcW w:w="2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4"/>
              </w:rPr>
              <w:t>Estimated useful life (years)</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13,700</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acquisition-related intangible assets</w:t>
            </w:r>
          </w:p>
        </w:tc>
        <w:tc>
          <w:tcPr>
            <w:tcW w:w="180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23,200</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values of the acquisition-related intangibles were determined using the following methodologies: replacement cost method, the relief from royalty method, and the with/without method, a form of the income approach, for developed technology, trade name, and customer relationships, respectively. The acquired intangible assets have a total weighted-average amortization period of 8.3 years.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included the financial results of the acquired business in our condensed consolidated financial statements from the date of acquisition. Revenues and expenses related to the acquisition for the three and nine months ended September 30, 2021 were not material. Pro forma results of operations have not been presented because the effects of this acquisition were not material to our financial results.</w:t>
      </w:r>
    </w:p>
    <w:p>
      <w:pPr>
        <w:spacing w:after="0" w:line="200" w:lineRule="exact"/>
        <w:rPr>
          <w:sz w:val="20"/>
          <w:szCs w:val="20"/>
          <w:color w:val="auto"/>
        </w:rPr>
      </w:pPr>
    </w:p>
    <w:p>
      <w:pPr>
        <w:spacing w:after="0" w:line="250"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660"/>
              <w:spacing w:after="0"/>
              <w:rPr>
                <w:sz w:val="20"/>
                <w:szCs w:val="20"/>
                <w:color w:val="auto"/>
              </w:rPr>
            </w:pPr>
            <w:r>
              <w:rPr>
                <w:rFonts w:ascii="Arial" w:cs="Arial" w:eastAsia="Arial" w:hAnsi="Arial"/>
                <w:sz w:val="18"/>
                <w:szCs w:val="18"/>
                <w:color w:val="auto"/>
                <w:w w:val="97"/>
              </w:rPr>
              <w:t>The table below presents changes to the carrying amount of goodwill:</w:t>
            </w: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9"/>
        </w:trPr>
        <w:tc>
          <w:tcPr>
            <w:tcW w:w="610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 2020</w:t>
            </w: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Goodwill Acquired</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September 30, 2021</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66,866</w:t>
            </w: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goodwill acquired during the nine months ended September 30, 2021 is associated with the acquisition of Prodigy. There was no impairment for the periods presented.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Net Carrying</w:t>
            </w:r>
          </w:p>
        </w:tc>
        <w:tc>
          <w:tcPr>
            <w:tcW w:w="100" w:type="dxa"/>
            <w:vAlign w:val="bottom"/>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Useful</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13,129</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was $1.1 million and $2.2 million for the three and nine months ended September 30, 2021, respectively, which includes an immaterial write-off of the trade name acquired intangible asset after the Company performed a qualitative impairment assessment in the third quarter of 2021. There were no intangible assets subject to amortization for the year ended December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future amortization expense for intangible assets as of September 30, 2021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Fiscal Years:</w:t>
            </w:r>
          </w:p>
        </w:tc>
        <w:tc>
          <w:tcPr>
            <w:tcW w:w="8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Remaining 2021</w:t>
            </w:r>
          </w:p>
        </w:tc>
        <w:tc>
          <w:tcPr>
            <w:tcW w:w="89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auto"/>
              </w:rPr>
              <w:t>2022</w:t>
            </w:r>
          </w:p>
        </w:tc>
        <w:tc>
          <w:tcPr>
            <w:tcW w:w="8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4,275</w:t>
            </w: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rPr>
              <w:t>2024</w:t>
            </w:r>
          </w:p>
        </w:tc>
        <w:tc>
          <w:tcPr>
            <w:tcW w:w="8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1,925</w:t>
            </w: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29"/>
        </w:trPr>
        <w:tc>
          <w:tcPr>
            <w:tcW w:w="1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3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8,277</w:t>
            </w:r>
          </w:p>
        </w:tc>
      </w:tr>
      <w:tr>
        <w:trPr>
          <w:trHeight w:val="248"/>
        </w:trPr>
        <w:tc>
          <w:tcPr>
            <w:tcW w:w="1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1260" w:type="dxa"/>
            <w:vAlign w:val="bottom"/>
          </w:tcPr>
          <w:p>
            <w:pPr>
              <w:ind w:left="660"/>
              <w:spacing w:after="0"/>
              <w:rPr>
                <w:sz w:val="20"/>
                <w:szCs w:val="20"/>
                <w:color w:val="auto"/>
              </w:rPr>
            </w:pPr>
            <w:r>
              <w:rPr>
                <w:rFonts w:ascii="Arial" w:cs="Arial" w:eastAsia="Arial" w:hAnsi="Arial"/>
                <w:sz w:val="18"/>
                <w:szCs w:val="18"/>
                <w:b w:val="1"/>
                <w:bCs w:val="1"/>
                <w:color w:val="auto"/>
              </w:rPr>
              <w:t>8.</w:t>
            </w:r>
          </w:p>
        </w:tc>
        <w:tc>
          <w:tcPr>
            <w:tcW w:w="8940" w:type="dxa"/>
            <w:vAlign w:val="bottom"/>
            <w:gridSpan w:val="2"/>
          </w:tcPr>
          <w:p>
            <w:pPr>
              <w:jc w:val="right"/>
              <w:ind w:right="6710"/>
              <w:spacing w:after="0"/>
              <w:rPr>
                <w:sz w:val="20"/>
                <w:szCs w:val="20"/>
                <w:color w:val="auto"/>
              </w:rPr>
            </w:pPr>
            <w:r>
              <w:rPr>
                <w:rFonts w:ascii="Arial" w:cs="Arial" w:eastAsia="Arial" w:hAnsi="Arial"/>
                <w:sz w:val="18"/>
                <w:szCs w:val="18"/>
                <w:b w:val="1"/>
                <w:bCs w:val="1"/>
                <w:color w:val="auto"/>
                <w:w w:val="89"/>
              </w:rPr>
              <w:t>Balance Sheet Components</w:t>
            </w:r>
          </w:p>
        </w:tc>
        <w:tc>
          <w:tcPr>
            <w:tcW w:w="10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and other receivables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29,986</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8,272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Loan servicing assets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12,380</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77,491</w:t>
            </w:r>
          </w:p>
        </w:tc>
      </w:tr>
      <w:tr>
        <w:trPr>
          <w:trHeight w:val="21"/>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Servicing fees and other receivables represent amounts recognized as revenue but not yet collected in relation to servicing and other agreements with institutional investors and bank partners.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Property, equipment, and software, net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2,459</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w:t>
            </w: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equipment, and software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25,337</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2020, depreciation and amortization expense on property, equipment, and software was immaterial. For the three and nine months ended September 30, 2021, depreciation and amortization expense on property, equipment, and software was $1.0 million and $2.7 million, respectively. Capitalized internally developed software balances, net of accumulated amortization, were $6.0 million and $11.0 million as of December 31, 2020 and September 30, 2021,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33,955</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22,570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 (at fair value)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Trailing fee liability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71,951</w:t>
            </w:r>
          </w:p>
        </w:tc>
      </w:tr>
      <w:tr>
        <w:trPr>
          <w:trHeight w:val="21"/>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aggregate principal outstanding of all loans mentioned in this note that are included in the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Borrowings</w:t>
            </w:r>
          </w:p>
        </w:tc>
      </w:tr>
      <w:tr>
        <w:trPr>
          <w:trHeight w:val="218"/>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Risk retention funding loans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661,250</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62,681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664,350</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(15,128)</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borrowings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649,222</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October 2018, the Company and UNI entered into a mezzanine loan and security agreement to obtain a term loan of up to $15.0 million (the “Mezzanine Loan”). The Mezzanine Loan bore interest at the greater of prime rate plus 5.25% or 10.00% per annum, payable monthly. The principal balance was due upon maturity on October 1, 2021.</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2021, the Company repaid in full the $15.0 million principal balance outstanding under the Mezzanine Loan, plus accrued interest and prepayment fees, and terminated the Mezzanine Loan. In connection with the termination, the Company recognized the remaining unamortized debt discount and recognized an immaterial loss on debt extinguishment.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2018, the Company and UNI entered into a revolving credit facility with a third-party lender for up to $5.5 million (the “UNI Credit Facility”). The UNI Credit Facility bore floating interest at the greater of prime rate plus 1.00% or 4.25% annum, payable monthly, subject to a monthly minimum interest requirement prior to maturity. The UNI Credit Facility had an original termination and maturity date of June 1, 2020. In 2020, the parties agreed to extend the maturity date of the UNI Credit Facility to June 1, 2021. In June 2021, the Company repaid in full the $5.5 million of outstanding principal, plus accrued interest, under the UNI Credit Facility and did not renew such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and further amended in June 2021. Under the revolving credit and security agreement, as amended from time to time, ULT may borrow up to $100.0 million (subject to a borrowing base capacity) until the earlier of June 15, 2023 or the occurrence of an accelerated amortization event. An accelerated amortization event includes, but are not limited to, failure to satisfy certain loan performance metrics or the occurrence of an event of default. The proceeds may only be used to purchase unsecured personal loans from Upstart’s platform and to pay fees and expenses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credit facility. The ULT Warehouse Credit Facility matures on the earlier of June 15, 2024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 the Benchmark Rate”) plus a spread ranging from 1.90% to 4.00% per annum, due and payable monthly in arrears. In the event that LIBOR ceases to be available, the Benchmark Rate will be replaced with an alternative rate such as the Secured Overnight Financing Rate. The Company is subject to additional interest payments under a minimum utilization requirement of $30 million. The maximum advance rate under the ULT Warehouse Credit Facility on outstanding principal of loans held by ULT was 80% as of December 31, 2020 and 85% as of September 30, 2021.</w:t>
      </w:r>
    </w:p>
    <w:p>
      <w:pPr>
        <w:spacing w:after="0" w:line="1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ULT Warehouse Credit Facility contains certain financial covenants. As of December 31, 2020 and September 30, 2021,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includes the aggregate balances held by ULT that were pledged as collateral for the ULT Warehouse Credit Facility and included in loans at fair value and restricted cash in the condensed consolidated balance sheets,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ULT Warehouse Credit Facility</w:t>
            </w:r>
          </w:p>
        </w:tc>
        <w:tc>
          <w:tcPr>
            <w:tcW w:w="0" w:type="dxa"/>
            <w:vAlign w:val="bottom"/>
          </w:tcPr>
          <w:p>
            <w:pPr>
              <w:spacing w:after="0"/>
              <w:rPr>
                <w:sz w:val="1"/>
                <w:szCs w:val="1"/>
                <w:color w:val="auto"/>
              </w:rPr>
            </w:pPr>
          </w:p>
        </w:tc>
      </w:tr>
      <w:tr>
        <w:trPr>
          <w:trHeight w:val="176"/>
        </w:trPr>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15"/>
                <w:szCs w:val="15"/>
                <w:color w:val="auto"/>
              </w:rPr>
            </w:pPr>
          </w:p>
        </w:tc>
        <w:tc>
          <w:tcPr>
            <w:tcW w:w="148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29"/>
        </w:trPr>
        <w:tc>
          <w:tcPr>
            <w:tcW w:w="7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7"/>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Aggregate outstanding principal of loans pledged as collateral</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59,709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6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of loans purchased and held by ULT</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31,208</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Restricted cash pledged as collateral</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26,461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Retention Funding Loans</w:t>
      </w:r>
    </w:p>
    <w:p>
      <w:pPr>
        <w:spacing w:after="0" w:line="23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w:t>
      </w:r>
    </w:p>
    <w:p>
      <w:pPr>
        <w:spacing w:after="0" w:line="2" w:lineRule="exact"/>
        <w:rPr>
          <w:sz w:val="20"/>
          <w:szCs w:val="20"/>
          <w:color w:val="auto"/>
        </w:rPr>
      </w:pPr>
    </w:p>
    <w:p>
      <w:pPr>
        <w:jc w:val="both"/>
        <w:ind w:firstLine="8"/>
        <w:spacing w:after="0" w:line="255" w:lineRule="auto"/>
        <w:tabs>
          <w:tab w:leader="none" w:pos="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entity as part of monthly cash distributions from the 2018-2 securitization on securitization notes and residual certificates. As of December 31, 2020, the outstanding principal balance under the 2018-2 RR Financing Agreement was immaterial. In April 2021, the Company repaid the outstanding principal and accrued interest in full.</w:t>
      </w:r>
    </w:p>
    <w:p>
      <w:pPr>
        <w:spacing w:after="0" w:line="2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2020 and September 30, 2021, the outstanding principal balance under the 2019-2 RR Financing Agreement was $6.6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$12.6 million and $6.0 million of securities held for risk retention for the 2018-2 and 2019-2 securitization transactions, included in notes receivables and residual certificates on the condensed consolidated balance sheets as of December 31, 2020 and September 30, 2021, respectively.</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approximately $645.5 million after deducting debt issuance costs.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Notes will be convertible at an initial conversion rate of 3.5056 shares of our common stock per $1,000 principal amount of Notes, which is equivalent to an initial conversion price of approximately $285.26 per share, subject to adjustment if certain events occur. Following certain corporate events that may occur prior to the maturity date or following our issuance of a notice of redemption, we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may convert their Notes at their option any time prior to the close of business on the business day immediately preceding May 15, 2026 only under the following circumstances:</w:t>
      </w:r>
    </w:p>
    <w:p>
      <w:pPr>
        <w:spacing w:after="0" w:line="197" w:lineRule="exact"/>
        <w:rPr>
          <w:sz w:val="20"/>
          <w:szCs w:val="20"/>
          <w:color w:val="auto"/>
        </w:rPr>
      </w:pPr>
    </w:p>
    <w:p>
      <w:pPr>
        <w:jc w:val="both"/>
        <w:ind w:firstLine="656"/>
        <w:spacing w:after="0" w:line="311" w:lineRule="auto"/>
        <w:tabs>
          <w:tab w:leader="none" w:pos="9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5" w:lineRule="exact"/>
        <w:rPr>
          <w:rFonts w:ascii="Arial" w:cs="Arial" w:eastAsia="Arial" w:hAnsi="Arial"/>
          <w:sz w:val="16"/>
          <w:szCs w:val="16"/>
          <w:color w:val="auto"/>
        </w:rPr>
      </w:pPr>
    </w:p>
    <w:p>
      <w:pPr>
        <w:jc w:val="both"/>
        <w:ind w:firstLine="656"/>
        <w:spacing w:after="0" w:line="263" w:lineRule="auto"/>
        <w:tabs>
          <w:tab w:leader="none" w:pos="9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10" w:lineRule="exact"/>
        <w:rPr>
          <w:rFonts w:ascii="Arial" w:cs="Arial" w:eastAsia="Arial" w:hAnsi="Arial"/>
          <w:sz w:val="18"/>
          <w:szCs w:val="18"/>
          <w:color w:val="auto"/>
        </w:rPr>
      </w:pPr>
    </w:p>
    <w:p>
      <w:pPr>
        <w:ind w:firstLine="656"/>
        <w:spacing w:after="0" w:line="277" w:lineRule="auto"/>
        <w:tabs>
          <w:tab w:leader="none" w:pos="9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call any or all of the Notes for redemption, at any time prior to the close of business on the second scheduled trading day immediately preceding the redemption date; or</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our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For both the three and nine months ended September 30, 2021, the Company recorded $0.8 million of coupon interest expense and amortization of debt issuance costs of $0.6 million on the condensed consolidated statements of operations and comprehensive income. The effective interest rate of the Notes is 0.7% for all periods presented.</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used $58.5 million of the net proceeds from the Notes to enter into privately negotiated capped call instruments (“Capped Calls”) with certain financial institutions. The Capped Calls each have an initial strike price of approximately $285.26 per share, subject to certain adjustments, which corresponds to the initial conversion price of the Notes. The Capped calls each have an initial cap price of $400.36 per share. The Capped Calls cover, subject to anti-dilution adjustments, approximately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660"/>
              <w:spacing w:after="0"/>
              <w:rPr>
                <w:sz w:val="20"/>
                <w:szCs w:val="20"/>
                <w:color w:val="auto"/>
              </w:rPr>
            </w:pPr>
            <w:r>
              <w:rPr>
                <w:rFonts w:ascii="Arial" w:cs="Arial" w:eastAsia="Arial" w:hAnsi="Arial"/>
                <w:sz w:val="18"/>
                <w:szCs w:val="18"/>
                <w:color w:val="auto"/>
              </w:rPr>
              <w:t>The following table summarizes the aggregate amount of maturities of all borrowings as of September 30, 2021:</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5"/>
        </w:trPr>
        <w:tc>
          <w:tcPr>
            <w:tcW w:w="9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0"/>
        </w:trPr>
        <w:tc>
          <w:tcPr>
            <w:tcW w:w="9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661,250</w:t>
            </w:r>
          </w:p>
        </w:tc>
      </w:tr>
      <w:tr>
        <w:trPr>
          <w:trHeight w:val="24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664,350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2020, the Company's amended and restated certificate of incorporation became effective, which authorized the issuance of 700,000,000 shares of common stock with a par value of $0.0001 per share.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on an as-converted basis,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14,906,879</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RSUs outstanding</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1,404,998</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issuance under 2020 plan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2,537,181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10,082,123</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Shares available for issuance under ESPP</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1,869,302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22,212,404</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28,263,302</w:t>
            </w:r>
          </w:p>
        </w:tc>
      </w:tr>
      <w:tr>
        <w:trPr>
          <w:trHeight w:val="21"/>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2018, the Company issued stock warrants to purchase 75,000 shares of common stock, with an exercise price of $2.16 per share. The estimated grant date fair value of the common stock warrants was recognized as debt issuance costs in the period granted. The common stock warrant has a contractual term of ten years and expire in October 2028.</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December 2020, the common stock warrant agreement was amended to include a repurchase option in the event of an IPO. Upon the completion of an IPO, or a qualified acquisition of the Company, the common stock warrant holders have the option to require the Company to repurchase the warrant in its entirety for a purchase price of $1.5 million. The repurchase option terminates on the earlier of (i) 30 days after the closing of a qualified sale of the Company or; (ii) 10 business days after the date on which the Company’s IPO price per share is confirmed by the Company’s underwriters.</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December 2020, the repurchase clause for the warrant expired resulting in the fair market value of the stock warrants to purchase 75,000 shares reclassified from liability to equity on the condensed consolidated balance sheets. In January 2021, the warrant holder net exercised the warrant resulting in 72,407 common shares issued by the Company. As of September 30, 2021 no common stock warrants were outstanding.</w:t>
      </w:r>
    </w:p>
    <w:p>
      <w:pPr>
        <w:spacing w:after="0" w:line="200" w:lineRule="exact"/>
        <w:rPr>
          <w:sz w:val="20"/>
          <w:szCs w:val="20"/>
          <w:color w:val="auto"/>
        </w:rPr>
      </w:pPr>
    </w:p>
    <w:p>
      <w:pPr>
        <w:spacing w:after="0" w:line="204" w:lineRule="exact"/>
        <w:rPr>
          <w:sz w:val="20"/>
          <w:szCs w:val="20"/>
          <w:color w:val="auto"/>
        </w:rPr>
      </w:pPr>
    </w:p>
    <w:p>
      <w:pPr>
        <w:ind w:left="1280" w:hanging="624"/>
        <w:spacing w:after="0"/>
        <w:tabs>
          <w:tab w:leader="none" w:pos="12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2012, the Company adopted the Equity Incentive Plan (“2012 Equity Incentive Plan”) authorizing the granting of incentive stock options (“ISOs”) and non-statutory stock options (“NSOs”) to eligible participants.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2020 Equity Incentive Plan authorizes granting of ISOs, NSOs, stock appreciation rights, restricted stock, restricted stock units, or RSUs, and performance awards. As of September 30, 2021, the Company is authorized to issue up to 10,082,123 shares of common stock under the 2020 Equity Incentive Plan. In addition, the 2020 Equity 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the 2021 in an amount equal to the lesser of 15,000,000 shares or 5% of the outstanding shares of our common stock on the last day of our immediately preceding fiscal year.</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Company’s acquisition of Prodigy, the Company assumed the Prodigy Software, Inc. 2015 Stock Incentive Plan (the “Prodigy Plan”), under which certain unvested options under the Prodigy Plan were assumed by the Company. The assumed options are subject to the same terms and conditions that were applicable to them under the Prodigy Plan, except that (i) the assumed options relate to shares of Upstart’s common stock, and (ii) the number of shares of Upstart’s common stock was the result of an adjustment based upon a ratio as described further in the Registration Statement on Form S-8 filed with the SEC on April 16,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stock option activity for the nine months ended September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8"/>
                <w:szCs w:val="18"/>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220" w:type="dxa"/>
            <w:vAlign w:val="bottom"/>
          </w:tcPr>
          <w:p>
            <w:pPr>
              <w:spacing w:after="0"/>
              <w:rPr>
                <w:sz w:val="15"/>
                <w:szCs w:val="15"/>
                <w:color w:val="auto"/>
              </w:rPr>
            </w:pPr>
          </w:p>
        </w:tc>
        <w:tc>
          <w:tcPr>
            <w:tcW w:w="128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715,084</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610,534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105.37</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assumed upon acquisition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(4,941,362)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cancelled and 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Balances at September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4,581,564</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exercisable – September 30,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2,699,739</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vested and expected to vest – September 30, 2021</w:t>
            </w:r>
          </w:p>
        </w:tc>
        <w:tc>
          <w:tcPr>
            <w:tcW w:w="1500" w:type="dxa"/>
            <w:vAlign w:val="bottom"/>
          </w:tcPr>
          <w:p>
            <w:pPr>
              <w:jc w:val="right"/>
              <w:spacing w:after="0"/>
              <w:rPr>
                <w:sz w:val="20"/>
                <w:szCs w:val="20"/>
                <w:color w:val="auto"/>
              </w:rPr>
            </w:pPr>
            <w:r>
              <w:rPr>
                <w:rFonts w:ascii="Arial" w:cs="Arial" w:eastAsia="Arial" w:hAnsi="Arial"/>
                <w:sz w:val="18"/>
                <w:szCs w:val="18"/>
                <w:color w:val="auto"/>
              </w:rPr>
              <w:t>14,753,486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4,539,113</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aggregate intrinsic value is calculated as the difference between the exercise price of the underlying awards and the fair value of the Company’s stock as of September 30, 2021. The aggregate intrinsic value of options exercised for the nine months ended September 30, 2020 and 2021, was $2.0 million and $873.9 million, respectively. The weighted-average grant date fair value of options granted during the nine months ended September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30, 2020 and 2021, was $5.76 and $61.97 per share, respectively. The weighted-average fair value of options assumed in connection with an acquisition was $74.84 per share for the nine months ended September 30, 2021. The total fair value of options vested for the nine months ended September 30, 2020 and 2021, was $4.5 million and $16.7 million, respectively.</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2021, the Company amended an employee stock option agreement which resulted in a modification of the vesting of a certain number of option shares. The Company valued the amended stock options as of the modification date. Based on the Black-Scholes option pricing model fair value, incremental stock-based compensation expense of $4.4 million resulting from the modification was recognized during the nine months ended September 30, 2021.</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total unrecognized stock-based compensation expense related to unvested stock options was $63.0 million, which is expected to be recognized over a remaining weighted-average period of 2.0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2021, the Company began granting RSUs to employees and nonemployees. RSUs vest upon satisfaction of a service-based condition, which is generally satisfied over four years. The following table summarized RSU activity for the nine months ended September 30,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RSUs 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1,465,733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126.95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(41,684)</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2021</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1,404,998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total unrecognized stock-based compensation expense related to outstanding unvested RSUs was $161.3 million, which is expected to be recognized over a remaining weighted-average period of 3.2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In connection with the Prodigy acquisition, 82,201 shares of the Company’s restricted stock were issued to certain Prodigy employees. The restricted stock is subject to restrictions which lapse on a quarterly basis over two years. Refer to </w:t>
      </w:r>
      <w:r>
        <w:rPr>
          <w:rFonts w:ascii="Arial" w:cs="Arial" w:eastAsia="Arial" w:hAnsi="Arial"/>
          <w:sz w:val="17"/>
          <w:szCs w:val="17"/>
          <w:i w:val="1"/>
          <w:iCs w:val="1"/>
          <w:color w:val="auto"/>
        </w:rPr>
        <w:t>“Note 6. Acquisitions</w:t>
      </w:r>
      <w:r>
        <w:rPr>
          <w:rFonts w:ascii="Arial" w:cs="Arial" w:eastAsia="Arial" w:hAnsi="Arial"/>
          <w:sz w:val="17"/>
          <w:szCs w:val="17"/>
          <w:color w:val="auto"/>
        </w:rPr>
        <w:t>” for further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Restricted Stock activity for the nine months ended September 30,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Restricted</w:t>
            </w:r>
          </w:p>
        </w:tc>
        <w:tc>
          <w:tcPr>
            <w:tcW w:w="2240" w:type="dxa"/>
            <w:vAlign w:val="bottom"/>
          </w:tcPr>
          <w:p>
            <w:pPr>
              <w:jc w:val="right"/>
              <w:spacing w:after="0"/>
              <w:rPr>
                <w:sz w:val="20"/>
                <w:szCs w:val="20"/>
                <w:color w:val="auto"/>
              </w:rPr>
            </w:pPr>
            <w:r>
              <w:rPr>
                <w:rFonts w:ascii="Arial" w:cs="Arial" w:eastAsia="Arial" w:hAnsi="Arial"/>
                <w:sz w:val="18"/>
                <w:szCs w:val="18"/>
                <w:color w:val="auto"/>
              </w:rPr>
              <w:t>82,201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Unvested at September 30, 2021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total unrecognized stock-based compensation expense related to restricted stock was $7.7 million, which is expected to be recognized over a remaining weighted-average period of 1.6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ESPP which was effective on December 14, 2020. Our ESPP provides for consecutive six-month offering periods. The offering periods are scheduled to start on the first trading day on or after February 15 and August 15 of each year, except the first offering period commenced on December 16, 2020 and will end on the first trading day on or before August 15, 2021. The second offering period will commence on the last trading day on or after August 15, 2021. The ESPP permits participants to purchase shares in the amount of 85% of the lower of the fair market value of our shares of common stock on the first trading day of the offering period or on the exercise date. As of September 30, 2021, 1,869,302 shares remain available for future issuance, in addition to any automatic annual evergreen increase. During the nine months ended September 30, 2021 243,725 shares of common stock were purchased under the ESPP.</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total unrecognized stock-based compensation expense related to the ESPP was $2.4 million, which is expected to be recognized over a remaining weighted-average period of 0.4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Awards Granted</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–Prior to the completion of the IPO, the fair value of the shares of common stock was determined by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as there was no public market for the Company’s common stock. After the completion of the IPO, the fair value of the Company’s common stock is determined by the closing price, on the date of grant, of its common stock, which is traded on the Nasdaq Global Select Market.</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Company’s stock options are expected to be outstanding. We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based on the simplified method, which is the weighted-average time to vesting and the contractual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–Because the Company does not have an active trading market for its common stock for a sufficient period of time,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estimated based on the average volatility for comparable publicly-traded companies, over a period equal to the expected term of the stock option grants.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Company has never paid dividends on its common stock and does not anticipate paying dividends on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uses an expected dividend yield of zero.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estimate the fair value of options granted: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Nine Months Ended</w:t>
            </w:r>
          </w:p>
        </w:tc>
        <w:tc>
          <w:tcPr>
            <w:tcW w:w="1020" w:type="dxa"/>
            <w:vAlign w:val="bottom"/>
          </w:tcPr>
          <w:p>
            <w:pPr>
              <w:spacing w:after="0"/>
              <w:rPr>
                <w:sz w:val="17"/>
                <w:szCs w:val="17"/>
                <w:color w:val="auto"/>
              </w:rPr>
            </w:pPr>
          </w:p>
        </w:tc>
      </w:tr>
      <w:tr>
        <w:trPr>
          <w:trHeight w:val="229"/>
        </w:trPr>
        <w:tc>
          <w:tcPr>
            <w:tcW w:w="3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19"/>
                <w:szCs w:val="19"/>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5.5 – 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6.7</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5.3 – 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6.9</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jc w:val="right"/>
              <w:spacing w:after="0"/>
              <w:rPr>
                <w:sz w:val="20"/>
                <w:szCs w:val="20"/>
                <w:color w:val="auto"/>
              </w:rPr>
            </w:pPr>
            <w:r>
              <w:rPr>
                <w:rFonts w:ascii="Arial" w:cs="Arial" w:eastAsia="Arial" w:hAnsi="Arial"/>
                <w:sz w:val="18"/>
                <w:szCs w:val="18"/>
                <w:color w:val="auto"/>
              </w:rPr>
              <w:t>70.67%</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72.02%</w:t>
            </w:r>
          </w:p>
        </w:tc>
        <w:tc>
          <w:tcPr>
            <w:tcW w:w="900" w:type="dxa"/>
            <w:vAlign w:val="bottom"/>
          </w:tcPr>
          <w:p>
            <w:pPr>
              <w:jc w:val="right"/>
              <w:spacing w:after="0"/>
              <w:rPr>
                <w:sz w:val="20"/>
                <w:szCs w:val="20"/>
                <w:color w:val="auto"/>
              </w:rPr>
            </w:pPr>
            <w:r>
              <w:rPr>
                <w:rFonts w:ascii="Arial" w:cs="Arial" w:eastAsia="Arial" w:hAnsi="Arial"/>
                <w:sz w:val="18"/>
                <w:szCs w:val="18"/>
                <w:color w:val="auto"/>
              </w:rPr>
              <w:t>63.03%</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63.53%</w:t>
            </w:r>
          </w:p>
        </w:tc>
        <w:tc>
          <w:tcPr>
            <w:tcW w:w="880" w:type="dxa"/>
            <w:vAlign w:val="bottom"/>
          </w:tcPr>
          <w:p>
            <w:pPr>
              <w:jc w:val="right"/>
              <w:spacing w:after="0"/>
              <w:rPr>
                <w:sz w:val="20"/>
                <w:szCs w:val="20"/>
                <w:color w:val="auto"/>
              </w:rPr>
            </w:pPr>
            <w:r>
              <w:rPr>
                <w:rFonts w:ascii="Arial" w:cs="Arial" w:eastAsia="Arial" w:hAnsi="Arial"/>
                <w:sz w:val="18"/>
                <w:szCs w:val="18"/>
                <w:color w:val="auto"/>
              </w:rPr>
              <w:t>53.23%</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72.02%</w:t>
            </w:r>
          </w:p>
        </w:tc>
        <w:tc>
          <w:tcPr>
            <w:tcW w:w="900" w:type="dxa"/>
            <w:vAlign w:val="bottom"/>
          </w:tcPr>
          <w:p>
            <w:pPr>
              <w:jc w:val="right"/>
              <w:spacing w:after="0"/>
              <w:rPr>
                <w:sz w:val="20"/>
                <w:szCs w:val="20"/>
                <w:color w:val="auto"/>
              </w:rPr>
            </w:pPr>
            <w:r>
              <w:rPr>
                <w:rFonts w:ascii="Arial" w:cs="Arial" w:eastAsia="Arial" w:hAnsi="Arial"/>
                <w:sz w:val="18"/>
                <w:szCs w:val="18"/>
                <w:color w:val="auto"/>
              </w:rPr>
              <w:t>63.03%</w:t>
            </w:r>
          </w:p>
        </w:tc>
        <w:tc>
          <w:tcPr>
            <w:tcW w:w="1020" w:type="dxa"/>
            <w:vAlign w:val="bottom"/>
          </w:tcPr>
          <w:p>
            <w:pPr>
              <w:ind w:left="20"/>
              <w:spacing w:after="0"/>
              <w:rPr>
                <w:sz w:val="20"/>
                <w:szCs w:val="20"/>
                <w:color w:val="auto"/>
              </w:rPr>
            </w:pPr>
            <w:r>
              <w:rPr>
                <w:rFonts w:ascii="Arial" w:cs="Arial" w:eastAsia="Arial" w:hAnsi="Arial"/>
                <w:sz w:val="18"/>
                <w:szCs w:val="18"/>
                <w:color w:val="auto"/>
              </w:rPr>
              <w:t>– 65.01%</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0.71%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0.93%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1.14%</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20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 %</w:t>
            </w:r>
          </w:p>
        </w:tc>
      </w:tr>
    </w:tbl>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estimate the fair value of ESPP purchase rights: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180" w:type="dxa"/>
            <w:vAlign w:val="bottom"/>
          </w:tcPr>
          <w:p>
            <w:pPr>
              <w:ind w:left="84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820" w:type="dxa"/>
            <w:vAlign w:val="bottom"/>
            <w:tcBorders>
              <w:bottom w:val="single" w:sz="8" w:color="CCEEFF"/>
            </w:tcBorders>
          </w:tcPr>
          <w:p>
            <w:pPr>
              <w:spacing w:after="0"/>
              <w:rPr>
                <w:sz w:val="19"/>
                <w:szCs w:val="19"/>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September 30, 2021</w:t>
            </w:r>
          </w:p>
        </w:tc>
        <w:tc>
          <w:tcPr>
            <w:tcW w:w="31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0.5</w:t>
            </w: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0.5 - 0.6</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240" w:type="dxa"/>
            <w:vAlign w:val="bottom"/>
          </w:tcPr>
          <w:p>
            <w:pPr>
              <w:jc w:val="center"/>
              <w:spacing w:after="0"/>
              <w:rPr>
                <w:sz w:val="20"/>
                <w:szCs w:val="20"/>
                <w:color w:val="auto"/>
              </w:rPr>
            </w:pPr>
            <w:r>
              <w:rPr>
                <w:rFonts w:ascii="Arial" w:cs="Arial" w:eastAsia="Arial" w:hAnsi="Arial"/>
                <w:sz w:val="18"/>
                <w:szCs w:val="18"/>
                <w:color w:val="auto"/>
                <w:w w:val="90"/>
              </w:rPr>
              <w:t>152.95%</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61.65% - 152.95%</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0.05%</w:t>
            </w: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0.05% - 0.09%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24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318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stock-based compensation in the following expense categories in its condensed consolidated statements of operations and comprehensive income for employees and nonemployees: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27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4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5"/>
              </w:rPr>
              <w:t>September 30,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Customer operations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14,808</w:t>
            </w: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by award type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44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4"/>
              </w:rPr>
              <w:t>September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RSUs</w:t>
            </w:r>
          </w:p>
        </w:tc>
        <w:tc>
          <w:tcPr>
            <w:tcW w:w="10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18,504</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5,658</w:t>
            </w:r>
          </w:p>
        </w:tc>
      </w:tr>
      <w:tr>
        <w:trPr>
          <w:trHeight w:val="27"/>
        </w:trPr>
        <w:tc>
          <w:tcPr>
            <w:tcW w:w="4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operating leases expire between 2027 and 2032 and are primarily for its corporate headquarters in San Mateo, California and Columbus, Ohio, as well as additional office space for origination and servicing operations in Columbus Ohio. Certain leases have rent abatement, escalating rent payment provisions, lease renewal options, 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condensed consolidated balance sheets.</w:t>
      </w:r>
    </w:p>
    <w:p>
      <w:pPr>
        <w:spacing w:after="0" w:line="21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connection with one of the leases, a letter of credit was issued on behalf of the Company for the benefit of the landlord in the amount of $2.0 million. The letter of credit is secured by a certificate of deposit which is included in restricted cash on the condensed consolidated balance sheets.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future minimum lease payments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Operating Leases</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6,863</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11,554</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57,742</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99,174</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Less: Tenant improvement receivables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(9,675)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adjustment</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(17,324)</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72,175</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2021, the Company has entered into a non-cancelable lease agreement with undiscounted future minimum lease payments of $31.6 million. The lease is expected to commence in the fourth quarter of 2021. The Company has not yet recognized the ROU asset and lease liability on our condensed consolidated balance sheets as the lease was not commenced as of September 30, 2021.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the Company did not have any material finance leases. The Company’s operating lease expense consists of rent and variable lease payments. Variable lease payments such as common area</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maintenance and parking fees, were included in operating expenses. Rent expense for the Company’s short-term leases was immaterial for the periods presented. Operating lease expense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78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4"/>
          </w:tcPr>
          <w:p>
            <w:pPr>
              <w:ind w:left="54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4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September 30,</w:t>
            </w:r>
          </w:p>
        </w:tc>
        <w:tc>
          <w:tcPr>
            <w:tcW w:w="1060" w:type="dxa"/>
            <w:vAlign w:val="bottom"/>
            <w:tcBorders>
              <w:bottom w:val="single" w:sz="8" w:color="auto"/>
            </w:tcBorders>
          </w:tcPr>
          <w:p>
            <w:pPr>
              <w:spacing w:after="0"/>
              <w:rPr>
                <w:sz w:val="19"/>
                <w:szCs w:val="19"/>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3,879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Variable lease payments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ind w:left="780"/>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information related to the Company’s operating leases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74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55"/>
        </w:trPr>
        <w:tc>
          <w:tcPr>
            <w:tcW w:w="446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Cash paid for amounts included in the measurement of lease</w:t>
            </w:r>
          </w:p>
        </w:tc>
        <w:tc>
          <w:tcPr>
            <w:tcW w:w="10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4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Total right-of-use assets capitalized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55,149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55,149</w:t>
            </w:r>
          </w:p>
        </w:tc>
        <w:tc>
          <w:tcPr>
            <w:tcW w:w="0" w:type="dxa"/>
            <w:vAlign w:val="bottom"/>
          </w:tcPr>
          <w:p>
            <w:pPr>
              <w:spacing w:after="0"/>
              <w:rPr>
                <w:sz w:val="1"/>
                <w:szCs w:val="1"/>
                <w:color w:val="auto"/>
              </w:rPr>
            </w:pPr>
          </w:p>
        </w:tc>
      </w:tr>
      <w:tr>
        <w:trPr>
          <w:trHeight w:val="539"/>
        </w:trPr>
        <w:tc>
          <w:tcPr>
            <w:tcW w:w="8480" w:type="dxa"/>
            <w:vAlign w:val="bottom"/>
            <w:gridSpan w:val="9"/>
          </w:tcPr>
          <w:p>
            <w:pPr>
              <w:ind w:left="660"/>
              <w:spacing w:after="0"/>
              <w:rPr>
                <w:sz w:val="20"/>
                <w:szCs w:val="20"/>
                <w:color w:val="auto"/>
              </w:rPr>
            </w:pPr>
            <w:r>
              <w:rPr>
                <w:rFonts w:ascii="Arial" w:cs="Arial" w:eastAsia="Arial" w:hAnsi="Arial"/>
                <w:sz w:val="18"/>
                <w:szCs w:val="18"/>
                <w:color w:val="auto"/>
                <w:w w:val="90"/>
              </w:rPr>
              <w:t>Supplemental cash flow and noncash information related to the Company’s operating leases was as follows: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34"/>
        </w:trPr>
        <w:tc>
          <w:tcPr>
            <w:tcW w:w="1100" w:type="dxa"/>
            <w:vAlign w:val="bottom"/>
            <w:tcBorders>
              <w:bottom w:val="single" w:sz="8" w:color="CCEEFF"/>
            </w:tcBorders>
          </w:tcPr>
          <w:p>
            <w:pPr>
              <w:spacing w:after="0"/>
              <w:rPr>
                <w:sz w:val="20"/>
                <w:szCs w:val="20"/>
                <w:color w:val="auto"/>
              </w:rPr>
            </w:pPr>
          </w:p>
        </w:tc>
        <w:tc>
          <w:tcPr>
            <w:tcW w:w="33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5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9.25</w:t>
            </w:r>
          </w:p>
        </w:tc>
        <w:tc>
          <w:tcPr>
            <w:tcW w:w="0" w:type="dxa"/>
            <w:vAlign w:val="bottom"/>
          </w:tcPr>
          <w:p>
            <w:pPr>
              <w:spacing w:after="0"/>
              <w:rPr>
                <w:sz w:val="1"/>
                <w:szCs w:val="1"/>
                <w:color w:val="auto"/>
              </w:rPr>
            </w:pPr>
          </w:p>
        </w:tc>
      </w:tr>
      <w:tr>
        <w:trPr>
          <w:trHeight w:val="230"/>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0"/>
              </w:rPr>
              <w:t>4.01%</w:t>
            </w:r>
          </w:p>
        </w:tc>
        <w:tc>
          <w:tcPr>
            <w:tcW w:w="0" w:type="dxa"/>
            <w:vAlign w:val="bottom"/>
          </w:tcPr>
          <w:p>
            <w:pPr>
              <w:spacing w:after="0"/>
              <w:rPr>
                <w:sz w:val="1"/>
                <w:szCs w:val="1"/>
                <w:color w:val="auto"/>
              </w:rPr>
            </w:pPr>
          </w:p>
        </w:tc>
      </w:tr>
      <w:tr>
        <w:trPr>
          <w:trHeight w:val="769"/>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w:t>
            </w:r>
          </w:p>
        </w:tc>
        <w:tc>
          <w:tcPr>
            <w:tcW w:w="4420" w:type="dxa"/>
            <w:vAlign w:val="bottom"/>
            <w:gridSpan w:val="2"/>
          </w:tcPr>
          <w:p>
            <w:pPr>
              <w:jc w:val="right"/>
              <w:ind w:right="1590"/>
              <w:spacing w:after="0"/>
              <w:rPr>
                <w:sz w:val="20"/>
                <w:szCs w:val="20"/>
                <w:color w:val="auto"/>
              </w:rPr>
            </w:pPr>
            <w:r>
              <w:rPr>
                <w:rFonts w:ascii="Arial" w:cs="Arial" w:eastAsia="Arial" w:hAnsi="Arial"/>
                <w:sz w:val="18"/>
                <w:szCs w:val="18"/>
                <w:b w:val="1"/>
                <w:bCs w:val="1"/>
                <w:color w:val="auto"/>
                <w:w w:val="95"/>
              </w:rPr>
              <w:t>Commitments and Contingencies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Purchase Obligation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unpaid principal balance, plus accrued interest, at the conclusion of the required holding period. As of December 31, 2020 and September 30, 2021, the total loan purchase commitment included outstanding principal balance of $39.3 million and $88.8 million,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Repurchase and Indemnification Contingency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loan purchase and loan servicing agreements between the Company and institutional investors, as well as in agreements with investors in securitizations where the Company is not the sponsor,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maximum potential amount of future payments associated under this obligation is the outstanding balances of the loans sold to the investors, which at December 31, 2020 and September 30, 2021, is $5,180.7 million</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$10,302.1 million, respectively. The Company recognizes a liability for the repurchase obligation based on historical experience when the loans are issued. The liability is subsequently remeasured when a related loss is probable and can be reasonably estimated. Actual payments made relating to the Company’s repurchase and indemnification obligations were immaterial historically. The Company has recorded contingent liabilities as of December 31, 2020 and September 30, 2021 of immaterial amounts to cover estimated future obligations related to these contractual terms. These amounts are included in accrued expenses and other liabilities on the Company’s condensed consolidated balance sheets.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2020 and September 30, 2021, no loss contingency has been recorded in connection with legal proceedings arising in the ordinary course of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184"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tax rates for the three and nine months ended September 30, 2020 and 2021,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35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8"/>
                <w:szCs w:val="18"/>
                <w:color w:val="auto"/>
              </w:rPr>
            </w:pPr>
          </w:p>
        </w:tc>
        <w:tc>
          <w:tcPr>
            <w:tcW w:w="31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1"/>
              </w:rPr>
              <w:t>Nine Months Ended</w:t>
            </w:r>
          </w:p>
        </w:tc>
      </w:tr>
      <w:tr>
        <w:trPr>
          <w:trHeight w:val="229"/>
        </w:trPr>
        <w:tc>
          <w:tcPr>
            <w:tcW w:w="41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(2,035)</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10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r>
    </w:tbl>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adjusted for the effect of discrete items arising in that quarter. The effective tax rate for the three and nine months ended September 30, 2021, compared to the three and nine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ended September 30, 2020, was impacted by the release of the valuation allowance related to the acquisition of Prodigy. The release of valuation allowance is attributable to ASC 805-740-30-3, acquisitions with deferred tax liabilities that, upon acquisition, allowed us to recognize certain deferred tax assets of approximately $2.3 million during the nine months ended September 30, 2021 that had previously been offset by a valuation allowance and was also impacted by a net decrease in the tax expense in the Company’s separate filing state jurisdictions.</w:t>
      </w:r>
    </w:p>
    <w:p>
      <w:pPr>
        <w:spacing w:after="0" w:line="200" w:lineRule="exact"/>
        <w:rPr>
          <w:sz w:val="20"/>
          <w:szCs w:val="20"/>
          <w:color w:val="auto"/>
        </w:rPr>
      </w:pPr>
    </w:p>
    <w:p>
      <w:pPr>
        <w:spacing w:after="0" w:line="23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Since the Company’s inception, it has engaged in various transactions with its executive officers and directors, holders of more than 10% of its voting securities, and their affiliates. During the nine months ended September 30, 2020 and 2021, a related party investor and its affiliates participated in securitization transactions co-sponsored and serviced by the Company by contributing loans and purchasing securitization notes or residual certificates.</w:t>
      </w:r>
    </w:p>
    <w:p>
      <w:pPr>
        <w:spacing w:after="0" w:line="388"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 Attributable to Upstart Holdings, Inc. Common Stockholders</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Basic net income per common share attributable to Upstart Holdings, Inc.’s common stockholders is based on the weighted-average common shares outstanding during the relevant period. Diluted net income per common share attributable to Upstart Holdings, Inc.’s common stockholders is based on the weighted-average common shares outstanding during the relevant period adjusted for the dilutive effect of share-based awards and convertible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Net income attributable to Upstart Holdings, Inc. common</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29,113</w:t>
            </w:r>
          </w:p>
        </w:tc>
        <w:tc>
          <w:tcPr>
            <w:tcW w:w="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w w:val="97"/>
              </w:rPr>
              <w:t>Less: noncumulative dividends to preferred stockholders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undistributed earnings to participating securities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w w:val="99"/>
              </w:rPr>
              <w:t>Net income attributable to common stockholders, basic</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29,113</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Add: adjustments to undistributed earnings to participating</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w w:val="97"/>
              </w:rPr>
              <w:t>Net income attributable to common stockholders, diluted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29,113</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w w:val="98"/>
              </w:rPr>
              <w:t>Weighted-average common shares outstanding used to</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calculate net income per share attributable to Upstart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14,707,717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79,392,600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14,663,623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76,586,395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Holdings, Inc. common stockholders, basic</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effect of dilutive securities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12,037,763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16,664,610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17,578,930</w:t>
            </w:r>
          </w:p>
        </w:tc>
        <w:tc>
          <w:tcPr>
            <w:tcW w:w="0" w:type="dxa"/>
            <w:vAlign w:val="bottom"/>
          </w:tcPr>
          <w:p>
            <w:pPr>
              <w:spacing w:after="0"/>
              <w:rPr>
                <w:sz w:val="1"/>
                <w:szCs w:val="1"/>
                <w:color w:val="auto"/>
              </w:rPr>
            </w:pPr>
          </w:p>
        </w:tc>
      </w:tr>
      <w:tr>
        <w:trPr>
          <w:trHeight w:val="156"/>
        </w:trPr>
        <w:tc>
          <w:tcPr>
            <w:tcW w:w="4400" w:type="dxa"/>
            <w:vAlign w:val="bottom"/>
          </w:tcPr>
          <w:p>
            <w:pPr>
              <w:ind w:left="20"/>
              <w:spacing w:after="0" w:line="156" w:lineRule="exact"/>
              <w:rPr>
                <w:sz w:val="20"/>
                <w:szCs w:val="20"/>
                <w:color w:val="auto"/>
              </w:rPr>
            </w:pPr>
            <w:r>
              <w:rPr>
                <w:rFonts w:ascii="Arial" w:cs="Arial" w:eastAsia="Arial" w:hAnsi="Arial"/>
                <w:sz w:val="18"/>
                <w:szCs w:val="18"/>
                <w:color w:val="auto"/>
                <w:w w:val="98"/>
              </w:rPr>
              <w:t>Weighted-average common shares outstanding used to</w:t>
            </w: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calculate net income per share attributable to Upstart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26,745,480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96,057,210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14,663,623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94,165,325</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Holdings, Inc. common stockholders, diluted</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400" w:type="dxa"/>
            <w:vAlign w:val="bottom"/>
          </w:tcPr>
          <w:p>
            <w:pPr>
              <w:ind w:left="20"/>
              <w:spacing w:after="0" w:line="156" w:lineRule="exact"/>
              <w:rPr>
                <w:sz w:val="20"/>
                <w:szCs w:val="20"/>
                <w:color w:val="auto"/>
              </w:rPr>
            </w:pPr>
            <w:r>
              <w:rPr>
                <w:rFonts w:ascii="Arial" w:cs="Arial" w:eastAsia="Arial" w:hAnsi="Arial"/>
                <w:sz w:val="18"/>
                <w:szCs w:val="18"/>
                <w:color w:val="auto"/>
                <w:w w:val="94"/>
              </w:rPr>
              <w:t>Net income per share attributable to Upstart Holdings, Inc.</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3"/>
                <w:szCs w:val="13"/>
                <w:color w:val="auto"/>
              </w:rPr>
            </w:pPr>
          </w:p>
        </w:tc>
        <w:tc>
          <w:tcPr>
            <w:tcW w:w="560" w:type="dxa"/>
            <w:vAlign w:val="bottom"/>
            <w:vMerge w:val="restart"/>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common stockholders, basic</w:t>
            </w:r>
          </w:p>
        </w:tc>
        <w:tc>
          <w:tcPr>
            <w:tcW w:w="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per share attributable to Upstart Holdings, Inc.</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stockholders, diluted</w:t>
            </w: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securities were excluded from the computation of diluted net income per share attributable to Upstart Holdings, Inc. common stockholders for the periods presented, because including them would have been anti-dilutive for the three and nine months ended September 30, 2020. These amounts represent the number of instruments outstanding at the end of each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4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4400" w:type="dxa"/>
            <w:vAlign w:val="bottom"/>
          </w:tcPr>
          <w:p>
            <w:pPr>
              <w:spacing w:after="0"/>
              <w:rPr>
                <w:sz w:val="19"/>
                <w:szCs w:val="19"/>
                <w:color w:val="auto"/>
              </w:rPr>
            </w:pPr>
          </w:p>
        </w:tc>
        <w:tc>
          <w:tcPr>
            <w:tcW w:w="230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47,349,577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47,349,577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7,287,803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19,356,042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501,476</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23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214,481</w:t>
            </w:r>
          </w:p>
        </w:tc>
        <w:tc>
          <w:tcPr>
            <w:tcW w:w="10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896,131</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Purchase rights committed under the ESPP</w:t>
            </w:r>
          </w:p>
        </w:tc>
        <w:tc>
          <w:tcPr>
            <w:tcW w:w="23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27,746</w:t>
            </w:r>
          </w:p>
        </w:tc>
        <w:tc>
          <w:tcPr>
            <w:tcW w:w="100" w:type="dxa"/>
            <w:vAlign w:val="bottom"/>
          </w:tcPr>
          <w:p>
            <w:pPr>
              <w:spacing w:after="0"/>
              <w:rPr>
                <w:sz w:val="19"/>
                <w:szCs w:val="19"/>
                <w:color w:val="auto"/>
              </w:rPr>
            </w:pPr>
          </w:p>
        </w:tc>
        <w:tc>
          <w:tcPr>
            <w:tcW w:w="23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27,746</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convertible preferred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Convertible debt</w:t>
            </w:r>
          </w:p>
        </w:tc>
        <w:tc>
          <w:tcPr>
            <w:tcW w:w="23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2,318,078</w:t>
            </w:r>
          </w:p>
        </w:tc>
        <w:tc>
          <w:tcPr>
            <w:tcW w:w="100" w:type="dxa"/>
            <w:vAlign w:val="bottom"/>
          </w:tcPr>
          <w:p>
            <w:pPr>
              <w:spacing w:after="0"/>
              <w:rPr>
                <w:sz w:val="19"/>
                <w:szCs w:val="19"/>
                <w:color w:val="auto"/>
              </w:rPr>
            </w:pPr>
          </w:p>
        </w:tc>
        <w:tc>
          <w:tcPr>
            <w:tcW w:w="23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2,318,078</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55,557,257</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2,565,615</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67,625,496</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3,743,431</w:t>
            </w:r>
          </w:p>
        </w:tc>
      </w:tr>
      <w:tr>
        <w:trPr>
          <w:trHeight w:val="20"/>
        </w:trPr>
        <w:tc>
          <w:tcPr>
            <w:tcW w:w="4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evaluated the impact of events that have occurred subsequent to September 30, 2021, through November 12, 2021, the date which the condensed consolidated financial statements were available to be issued. Based on the evaluation,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Over the last few years, the percentage of loans funded through our balance sheet has generally decreased, while the percentage of loans purchased by institutional investors has generally increased.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Economic Model</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Upstart’s revenues are primarily earned in the form of three separate usage-based fees, which can be either dollar or percentage based depending on the contractual arrangement. We charge our bank partners a referral fee each time we refer a borrower who obtains a loan. Separately, we charge bank partners a platform fee each time they originate a loan using our platform. These fees are contracted for and charged separately, although they are generally combined for accounting purposes as they usually represent a single performance obligation. We do not charge the borrowers on our platform any referral, platform or other similar fees for our loan matching services.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charge the holder of the loan (either a bank or institutional investor) an ongoing annualized servicing fee based on the outstanding principal over the lifetime of the loan for ongoing servicing of the loan. In addition, we earn a small portion of our revenue from interest income and gains received through our securitization programs.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Loans on our platform today are predominantly sourced from Upstart.com. For these loans, we incur variable costs in the form of borrower acquisition costs and borrower verification and servicing costs. Borrower acquisition costs and borrower verification and servicing costs are highly correlated with the Transaction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Number of Loans on our platform have trended upwards on a period-by-period basis. We source a small number of loans directly through bank partners for which we receive no referral fee and incur no acquisition cost. The continued improvements to our level of automation and Conversion Rate achieved through our increasingly sophisticated risk models and our evolving channel mix contribute to improving loan unit economics over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Impact</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Starting in the second half of March 2020, the COVID-19 pandemic impacted origination volumes on our platform. The rapid rise in unemployment in the United States led to a reduction in originations by bank partners and a temporary pause in loan funding from institutions and capital markets. These factors collectively resulted in an 86% reduction in the Transaction Volume, Number of Loans and a 73% reduction in revenue in the second quarter of 2020 compared to the first quarter of 2020.</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June 2020, origination volumes recovered quickly and have grown since then. For the three months ended September 30, 2021, the Transaction Volume, Number of Loans was 362,780, representing a 348% increase compared to the Transaction Volume, Number of Loans in the three months ended September 30, 2020.</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peak of the COVID-19 pandemic, we made certain operational changes, including temporary reductions in our marketing activities and certain operational expenses. In order to support borrowers suffering from income loss due to the pandemic, Upstart also worked with its bank partners to offer hardship plans that, among other things, allowed affected borrowers to defer loan payments for up to two months. At the peak, approximately 5.6% of borrowers on our platform had enrolled in a hardship program, less than half the rate of online lending industry benchmarks. As of September 30, 2021, approximately 95% of those impacted borrowers have exited the hardship program and resumed making loan payments. Due to the strength of our AI models, the COVID-19 pandemic has had a minimal impact on the credit performance of Upstart-powered loans, including those originated prior to the second quarter of 2020.</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significant government assistance was provided during the COVID-19 pandemic, the resilience of our bank partner results during this time provides evidence of the benefits that our AI models can offer to bank lending programs. We believe these benefits are even more compelling and valuable during periods of economic downturn.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Improvements to Our AI Models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and Market Adoption</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Banks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provide funding support for our bank partners, we have built a broad network of institutional investors that can fund Upstart-powered loans through secondary loan purchasing, issuance of pass-through certificates and investment in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Expansion and Innovation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intend to continue developing new financial products that address a broader set of consumer needs over time. In the third quarter of 2020, we announced our entry into the auto lending market and in April 2021, we acquired Prodigy Software, Inc. or Prodigy, a leader in automotive commerce software solutions. Prodigy provides a modern multi-channel car buying experience, helping dealerships serve consumers with a holistic software solution that integrates legacy systems. In addition to modernizing the car buying experience, Prodigy will help bring Upstart's AI enabled auto loans to dealerships across the country where the vast majority of auto loans are transacted. In October 2021, we announced the launch of Upstart Auto Retail software, a cloud-based solution that enables dealerships to provide consumers with access to Upstart-powered auto loans by combining Prodigy Software and Upstart intellectual property.</w:t>
      </w:r>
    </w:p>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significant growth opportunities exist to apply our evolving technology to additional segments of credit, such as credit cards, mortgages, student loans, small business loans, small-dollar loans, point-of-sale loans and HELOCs. In addition, we aim to serve a broader role of technology enablement for banks, which we believe will seek more comprehensive technology solutions from their suppliers. We will incur expenses and opportunity cost to develop and launch new products. Monetization prospects for new products are uncertain, and costs associated with integrating, developing and marketing new products might not be recovered, which could weigh on our top-line growth and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Cycles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Economic cycles can impact our financial performance and related metrics, including consumer demand for loans, conversion rates and the interest rates our bank partners and institutional investors 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Non-GAAP Financial Metrics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focus on several key operating and Non-GAAP financial metrics to measure the performance of our business and help determine strategic direction.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30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7"/>
        </w:trPr>
        <w:tc>
          <w:tcPr>
            <w:tcW w:w="4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Volume, Dollars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909,205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3,129,652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2,195,699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7,653,314</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Transaction Volume, Number of Loans</w:t>
            </w: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80,893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362,780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176,983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819,386</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Rate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23.0%</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23.3%</w:t>
            </w:r>
            <w:r>
              <w:rPr>
                <w:rFonts w:ascii="Arial" w:cs="Arial" w:eastAsia="Arial" w:hAnsi="Arial"/>
                <w:sz w:val="23"/>
                <w:szCs w:val="23"/>
                <w:color w:val="auto"/>
                <w:vertAlign w:val="superscript"/>
              </w:rPr>
              <w:t>(1)</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Percentage of Loans Fully Automated</w:t>
            </w: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216"/>
        </w:trPr>
        <w:tc>
          <w:tcPr>
            <w:tcW w:w="4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Contribution Profit</w:t>
            </w:r>
            <w:r>
              <w:rPr>
                <w:rFonts w:ascii="Arial" w:cs="Arial" w:eastAsia="Arial" w:hAnsi="Arial"/>
                <w:sz w:val="23"/>
                <w:szCs w:val="23"/>
                <w:color w:val="auto"/>
                <w:vertAlign w:val="superscript"/>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33,780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95,913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63,697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248,397</w:t>
            </w:r>
          </w:p>
        </w:tc>
      </w:tr>
      <w:tr>
        <w:trPr>
          <w:trHeight w:val="229"/>
        </w:trPr>
        <w:tc>
          <w:tcPr>
            <w:tcW w:w="4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i w:val="1"/>
                <w:iCs w:val="1"/>
                <w:color w:val="auto"/>
              </w:rPr>
              <w:t>Contribution Margin</w:t>
            </w:r>
            <w:r>
              <w:rPr>
                <w:rFonts w:ascii="Arial" w:cs="Arial" w:eastAsia="Arial" w:hAnsi="Arial"/>
                <w:sz w:val="23"/>
                <w:szCs w:val="23"/>
                <w:i w:val="1"/>
                <w:iCs w:val="1"/>
                <w:color w:val="auto"/>
                <w:vertAlign w:val="superscript"/>
              </w:rPr>
              <w:t>(2)</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30"/>
        </w:trPr>
        <w:tc>
          <w:tcPr>
            <w:tcW w:w="4400" w:type="dxa"/>
            <w:vAlign w:val="bottom"/>
          </w:tcPr>
          <w:p>
            <w:pPr>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15,456</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59,139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16,022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140,940</w:t>
            </w:r>
          </w:p>
        </w:tc>
      </w:tr>
      <w:tr>
        <w:trPr>
          <w:trHeight w:val="229"/>
        </w:trPr>
        <w:tc>
          <w:tcPr>
            <w:tcW w:w="44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i w:val="1"/>
                <w:iCs w:val="1"/>
                <w:color w:val="auto"/>
              </w:rPr>
              <w:t>Adjusted EBITDA Margin</w:t>
            </w:r>
            <w:r>
              <w:rPr>
                <w:rFonts w:ascii="Arial" w:cs="Arial" w:eastAsia="Arial" w:hAnsi="Arial"/>
                <w:sz w:val="23"/>
                <w:szCs w:val="23"/>
                <w:i w:val="1"/>
                <w:iCs w:val="1"/>
                <w:color w:val="auto"/>
                <w:vertAlign w:val="superscript"/>
              </w:rPr>
              <w:t>(2)</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29"/>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12,287</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57,446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12,074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137,184</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400" w:type="dxa"/>
            <w:vAlign w:val="bottom"/>
          </w:tcPr>
          <w:p>
            <w:pPr>
              <w:ind w:left="24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1.79</w:t>
            </w:r>
          </w:p>
        </w:tc>
      </w:tr>
      <w:tr>
        <w:trPr>
          <w:trHeight w:val="230"/>
        </w:trPr>
        <w:tc>
          <w:tcPr>
            <w:tcW w:w="4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3" w:lineRule="exact"/>
        <w:rPr>
          <w:sz w:val="20"/>
          <w:szCs w:val="20"/>
          <w:color w:val="auto"/>
        </w:rPr>
      </w:pPr>
    </w:p>
    <w:p>
      <w:pPr>
        <w:jc w:val="both"/>
        <w:ind w:left="500" w:hanging="492"/>
        <w:spacing w:after="0" w:line="260" w:lineRule="auto"/>
        <w:tabs>
          <w:tab w:leader="none" w:pos="492" w:val="left"/>
        </w:tabs>
        <w:numPr>
          <w:ilvl w:val="0"/>
          <w:numId w:val="34"/>
        </w:numPr>
        <w:rPr>
          <w:rFonts w:ascii="Arial" w:cs="Arial" w:eastAsia="Arial" w:hAnsi="Arial"/>
          <w:sz w:val="13"/>
          <w:szCs w:val="13"/>
          <w:color w:val="auto"/>
        </w:rPr>
      </w:pPr>
      <w:r>
        <w:rPr>
          <w:rFonts w:ascii="Arial" w:cs="Arial" w:eastAsia="Arial" w:hAnsi="Arial"/>
          <w:sz w:val="13"/>
          <w:szCs w:val="13"/>
          <w:color w:val="auto"/>
        </w:rPr>
        <w:t>Until June 30, 2021, Conversion Rate considered all rate inquiries received on our platform. In the third quarter of 2021, we modified our calculation of Conversion Rate to remove what we believe to be fraudulent loan requests from the total number of rate inquiries received to better reflect actual borrower behavior. Using the prior methodology for calculating Conversion Rate, which did not exclude estimated fraudulent loan requests, our Conversion Rate for the three months ended September 30, 2021 and nine months ended September 30, 2021 would have been 13.5% and 17.7%, respectively. The impact of this change in calculating our Conversion Rate for prior periods is immaterial.</w:t>
      </w:r>
    </w:p>
    <w:p>
      <w:pPr>
        <w:ind w:left="500" w:hanging="492"/>
        <w:spacing w:after="0" w:line="255" w:lineRule="auto"/>
        <w:tabs>
          <w:tab w:leader="none" w:pos="492"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 Financial Measures</w:t>
      </w:r>
      <w:r>
        <w:rPr>
          <w:rFonts w:ascii="Arial" w:cs="Arial" w:eastAsia="Arial" w:hAnsi="Arial"/>
          <w:sz w:val="14"/>
          <w:szCs w:val="14"/>
          <w:color w:val="auto"/>
        </w:rPr>
        <w:t>” for further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Volume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define Transaction Volume, Dollars as the total principal of loans transacted on our platform between a borrower and the originating bank during the period presented. We define Transaction Volume, Number of Loans as the number of loans facilitated on our platform between a borrower and the originating bank during the period presented. We believe these metrics is are a good proxies for our overall scale and reach as a platform.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Rate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define Conversion Rate as the Transaction Volume, Number of Loans in a period divided by the number of rate inquiries received that we estimate to be legitimate, which we record when a borrower requests a loan offer on our platform. Until June 30, 2021, Conversion Rate considered all rate inquiries received on our platform. In the third quarter of 2021, we experienced a large and coordinated fraud attack. While the attack had no significant impact on our financial results, our borrower funnel conversion metrics were distorted by the volume of unsuccessful attempts to access loans. As a result, we modified our calculation of Conversion Rate to remove what we believe to be fraudulent rate inquiries from the total number of rate inquiries received to better reflect actual borrower behavior.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Loans Fully Automated</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key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including auto loans, may cause fluctuations of such percentage from quarter to quarter depending on the loan offering mix.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calculation of Contribution Profit and Contribution Margin: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31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4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19"/>
                <w:szCs w:val="19"/>
                <w:color w:val="auto"/>
              </w:rPr>
            </w:pPr>
          </w:p>
        </w:tc>
      </w:tr>
      <w:tr>
        <w:trPr>
          <w:trHeight w:val="237"/>
        </w:trPr>
        <w:tc>
          <w:tcPr>
            <w:tcW w:w="4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7"/>
        </w:trPr>
        <w:tc>
          <w:tcPr>
            <w:tcW w:w="4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Referral fees,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130,121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80,828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319,193</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Platform fees, net</w:t>
            </w: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17,631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61,321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42,657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148,283</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net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7,218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18,979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20,694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46,412</w:t>
            </w:r>
          </w:p>
        </w:tc>
      </w:tr>
      <w:tr>
        <w:trPr>
          <w:trHeight w:val="223"/>
        </w:trPr>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Revenue from fees, net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62,861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210,421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144,179</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513,888</w:t>
            </w:r>
          </w:p>
        </w:tc>
      </w:tr>
      <w:tr>
        <w:trPr>
          <w:trHeight w:val="223"/>
        </w:trPr>
        <w:tc>
          <w:tcPr>
            <w:tcW w:w="41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Borrower acquisition costs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(21,183)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87,107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(59,464)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204,162</w:t>
            </w:r>
          </w:p>
        </w:tc>
      </w:tr>
      <w:tr>
        <w:trPr>
          <w:trHeight w:val="229"/>
        </w:trPr>
        <w:tc>
          <w:tcPr>
            <w:tcW w:w="41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Borrower verification and servicing costs</w:t>
            </w:r>
            <w:r>
              <w:rPr>
                <w:rFonts w:ascii="Arial" w:cs="Arial" w:eastAsia="Arial" w:hAnsi="Arial"/>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(7,898)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27,401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(21,018)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61,329</w:t>
            </w:r>
          </w:p>
        </w:tc>
      </w:tr>
      <w:tr>
        <w:trPr>
          <w:trHeight w:val="223"/>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direct expenses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(29,081)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114,508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(80,482)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265,491</w:t>
            </w:r>
          </w:p>
        </w:tc>
      </w:tr>
      <w:tr>
        <w:trPr>
          <w:trHeight w:val="223"/>
        </w:trPr>
        <w:tc>
          <w:tcPr>
            <w:tcW w:w="4120" w:type="dxa"/>
            <w:vAlign w:val="bottom"/>
          </w:tcPr>
          <w:p>
            <w:pPr>
              <w:ind w:left="160"/>
              <w:spacing w:after="0"/>
              <w:rPr>
                <w:sz w:val="20"/>
                <w:szCs w:val="20"/>
                <w:color w:val="auto"/>
              </w:rPr>
            </w:pPr>
            <w:r>
              <w:rPr>
                <w:rFonts w:ascii="Arial" w:cs="Arial" w:eastAsia="Arial" w:hAnsi="Arial"/>
                <w:sz w:val="18"/>
                <w:szCs w:val="18"/>
                <w:color w:val="auto"/>
              </w:rPr>
              <w:t>Contribution Profit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33,780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95,913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63,697</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248,397</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Contribution Margin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304"/>
        </w:trPr>
        <w:tc>
          <w:tcPr>
            <w:tcW w:w="4120" w:type="dxa"/>
            <w:vAlign w:val="bottom"/>
          </w:tcPr>
          <w:p>
            <w:pPr>
              <w:spacing w:after="0"/>
              <w:rPr>
                <w:sz w:val="20"/>
                <w:szCs w:val="20"/>
                <w:color w:val="auto"/>
              </w:rPr>
            </w:pPr>
            <w:r>
              <w:rPr>
                <w:rFonts w:ascii="Arial" w:cs="Arial" w:eastAsia="Arial" w:hAnsi="Arial"/>
                <w:sz w:val="18"/>
                <w:szCs w:val="18"/>
                <w:color w:val="auto"/>
              </w:rPr>
              <w:t>_______</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ind w:left="500" w:hanging="492"/>
        <w:spacing w:after="0" w:line="241" w:lineRule="auto"/>
        <w:tabs>
          <w:tab w:leader="none" w:pos="492" w:val="left"/>
        </w:tabs>
        <w:numPr>
          <w:ilvl w:val="0"/>
          <w:numId w:val="35"/>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500" w:hanging="492"/>
        <w:spacing w:after="0" w:line="248" w:lineRule="auto"/>
        <w:tabs>
          <w:tab w:leader="none" w:pos="492" w:val="left"/>
        </w:tabs>
        <w:numPr>
          <w:ilvl w:val="0"/>
          <w:numId w:val="35"/>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Management’s Discussion and Analysis of Financial Condition and Results of Operations—Reconciliation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 reconciliation of income from operations to Contribution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Adjusted EBITDA as net income attributable to Upstart Holdings, Inc. common stockholders adjusted to exclude stock-based compensation expense and certain payroll tax expenses, depreciation and amortization, expense on warrants and convertible notes, net, provision for income taxes and acquisition-related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costs. We calculate Adjusted EBITDA Margin as Adjusted EBITDA divided by total revenue. Adjusted EBITDA and Adjusted EBITDA Margin includes interest expense from corporate debt and warehouse credit facility which is incurred in the course of earning corresponding interest income. See the section titled “</w:t>
      </w:r>
      <w:r>
        <w:rPr>
          <w:rFonts w:ascii="Arial" w:cs="Arial" w:eastAsia="Arial" w:hAnsi="Arial"/>
          <w:sz w:val="16"/>
          <w:szCs w:val="16"/>
          <w:i w:val="1"/>
          <w:iCs w:val="1"/>
          <w:color w:val="auto"/>
        </w:rPr>
        <w:t>Management’s Discussion and Analysis of Financial Condition and Results of Operations—Reconciliation of Non-GAAP Financial Measures</w:t>
      </w:r>
      <w:r>
        <w:rPr>
          <w:rFonts w:ascii="Arial" w:cs="Arial" w:eastAsia="Arial" w:hAnsi="Arial"/>
          <w:sz w:val="16"/>
          <w:szCs w:val="16"/>
          <w:color w:val="auto"/>
        </w:rPr>
        <w:t>” for a reconciliation of net income attributable to Upstart Holdings, Inc. common stockholders to Adjusted EBITDA and Adjusted EBITDA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Share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define Adjusted Net Income as net income exclusive of stock-based compensation expense and certain payroll tax expenses and acquisition-related costs. Adjusted Net Income Per Share is calculated by dividing Adjusted Net Income Per Share by the weighted-average common shares outstanding. See the section titled “</w:t>
      </w:r>
      <w:r>
        <w:rPr>
          <w:rFonts w:ascii="Arial" w:cs="Arial" w:eastAsia="Arial" w:hAnsi="Arial"/>
          <w:sz w:val="18"/>
          <w:szCs w:val="18"/>
          <w:i w:val="1"/>
          <w:iCs w:val="1"/>
          <w:color w:val="auto"/>
        </w:rPr>
        <w:t>Management’s Discussion and Analysis of Financial Condition and Results of Operations—Reconciliation of Non-GAAP Financial Measures</w:t>
      </w:r>
      <w:r>
        <w:rPr>
          <w:rFonts w:ascii="Arial" w:cs="Arial" w:eastAsia="Arial" w:hAnsi="Arial"/>
          <w:sz w:val="18"/>
          <w:szCs w:val="18"/>
          <w:color w:val="auto"/>
        </w:rPr>
        <w:t>” for a reconciliation of net income attributable to Upstart Holdings, Inc. common stockholders to Adjusted Net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Net Income per Share.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Platform and Referral Fees,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For bank partners that use our loan funding capabilities,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consolidated financial statements in Part I, Item 1 of this Form 10-Q for more information about loan premium fees and trailing fees.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Servicing Fees, Net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loan-servicer for substantially all outstanding loans facilitated through the Upstart platform.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receives certain ancillary fees on a per transaction basis inclusive of late payment fees and ACH fail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and historically common stock warrant liabilities and convertible preferred stock warrant liabilities. Interest income and fair value adjustments, net also includes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received through our securitization programs. Interest income and fair value adjustments, net also historically included the full amount of net interest income and expense incurred by consolidated variable interest entities, or VIEs, the majority of which has been historically allocated to third parties in the line item net loss attributable to noncontrolling interests on our consolidated statements of operations and comprehensive income. Interest income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Operations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Transaction Volume, Number of Loans.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Product Development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Engineering and product development expenses primarily consist of payroll and other personnel-related expenses, including stock-based compensation expense, for the engineering and product development teams as well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Administrative and Other</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Following the completion of our initial public offering in December 2020, our general, administrative and other expenses increased as a result of operating as a public company, including expenses related to compliance with the rules and regulations of the SEC, additional insurance expenses, investor relations activities and other administrative and professional services. We also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Other income (expense) primarily consists of dividend income earned on our unrestricted cash balances. Other income (expense) is recognized in the period earned. In March 2021, we voluntarily repaid the proceeds received under the Paycheck Protection Program , or PPP. The repayment is included as an other expense for the nine months ended September 30, 2021. For additional details, refer to </w:t>
      </w:r>
      <w:r>
        <w:rPr>
          <w:rFonts w:ascii="Arial" w:cs="Arial" w:eastAsia="Arial" w:hAnsi="Arial"/>
          <w:sz w:val="18"/>
          <w:szCs w:val="18"/>
          <w:i w:val="1"/>
          <w:iCs w:val="1"/>
          <w:color w:val="auto"/>
        </w:rPr>
        <w:t>“Note 1. Description of Business and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of our consolidated financial statements in Part I, Item 1 of this Form 10-Q.</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on Warrants and Convertible Notes, Net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Expense on warrants and convertible notes, net is primarily comprised of the net changes in the fair value of our common and convertible preferred stock warrant liabilities for the three and nine months ended September 30, 2020 and interest expense on our convertible notes for the three and nine months ended September 30, 2021.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5"/>
              </w:rPr>
              <w:t>Results of Operations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80" w:type="dxa"/>
            <w:vAlign w:val="bottom"/>
            <w:gridSpan w:val="7"/>
          </w:tcPr>
          <w:p>
            <w:pPr>
              <w:ind w:left="660"/>
              <w:spacing w:after="0"/>
              <w:rPr>
                <w:sz w:val="20"/>
                <w:szCs w:val="20"/>
                <w:color w:val="auto"/>
              </w:rPr>
            </w:pPr>
            <w:r>
              <w:rPr>
                <w:rFonts w:ascii="Arial" w:cs="Arial" w:eastAsia="Arial" w:hAnsi="Arial"/>
                <w:sz w:val="18"/>
                <w:szCs w:val="18"/>
                <w:color w:val="auto"/>
              </w:rPr>
              <w:t>The following table summarizes our historical consolidated statements of operations data:</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1"/>
                <w:szCs w:val="21"/>
                <w:color w:val="auto"/>
              </w:rPr>
            </w:pPr>
          </w:p>
        </w:tc>
        <w:tc>
          <w:tcPr>
            <w:tcW w:w="29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62,861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210,421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144,179</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513,888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and fair value adjustments,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146,706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543,741</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93,346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65,113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218,638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76,530</w:t>
            </w: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Engineering and product development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24,651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87,504</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80,602</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463,274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80,467</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on warrants and convertible notes,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Net income before income taxes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74,464</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w w:val="99"/>
              </w:rPr>
              <w:t>Net income before attribution to noncontrolling interests</w:t>
            </w: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420" w:type="dxa"/>
            <w:vAlign w:val="bottom"/>
          </w:tcPr>
          <w:p>
            <w:pPr>
              <w:ind w:left="20"/>
              <w:spacing w:after="0" w:line="156" w:lineRule="exact"/>
              <w:rPr>
                <w:sz w:val="20"/>
                <w:szCs w:val="20"/>
                <w:color w:val="auto"/>
              </w:rPr>
            </w:pPr>
            <w:r>
              <w:rPr>
                <w:rFonts w:ascii="Arial" w:cs="Arial" w:eastAsia="Arial" w:hAnsi="Arial"/>
                <w:sz w:val="18"/>
                <w:szCs w:val="18"/>
                <w:color w:val="auto"/>
                <w:w w:val="96"/>
              </w:rPr>
              <w:t>Net income attributable to Upstart Holdings, Inc. common</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3"/>
                <w:szCs w:val="13"/>
                <w:color w:val="auto"/>
              </w:rPr>
            </w:pPr>
          </w:p>
        </w:tc>
        <w:tc>
          <w:tcPr>
            <w:tcW w:w="56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29,113</w:t>
            </w:r>
          </w:p>
        </w:tc>
        <w:tc>
          <w:tcPr>
            <w:tcW w:w="100" w:type="dxa"/>
            <w:vAlign w:val="bottom"/>
          </w:tcPr>
          <w:p>
            <w:pPr>
              <w:spacing w:after="0"/>
              <w:rPr>
                <w:sz w:val="13"/>
                <w:szCs w:val="13"/>
                <w:color w:val="auto"/>
              </w:rPr>
            </w:pPr>
          </w:p>
        </w:tc>
        <w:tc>
          <w:tcPr>
            <w:tcW w:w="38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3"/>
                <w:szCs w:val="13"/>
                <w:color w:val="auto"/>
              </w:rPr>
            </w:pPr>
          </w:p>
        </w:tc>
        <w:tc>
          <w:tcPr>
            <w:tcW w:w="56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4"/>
              </w:rPr>
              <w:t>September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Customer operations</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27"/>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27,052</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14,808</w:t>
            </w:r>
          </w:p>
        </w:tc>
      </w:tr>
      <w:tr>
        <w:trPr>
          <w:trHeight w:val="27"/>
        </w:trPr>
        <w:tc>
          <w:tcPr>
            <w:tcW w:w="4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 forth our revenue from fees, net in the periods shown: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96"/>
              </w:rPr>
              <w:t>Change</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96"/>
              </w:rPr>
              <w:t>Change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Platform and referral fees,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55,643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191,442</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135,799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123,485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467,476</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343,991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Servicing fees, net</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46,412</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25,718</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156"/>
        </w:trPr>
        <w:tc>
          <w:tcPr>
            <w:tcW w:w="198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Total revenue from</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62,861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210,421</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147,560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144,179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513,888</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369,709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22"/>
        </w:trPr>
        <w:tc>
          <w:tcPr>
            <w:tcW w:w="198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fees, net</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gridSpan w:val="2"/>
            <w:vMerge w:val="continue"/>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gridSpan w:val="2"/>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fees, net increased $147.6 million, or 235%, in the three months ended September 30, 2021, compared to the same period in 2020, which included an increase of $135.8 million in revenue from platform and referral fees, net and an increase of $11.8 million in servicing fees, net. The increase of the platform and referral fees, net was primarily driven by a 348% increase in the Transaction Volume, Number of Loans from 80,893 in the three months ended September 30, 2020 to 362,780 in the same period in 2021 as well as an increase in prices of our services in response to the market conditions caused by the COVID-19 pandemic. The increase in the servicing fees, net was primarily due to an 136% increase in the outstanding principal of serviced loans.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from fees, net increased $369.7 million, or 256%, in the nine months ended September 30, 2021, compared to the same period in 2020, which included an increase of $344.0 million in revenue from platform and referral fees, net and an increase of $25.7 million in servicing fees, net. The increase of the platform and referral fees, net was primarily driven by a 363% increase in the Transaction Volume, Number of Loans from 176,983 in the nine months ended September 30, 2020 to 819,386 in the same period in 2021 as well as an increase in prices of our services in response to the market conditions caused by the COVID-19 pandemic. The increase in the servicing fees, net was primarily due to an 106% increase in the outstanding principal of serviced loans, as well as a downward revaluation to the net liability of our servicing obligation.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w w:val="96"/>
              </w:rPr>
              <w:t>Change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Nine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vMerge w:val="restart"/>
          </w:tcPr>
          <w:p>
            <w:pPr>
              <w:ind w:left="560"/>
              <w:spacing w:after="0"/>
              <w:rPr>
                <w:sz w:val="20"/>
                <w:szCs w:val="20"/>
                <w:color w:val="auto"/>
              </w:rPr>
            </w:pPr>
            <w:r>
              <w:rPr>
                <w:rFonts w:ascii="Arial" w:cs="Arial" w:eastAsia="Arial" w:hAnsi="Arial"/>
                <w:sz w:val="18"/>
                <w:szCs w:val="18"/>
                <w:b w:val="1"/>
                <w:bCs w:val="1"/>
                <w:color w:val="auto"/>
                <w:w w:val="96"/>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entities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5,421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4,776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11,064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w w:val="94"/>
              </w:rPr>
              <w:t>Fair value adjustments, net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2"/>
              </w:rPr>
              <w:t>Other consolidated entities</w:t>
            </w:r>
            <w:r>
              <w:rPr>
                <w:rFonts w:ascii="Arial" w:cs="Arial" w:eastAsia="Arial" w:hAnsi="Arial"/>
                <w:sz w:val="23"/>
                <w:szCs w:val="23"/>
                <w:color w:val="auto"/>
                <w:w w:val="92"/>
                <w:vertAlign w:val="superscript"/>
              </w:rPr>
              <w:t>(2)</w:t>
            </w:r>
            <w:r>
              <w:rPr>
                <w:rFonts w:ascii="Arial" w:cs="Arial" w:eastAsia="Arial" w:hAnsi="Arial"/>
                <w:sz w:val="18"/>
                <w:szCs w:val="18"/>
                <w:color w:val="auto"/>
                <w:w w:val="92"/>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w w:val="94"/>
              </w:rPr>
              <w:t>Fair value adjustments, net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9"/>
        </w:trPr>
        <w:tc>
          <w:tcPr>
            <w:tcW w:w="2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4"/>
              </w:rPr>
              <w:t>Fair value adjustments, net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15,089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33,855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Total interest income and fair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27,326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1,081 %</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value adjustments, net</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2"/>
            <w:vMerge w:val="continue"/>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gridSpan w:val="2"/>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 of balances recognized by entities participating in our ongoing operating activities, including warehouse entities.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balances recognized by other entities, including securitization entities.</w:t>
      </w:r>
    </w:p>
    <w:p>
      <w:pPr>
        <w:spacing w:after="0" w:line="23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Interest income and fair value adjustments, net increased $15.5 million, or 622% in the three months ended September 30, 2021, compared to the same period in 2020. The increase was primarily driven by a $15.1 million increase in fair value adjustments attributable to $15.8 million increase in net gains on sales received through our securitization programs, partially offset by a $1.2 million reversal of positive fair value adjustments.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nine months ended September 30, 2021, interest income and fair value adjustments, net increased $27.3 million, or 1,081%, compared to the same period in 2020. The increase was driven by a $33.9 million increase in fair value adjustments, net partially offset by a $10.7 million decrease in interest income. The increase of the fair value adjustments was primarily attributable to $23.4 million of net gains on sales through our securitization programs and $6.0 million decrease in charged-off loans. Interest income and interest expense recognized by other consolidated entities decreased due to the deconsolidation of the 2018-1 securitization which occurred in the second quarter of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92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740" w:type="dxa"/>
            <w:vAlign w:val="bottom"/>
            <w:gridSpan w:val="4"/>
            <w:vMerge w:val="restart"/>
          </w:tcPr>
          <w:p>
            <w:pPr>
              <w:ind w:left="42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18"/>
                <w:szCs w:val="18"/>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1360" w:type="dxa"/>
            <w:vAlign w:val="bottom"/>
            <w:gridSpan w:val="3"/>
            <w:vMerge w:val="restart"/>
          </w:tcPr>
          <w:p>
            <w:pPr>
              <w:ind w:left="720"/>
              <w:spacing w:after="0"/>
              <w:rPr>
                <w:sz w:val="20"/>
                <w:szCs w:val="20"/>
                <w:color w:val="auto"/>
              </w:rPr>
            </w:pPr>
            <w:r>
              <w:rPr>
                <w:rFonts w:ascii="Arial" w:cs="Arial" w:eastAsia="Arial" w:hAnsi="Arial"/>
                <w:sz w:val="18"/>
                <w:szCs w:val="18"/>
                <w:b w:val="1"/>
                <w:bCs w:val="1"/>
                <w:color w:val="auto"/>
                <w:w w:val="93"/>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174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65,113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218,638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153,525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36 %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44 %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and marketing expenses increased by $69.6 million, or 293%, in the three months ended September 30, 2021 compared to the same period in 2020. The increase was primarily due to a $65.9 million increase in advertising and other traffic acquisition cost, as well as a $3.9 million increase in payroll and other personnel-related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expenses driven by increased headcount. As a percentage of total revenue, sales and marketing expenses increased from 36% to 41%.</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$153.5 million, or 236%, in the nine months ended September 30, 2021 compared to the same period in 2020. The increase was primarily due to a $144.7 million increase in advertising and other traffic acquisition cost, as well as $8.5 million increase in payroll and other personnel-related expenses driven by increased headcount. As a percentage of total revenue, sales and marketing expenses decreased from 44% to 40%.</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b w:val="1"/>
                <w:bCs w:val="1"/>
                <w:i w:val="1"/>
                <w:iCs w:val="1"/>
                <w:color w:val="auto"/>
              </w:rPr>
              <w:t>Customer Operations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2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w w:val="84"/>
              </w:rPr>
              <w:t>Change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1260" w:type="dxa"/>
            <w:vAlign w:val="bottom"/>
            <w:gridSpan w:val="3"/>
            <w:vMerge w:val="restart"/>
          </w:tcPr>
          <w:p>
            <w:pPr>
              <w:ind w:left="66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34,978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6"/>
              </w:rPr>
              <w:t>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24,792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$76,530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$51,738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6"/>
              </w:rPr>
              <w:t>209%</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Customer operations expenses increased by $25.6 million, or 274%, in the three months ended September 30, 2021, compared to the same period in 2020. The increase was primarily due to an increase of $14.9 million in payroll and other personnel-related expenses due to an increase in headcount as well as increased spending of $9.3 million in information verification and platform operations due to a growing volume of loans facilitated through our platform. As a percentage of total revenue, customer operations expenses increased from 14% to 15%.</w:t>
      </w:r>
    </w:p>
    <w:p>
      <w:pPr>
        <w:spacing w:after="0" w:line="64"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Customer operations expenses increased by $51.7 million, or 209%, in the nine months ended September 30, 2021, compared to the same period in 2020. The increase was primarily due to an increase of $30.4 million in payroll and other personnel-related expenses due to an increase in headcount as well as increased spending of $18.4 million in information verification and platform operations due to a growing volume of loans facilitated through our platform. As a percentage of total revenue, customer operations expenses decreased from 17% to 14%.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8"/>
              </w:rPr>
              <w:t>Engineering and Product Development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740" w:type="dxa"/>
            <w:vAlign w:val="bottom"/>
            <w:gridSpan w:val="4"/>
            <w:vMerge w:val="restart"/>
          </w:tcPr>
          <w:p>
            <w:pPr>
              <w:ind w:left="42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4"/>
                <w:szCs w:val="24"/>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3"/>
              </w:rPr>
              <w:t>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174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Engineering and product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9,966</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37,085</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27,119</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24,651</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87,504</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62,853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Engineering and product development expenses increased by $27.1 million, or 272%, For the three months ended September 30, 2021, compared to the same period in 2020. The increase was primarily due to an increase of $24.1 million in payroll and other personnel-related expenses driven by an increase in headcount, as well as a $3.0 million increase in spending on consultants and other engineering support services. As a percentage of total revenue, engineering and product development expenses increased from 15% to 16%.</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Engineering and product development expenses increased by $62.9 million, or 255%, for the nine months ended September 30, 2021, compared to the same period in 2020. The increase was primarily due to an increase of $57.0 million in payroll and other personnel-related expenses driven by an increase in headcount, as well as a $5.7 million increase in spending on consultants and other engineering support services. As a percentage of total revenue, engineering and product development expenses decreased from 17% to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General, Administrative, and Other</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vMerge w:val="restart"/>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gridSpan w:val="5"/>
            <w:vMerge w:val="restart"/>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
                <w:szCs w:val="2"/>
                <w:color w:val="auto"/>
              </w:rPr>
            </w:pPr>
          </w:p>
        </w:tc>
        <w:tc>
          <w:tcPr>
            <w:tcW w:w="110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w w:val="93"/>
              </w:rPr>
              <w:t>Change</w:t>
            </w: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gridSpan w:val="5"/>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3"/>
              </w:rPr>
              <w:t>Change</w:t>
            </w: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General, administrative,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10,101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34,442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24,341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241 %  $</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30,778</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80,602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49,824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administrative, and other expenses increased by $24.3 million, or 241%, in the three months ended September 30, 2021, compared to the same period in 2020. The increase was primarily due to an increase of $12.9 million in payroll and personnel-related costs as a result of increased headcount; an increase of $3.6 million in professional fees; an increase of $3.2 million in office and administrative operation related expenses; and an increase of $1.6 million in depreciation and amortization. As a percentage of total revenue, general, administrative, and other expenses remained flat at 15% for both periods.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administrative, and other expenses increased by $49.8 million, or 162%, for the nine months ended September 30, 2021, compared to the same period in 2020. The increase was primarily due to an increase of $27.1 million in payroll and personnel-related costs as a result of increased headcount; an increase of $5.7 million in professional fees; an increase of $4.6 million in insurance costs; and an increase of $3.1 million in legal and compliance-related expenses. As a percentage of total revenue, general, administrative, and other expenses decreased from 21% to 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w w:val="99"/>
              </w:rPr>
              <w:t>Other Income (Expense)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gridSpan w:val="5"/>
            <w:vMerge w:val="restart"/>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
                <w:szCs w:val="2"/>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3"/>
              </w:rPr>
              <w:t>Change</w:t>
            </w: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gridSpan w:val="5"/>
            <w:vMerge w:val="continue"/>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3"/>
            <w:vMerge w:val="restart"/>
          </w:tcPr>
          <w:p>
            <w:pPr>
              <w:ind w:left="54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nine months ended September 30, 2021, other income (expense) decreased by $10.7 million, or 195%, compared to the same period in 2020. The decrease was primarily due to the receipt of funds under the PPP loan totaling $5.3 million in the nine months ended September 30, 2020 coupled with our voluntary repayment of proceeds received from the PPP loan during nine months ended September 30, 2021. We used the loan to mitigate the impact of the COVID-19 pandemic on our business in Q2 2020 and fully complied with the forgiveness requirements, including maintaining full employment through the significant transaction volume decline. Our business experienced a strong recovery in the second half of 2020 and continued growing in the first half of 2021, which brought us to a conclusion that the funds received as part of the program were no longer needed for their original intent and should be repaid. We recognized the loan principal repayment as a reduction to other income (expense) totaling $5.3 million.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on Warrants and Convertible Notes,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gridSpan w:val="5"/>
            <w:vMerge w:val="restart"/>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
                <w:szCs w:val="2"/>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3"/>
              </w:rPr>
              <w:t>Change</w:t>
            </w: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8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Expense on warrants and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(2,588)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70 %  $</w:t>
            </w:r>
          </w:p>
        </w:tc>
        <w:tc>
          <w:tcPr>
            <w:tcW w:w="12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(2,317)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22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Expense on warrants and convertible notes, net decreased by $1.8 million, or 70%, in the three months ended September 30, 2021, compared to the same period in 2020. The decrease was primarily a result of a $2.6 million increase in the fair value of warrants in the three months ended September 30, 2020, partially offset by a $0.8 million increase in interest expense on convertible notes during the three months ended September 30, 2021. Our warrants were reclassified to equity in the fourth quarter of 2020 and exercised in January 2021. We had no warrants outstanding as of September 30, 2021.</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Expense on warrants and convertible notes, net decreased by $1.5 million, or 65%, in the nine months ended September 30, 2021, compared to the same period in 2020. The decrease was primarily a result of a $2.3 million increase in the fair value of warrants, partially offset by a $0.8 million increase in interest expense in convertible notes in the nine months ended September 30, 2021. Our warrants were reclassified to equity in the fourth quarter of 2020 and exercised in January 2021. We had no warrants outstanding as of September 30, 2021.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supplement our consolidated financial statements prepared and presented in accordance with GAAP, we use the non-GAAP financial measures Contribution Profit, Contribution Margin, Adjusted EBITDA, Adjusted EBITDA Margin, and Adjusted Net Income and Adjusted Net Income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address these limitations, we provide a reconciliation of Contribution Profit, Contribution Margin, Adjusted EBITDA, Adjusted EBITDA Margin, and Adjusted Net Income and Adjusted Net Income Per Share to income from operations and net income attributable to Upstart Holdings, Inc. common stockholders, respectively. We encourage investors and others to review our financial information in its entirety, not to rely on any single financial measure and to view Contribution Profit, Contribution Margin, Adjusted EBITDA, Adjusted EBITDA Margin, Adjusted Net Income, and Adjusted Net Income Per Share in conjunction with their respective related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use Contribution Profit and Contribution Margin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is useful to investors for period-to-period comparisons of our business and in evaluating and understanding our operating results and ability to scale. Contribution Profit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Contribution Profit and Contribution Margin have limitations as an analytical tool, and you should not consider in isolation or as a substitute for analysis of our results as reported under GAAP. Contribution Profit and Contribution Margin are not a GAAP financial measure of, nor does it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does not reflect all of our variable expenses and involves some judgment and discretion around what costs vary directly with loan volume. Other companies that present Contribution Profit and Contribution Margin calculate it differently and, therefore, similarly titled measures presented by other companies may not be directly comparable to ours.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 presents a reconciliation of income from operations to Contribution Profit and Contribution Margin. We define Operating Margin as our income from operations divided by revenue from fees, net.</w:t>
      </w: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20" w:type="dxa"/>
            <w:vAlign w:val="bottom"/>
            <w:gridSpan w:val="5"/>
          </w:tcPr>
          <w:p>
            <w:pPr>
              <w:ind w:left="540"/>
              <w:spacing w:after="0" w:line="182"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5"/>
                <w:szCs w:val="15"/>
                <w:color w:val="auto"/>
              </w:rPr>
            </w:pPr>
          </w:p>
        </w:tc>
        <w:tc>
          <w:tcPr>
            <w:tcW w:w="3140" w:type="dxa"/>
            <w:vAlign w:val="bottom"/>
            <w:gridSpan w:val="4"/>
          </w:tcPr>
          <w:p>
            <w:pPr>
              <w:jc w:val="right"/>
              <w:ind w:right="910"/>
              <w:spacing w:after="0" w:line="182"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62,861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210,421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144,179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513,888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12,207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28,599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80,467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Operating Margin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w w:val="90"/>
              </w:rPr>
              <w:t>Sales and marketing, net of borrower acquisition costs</w:t>
            </w:r>
            <w:r>
              <w:rPr>
                <w:rFonts w:ascii="Arial" w:cs="Arial" w:eastAsia="Arial" w:hAnsi="Arial"/>
                <w:sz w:val="23"/>
                <w:szCs w:val="23"/>
                <w:color w:val="auto"/>
                <w:w w:val="90"/>
                <w:vertAlign w:val="superscript"/>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5,650</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Customer operations, net of borrower verification and</w:t>
            </w:r>
          </w:p>
        </w:tc>
        <w:tc>
          <w:tcPr>
            <w:tcW w:w="3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7,577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3,773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servicing costs</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Engineering and product development</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9,966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37,085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24,651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87,504</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10,101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30,778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80,602</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(2,498)</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(18,029)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(2,527)</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Contribution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33,780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95,913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63,697</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248,397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i w:val="1"/>
                <w:iCs w:val="1"/>
                <w:color w:val="auto"/>
              </w:rPr>
              <w:t>Contribution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4" w:lineRule="exact"/>
              <w:rPr>
                <w:sz w:val="20"/>
                <w:szCs w:val="20"/>
                <w:color w:val="auto"/>
              </w:rPr>
            </w:pPr>
            <w:r>
              <w:rPr>
                <w:rFonts w:ascii="Arial" w:cs="Arial" w:eastAsia="Arial" w:hAnsi="Arial"/>
                <w:sz w:val="18"/>
                <w:szCs w:val="18"/>
                <w:color w:val="auto"/>
              </w:rPr>
              <w:t>54 %</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46 %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44 %</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303"/>
        </w:trPr>
        <w:tc>
          <w:tcPr>
            <w:tcW w:w="4120" w:type="dxa"/>
            <w:vAlign w:val="bottom"/>
          </w:tcPr>
          <w:p>
            <w:pPr>
              <w:spacing w:after="0"/>
              <w:rPr>
                <w:sz w:val="20"/>
                <w:szCs w:val="20"/>
                <w:color w:val="auto"/>
              </w:rPr>
            </w:pPr>
            <w:r>
              <w:rPr>
                <w:rFonts w:ascii="Arial" w:cs="Arial" w:eastAsia="Arial" w:hAnsi="Arial"/>
                <w:sz w:val="18"/>
                <w:szCs w:val="18"/>
                <w:color w:val="auto"/>
              </w:rPr>
              <w:t>_________</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492" w:val="left"/>
        </w:tabs>
        <w:numPr>
          <w:ilvl w:val="0"/>
          <w:numId w:val="38"/>
        </w:numPr>
        <w:rPr>
          <w:rFonts w:ascii="Arial" w:cs="Arial" w:eastAsia="Arial" w:hAnsi="Arial"/>
          <w:sz w:val="14"/>
          <w:szCs w:val="14"/>
          <w:color w:val="auto"/>
        </w:rPr>
      </w:pPr>
      <w:r>
        <w:rPr>
          <w:rFonts w:ascii="Arial" w:cs="Arial" w:eastAsia="Arial" w:hAnsi="Arial"/>
          <w:sz w:val="14"/>
          <w:szCs w:val="14"/>
          <w:color w:val="auto"/>
        </w:rPr>
        <w:t>Borrower acquisition costs were $21.2 million and $87.1 million for the three months ended September 30, 2020 and 2021, respectively, and were $59.5 million and $204.2 million for the nine months ended September 30, 2020 and 2021,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Arial" w:cs="Arial" w:eastAsia="Arial" w:hAnsi="Arial"/>
          <w:sz w:val="14"/>
          <w:szCs w:val="14"/>
          <w:color w:val="auto"/>
        </w:rPr>
      </w:pPr>
    </w:p>
    <w:p>
      <w:pPr>
        <w:jc w:val="both"/>
        <w:ind w:left="500" w:hanging="492"/>
        <w:spacing w:after="0" w:line="246" w:lineRule="auto"/>
        <w:tabs>
          <w:tab w:leader="none" w:pos="492" w:val="left"/>
        </w:tabs>
        <w:numPr>
          <w:ilvl w:val="0"/>
          <w:numId w:val="38"/>
        </w:numPr>
        <w:rPr>
          <w:rFonts w:ascii="Arial" w:cs="Arial" w:eastAsia="Arial" w:hAnsi="Arial"/>
          <w:sz w:val="14"/>
          <w:szCs w:val="14"/>
          <w:color w:val="auto"/>
        </w:rPr>
      </w:pPr>
      <w:r>
        <w:rPr>
          <w:rFonts w:ascii="Arial" w:cs="Arial" w:eastAsia="Arial" w:hAnsi="Arial"/>
          <w:sz w:val="14"/>
          <w:szCs w:val="14"/>
          <w:color w:val="auto"/>
        </w:rPr>
        <w:t>Borrower verification and servicing costs were $7.9 million and $27.4 million for the three months ended September 30, 2020 and 2021, respectively, and were $21.0 million and $61.3 million for the nine months ended September 30, 2020 and 2021,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62" w:lineRule="exact"/>
        <w:rPr>
          <w:sz w:val="20"/>
          <w:szCs w:val="20"/>
          <w:color w:val="auto"/>
        </w:rPr>
      </w:pPr>
    </w:p>
    <w:p>
      <w:pPr>
        <w:jc w:val="both"/>
        <w:ind w:left="980" w:hanging="324"/>
        <w:spacing w:after="0" w:line="248"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80" w:hanging="324"/>
        <w:spacing w:after="0" w:line="248"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and Adjusted EBITDA Margin eliminates the impact of certain items such as stock-based compensation expense and certain payroll tax expense, warrant expense and acquisition-related costs that may obscure trends in the underlying performance of our business; and</w:t>
      </w:r>
    </w:p>
    <w:p>
      <w:pPr>
        <w:spacing w:after="0" w:line="73" w:lineRule="exact"/>
        <w:rPr>
          <w:rFonts w:ascii="Arial" w:cs="Arial" w:eastAsia="Arial" w:hAnsi="Arial"/>
          <w:sz w:val="18"/>
          <w:szCs w:val="18"/>
          <w:color w:val="auto"/>
        </w:rPr>
      </w:pPr>
    </w:p>
    <w:p>
      <w:pPr>
        <w:ind w:left="980" w:hanging="324"/>
        <w:spacing w:after="0" w:line="324" w:lineRule="auto"/>
        <w:tabs>
          <w:tab w:leader="none" w:pos="97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provides consistency and comparability with our past financial performance, and facilitates comparisons with other companies, many of which use similar non-GAAP financial measures to supplement their GAAP results.</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use of Adjusted EBITDA and Adjusted EBITDA Margin has limitations as an analytical tool, and you should not consider these measures in isolation or as a substitute for analysis of our financial results as reported under GAAP. Some of these limitations are as follows:</w:t>
      </w:r>
    </w:p>
    <w:p>
      <w:pPr>
        <w:spacing w:after="0" w:line="62" w:lineRule="exact"/>
        <w:rPr>
          <w:sz w:val="20"/>
          <w:szCs w:val="20"/>
          <w:color w:val="auto"/>
        </w:rPr>
      </w:pPr>
    </w:p>
    <w:p>
      <w:pPr>
        <w:jc w:val="both"/>
        <w:ind w:left="980" w:hanging="324"/>
        <w:spacing w:after="0" w:line="248"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jc w:val="both"/>
        <w:ind w:left="980" w:hanging="324"/>
        <w:spacing w:after="0" w:line="241"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which not correlate to the operation of the business;</w:t>
      </w:r>
    </w:p>
    <w:p>
      <w:pPr>
        <w:spacing w:after="0" w:line="81"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and Adjusted EBITDA Margin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73"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09" w:lineRule="exact"/>
        <w:rPr>
          <w:sz w:val="20"/>
          <w:szCs w:val="20"/>
          <w:color w:val="auto"/>
        </w:rPr>
      </w:pPr>
    </w:p>
    <w:p>
      <w:pPr>
        <w:jc w:val="both"/>
        <w:ind w:right="20" w:firstLine="567"/>
        <w:spacing w:after="0" w:line="243" w:lineRule="auto"/>
        <w:rPr>
          <w:sz w:val="20"/>
          <w:szCs w:val="20"/>
          <w:color w:val="auto"/>
        </w:rPr>
      </w:pPr>
      <w:r>
        <w:rPr>
          <w:rFonts w:ascii="Arial" w:cs="Arial" w:eastAsia="Arial" w:hAnsi="Arial"/>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income attributable to Upstart Holdings, Inc. common stockholders to Adjusted EBITDA and net income margin to Adjusted EBITDA Margin. We define Net Income Margin as net income attributable to Upstart Holdings, Inc. common stockholders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1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65,359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146,706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543,741</w:t>
            </w: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 Upstart Holdings, Inc.</w:t>
            </w:r>
          </w:p>
        </w:tc>
        <w:tc>
          <w:tcPr>
            <w:tcW w:w="380" w:type="dxa"/>
            <w:vAlign w:val="bottom"/>
          </w:tcPr>
          <w:p>
            <w:pPr>
              <w:spacing w:after="0"/>
              <w:rPr>
                <w:sz w:val="15"/>
                <w:szCs w:val="15"/>
                <w:color w:val="auto"/>
              </w:rPr>
            </w:pPr>
          </w:p>
        </w:tc>
        <w:tc>
          <w:tcPr>
            <w:tcW w:w="1320" w:type="dxa"/>
            <w:vAlign w:val="bottom"/>
            <w:vMerge w:val="restart"/>
          </w:tcPr>
          <w:p>
            <w:pPr>
              <w:jc w:val="right"/>
              <w:ind w:right="130"/>
              <w:spacing w:after="0"/>
              <w:rPr>
                <w:sz w:val="20"/>
                <w:szCs w:val="20"/>
                <w:color w:val="auto"/>
              </w:rPr>
            </w:pPr>
            <w:r>
              <w:rPr>
                <w:rFonts w:ascii="Arial" w:cs="Arial" w:eastAsia="Arial" w:hAnsi="Arial"/>
                <w:sz w:val="18"/>
                <w:szCs w:val="18"/>
                <w:color w:val="auto"/>
              </w:rPr>
              <w:t>9,669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29,113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restart"/>
          </w:tcPr>
          <w:p>
            <w:pPr>
              <w:jc w:val="right"/>
              <w:ind w:right="130"/>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common stockholders</w:t>
            </w: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Income Margin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Stock-based compensation and certain payroll tax</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2,618</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28,333</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7,118</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59,448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3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 on warrants and convertible notes, net</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15,456</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59,139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16,022</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140,940</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Adjusted EBITDA Margin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41" w:lineRule="auto"/>
        <w:tabs>
          <w:tab w:leader="none" w:pos="492"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the third quarter of 2021, we began excluding the amount of employer payroll tax-related expense on employee stock transactions, as the amount is dependent on our stock price and other factors that are beyond our control and do not correlate to the operation of our business.</w:t>
      </w:r>
    </w:p>
    <w:p>
      <w:pPr>
        <w:ind w:left="500" w:right="20" w:hanging="492"/>
        <w:spacing w:after="0" w:line="255" w:lineRule="auto"/>
        <w:tabs>
          <w:tab w:leader="none" w:pos="49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fair value adjustments to our warrant liability for the three and nine months ended September 30, 2020 and interest expense for the three and nine months ended September 30, 2020 and 2021.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Share</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define Adjusted Net Income as net income exclusive of stock-based compensation expense and certain payroll tax expense and acquisition-related costs. Adjusted Net Income Per Share is calculated by dividing Adjusted Net Income Per Share by the weighted-average common shares outstanding. We believe Adjusted Net Income and Adjusted Net Income Per Share are useful measures for investors in evaluating our ability to generate earnings, more readily compare between past and future periods, and provide comparability of our performance with the performance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Net income attributable to Upstart Holdings, Inc. common</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29,113</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76,499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Stock-based compensation and certain payroll tax</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59,448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Acquisition-related costs</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137,184</w:t>
            </w: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14,707,717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79,392,600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14,663,623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76,586,395</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74,978,905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96,057,210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72,022,312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94,165,325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right="20" w:hanging="492"/>
        <w:spacing w:after="0" w:line="255" w:lineRule="auto"/>
        <w:tabs>
          <w:tab w:leader="none" w:pos="492"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 the third quarter 2021, we began excluding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 In December 2020, we completed our IPO which resulted in $167.4 million of proceeds, net of underwriting discounts and commissions, and before deducting deferred offering costs of $7.9 million. Deferred offering costs consisted primarily of incremental accounting, legal, and other fees related to the IPO. In April 2021, we completed a follow-on offering, in which 2,300,000 shares of common stock (including the exercise in full of the underwriters option to purchase 300,000 shares) were issued and sold at $120.00 per share. We received net proceeds of $263.9 million after deducting underwriting discounts and commissions of $11.0 million and offering expenses of $1.0 million. Offering expenses consisted of incremental accounting, legal, and other fees incurred related to the follow-on offering. In August 2021, we issued $661.3 million aggregate principal amount of 0.25% convertible senior notes due 2026, or the Notes, (including the exercise in full of the initial purchasers’ option of an additional $86.3 million aggregate principal of additional Notes) in a private placement to qualified institutional buyers. The net proceeds from the sale of the Notes were approximately $645.5 million after deducting debt issuance costs.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2021 the UNI Credit Facility matured in which the outstanding principal balance of $5.5 million and accrued interest was due and paid in full, and we did not renew the UNI Credit Facility. In June 2021, we repaid in full the $15.0 million principal balance outstanding, plus accrued interest and prepayment fees, and terminated the Mezzanine Loan. As of September 30, 2021, our outstanding debt consists of borrowings from our warehouse credit facility, our convertible senior notes, and amounts borrowed under a loan and security agreement to finance risk retention balances for an unconsolidated securitization we sponsored, representing an aggregate principal balance of $664.4 million outstanding, none of which is due within the next 12 months. See “</w:t>
      </w:r>
      <w:r>
        <w:rPr>
          <w:rFonts w:ascii="Arial" w:cs="Arial" w:eastAsia="Arial" w:hAnsi="Arial"/>
          <w:sz w:val="17"/>
          <w:szCs w:val="17"/>
          <w:i w:val="1"/>
          <w:iCs w:val="1"/>
          <w:color w:val="auto"/>
        </w:rPr>
        <w:t>Note 9. Borrowings</w:t>
      </w:r>
      <w:r>
        <w:rPr>
          <w:rFonts w:ascii="Arial" w:cs="Arial" w:eastAsia="Arial" w:hAnsi="Arial"/>
          <w:sz w:val="17"/>
          <w:szCs w:val="17"/>
          <w:color w:val="auto"/>
        </w:rPr>
        <w:t>” in Part I, Item 1 of this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September 30, 2021, our primary source of liquidity was cash of $1,041.5 million. Changes in the balance of cash are generally a result of working capital fluctuations or the timing of purchases of loans facilitated through our platform. To finance purchases of certain loans facilitated through our platform, we rely on our warehouse credit facility, which allows us to borrow up to an aggregate of $100.0 million through the special-purpose trust, or the warehouse trust. Loans purchased by the trust are classified as held-for-sale and can be sold to third-party investors or in securitization transactions to generate additional liquidity. As of September 30, 2021, the amount borrowed under this credit facility was $1.3 million.</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entered into a warehouse credit facility with a third-party lender through our warehouse trust, which is a consolidated VIE. The warehouse credit facility is used to fund purchases of personal whole loans originated by certain bank partners on our platform; the assets of the warehouse trust secure the borrowings provided by the warehouse lender and are not available to settle claims of our general creditors. The warehouse credit facility was amended and restated in its entirety in May 2020 and further amended in June 2021. The warehouse credit facility, with a borrowing limit of $100.0 million, matures in June 2024 when repayment of any outstanding principal, together with any accrued interest and unpaid interest, is due and payable. As of September 30, 2021, we have borrowed $1.3 million under the warehouse credit facility and may continue to borrow under the warehouse credit facility until June 2023. Our warehouse credit facility bears floating interest rates, payable on a monthly basis, and contain certain financial covenants. Failure to comply with these covenants may result in an acceleration of payment on outstanding principal and accrued interest. As of December 31, 2020 and September 30, 2021, we were in compliance with the applicable covenants under the warehouse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Funding Loan</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obtained financing under a loan and security agreement to fund the purchase of securitization notes and residual certificates issued by certain of our consolidated VIEs in our sponsored securitization transactions. This purchase was made in the amount required to satisfy the requirements of U.S. risk retention regulations. The loan under this agreement bears interest at 4.33% per annum. Interest is paid using cash distributions received monthly on the related securitization notes and residual certificates held by this entity. As of September 30, 2021, the aggregate outstanding principal amount of the loan was $1.8 million. The borrowings are solely obligations of the related consolidated VIE and are not available to satisfy potential claims of our creditors.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and Capped Calls</w:t>
      </w:r>
    </w:p>
    <w:p>
      <w:pPr>
        <w:spacing w:after="0" w:line="23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In August 2021, we issued an aggregate of $661.3 million of the 2026 Notes pursuant to an Indenture, dated August 20, 2021. The Notes were offered and sold in a private offering to qualified institutional buyers pursuant to Rule 144A under the Securities Act of 1933, as amended. The Notes are senior unsecured obligations and bear interest at a rate of 0.25% per year payable semi-annually in arrears on February 15 and August 15 of each year, beginning on February 15, 2022. The 2026 Notes mature on August 15, 2026, unless earlier converted, redeemed or repurchased. In connection with the offering of the Notes, we entered into privately negotiated capped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call instruments, or the Capped Calls. The Capped Calls are expected to reduce the potential dilution to common stock upon any conversion of Notes and/or offset any cash payments we are required to make in excess of the principal amount of converted Notes. See “</w:t>
      </w:r>
      <w:r>
        <w:rPr>
          <w:rFonts w:ascii="Arial" w:cs="Arial" w:eastAsia="Arial" w:hAnsi="Arial"/>
          <w:sz w:val="18"/>
          <w:szCs w:val="18"/>
          <w:i w:val="1"/>
          <w:iCs w:val="1"/>
          <w:color w:val="auto"/>
        </w:rPr>
        <w:t>Note 9. Borrowings</w:t>
      </w:r>
      <w:r>
        <w:rPr>
          <w:rFonts w:ascii="Arial" w:cs="Arial" w:eastAsia="Arial" w:hAnsi="Arial"/>
          <w:sz w:val="18"/>
          <w:szCs w:val="18"/>
          <w:color w:val="auto"/>
        </w:rPr>
        <w:t>” in Part I, Item 1 of this Quarterly Report on Form 10-Q for more details on this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during the years indicated:</w:t>
      </w:r>
    </w:p>
    <w:p>
      <w:pPr>
        <w:spacing w:after="0" w:line="34"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Nine Months Ended</w:t>
      </w:r>
    </w:p>
    <w:p>
      <w:pPr>
        <w:jc w:val="center"/>
        <w:ind w:left="76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4445</wp:posOffset>
            </wp:positionV>
            <wp:extent cx="22542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7"/>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(52,817)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179,497</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127,710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center"/>
              <w:ind w:left="490"/>
              <w:spacing w:after="0"/>
              <w:rPr>
                <w:sz w:val="20"/>
                <w:szCs w:val="20"/>
                <w:color w:val="auto"/>
              </w:rPr>
            </w:pPr>
            <w:r>
              <w:rPr>
                <w:rFonts w:ascii="Arial" w:cs="Arial" w:eastAsia="Arial" w:hAnsi="Arial"/>
                <w:sz w:val="18"/>
                <w:szCs w:val="18"/>
                <w:color w:val="auto"/>
                <w:w w:val="93"/>
              </w:rPr>
              <w:t>(124,101)</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(44,312)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805,032</w:t>
            </w:r>
          </w:p>
        </w:tc>
      </w:tr>
      <w:tr>
        <w:trPr>
          <w:trHeight w:val="223"/>
        </w:trPr>
        <w:tc>
          <w:tcPr>
            <w:tcW w:w="7680" w:type="dxa"/>
            <w:vAlign w:val="bottom"/>
          </w:tcPr>
          <w:p>
            <w:pPr>
              <w:ind w:left="240"/>
              <w:spacing w:after="0"/>
              <w:rPr>
                <w:sz w:val="20"/>
                <w:szCs w:val="20"/>
                <w:color w:val="auto"/>
              </w:rPr>
            </w:pPr>
            <w:r>
              <w:rPr>
                <w:rFonts w:ascii="Arial" w:cs="Arial" w:eastAsia="Arial" w:hAnsi="Arial"/>
                <w:sz w:val="18"/>
                <w:szCs w:val="18"/>
                <w:color w:val="auto"/>
              </w:rPr>
              <w:t>Net increase in cash and restricted cash</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860,428</w:t>
            </w:r>
          </w:p>
        </w:tc>
      </w:tr>
      <w:tr>
        <w:trPr>
          <w:trHeight w:val="20"/>
        </w:trPr>
        <w:tc>
          <w:tcPr>
            <w:tcW w:w="7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sources of cash provided by operating activities are our revenue from fees earned under contracts with bank partners and loan investors and interest income we receive for loans held on our balance sheet.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$179.5 million for the nine months ended September 30, 2021, which primarily consisted of net income before attribution to noncontrolling interests of $76.5 million, $57.0 million increase in net operating assets and liabilities, and stock-based compensation of $50.1 million. The increase in net operating assets and liabilities was mainly related to a $90.5 million increase in net proceeds from loans held-for-sale, $38.8 million increase in payable to investors, and a $29.9 increase in accrued expenses and other liabilities, partially offset by $80.3 million of purchases of loans held-for-sale and $22.8 decrease in other assets.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operating activities was $52.8 million for the nine months ended September 30, 2020, which primarily consisted of a $84.0 million change in net operating assets and liabilities, offset by a change in fair value of financial instruments of $18.8 million, net income before attribution to noncontrolling interests of $4.6 million and stock-based compensation of $7.1 million. The change in fair value of financial instruments was primarily related to a decrease in the fair value of loans. The change in net operating assets and liabilities was mainly related to a $109.1 million increase in purchases of loans held for sale.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$124.1 million for the nine months ended September 30, 2021 as a result of $92.7 million purchase of loans held-for-investment, $40.0 million cash paid for non-marketable equity securities, and cash paid for an acquisition, net of cash acquired, of $16.6 million, partially offset by $23.8 million principal payments received for notes receivable and repayments of residual certificates loans held-for-investment and $10.8 million net proceeds from sale of loans held-for-investment.</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provided by investing activities was $127.7 million for the nine months ended September 30, 2020 as a result of $88.1 million of net proceeds from sale of loans and $36.3 million of principal payments received for loans.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$805.0 million for the nine months ended September 30, 2021 as a result of $645.5 million proceeds from issuance of convertible debt, net of issuance costs and $263.9 million net proceeds from our secondary offering, which was partially offset by $62.5 million payment on borrowings and $58.5 million purchase of capped calls.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$44.3 million for the nine months ended September 30, 2020 as a result of $126.0 million in payment on borrowings and securitization notes and certificates, which was partially offset by $81.8 million in net proceeds from borrowings.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commitments consist of obligations under our loan purchase agreements, debt obligations related to our convertible senior notes, warehouse credit facility and risk retention funding loan, purchase commitment, and operating leases for office spaces. The following table summarizes our contractual obligations as of September 30, 2021 and the timing and effect that such commitments are expected to have on our liquidity and capital requirements in future periods:</w:t>
      </w: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Less than 1 year</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1 to 3 years</w:t>
            </w:r>
          </w:p>
        </w:tc>
        <w:tc>
          <w:tcPr>
            <w:tcW w:w="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3 to 5 years</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10"/>
              <w:spacing w:after="0" w:line="188" w:lineRule="exact"/>
              <w:rPr>
                <w:sz w:val="20"/>
                <w:szCs w:val="20"/>
                <w:color w:val="auto"/>
              </w:rPr>
            </w:pPr>
            <w:r>
              <w:rPr>
                <w:rFonts w:ascii="Arial" w:cs="Arial" w:eastAsia="Arial" w:hAnsi="Arial"/>
                <w:sz w:val="18"/>
                <w:szCs w:val="18"/>
                <w:b w:val="1"/>
                <w:bCs w:val="1"/>
                <w:color w:val="auto"/>
                <w:w w:val="96"/>
              </w:rPr>
              <w:t>More than 5</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Loan purchase obligations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Warehouse credit facility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retention funding loan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669,515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664,556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48,582</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894,586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jc w:val="both"/>
        <w:ind w:left="500" w:hanging="492"/>
        <w:spacing w:after="0" w:line="241" w:lineRule="auto"/>
        <w:tabs>
          <w:tab w:leader="none" w:pos="492"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principal and future interest payments related to the convertible senior notes.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our long-term debt obligations, operating lease obligations and loan repurchase agreement as of September 30, 2021, see “</w:t>
      </w:r>
      <w:r>
        <w:rPr>
          <w:rFonts w:ascii="Arial" w:cs="Arial" w:eastAsia="Arial" w:hAnsi="Arial"/>
          <w:sz w:val="16"/>
          <w:szCs w:val="16"/>
          <w:i w:val="1"/>
          <w:iCs w:val="1"/>
          <w:color w:val="auto"/>
        </w:rPr>
        <w:t>Note</w:t>
      </w:r>
    </w:p>
    <w:p>
      <w:pPr>
        <w:spacing w:after="0" w:line="46" w:lineRule="exact"/>
        <w:rPr>
          <w:sz w:val="20"/>
          <w:szCs w:val="20"/>
          <w:color w:val="auto"/>
        </w:rPr>
      </w:pPr>
    </w:p>
    <w:p>
      <w:pPr>
        <w:ind w:right="20" w:firstLine="8"/>
        <w:spacing w:after="0" w:line="260" w:lineRule="auto"/>
        <w:tabs>
          <w:tab w:leader="none" w:pos="207"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 “</w:t>
      </w:r>
      <w:r>
        <w:rPr>
          <w:rFonts w:ascii="Arial" w:cs="Arial" w:eastAsia="Arial" w:hAnsi="Arial"/>
          <w:sz w:val="18"/>
          <w:szCs w:val="18"/>
          <w:i w:val="1"/>
          <w:iCs w:val="1"/>
          <w:color w:val="auto"/>
        </w:rPr>
        <w:t>Note 12. Leases,</w:t>
      </w:r>
      <w:r>
        <w:rPr>
          <w:rFonts w:ascii="Arial" w:cs="Arial" w:eastAsia="Arial" w:hAnsi="Arial"/>
          <w:sz w:val="18"/>
          <w:szCs w:val="18"/>
          <w:color w:val="auto"/>
        </w:rPr>
        <w:t>” and “</w:t>
      </w:r>
      <w:r>
        <w:rPr>
          <w:rFonts w:ascii="Arial" w:cs="Arial" w:eastAsia="Arial" w:hAnsi="Arial"/>
          <w:sz w:val="18"/>
          <w:szCs w:val="18"/>
          <w:i w:val="1"/>
          <w:iCs w:val="1"/>
          <w:color w:val="auto"/>
        </w:rPr>
        <w:t>Note 13. Commitments and Contingencies</w:t>
      </w:r>
      <w:r>
        <w:rPr>
          <w:rFonts w:ascii="Arial" w:cs="Arial" w:eastAsia="Arial" w:hAnsi="Arial"/>
          <w:sz w:val="18"/>
          <w:szCs w:val="18"/>
          <w:color w:val="auto"/>
        </w:rPr>
        <w:t>,” respectively, in Part I, Item 1 of this Form 10-Q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required by law, we retained at least 5% of the credit risk of the securities issued in these securitizations. We provide additional information regarding transactions with unconsolidated VIEs in “</w:t>
      </w:r>
      <w:r>
        <w:rPr>
          <w:rFonts w:ascii="Arial" w:cs="Arial" w:eastAsia="Arial" w:hAnsi="Arial"/>
          <w:sz w:val="16"/>
          <w:szCs w:val="16"/>
          <w:i w:val="1"/>
          <w:iCs w:val="1"/>
          <w:color w:val="auto"/>
        </w:rPr>
        <w:t>Note 3. Securitizations and Variable Interest Entities</w:t>
      </w:r>
      <w:r>
        <w:rPr>
          <w:rFonts w:ascii="Arial" w:cs="Arial" w:eastAsia="Arial" w:hAnsi="Arial"/>
          <w:sz w:val="16"/>
          <w:szCs w:val="16"/>
          <w:color w:val="auto"/>
        </w:rPr>
        <w:t>” in Part I, Item 1 of this Form 10-Q.</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5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significant accounting policies are described in Part II, Item 7, “</w:t>
      </w:r>
      <w:r>
        <w:rPr>
          <w:rFonts w:ascii="Arial" w:cs="Arial" w:eastAsia="Arial" w:hAnsi="Arial"/>
          <w:sz w:val="16"/>
          <w:szCs w:val="16"/>
          <w:i w:val="1"/>
          <w:iCs w:val="1"/>
          <w:color w:val="auto"/>
        </w:rPr>
        <w:t>Critical Accounting Policies and Estimate</w:t>
      </w:r>
      <w:r>
        <w:rPr>
          <w:rFonts w:ascii="Arial" w:cs="Arial" w:eastAsia="Arial" w:hAnsi="Arial"/>
          <w:sz w:val="16"/>
          <w:szCs w:val="16"/>
          <w:color w:val="auto"/>
        </w:rPr>
        <w:t>s” in our Annual Report on Form 10-K for the year ended December 31, 2020. There have been no material changes in the nine months ended September 30, 2021 to these policies and estimates since our Annual Report on Form 10-K for the year ended December 31, 2020, except for non-marketable equity securities and the estimated fair value of Restricted Stock Units and Employee Stock Purchase Plan purchase rights and policies related to business combinations and goodwill and intangible assets as described in “</w:t>
      </w:r>
      <w:r>
        <w:rPr>
          <w:rFonts w:ascii="Arial" w:cs="Arial" w:eastAsia="Arial" w:hAnsi="Arial"/>
          <w:sz w:val="16"/>
          <w:szCs w:val="16"/>
          <w:i w:val="1"/>
          <w:iCs w:val="1"/>
          <w:color w:val="auto"/>
        </w:rPr>
        <w:t>Note 1. Description of Business and Significant Accounting Policie</w:t>
      </w:r>
      <w:r>
        <w:rPr>
          <w:rFonts w:ascii="Arial" w:cs="Arial" w:eastAsia="Arial" w:hAnsi="Arial"/>
          <w:sz w:val="16"/>
          <w:szCs w:val="16"/>
          <w:color w:val="auto"/>
        </w:rPr>
        <w:t>s” in Part I, Item 1 of this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in Part I, Item 1 of this Form 10-Q for recently adopted accounting pronouncements and recently issued accounting pronouncements not yet adopted as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facilitated through our platform, and availability of funding under our current credit facilities and term loans. Such fluctuations to date have not been significant.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 Rate Risk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Loans at Fair Value</w:t>
      </w:r>
      <w:r>
        <w:rPr>
          <w:rFonts w:ascii="Arial" w:cs="Arial" w:eastAsia="Arial" w:hAnsi="Arial"/>
          <w:sz w:val="17"/>
          <w:szCs w:val="17"/>
          <w:color w:val="auto"/>
        </w:rPr>
        <w:t>—As of December 31, 2020 and September 30, 2021, we were exposed to market discount rate risk on $78.5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$129.6 million, respectively of loans held-for-investment and held-for-sale on our consolidated balance sheets. The fair value of these loans is estimated using a discounted cash flow methodology, where the discount rate represents an estimate of the required rate 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As of December 31, 2020 a hypothetical 100 basis point and 200 basis point increase in discount rate would result in a $1.0 million and $1.9 million decrease, respectively, in the fair value of these loans. As of September 30, 2021, a hypothetical 100 basis point and 200 basis point increase in discount rate would result in a $1.8 million and $3.5 million decrease, respectively, in the fair value of these loans.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Assets related to Securitization Transaction</w:t>
      </w:r>
      <w:r>
        <w:rPr>
          <w:rFonts w:ascii="Arial" w:cs="Arial" w:eastAsia="Arial" w:hAnsi="Arial"/>
          <w:sz w:val="17"/>
          <w:szCs w:val="17"/>
          <w:color w:val="auto"/>
        </w:rPr>
        <w:t>s—As of December 31, 2020 and September 30, 2021, we were exposed to discount rate risk on $19.1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$10.5 million, respectively of notes receivable and residual certificates. We assess the sensitivity of securitization notes and residual certificates by reviewing the average impact across all securitization transactions. As of December 31, 2020, a hypothetical 100 basis point and 200 basis point increase in discount rates would result in a decrease in fair value of these securities of 1.23% and 2.36%, respectively, on average across all securitizations. As of September 30, 2021, a hypothetical 100 basis point and 200 basis point increase in discount rates would result in a decrease in fair value of these securities of 0.77% and 1.53% respectively, on average across all securitizations.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Loans, at Fair Value</w:t>
      </w:r>
      <w:r>
        <w:rPr>
          <w:rFonts w:ascii="Arial" w:cs="Arial" w:eastAsia="Arial" w:hAnsi="Arial"/>
          <w:sz w:val="16"/>
          <w:szCs w:val="16"/>
          <w:color w:val="auto"/>
        </w:rPr>
        <w:t>—As of December 31, 2020 and September 30, 2021, we were exposed to credit risk on $78.5 million and $129.6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loans in held-for-investment and held-for-sale in our consolidated balance sheet. These loans bear fixed interest rates and are carried on our consolidated balance sheets at fair value. As of December 31, 2020, a hypothetical 10% and 20% increase in credit risk would result in a $1.3 million and $2.6 million decrease, respectively, in the fair value of loans held-for-investment (excluding loans held as collateral by consolidated securitizations). As of September 30, 2021, a hypothetical 10% and 20% increase in credit risk would result in a $2.0 million and $3.9 million decrease,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Assets related to Securitization Transactions</w:t>
      </w:r>
      <w:r>
        <w:rPr>
          <w:rFonts w:ascii="Arial" w:cs="Arial" w:eastAsia="Arial" w:hAnsi="Arial"/>
          <w:sz w:val="18"/>
          <w:szCs w:val="18"/>
          <w:color w:val="auto"/>
        </w:rPr>
        <w:t>— Transactions—As of December 31, 2020 and September 30, 2021, we were exposed to discount</w:t>
      </w:r>
      <w:r>
        <w:rPr>
          <w:rFonts w:ascii="Arial" w:cs="Arial" w:eastAsia="Arial" w:hAnsi="Arial"/>
          <w:sz w:val="18"/>
          <w:szCs w:val="18"/>
          <w:i w:val="1"/>
          <w:iCs w:val="1"/>
          <w:color w:val="auto"/>
        </w:rPr>
        <w:t xml:space="preserve"> </w:t>
      </w:r>
      <w:r>
        <w:rPr>
          <w:rFonts w:ascii="Arial" w:cs="Arial" w:eastAsia="Arial" w:hAnsi="Arial"/>
          <w:sz w:val="18"/>
          <w:szCs w:val="18"/>
          <w:color w:val="auto"/>
        </w:rPr>
        <w:t>rate risk on $19.1 million and $10.5 million, respectively of notes receivable and residual certificates.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issued in the securitizations are senior or subordinated based on the waterfall criteria of loan payments to each security class, with the residual interest, or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14% decrease in the fair value of the residual certificates. The remaining classes of securities, with the exception of those in the August 2018 securitization transaction, are all overcollateralized such that changes in credit risk rates are not expected to have significant impacts on their fair values.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and September 30, 2021, we are exposed to credit risk of $311.3 million and $1,171.8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borrowers and their ability and willingness to borrow money. Higher interest rates often lead to higher payment obligations, which may reduce the ability of individual borrowers to remain current on their obligations to our bank partners and, therefore, lead to increased delinquencies, defaults, customer bankruptcies and charge-offs, and decreasing recoveries, all of which could have a material adverse effect on our business.</w:t>
      </w:r>
    </w:p>
    <w:p>
      <w:pPr>
        <w:spacing w:after="0" w:line="21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Term Loan, Warehouse Credit Facility and Revolving Credit Facilit</w:t>
      </w:r>
      <w:r>
        <w:rPr>
          <w:rFonts w:ascii="Arial" w:cs="Arial" w:eastAsia="Arial" w:hAnsi="Arial"/>
          <w:sz w:val="16"/>
          <w:szCs w:val="16"/>
          <w:color w:val="auto"/>
        </w:rPr>
        <w:t>y—As of December 31, 2020, we were exposed to interest rate risk on $55.5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under the term loan, warehouse credit facility, and revolving credit facility arrangements, which bear floating interest rates. As of September 30, 2021, we were exposed to interest rate risk on $1.3 million under our warehouse credit facility, which bears a floating interest rate. Changes in interest rates may impact our cost of borrowing. From time to time, we enter into interest rate hedges in connection with our warehouse credit facilities.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or failure to manage market risks could harm our business, financial condition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Risk</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non-marketable equity securities are subject to a wide variety of market-related risks that could substantially reduce or increase the carrying value of our investment.</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non-marketable equity investment is in equity securities of a privately-held company without a readily determinable fair value. We elected to account for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 and the extent to which those differences would affect the fair values of the investment. We also assess non-marketable equity securities for impairment on a quarterly basis. Our impairment analysis encompasses an assessment of both qualitative and quantitative factors including the investee's financial metrics, market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investee's product or technology, general market conditions and liquidity considerations. Adjustments and impairments are recorded in other income (expense), net on the condensed consolidated statements of operations and comprehensive income upon recognition of such adjustments or impairments. As of September 30, 2021, the carrying value of our non-marketable equity securities, which do not have a readily determinable fair value totaled $40.0 million. We had no such securities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with the participation and supervision our Chief Executive Officer and Chief Financial Officer, have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September 30, 2021,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September 30, 2021 that has materially affected, or is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Controls and Procedures</w:t>
      </w:r>
    </w:p>
    <w:p>
      <w:pPr>
        <w:spacing w:after="0" w:line="2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OTHER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of our material pending legal proceedings, please see “</w:t>
      </w:r>
      <w:r>
        <w:rPr>
          <w:rFonts w:ascii="Arial" w:cs="Arial" w:eastAsia="Arial" w:hAnsi="Arial"/>
          <w:sz w:val="18"/>
          <w:szCs w:val="18"/>
          <w:i w:val="1"/>
          <w:iCs w:val="1"/>
          <w:color w:val="auto"/>
        </w:rPr>
        <w:t>Note 13. Commitments and Contingencie</w:t>
      </w:r>
      <w:r>
        <w:rPr>
          <w:rFonts w:ascii="Arial" w:cs="Arial" w:eastAsia="Arial" w:hAnsi="Arial"/>
          <w:sz w:val="18"/>
          <w:szCs w:val="18"/>
          <w:color w:val="auto"/>
        </w:rPr>
        <w:t>s” in Part I, Item 1 of this Form 10-Q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 FACTORS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material risks that may affect our business, financial condition or results of operations include, but are not limited to, those relating to the following:</w:t>
      </w:r>
    </w:p>
    <w:p>
      <w:pPr>
        <w:spacing w:after="0" w:line="62" w:lineRule="exact"/>
        <w:rPr>
          <w:sz w:val="20"/>
          <w:szCs w:val="20"/>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are a rapidly growing company with a relatively limited operating history, which may result in increased risks, uncertainties, expenses and difficulties, and makes it difficult to evaluate our future prospects.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revenue growth rate and financial performance in recent periods may not be indicative of future performance and such growth may slow over time.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COVID-19 pandemic has harmed our business, financial condition and results of operations and the duration and extent to which it will impact our future results of operations and overall financial performance remains uncertain.</w:t>
      </w:r>
    </w:p>
    <w:p>
      <w:pPr>
        <w:spacing w:after="0" w:line="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we fail to effectively manage our growth, our business, financial condition and results of operations could be adversely affected.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incurred net losses in the past, and we may not be able to maintain or increase our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results are likely to fluctuate and as a result may adversely affect the trading price of our common stock.</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Cross River Bank and one other bank partner account for a substantial portion of the total number of loans facilitated by our platform and our revenue.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sales and onboarding process of new bank partners could take longer than expected, leading to fluctuations or variability in expected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business may be adversely affected by economic conditions and other factors that we cannot control.</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evaluate and potentially consummate acquisitions or investments in complementary businesses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we are unable to maintain a diverse and robust loan funding program, our growth prospects, business, financial condition and results of operations could be adversely affected.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rapidly growing company with a relatively limited operating history, which may result in increased risks, uncertainties, expenses and difficulties, and makes it difficult to evaluate our future prospects.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1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and increase the volume of loans facilitated by our AI lending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 into new and maintain existing bank partnerships;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successfully fund a sufficient quantity of our borrower loan demand with low cost bank funding to help keep interest rates offered to borrowers competitive;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successfully build our brand and protect our reputation from negative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the effectiveness of our marketing strategies, including our direct consumer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expand the number of potential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successfully adjust our proprietary AI models, products and services in a timely manner in response to changing macroeconomic conditions and fluctuations in the credit market;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comply with and successfully adapt to complex and evolving regulatory environments;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protect against increasingly sophisticated fraudulent borrowing and online theft;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into new markets and introduce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successfully obtain and maintain funding and liquidity to support continued growth and general corporate purposes;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realize the anticipated benefits of our acquisitions of or investments in complementary businesses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attract, integrate and retain qualified employees;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effectively manage and expand the capabilities of our operations teams, outsourcing relationships and other business operations.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not able to timely and effectively address these risks and difficulties as well as those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our business and results of operations may be harmed.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revenue growth rate and financial performance in recent years may not be indicative of future performance and such growth may slow over time.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grown rapidly over the last several years, and our recent revenue growth rate and financial performance may not be indicative of our future performance. In the nine months ended September 30, 2020 and 2021, our revenue was $146.7 million, and $543.7 million, respectively, representing a period-over-period growth rate of 271%. You should not rely on our revenue for any previous quarterly or annual period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69% during both the nine months ended September 30, 2020 and 2021. We expect the Percentage of Loans Fully Automated to level off and remain relatively stable in the long term; however the expansion of our loan offerings beyond unsecured personal loans, including auto loans, may cause fluctuations of such percentage from period to period depending on loan offering mix. As a result of these factors, our revenue growth rates may slow, and our financial performance may be adversely affected.</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has harmed, and could continue to harm, our business, financial condition and results of operations and the duration and extent to which it will impact our future results of operations overall financial performance remains uncertain.</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 In particular, the impact of the COVID-19 pandemic on the finances of borrowers on our platform has been profound, as many have been, and despite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widespread vaccination efforts in the United States may continue to be, impacted by unemployment, reduced earnings and/or elevated economic disruption and insecurity. For example, the Delta variant of COVID-19, which appears to be the most transmissible variant to date, has spread in the United States. The impact of the Delta variant, or future variants, cannot be predicted at this time, and could depend on numerous factors, including vaccination rates among the population, the effectiveness of COVID-19 vaccines against such variant and the response by governmental bodies and regulators.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continuing crisis and the magnitude and duration of the resulting fluctuations in business activity cannot currently be estimated with any degree of certainty and has had several effects on our business and results of operations, including, among other things:</w:t>
      </w:r>
    </w:p>
    <w:p>
      <w:pPr>
        <w:spacing w:after="0" w:line="6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temporary decreases in origination volumes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for increased losses for new and existing Upstart-powered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temporary reduction in the availability of loan funding from institutional investors and the capital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restricted sales operations and marketing efforts, and a reduction in the effectiveness of such efforts in some cases.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impact of the COVID-19 pandemic, we undertook a number of initiatives to support borrowers on our platform who suffered income loss or other hardships as a result of the pandemic. We worked with our bank partners to offer revised hardship and temporary relief plans to support borrowers impacted by the COVID-19 pandemic and adjust credit and underwriting processes and standards. While these changes to our hardship and temporary relief plans were designed to help borrowers impacted by the COVID-19 pandemic, the changes were implemented quickly and may not have had all the intended effects or desired impact. We continue to monitor the situation, assess possible implications to our business and take appropriate actions in an effort to mitigate the adverse consequences of the COVID-19 pandemic. However, there can be no assurances that the initiatives we take will be sufficient or successful.</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took precautionary measures intended to reduce the risk of the virus spreading to our employees, bank partners, vendors, and the communities in which we operate, including temporarily closing our offices and virtualizing, postponing, or canceling partner bank, employee, or industry events, which may negatively impact our business. Furthermore, as a result of the COVID-19 pandemic, we required all employees who were able to do so to work remotely through the end of the second quarter of 2021 and intend to continue to allow most employees the flexibility to work remotely going forward under our Digital First work model. It is possible that widespread remote work arrangements may have a negative impact on our business. See the risk factor titled “—We have a limited history of operating with a Digital First workforce and the long-term impact on our business, financial condition and results of operations is uncertain.”</w:t>
      </w: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 in response to the market conditions caused by the COVID-19 pandemic, we made certain operational changes, including temporary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The extent to which the COVID-19 pandemic continues to impact our business and results of operations will also depend on future developments that are highly uncertain and cannot be predicted, including the emergence of new COVID-19 variants, future spikes of COVID-19 infections resulting in additional preventive measures to contain or mitigate the spread of the virus, the impact on businesses and financial and capital markets, the extent and effectiveness of containment actions, the administration and efficacy of vaccination programs with respect to the prevalent COVID-19 variants or variant strains that will emerge in the future and the impact of further shelter-in-place or other government restrictions that may be imposed.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“Risk Factors”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effectively manage our growth, our business, financial condition and results of operations could be adversely affected.</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Over the last several years, we have experienced rapid growth in our business and the Transaction Volume, Number of Loans on our AI lending platform, and we expect to continue to experience growth in the future. The Transaction Volume, Number of Loans on our platform increased from 176,983 in the nine months ended September 30, 2020 to 819,386 in the nine months ended September 30, 2021, representing a compound annual growth rate of 363%.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net losses in the past, and we may not be able to maintain or increase our profitability in the future.</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nine months ended September 30, 2020 and 2021 we experienced net income of $5.0 million and $76.5 million, respectively.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results of operations, including the levels of our revenue, net income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7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attract new bank partners and investors of our loan funding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bank partners and investors of our loan funding programs;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maintain or increase loan volumes, and improve loan mix and the channels through which the loans, bank partners and loan funding are sourced;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maintain effective relationships with loan aggregators from which prospective borrowers access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and tightening of credit markets, including due to the ongoing economic impact of the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improvements to our AI models that negatively impact transaction volume, such as lower approval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identify and prevent fraudulent activity and the impact of fraud prevention measures;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success of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effectiveness of our direct marketing and other marketing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cost of borrowing money and access to loan funding sources;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and extent of loans facilitated on our platform that are subject to loan modifications and/or temporary assistance due to disasters or emergencies;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and extent of prepayments of loans facilitated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fair value of assets and liabilities on our balance sheet;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involvement in litigation or regulatory enforcement efforts (or the threat thereof) or those that impact our industry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length of the onboarding process related to acquisitions of new bank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or the development of competitive products by larger well-funded incumbents.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we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has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Additionally, in the third quarter of 2021, we made changes to our AI models in response to an increase in fraudulent activity on our 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nine months ended September 30, 2021, approximately 95% of our revenue was generated from platform, referral and servicing fees that we receive from our bank partners. If any of our bank partners 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entered into separate agreements with each of our bank partners. Our agreements with our bank partners are nonexclusive, generally have 12-month terms that automatically renew, subject to certain early termination provisions and minimum fee amounts, and do not include any minimum origination obligations or origination limits.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bank partners may retain loans for their own customer base and balance sheet.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Cross River Bank and one other bank partner account for a substantial portion of the total number of loans facilitated by our platform and our revenue.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Cross River Bank, or CRB, a New Jersey-chartered community bank, originates a substantial majority of the loans on our platform. In the nine months ended September 30, 2020 and 2021, CRB originated approximately 72% and 58%, respectively, of the Transaction Volume, Number of Loans. CRB also accounts for a large portion of our revenues. In the nine months ended September 30, 2020 and 2021, fees received from CRB accounted for 65% and 59%,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nine months ended September 30, 2020 and 2021, one of our other bank partners originated approximately 19% and 34% of the Transaction Volume, Number of Loans, respectively. In the nine months ended September 30, 2020 and 2021, the fees received from this bank partner accounted for approximately 15% and 25% of our total revenue,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sales and onboarding process of new bank partners could take longer than expected, leading to fluctuations or variability in expected revenues and results of operations.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sales and onboarding process with new bank partners can be long and take up to 15 months. As a result, revenues and results of operations may vary significantly from period to period. Prospective bank partners are often cautious in making decisions to implement our platform and related services because of the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and/or hardware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affected by economic conditions and other factors that we cannot control.</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 policies, gas prices, energy costs, government shutdowns, trade wars and delays in tax refunds, as well as events such as natural disasters, acts of war, terrorism, catastrophes and pandemics.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response to the initial outbreak of the COVID-19 pandemic, bank partners tightened their credit requirements or paused originations, and investors in our loan funding programs temporarily suspended making investments in Upstart-powered loans.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example, the onset of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return to pre-pandemic levels in the near term. The increase in the unemployment rate and other adverse economic effects caused by the COVID-19 pandemic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unable to more successfully predict the creditworthiness of potential borrowers compared to other lenders, then our business, financial condition and results of operations could be adversely affected.</w:t>
      </w:r>
    </w:p>
    <w:p>
      <w:pPr>
        <w:spacing w:after="0" w:line="18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Furthermore, the COVID-19 pandemic caused some borrowers on our platform to request a temporary extension or modification of the payment schedules of their loans under the temporary relief or loan modification programs, or hardship programs, offered by our bank partners and investors in our loan funding programs. In the future, our bank partners and investors may offer additional hardship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In addition, the fair value of the loans on our balance sheet may decline. Any of these factors could adversely affect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no-action letter regarding the use of our Al model to underwrite and price unsecured closed-end loans. The current no-action letter expires on November 30, 2023, unless terminated by the CFPB earlier for one of the bases provided for by the no-action letter, and we can provide no assurance that the CFPB will continue to permit us to operate under its current no-action letter policies beyond that date, or will not change its position regarding supervisory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enforcement action against us in the future. Further, this no-action letter does not extend to other credit products offered on Upstart’s platform.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the Equal Credit Opportunity Act, or ECOA. Further, the recently appointed CFPB Director indicated in remarks in October 2021 that safeguarding against algorithmic bias is a priority for the CFPB under the new leadership. 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2020, we expanded the type of loan products offered on our platform to include auto loans, however the vast majority of loan originations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For example, in 2020, FICO changed its methodology in calculating credit scores in a manner that potentially penalizes borrowers who take out personal loans to pay off or consolidate credit card debt. This change could negatively affect the overall demand for personal loans.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 and decreased demand by our bank partners and institutional investors to fund loans facilitated by our platform, which would adversely affect our business, financial condition and results of operations.</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2020, we began offering auto loans and a credit decision application programming interface to allow our bank partners to utilize our AI underwriting models to support their loan origination process for personal, auto, and student loans. We are continuing to invest in developing new loan products and service offerings, which may include credit cards, mortgages, student loans, small business loans, point-of-sale loans and HELOCs.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20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2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19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Artificial intelligence and related technologies are subject to public debate and heightened regulatory scrutiny. For example, the recently appointed CFPB Director indicated in remarks in October 2021 that safeguarding against algorithmic bias is a priority for the CFPB under the new leadership.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will also prepare and make public periodic reports, the first of which was published on April 14, 2021, that summarize any general findings, recommendations and best practices, as well as any aspects of our AI model that raise particular fair lending concerns or implicate novel insights on educational equity that serve the public interest. While we will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raise questions about the use of AI or otherwise be viewed negatively for any reason, or if the third-party firm 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Harm to our reputation can also arise from many other sources, including employee or former employee misconduct, misconduct by outsourced service providers or other counterparties, failure by us or our bank partners to meet minimum standards of service and quality, and inadequate protection of borrower information and compliance failures and claims. If we are unable to protect our reputation, our business, financial condition and results of operations would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loan funding programs. For example, in the third quarter of 2021, we experienced a temporary increase in fraudulent activity.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of borrowers’ confidential information that we store may harm our reputation, adversely affect our results of operations and expose us to liability.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Digital First working environment could increase the risk of a security breach. Significant disruptions of our, our bank partners and third-party vendors’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Thus far,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75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at points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primarily rely on a small number of third party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21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we recently completed the acquisition of Prodigy. The identification of suitable acquisition candidates can be difficult, time-consuming, and costly, and we may not be 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successfully complete identified acquisitions. In the future, we may acquire assets or businesses. The risks we face in connection with acquisitions include:</w:t>
      </w:r>
    </w:p>
    <w:p>
      <w:pPr>
        <w:spacing w:after="0" w:line="6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utilization of our financial resources for acquisitions or investments that may fail to realize the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coordination of technology, product development and sales and marketing functions and integration of administrative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transition of the acquired company’s borrowers to our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attracting financing;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write-offs of loans or intangibles or other assets acquired in such transactions that may have an adverse effect on our results of operations in a given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or increase our risk for liability;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Borrowers may prepay a loan at any time without penalty, which could reduce our servicing fees and deter our bank partners and investors from investing in loans facilitated by our platform.</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bank-branded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We have a limited history of operating with a Digital First workforce, and the long-term impact on our business, financial condition and results of operations is uncertain.</w:t>
      </w:r>
    </w:p>
    <w:p>
      <w:pPr>
        <w:spacing w:after="0" w:line="193"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In June 2021, we announced a new Digital First work model pursuant to which remote work with less time in the office will become the primary experience for most of our employees, and we expect that our workforce will become more distributed over time. However, we have a limited history of operating with a Digital First workforce and, although we anticipate that this shift will have a long-term positive impact on our business, financial condition and results of operations, the impact remains uncertain. There is no guarantee that we will realize any anticipated benefits to our business from this model, including cost savings, operational efficiencies, or productivity.</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shift to a Digital First model could have a negative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risks of natural disasters and other catastrophic events, and to interruption by man-made problems.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had a significant impact on the global economy and consumer confidence. Although people in the United States began to receive vaccines in December 2020, a significant number of people have not yet been vaccinated and it is not clear whether or when a significant number of people will receive the vaccines. New variants of the virus that cause COVID-19 have been identified around the world and such variants may reduce the effectiveness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COVID-19 vaccines. The presence of such variants in the United States may lead to a resurgence of COVID-19 cases and deaths. In the event that such a COVID-19 resurgence occurs, it could adversely impact the economy and negatively impact consumer confidence, and could negatively impact our operations and our platform, which could seriously harm our business. In addition, it is possible that continued widespread remote work arrangements may have a negative impact on our operations, the execution of our business plans, the productivity and availability of key personnel and other employees necessary to conduct our business, or otherwise cause operational failures. Additionally, remote work arrangements may make it more difficult to scale our operations efficiently, as the recruitment, onboarding and training of new employees may be prolonged or delayed.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Further, one of our headquarters is located in the San Francisco Bay Area, a region known for seismic activity and wildfires, and our other headquarters is located in Columbus, Ohio, a region subject to blizzards.</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acts of war and other armed conflicts, disruptions in global trade, travel restrictions and quarantines, terrorism and other civil, political and geo-political unrest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common stock. We will lose our “emerging growth company” status on the last date of our fiscal year ending December 31, 2021.</w:t>
      </w:r>
    </w:p>
    <w:p>
      <w:pPr>
        <w:spacing w:after="0" w:line="18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0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have implemented “sell-to-cover” in which shares of our common stock are sold into the market on behalf of RSU holders upon vesting of RSUs to cover tax withholding liabilities and such sales will result in dilution to our stockholders.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U.S. tax laws, employment tax withholding and remittance obligations for restricted stock units 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will be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but do cause dilution to our stockholders and, to the extent a large number of shares are sold in connection with any vesting event, such sales volume may cause our price to fluctuate.</w:t>
      </w:r>
    </w:p>
    <w:p>
      <w:pPr>
        <w:spacing w:after="0" w:line="200" w:lineRule="exact"/>
        <w:rPr>
          <w:sz w:val="20"/>
          <w:szCs w:val="20"/>
          <w:color w:val="auto"/>
        </w:rPr>
      </w:pPr>
    </w:p>
    <w:p>
      <w:pPr>
        <w:spacing w:after="0" w:line="21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platform and internal systems rely on software that is highly technical, and if our software contains undetected errors, our business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present or properly display regulatory disclosures to applicants for an extended period of time,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aspects of our business processes include open source software, and any failure to comply with the terms of one or more of these open source licenses could negatively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open source licenses contain requirements that we make source code available at no cost for modifications or derivative works we create based upon the type of open source software we use.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risks related to license requirements, the use of open source software can lead to greater risks than the use of third-party commercial software, as open source licensors generally do not provide warranties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 significant number of consumers that apply for a loan on Upstart.com learn about and access Upstart.com through the website of a loan aggregator, typically with a hyperlink from such loan aggregator’s website to a landing page on our website. For example, the nine months ended September 30, 2020 and 2021, 52% and 44%, respectively, of loan originations were derived from traffic from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in 2020, Credit Karma began directing more customer traffic to a program that hosts and aggregates the credit models of other loan providers directly on its platform for the purpose of giving credit offers. In late 2020, we experienced a reduction in the number of loan applicants directed to the Upstart platform by Credit Karma and a corresponding decrease in the number of loans originated on our platform because we had limited participation in this program. If traffic from Credit Karma decreases again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2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Most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agreement was enforceable to displace New York usury law and class certification, the parties settled the matter in 2019.</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Maine recently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For example, Hawaii recently broadened its oversight of installment lenders, and other states may take different paths to promulgate similar “true lender” restrictions, and if not through a legislative path, impacted parties may have little to no advance notice of new restrictions and compliance obligations.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4"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for allegedly deceptively marketing high-cost loans with interest rates above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Washington, DC usury cap. The usury claim is based on an allegation that Elevate, which was not licensed in Washington, DC, and not its partner bank, originated these loans, and were therefore in violation of the state’s usury laws. Additionally, on April 5, 2021, the Washington DC Attorney General filed a similar complaint against online lender Opportunity Financial, LLC, alleging that it rather than a bank originated these loans and the loans were therefore in violation of Washington, DC usury laws. The Maryland Office of the Commissioner of Financial Regulation also recently alleged in the context of a civil suit that a state chartered bank and its fintech partners engaged in a bank partnership program that violated various state licensing and credit statutes.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Cross River Bank (Case No. GD-21-007229). There is an ongoing risk that government agencies and private plaintiffs will seek to challenge these types of relationships.</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 We have also taken additional steps to facilitate compliance with that above-described law recently enacted in Maine.</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capped call transactions may affect the value of our common stock.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issuance of the Notes (as defined below), we entered into capped call transactions with the counterparties. The capped call transactions cover, subject to customary adjustments, the number of shares of our common stock initially underlying the Notes. The capped call transactions are expected generally to reduce the potential dilution to our common stock upon any conversion of the Notes and/or offset any cash payments we are required to make in excess of the principal amount of converted Notes, as the case may be.</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could also cause or prevent an increase or a decrease in the market price of our common stock 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5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do-not-call, credit reporting and collections.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improvement efforts,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of our agreements used in the course of our business include arbitration clauses. If our arbitration agreements were to become unenforceable for any reason, we could experience an increase to our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litigation costs and exposure to potentially damaging class action lawsuits, with a potential material adverse effect on our business and results of operations.</w:t>
      </w:r>
    </w:p>
    <w:p>
      <w:pPr>
        <w:spacing w:after="0" w:line="2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or facilitate compliance with a variety of federal, state, and local laws, including those related to consumer protection and loan financings.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originating bank partners. For example, the recently appointed CFPB Director indicated in remarks in October 2021 that safeguarding against algorithmic bias is a priority for the CFPB under the new leadership. These regulators may augment requirements that apply to loans facilitated by our platform, or impose new programs and restrictions, including forbearance initiatives related to the COVID-19 pandemic, and could otherwise revise or create new regulatory requirements that apply to us (or our bank partners), impacting our business, operations, and profitability.</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state laws generally regulate interest rates and other charges and require certain disclosures. In addition, other federal and state laws may apply to the origination, servicing and collection of loans originated on our platform, the purchase and sale of whole loans or asset-backed securitizations. In particular, certain laws, regulations and rules we or our bank partners are subject to include:</w:t>
      </w:r>
    </w:p>
    <w:p>
      <w:pPr>
        <w:spacing w:after="0" w:line="76" w:lineRule="exact"/>
        <w:rPr>
          <w:sz w:val="20"/>
          <w:szCs w:val="20"/>
          <w:color w:val="auto"/>
        </w:rPr>
      </w:pPr>
    </w:p>
    <w:p>
      <w:pPr>
        <w:jc w:val="both"/>
        <w:ind w:left="660" w:hanging="328"/>
        <w:spacing w:after="0" w:line="279"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63"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on the basis of information from consumer reports, addressing risks of identity theft and fraud and protecting the privacy and security of consumer reports and consumer report information;</w:t>
      </w:r>
    </w:p>
    <w:p>
      <w:pPr>
        <w:spacing w:after="0" w:line="62" w:lineRule="exact"/>
        <w:rPr>
          <w:sz w:val="20"/>
          <w:szCs w:val="20"/>
          <w:color w:val="auto"/>
        </w:rPr>
      </w:pPr>
    </w:p>
    <w:p>
      <w:pPr>
        <w:jc w:val="both"/>
        <w:ind w:left="6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2" w:lineRule="exact"/>
        <w:rPr>
          <w:rFonts w:ascii="Arial" w:cs="Arial" w:eastAsia="Arial" w:hAnsi="Arial"/>
          <w:sz w:val="18"/>
          <w:szCs w:val="18"/>
          <w:color w:val="auto"/>
        </w:rPr>
      </w:pPr>
    </w:p>
    <w:p>
      <w:pPr>
        <w:ind w:left="660" w:right="160" w:hanging="328"/>
        <w:spacing w:after="0"/>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80"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6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2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 to Financial Privacy Act and similar state laws enacted to provide the financial records of financial institution customers a reasonable amount of privacy from government scrutiny;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Bank Secrecy Act and the USA PATRIOT Act, which relate to compliance with anti-money laundering, borrower due diligence and record-keeping policies and procedures;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state-specific and local laws and regulations.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on March 23,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Internet-based loan origination processes may give rise to greater risks than paper-based processes and may not always be allowed under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auto loans issued under our new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as well as to our banking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banking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on-site examinations of our business on a periodic basis if the CFPB were to determine, through its complaint system, that we were engaging in activities that pose risks to consumers.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other credit products offered on Upstart’s platform.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new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newly appointed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 heightened enforcement risk by the CFPB.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Based upon statements by FTC officials, we believe this scrutiny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2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The CPRA creates obligations relating to consumer data beginning on January 1, 2022, with implementing regulations expected on or before July 1, 2022, and enforcement beginning July 1, 2023. Following the enactment of the CCPA, in 2021, Virginia enacted the Virginia Consumer Data Protection Act of 2021, or VCDPA, and Colorado enacted the Colorado Privacy Act, or CPA. Several other states are considering enacting similar legislation. Additionally, other U.S. states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 the regulatory framework for artificial intelligence and machine learning technology evolves, our business, financial condition and results of operations may be adversely affected.</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our transactions with investors in our loan funding programs are found to have been conducted in violation of the Securities Act or similar state law, or we have generally violated any applicable law,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obtain financing for loans facilitated through our platform could be materially adversely affected, and we could be subject to private or regulatory actions.</w:t>
      </w:r>
    </w:p>
    <w:p>
      <w:pPr>
        <w:spacing w:after="0" w:line="2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required to register with the SEC or under state securities laws as a broker-dealer, our ability to conduct business could be materially adversely affected.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who contribute loans to the transactions receive cash and/or securities representing equity interests in such SPE, which are the proceeds from the sale of the securities. The equity interests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periods of financial disruption, such as the financial crisis that began in 2008 and the COVID-19 pandemic that began in early 2020, the securitization market has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of operations. If we are unable to access such financing, our ability to originate loans and our results of operations, financial condition and liquidity would be materially adversely affected.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gain on sale and related servicing fees generated by our whole loan sales, and the servicing fees based on sales of asset-backed securities and interests in our legacy fractional loan program, also represent a significant source of our earnings. We cannot assure you that our loan purchasers will continue to purchase loans or interests in loans on our platform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80" w:lineRule="exact"/>
        <w:rPr>
          <w:sz w:val="20"/>
          <w:szCs w:val="20"/>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extent to which servicing fees and other expenses may reduce overall net return on purchased pools of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actual or perceived credit performance and loan grade and term mix of the portfolios of loans offered for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loan purchasers’ sector and company investment diversification requirements and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higher yielding investment opportunities at a risk profile deemed similar to our sold loan portfolios;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borrower prepayment behavior within the underlying pools;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or investment practices related to maintaining net asset value, mark-to-market and similar metrics surrounding pools of purchased loans; and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ability of our loan purchasers to access funding and liquidity channels, including securitization markets, on terms they find acceptable to deliver an appropriate return net of funding costs, as well as general market trends that affect the appetite for loan financing investments.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0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RISKS RELATED TO LOAN FUNDING AND INDEBTEDNESS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maintain a diverse and robust loan funding program, our growth prospects, business, financial condition and results of operations could be adversely affected.</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business depends on sourcing and maintaining a diverse and robust loan funding program to fund Upstart-powered loans that our bank partners are unable or unwilling to retain on their balance sheets. Our loan funding program includes whole loan sales to institutional investors, asset-backed securitization transactions, and utilization of committed and uncommitted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 events of default or breaches of financial, performance or other covenants, or worse than expected performance of certain pools of loans underpinning our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credit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loan funding programs, including asset-backed securitizations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September 30, 2021, the number of repurchased Upstart-powered loans as a result of inaccurate representations and warranties represents less than 0.22% of all Upstart-powered loans. While only a small number of Upstart-powered loans have been historically repurchased by us, there can be no assurance that we would have adequate cash or other qualifying assets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unsecured senior corporate debt currently has no rating, and we have never issued unsecured debt securities in the capital markets. Asset-backed securities sponsored or co-sponsored by us are currently rated by a limited number of debt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borrowings under our warehouse credit facility to fund certain aspects of our operations, and any inability to meet our obligations as they come due or to comply with various covenants could harm our business.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through our warehouse trust special purpose entities, have entered into a warehouse credit facility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our warehouse credit facility, we may borrow up to $100.0 million until June 2023, and any outstanding principal, together with any accrued and unpaid interest, are due and payable by the warehouse trust special purpose entity in June 2024. As of September 30, 2021, the amount borrowed under this credit facility was $1.3 million, and $2.4 million of aggregated fair value of loans purchased were pledged as collateral.</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warehouse credit facility imposes operating and financial covenants on the warehouse trust special purpose entity, and under certain events of default, the lender could require that all outstanding borrowings become immediately due and payable or terminate their agreement with us. We have in the past, and may in the future, fail to comply with certain operating or financial covenants in our warehouse credit facility, requiring a waiver from our lenders. If we are unable to repay our obligations at maturity or in the event of default, the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On March 5, 2021, the FCA announced that all LIBOR settings will either cease to be provided by any administrator, or no longer be representative immediately after December 31, 2021, for all GBP, EUR, CHF and JPY LIBOR settings and one-week and two-month US dollar LIBOR settings, and immediately after June 30, 2023 for the remaining US dollar LIBOR settings, including three-month US dollar LIBOR.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In particular, the interest rate of borrowings under our warehouse credit facilities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19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in August 2021, we issued $661.3 million aggregate principal amount of 0.25% convertible senior notes due 2026, or Notes (including the exercise in full of the initial purchasers’ option of an additional $86.3 million aggregate principal of additional Notes). We may not have the ability to raise the funds necessary to settle conversions of the Notes in cash, to repurchase the Notes upon a fundamental change or to repay the Notes in cash at their maturity (if not earlier converted, redeemed or repurchased), and our future debt may contain limitations on our ability to pay cash upon the conversion of the Notes at their maturity or to repurchase the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not have sufficient funds to repay the indebtedness and repurchase the Notes or pay cash with respect to Notes being converted or at maturity of the Notes.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the indenture for the Notes may deter or prevent a business combination that may be favorable to you.</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accounting method for the Notes could adversely affect our financial condition and operating results.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August 2020, the Financial Accounting Standards Board published an Accounting Standards Update, or ASU 2020-06, which amends the accounting standards for convertible debt instruments that may be settled entirely or partially in cash upon conversion. ASU 2020-06 eliminates requirements to separately account for liability and equity components of such convertible debt instruments, unless the conversion feature is required to be bifurcated and accounted for as a derivative or the debt is issued at a substantial premium, and eliminates the ability to use the treasury stock method when calculating diluted earnings per share. Instead, ASU 2020-06 requires application of the “if-converted” method for calculating diluted earnings per share. Under the “if-converted” method, diluted earnings per share will generally be calculated assuming that all the notes were converted solely into shares of common stock at the beginning of the reporting period, unless the result would be anti-dilutive, which could adversely affect our diluted earnings per share. However, if the principal amount of the convertible debt security being converted is required to be paid in cash and only the excess is permitted to be settled in shares, the if-converted method will produce a similar result as the “treasury stock” method prior to the adoption of ASU 2020-06 for such convertible debt security.</w:t>
      </w:r>
    </w:p>
    <w:p>
      <w:pPr>
        <w:spacing w:after="0" w:line="212" w:lineRule="exact"/>
        <w:rPr>
          <w:sz w:val="20"/>
          <w:szCs w:val="20"/>
          <w:color w:val="auto"/>
        </w:rPr>
      </w:pPr>
    </w:p>
    <w:p>
      <w:pPr>
        <w:ind w:right="20" w:firstLine="177"/>
        <w:spacing w:after="0" w:line="277" w:lineRule="auto"/>
        <w:rPr>
          <w:sz w:val="20"/>
          <w:szCs w:val="20"/>
          <w:color w:val="auto"/>
        </w:rPr>
      </w:pPr>
      <w:r>
        <w:rPr>
          <w:rFonts w:ascii="Arial" w:cs="Arial" w:eastAsia="Arial" w:hAnsi="Arial"/>
          <w:sz w:val="18"/>
          <w:szCs w:val="18"/>
          <w:color w:val="auto"/>
        </w:rPr>
        <w:t>We early adopted ASU 2020-06 as of January 1, 2021 and as such we did not bifurcate the liability and equity components of the notes on our condensed consolidated balance sheet and we expect to used the if-converted method of calculating diluted earnings per share.</w:t>
      </w:r>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RISKS RELATED TO TAXES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use our deferred tax assets to offset future taxable income may be subject to certain limitations that could subject our business to higher tax liability.</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be limited in the portion of net operating loss carryforwards, or NOLs, that we can use in the future to offset taxable income for U.S. federal and state income tax purposes. The Tax Cuts and Jobs Act, or the Tax Act, made broad and complex changes to U.S. tax law, including changes to the uses and limitations of NOLs. For example, in the Tax Act, as modified by the CARES Act, NOLs arising in taxable years beginning after December 31, 2017 and before January 1, 2021 may be carried back to each of the five taxable years preceding the taxable year of such loss, but NOLs arising in taxable years beginning after December 31, 2020 may not be carried back. Additionally, under the Tax Act, as modified by the CARES Act, NOLs from taxable years that began after December 31, 2017 may offset no more than 80% of current taxable income annually for taxable years beginning after December 31, 2020, but the 80% limitation on the use of NOLs from taxable years that began after December 31, 2017 does not apply for taxable income in taxable years beginning before January 1, 2021. NOLs arising in taxable years ending after December 31, 2017 can be carried forward indefinitely, but NOLs generated in taxable years ending before January 1, 2018 will continue to have a two-year carryback and twenty-year carryforward period. A lack of future taxable income would adversely affect our ability to utilize these NOLs. In addition,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382 of the Internal Revenue Code of 1986, as amended, or the Code, a corporation that undergoes an “ownership change” is subject to limitations on its ability to utilize its NOLs to offset future taxable income. Future changes in our stock ownership, including this or future offerings, as well as other changes that may be outside of our control, could result in additional ownership changes under Section 382 of the Code. Our NOLs may also be impaired under similar provisions of state law. We assess the available positive and negative evidence to estimate if sufficient future taxable income will be generated to utilize the existing deferred tax assets. On the basis of this evaluation, a full valuation allowance has historically been recorded to recognize only deferred tax assets that are more likely than not to be realized. Certain of our deferred tax assets may expire unutilized or underutilized, which could prevent us from offsetting future taxable income.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could have a material adverse effect on our business, financial condition and results of operations.</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Changes in tax laws could have a material adverse effect on our business, financial condition and results of operations. For example, the Tax Act contained significant changes to U.S. tax law, including a reduction in the corporate tax rate and a transition to a new territorial system of taxation. The primary impact of the Tax Act on our provision for income taxes was a reduction of the future tax benefits of our deferred tax assets as a result of the reduction in the corporate tax rate. The impact of the Tax Act may be subject to ongoing technical guidance and accounting interpretation, which we will continue to monitor and assess. As we expand the scale of our business activities, any changes in the U.S. taxation of such activities may increase our effective tax rate and harm our business, financial condition and results of operations.</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the recent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5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financial technology stocks;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financial technology companies and technology companies that offer services to financial institutions;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quarterly fluctuations in demand for the loans we facilitate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government policies or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issuance of any cease-and-desist orders from regulatory agencies that we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perceived data security breaches or other data security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political unrest, natural disasters, pandemics or responses to these events;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capped call transactions may affect the price of our common stock.</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expected to offset the potential dilution and/or offset any cash payments we make in excess of the aggregate principal amount of converted Notes, as the case may be, as a result of conversion of the Notes.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This activity could also cause or prevent an increase or a decrease in the market price of our common stock.</w:t>
      </w: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insiders have significant voting power, which could limit your ability to influence the outcome of key transactions, including a change of control.</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large number of shares of our capital stock eligible for public sale or subject to rights requiring us to register them for public sale could depress the market price of our common stock.</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us to issue our 618,460,453 shares of authorized but unissued common stock and rights relating to common stock for the consideration and on the terms and conditions established by our Board of Directors in its sole discretion, whether in connection with acquisitions or otherwise. We have reserved 10,082,123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80" w:lineRule="exact"/>
        <w:rPr>
          <w:sz w:val="20"/>
          <w:szCs w:val="20"/>
          <w:color w:val="auto"/>
        </w:rPr>
      </w:pPr>
    </w:p>
    <w:p>
      <w:pPr>
        <w:ind w:left="6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or a majority of our entire Board of Directors are authorized to call a special meeting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2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common stock less attractive to investors.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In addition, 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exemptions for so long as we are an “emerging growth company.” We cannot predict if investors will find our common stock less attractive to the extent that we rely on these exemptions. If some investors find our common stock less attractive as a result, there may be a less active trading market for our common stock and the price of our common stock may be more volatile. We will lose our “emerging growth company” status on the last day of our fiscal year ending December 31, 2021.</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qualified board members.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 has limited experience managing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Issuances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8, 2021, as partial consideration for our acquisition of Prodigy, we issued 82,201 shares of restricted common stock to certain Prodigy employees. The restricted common stock is subject to transfer restrictions and a repurchase option and is contingent upon the employees' continued employment with us. The repurchase option will lapse with respect to 1/8th of the shares of restricted stock at the end of each successive three-month period following the closing date of the Prodigy acquisition.</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issuance was made in reliance on the exemption from registration provided by Section 4(a)(2) of the Securities Act, as the transactions did not involve a public offering and the recipients of the securities in this transaction represented their intention to acquire the securities for investment only and not for sale in connection with any distribution thereof, and had adequate access to information about us, through their relationships with us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18, 2020, we closed our initial public offering. The offer and sale of all of the shares in the IPO were registered under the Securities Act pursuant to a registration statement on Form S-1 (File No. 333-249860), which was declared effective by the SEC on December 15, 2020. There has been no material change in the planned use of proceeds from the IPO as described in our final prospectus filed with the SEC on December 16, 2020 pursuant to Rule 424(b)(4)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Follow-on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13, 2021, we closed our follow-on offering. The offer and sale of all of the shares in the follow-on offering were registered under the Securities Act pursuant to a registration statement on Form S-1 (File No. 333-255073), which was declared effective by the SEC on April 8, 2021. There has been no material change in the planned use of proceeds from the follow-on offering as described in our final prospectus filed with the SEC on April 12, 2021 pursuant to Rule 424(b)(4)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17, 2021, we entered into a purchase agreement, or the Purchase Agreement, with several banks as representatives of the several initial purchasers, or collectively, the Initial Purchasers, to issue and sell $575.0 million in aggregate principal amount of Notes. In addition, we granted the Initial Purchasers an option to purchase up to an additional $86.3 million in aggregate principal amount of Notes on the same terms and conditions. The Initial Purchasers exercised their option in full on August 18, 2021. The Purchase Agreement includes customary representations, warranties, and covenants by us and customary closing conditions. Under the terms of the Purchase Agreement, we have agreed to indemnify the Initial Purchasers against certain liabilities.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offered and sold the Notes to the Initial Purchasers in reliance on the exemption from the registration requirements provided by Section 4(a)(2) of the Securities Act of 1933, as amended, or the Securities Act, and for resale by the Initial Purchasers to qualified institutional buyers pursuant to the exemption from registration requirements provided by Rule 144A under the Securities Act. We relied on these exemptions from registration based in part on representations made by the Initial Purchasers in the Purchase Agreement . The shares of the common stock issuable upon conversion of the Notes, if any, have not been registered under the Securities Act and may not be offered or sold in the United States absent registration or an applicable exemption from the registration requirements.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that any shares of the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the common stock.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below are filed as part of this Quarterly Report on Form 10-Q or are incorporated herein by reference, in each case as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529"/>
        </w:rPr>
        <w:t>EXHIBIT INDEX</w:t>
      </w:r>
    </w:p>
    <w:p>
      <w:pPr>
        <w:spacing w:after="0" w:line="306"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179" w:right="339" w:bottom="1440" w:gutter="0" w:footer="0" w:header="0"/>
        </w:sectPr>
      </w:pPr>
    </w:p>
    <w:p>
      <w:pPr>
        <w:spacing w:after="0" w:line="3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7132320" cy="300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4" w:lineRule="exact"/>
        <w:rPr>
          <w:sz w:val="20"/>
          <w:szCs w:val="20"/>
          <w:color w:val="auto"/>
        </w:rPr>
      </w:pPr>
    </w:p>
    <w:p>
      <w:pPr>
        <w:ind w:right="80"/>
        <w:spacing w:after="0" w:line="261" w:lineRule="auto"/>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Indenture, dated August 20, 2021, between Upstart Holdings,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Inc. and U.S. Bank National Association</w:t>
        </w:r>
      </w:hyperlink>
    </w:p>
    <w:p>
      <w:pPr>
        <w:spacing w:after="0" w:line="9" w:lineRule="exact"/>
        <w:rPr>
          <w:sz w:val="20"/>
          <w:szCs w:val="20"/>
          <w:color w:val="auto"/>
        </w:rPr>
      </w:pPr>
    </w:p>
    <w:p>
      <w:pPr>
        <w:spacing w:after="0" w:line="261" w:lineRule="auto"/>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Form of 0.25% Convertible Senior Note due 2026 (included in</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Exhibit 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-1905</wp:posOffset>
            </wp:positionV>
            <wp:extent cx="7132320" cy="291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60"/>
        <w:spacing w:after="0" w:line="261" w:lineRule="auto"/>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Upstart Holdings, Inc. 2020 Equity Incentive Plan and related</w:t>
        </w:r>
      </w:hyperlink>
      <w:r>
        <w:rPr>
          <w:rFonts w:ascii="Arial" w:cs="Arial" w:eastAsia="Arial" w:hAnsi="Arial"/>
          <w:sz w:val="18"/>
          <w:szCs w:val="18"/>
          <w:u w:val="single" w:color="auto"/>
          <w:color w:val="0000FF"/>
        </w:rPr>
        <w:t xml:space="preserve"> </w:t>
      </w:r>
      <w:hyperlink w:anchor="page137">
        <w:r>
          <w:rPr>
            <w:rFonts w:ascii="Arial" w:cs="Arial" w:eastAsia="Arial" w:hAnsi="Arial"/>
            <w:sz w:val="18"/>
            <w:szCs w:val="18"/>
            <w:u w:val="single" w:color="auto"/>
            <w:color w:val="0000FF"/>
          </w:rPr>
          <w:t>form agreements.</w:t>
        </w:r>
      </w:hyperlink>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Form</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File No.</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Exhibit</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Filing Date</w:t>
            </w:r>
          </w:p>
        </w:tc>
      </w:tr>
      <w:tr>
        <w:trPr>
          <w:trHeight w:val="224"/>
        </w:trPr>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001-39797</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August 20, 2021</w:t>
            </w:r>
          </w:p>
        </w:tc>
      </w:tr>
      <w:tr>
        <w:trPr>
          <w:trHeight w:val="458"/>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001-39797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August 20,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-702310</wp:posOffset>
            </wp:positionV>
            <wp:extent cx="27857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892" w:lineRule="exact"/>
        <w:rPr>
          <w:sz w:val="20"/>
          <w:szCs w:val="20"/>
          <w:color w:val="auto"/>
        </w:rPr>
      </w:pPr>
    </w:p>
    <w:p>
      <w:pPr>
        <w:sectPr>
          <w:pgSz w:w="11900" w:h="16838" w:orient="portrait"/>
          <w:cols w:equalWidth="0" w:num="3">
            <w:col w:w="900" w:space="360"/>
            <w:col w:w="4520" w:space="120"/>
            <w:col w:w="534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2"/>
        </w:trPr>
        <w:tc>
          <w:tcPr>
            <w:tcW w:w="1280" w:type="dxa"/>
            <w:vAlign w:val="bottom"/>
          </w:tcPr>
          <w:p>
            <w:pPr>
              <w:ind w:left="300"/>
              <w:spacing w:after="0" w:line="162" w:lineRule="exact"/>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4"/>
                <w:szCs w:val="14"/>
                <w:color w:val="auto"/>
              </w:rPr>
            </w:pPr>
          </w:p>
        </w:tc>
        <w:tc>
          <w:tcPr>
            <w:tcW w:w="4260" w:type="dxa"/>
            <w:vAlign w:val="bottom"/>
            <w:gridSpan w:val="12"/>
            <w:vMerge w:val="restart"/>
          </w:tcPr>
          <w:p>
            <w:pPr>
              <w:ind w:left="1420"/>
              <w:spacing w:after="0"/>
              <w:rPr>
                <w:sz w:val="20"/>
                <w:szCs w:val="20"/>
                <w:color w:val="auto"/>
              </w:rPr>
            </w:pPr>
            <w:r>
              <w:rPr>
                <w:rFonts w:ascii="Arial" w:cs="Arial" w:eastAsia="Arial" w:hAnsi="Arial"/>
                <w:sz w:val="18"/>
                <w:szCs w:val="18"/>
                <w:b w:val="1"/>
                <w:bCs w:val="1"/>
                <w:color w:val="auto"/>
              </w:rPr>
              <w:t>Description</w:t>
            </w:r>
          </w:p>
        </w:tc>
        <w:tc>
          <w:tcPr>
            <w:tcW w:w="9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3"/>
              </w:rPr>
              <w:t>Form</w:t>
            </w:r>
          </w:p>
        </w:tc>
        <w:tc>
          <w:tcPr>
            <w:tcW w:w="110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2"/>
              </w:rPr>
              <w:t>File No.</w:t>
            </w:r>
          </w:p>
        </w:tc>
        <w:tc>
          <w:tcPr>
            <w:tcW w:w="140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0" w:type="dxa"/>
            <w:vAlign w:val="bottom"/>
          </w:tcPr>
          <w:p>
            <w:pPr>
              <w:spacing w:after="0"/>
              <w:rPr>
                <w:sz w:val="1"/>
                <w:szCs w:val="1"/>
                <w:color w:val="auto"/>
              </w:rPr>
            </w:pPr>
          </w:p>
        </w:tc>
      </w:tr>
      <w:tr>
        <w:trPr>
          <w:trHeight w:val="229"/>
        </w:trPr>
        <w:tc>
          <w:tcPr>
            <w:tcW w:w="1280" w:type="dxa"/>
            <w:vAlign w:val="bottom"/>
          </w:tcPr>
          <w:p>
            <w:pPr>
              <w:ind w:left="260"/>
              <w:spacing w:after="0"/>
              <w:rPr>
                <w:sz w:val="20"/>
                <w:szCs w:val="20"/>
                <w:color w:val="auto"/>
              </w:rPr>
            </w:pPr>
            <w:r>
              <w:rPr>
                <w:rFonts w:ascii="Arial" w:cs="Arial" w:eastAsia="Arial" w:hAnsi="Arial"/>
                <w:sz w:val="18"/>
                <w:szCs w:val="18"/>
                <w:b w:val="1"/>
                <w:bCs w:val="1"/>
                <w:color w:val="auto"/>
              </w:rPr>
              <w:t>Number</w:t>
            </w:r>
          </w:p>
        </w:tc>
        <w:tc>
          <w:tcPr>
            <w:tcW w:w="400" w:type="dxa"/>
            <w:vAlign w:val="bottom"/>
          </w:tcPr>
          <w:p>
            <w:pPr>
              <w:spacing w:after="0"/>
              <w:rPr>
                <w:sz w:val="19"/>
                <w:szCs w:val="19"/>
                <w:color w:val="auto"/>
              </w:rPr>
            </w:pPr>
          </w:p>
        </w:tc>
        <w:tc>
          <w:tcPr>
            <w:tcW w:w="4260" w:type="dxa"/>
            <w:vAlign w:val="bottom"/>
            <w:gridSpan w:val="1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line="203" w:lineRule="exact"/>
              <w:rPr>
                <w:sz w:val="20"/>
                <w:szCs w:val="20"/>
                <w:color w:val="auto"/>
              </w:rPr>
            </w:pPr>
            <w:r>
              <w:rPr>
                <w:rFonts w:ascii="Arial" w:cs="Arial" w:eastAsia="Arial" w:hAnsi="Arial"/>
                <w:sz w:val="18"/>
                <w:szCs w:val="18"/>
                <w:color w:val="auto"/>
              </w:rPr>
              <w:t>10.2</w:t>
            </w:r>
          </w:p>
        </w:tc>
        <w:tc>
          <w:tcPr>
            <w:tcW w:w="4660" w:type="dxa"/>
            <w:vAlign w:val="bottom"/>
            <w:gridSpan w:val="13"/>
          </w:tcPr>
          <w:p>
            <w:pPr>
              <w:spacing w:after="0" w:line="203" w:lineRule="exact"/>
              <w:rPr>
                <w:rFonts w:ascii="Arial" w:cs="Arial" w:eastAsia="Arial" w:hAnsi="Arial"/>
                <w:sz w:val="18"/>
                <w:szCs w:val="18"/>
                <w:color w:val="0000FF"/>
              </w:rPr>
            </w:pPr>
            <w:hyperlink r:id="rId162">
              <w:r>
                <w:rPr>
                  <w:rFonts w:ascii="Arial" w:cs="Arial" w:eastAsia="Arial" w:hAnsi="Arial"/>
                  <w:sz w:val="18"/>
                  <w:szCs w:val="18"/>
                  <w:color w:val="0000FF"/>
                </w:rPr>
                <w:t>Form of Capped Call Confirmation</w:t>
              </w:r>
            </w:hyperlink>
          </w:p>
        </w:tc>
        <w:tc>
          <w:tcPr>
            <w:tcW w:w="920" w:type="dxa"/>
            <w:vAlign w:val="bottom"/>
          </w:tcPr>
          <w:p>
            <w:pPr>
              <w:jc w:val="center"/>
              <w:ind w:right="30"/>
              <w:spacing w:after="0" w:line="203" w:lineRule="exact"/>
              <w:rPr>
                <w:sz w:val="20"/>
                <w:szCs w:val="20"/>
                <w:color w:val="auto"/>
              </w:rPr>
            </w:pPr>
            <w:r>
              <w:rPr>
                <w:rFonts w:ascii="Arial" w:cs="Arial" w:eastAsia="Arial" w:hAnsi="Arial"/>
                <w:sz w:val="18"/>
                <w:szCs w:val="18"/>
                <w:color w:val="auto"/>
                <w:w w:val="99"/>
              </w:rPr>
              <w:t>8-K</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001-39797</w:t>
            </w:r>
          </w:p>
        </w:tc>
        <w:tc>
          <w:tcPr>
            <w:tcW w:w="140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10.1</w:t>
            </w:r>
          </w:p>
        </w:tc>
        <w:tc>
          <w:tcPr>
            <w:tcW w:w="1880" w:type="dxa"/>
            <w:vAlign w:val="bottom"/>
          </w:tcPr>
          <w:p>
            <w:pPr>
              <w:jc w:val="center"/>
              <w:spacing w:after="0" w:line="203" w:lineRule="exact"/>
              <w:rPr>
                <w:sz w:val="20"/>
                <w:szCs w:val="20"/>
                <w:color w:val="auto"/>
              </w:rPr>
            </w:pPr>
            <w:r>
              <w:rPr>
                <w:rFonts w:ascii="Arial" w:cs="Arial" w:eastAsia="Arial" w:hAnsi="Arial"/>
                <w:sz w:val="18"/>
                <w:szCs w:val="18"/>
                <w:color w:val="auto"/>
                <w:w w:val="91"/>
              </w:rPr>
              <w:t>August 20, 2021</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10.3*</w:t>
            </w:r>
          </w:p>
        </w:tc>
        <w:tc>
          <w:tcPr>
            <w:tcW w:w="4660" w:type="dxa"/>
            <w:vAlign w:val="bottom"/>
            <w:gridSpan w:val="13"/>
            <w:shd w:val="clear" w:color="auto" w:fill="CCEEFF"/>
          </w:tcPr>
          <w:p>
            <w:pPr>
              <w:spacing w:after="0" w:line="202" w:lineRule="exact"/>
              <w:rPr>
                <w:rFonts w:ascii="Arial" w:cs="Arial" w:eastAsia="Arial" w:hAnsi="Arial"/>
                <w:sz w:val="18"/>
                <w:szCs w:val="18"/>
                <w:color w:val="0000FF"/>
              </w:rPr>
            </w:pPr>
            <w:hyperlink w:anchor="page189">
              <w:r>
                <w:rPr>
                  <w:rFonts w:ascii="Arial" w:cs="Arial" w:eastAsia="Arial" w:hAnsi="Arial"/>
                  <w:sz w:val="18"/>
                  <w:szCs w:val="18"/>
                  <w:color w:val="0000FF"/>
                </w:rPr>
                <w:t>Amendment Sublease dated September 13, 2021, to the</w:t>
              </w:r>
            </w:hyperlink>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4000" w:type="dxa"/>
            <w:vAlign w:val="bottom"/>
            <w:tcBorders>
              <w:top w:val="single" w:sz="8" w:color="0000FF"/>
              <w:bottom w:val="single" w:sz="8" w:color="0000FF"/>
            </w:tcBorders>
            <w:gridSpan w:val="6"/>
            <w:shd w:val="clear" w:color="auto" w:fill="CCEEFF"/>
          </w:tcPr>
          <w:p>
            <w:pPr>
              <w:spacing w:after="0" w:line="182" w:lineRule="exact"/>
              <w:rPr>
                <w:rFonts w:ascii="Arial" w:cs="Arial" w:eastAsia="Arial" w:hAnsi="Arial"/>
                <w:sz w:val="18"/>
                <w:szCs w:val="18"/>
                <w:color w:val="0000FF"/>
                <w:w w:val="86"/>
              </w:rPr>
            </w:pPr>
            <w:hyperlink w:anchor="page189">
              <w:r>
                <w:rPr>
                  <w:rFonts w:ascii="Arial" w:cs="Arial" w:eastAsia="Arial" w:hAnsi="Arial"/>
                  <w:sz w:val="18"/>
                  <w:szCs w:val="18"/>
                  <w:color w:val="0000FF"/>
                  <w:w w:val="86"/>
                </w:rPr>
                <w:t>Master Lease agreement dated October 7, 2016, between</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8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18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80" w:type="dxa"/>
            <w:vAlign w:val="bottom"/>
            <w:tcBorders>
              <w:bottom w:val="single" w:sz="8" w:color="CCEEFF"/>
            </w:tcBorders>
            <w:shd w:val="clear" w:color="auto" w:fill="CCEEFF"/>
          </w:tcPr>
          <w:p>
            <w:pPr>
              <w:spacing w:after="0"/>
              <w:rPr>
                <w:sz w:val="18"/>
                <w:szCs w:val="18"/>
                <w:color w:val="auto"/>
              </w:rPr>
            </w:pPr>
          </w:p>
        </w:tc>
        <w:tc>
          <w:tcPr>
            <w:tcW w:w="3040" w:type="dxa"/>
            <w:vAlign w:val="bottom"/>
            <w:tcBorders>
              <w:bottom w:val="single" w:sz="8" w:color="0000FF"/>
            </w:tcBorders>
            <w:gridSpan w:val="3"/>
            <w:shd w:val="clear" w:color="auto" w:fill="CCEEFF"/>
          </w:tcPr>
          <w:p>
            <w:pPr>
              <w:spacing w:after="0" w:line="182" w:lineRule="exact"/>
              <w:rPr>
                <w:rFonts w:ascii="Arial" w:cs="Arial" w:eastAsia="Arial" w:hAnsi="Arial"/>
                <w:sz w:val="18"/>
                <w:szCs w:val="18"/>
                <w:color w:val="0000FF"/>
                <w:w w:val="91"/>
              </w:rPr>
            </w:pPr>
            <w:hyperlink w:anchor="page189">
              <w:r>
                <w:rPr>
                  <w:rFonts w:ascii="Arial" w:cs="Arial" w:eastAsia="Arial" w:hAnsi="Arial"/>
                  <w:sz w:val="18"/>
                  <w:szCs w:val="18"/>
                  <w:color w:val="0000FF"/>
                  <w:w w:val="91"/>
                </w:rPr>
                <w:t>Upstart Network, Inc. and Open Text, Inc.</w:t>
              </w:r>
            </w:hyperlink>
          </w:p>
        </w:tc>
        <w:tc>
          <w:tcPr>
            <w:tcW w:w="1060" w:type="dxa"/>
            <w:vAlign w:val="bottom"/>
            <w:tcBorders>
              <w:bottom w:val="single" w:sz="8" w:color="CCEEFF"/>
            </w:tcBorders>
            <w:gridSpan w:val="5"/>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line="202" w:lineRule="exact"/>
              <w:rPr>
                <w:sz w:val="20"/>
                <w:szCs w:val="20"/>
                <w:color w:val="auto"/>
              </w:rPr>
            </w:pPr>
            <w:r>
              <w:rPr>
                <w:rFonts w:ascii="Arial" w:cs="Arial" w:eastAsia="Arial" w:hAnsi="Arial"/>
                <w:sz w:val="18"/>
                <w:szCs w:val="18"/>
                <w:color w:val="auto"/>
              </w:rPr>
              <w:t>31.1*</w:t>
            </w:r>
          </w:p>
        </w:tc>
        <w:tc>
          <w:tcPr>
            <w:tcW w:w="3980" w:type="dxa"/>
            <w:vAlign w:val="bottom"/>
            <w:tcBorders>
              <w:bottom w:val="single" w:sz="8" w:color="0000FF"/>
            </w:tcBorders>
            <w:gridSpan w:val="5"/>
          </w:tcPr>
          <w:p>
            <w:pPr>
              <w:spacing w:after="0" w:line="202" w:lineRule="exact"/>
              <w:rPr>
                <w:rFonts w:ascii="Arial" w:cs="Arial" w:eastAsia="Arial" w:hAnsi="Arial"/>
                <w:sz w:val="18"/>
                <w:szCs w:val="18"/>
                <w:color w:val="0000FF"/>
                <w:w w:val="93"/>
              </w:rPr>
            </w:pPr>
            <w:hyperlink w:anchor="page214">
              <w:r>
                <w:rPr>
                  <w:rFonts w:ascii="Arial" w:cs="Arial" w:eastAsia="Arial" w:hAnsi="Arial"/>
                  <w:sz w:val="18"/>
                  <w:szCs w:val="18"/>
                  <w:color w:val="0000FF"/>
                  <w:w w:val="93"/>
                </w:rPr>
                <w:t>Certification of Principal Executive Officer pursuant to</w:t>
              </w:r>
            </w:hyperlink>
          </w:p>
        </w:tc>
        <w:tc>
          <w:tcPr>
            <w:tcW w:w="68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4660" w:type="dxa"/>
            <w:vAlign w:val="bottom"/>
            <w:gridSpan w:val="13"/>
          </w:tcPr>
          <w:p>
            <w:pPr>
              <w:spacing w:after="0" w:line="182" w:lineRule="exact"/>
              <w:rPr>
                <w:rFonts w:ascii="Arial" w:cs="Arial" w:eastAsia="Arial" w:hAnsi="Arial"/>
                <w:sz w:val="18"/>
                <w:szCs w:val="18"/>
                <w:color w:val="0000FF"/>
              </w:rPr>
            </w:pPr>
            <w:hyperlink w:anchor="page214">
              <w:r>
                <w:rPr>
                  <w:rFonts w:ascii="Arial" w:cs="Arial" w:eastAsia="Arial" w:hAnsi="Arial"/>
                  <w:sz w:val="18"/>
                  <w:szCs w:val="18"/>
                  <w:color w:val="0000FF"/>
                </w:rPr>
                <w:t>Exchange Act Rules 13a-14(a) and 15d-14(a), as adopted</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660" w:type="dxa"/>
            <w:vAlign w:val="bottom"/>
            <w:gridSpan w:val="13"/>
          </w:tcPr>
          <w:p>
            <w:pPr>
              <w:spacing w:after="0" w:line="182" w:lineRule="exact"/>
              <w:rPr>
                <w:rFonts w:ascii="Arial" w:cs="Arial" w:eastAsia="Arial" w:hAnsi="Arial"/>
                <w:sz w:val="18"/>
                <w:szCs w:val="18"/>
                <w:color w:val="0000FF"/>
                <w:w w:val="97"/>
              </w:rPr>
            </w:pPr>
            <w:hyperlink w:anchor="page214">
              <w:r>
                <w:rPr>
                  <w:rFonts w:ascii="Arial" w:cs="Arial" w:eastAsia="Arial" w:hAnsi="Arial"/>
                  <w:sz w:val="18"/>
                  <w:szCs w:val="18"/>
                  <w:color w:val="0000FF"/>
                  <w:w w:val="97"/>
                </w:rPr>
                <w:t>pursuant to Section 302 of the Sarbanes-Oxley Act of 2002.</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31.2*</w:t>
            </w:r>
          </w:p>
        </w:tc>
        <w:tc>
          <w:tcPr>
            <w:tcW w:w="4660" w:type="dxa"/>
            <w:vAlign w:val="bottom"/>
            <w:gridSpan w:val="13"/>
            <w:shd w:val="clear" w:color="auto" w:fill="CCEEFF"/>
          </w:tcPr>
          <w:p>
            <w:pPr>
              <w:spacing w:after="0" w:line="202" w:lineRule="exact"/>
              <w:rPr>
                <w:rFonts w:ascii="Arial" w:cs="Arial" w:eastAsia="Arial" w:hAnsi="Arial"/>
                <w:sz w:val="18"/>
                <w:szCs w:val="18"/>
                <w:color w:val="0000FF"/>
              </w:rPr>
            </w:pPr>
            <w:hyperlink w:anchor="page215">
              <w:r>
                <w:rPr>
                  <w:rFonts w:ascii="Arial" w:cs="Arial" w:eastAsia="Arial" w:hAnsi="Arial"/>
                  <w:sz w:val="18"/>
                  <w:szCs w:val="18"/>
                  <w:color w:val="0000FF"/>
                </w:rPr>
                <w:t>Certification of Principal Financial Officer pursuant to</w:t>
              </w:r>
            </w:hyperlink>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4660" w:type="dxa"/>
            <w:vAlign w:val="bottom"/>
            <w:gridSpan w:val="13"/>
            <w:shd w:val="clear" w:color="auto" w:fill="CCEEFF"/>
          </w:tcPr>
          <w:p>
            <w:pPr>
              <w:spacing w:after="0" w:line="182" w:lineRule="exact"/>
              <w:rPr>
                <w:rFonts w:ascii="Arial" w:cs="Arial" w:eastAsia="Arial" w:hAnsi="Arial"/>
                <w:sz w:val="18"/>
                <w:szCs w:val="18"/>
                <w:color w:val="0000FF"/>
              </w:rPr>
            </w:pPr>
            <w:hyperlink w:anchor="page215">
              <w:r>
                <w:rPr>
                  <w:rFonts w:ascii="Arial" w:cs="Arial" w:eastAsia="Arial" w:hAnsi="Arial"/>
                  <w:sz w:val="18"/>
                  <w:szCs w:val="18"/>
                  <w:color w:val="0000FF"/>
                </w:rPr>
                <w:t>Exchange Act Rules 13a-14(a) and 15d-14(a), as adopted</w:t>
              </w:r>
            </w:hyperlink>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shd w:val="clear" w:color="auto" w:fill="CCEEFF"/>
          </w:tcPr>
          <w:p>
            <w:pPr>
              <w:spacing w:after="0"/>
              <w:rPr>
                <w:sz w:val="18"/>
                <w:szCs w:val="18"/>
                <w:color w:val="auto"/>
              </w:rPr>
            </w:pPr>
          </w:p>
        </w:tc>
        <w:tc>
          <w:tcPr>
            <w:tcW w:w="4660" w:type="dxa"/>
            <w:vAlign w:val="bottom"/>
            <w:gridSpan w:val="13"/>
            <w:shd w:val="clear" w:color="auto" w:fill="CCEEFF"/>
          </w:tcPr>
          <w:p>
            <w:pPr>
              <w:spacing w:after="0" w:line="182" w:lineRule="exact"/>
              <w:rPr>
                <w:rFonts w:ascii="Arial" w:cs="Arial" w:eastAsia="Arial" w:hAnsi="Arial"/>
                <w:sz w:val="18"/>
                <w:szCs w:val="18"/>
                <w:color w:val="0000FF"/>
                <w:w w:val="97"/>
              </w:rPr>
            </w:pPr>
            <w:hyperlink w:anchor="page215">
              <w:r>
                <w:rPr>
                  <w:rFonts w:ascii="Arial" w:cs="Arial" w:eastAsia="Arial" w:hAnsi="Arial"/>
                  <w:sz w:val="18"/>
                  <w:szCs w:val="18"/>
                  <w:color w:val="0000FF"/>
                  <w:w w:val="97"/>
                </w:rPr>
                <w:t>pursuant to Section 302 of the Sarbanes-Oxley Act of 2002.</w:t>
              </w:r>
            </w:hyperlink>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32.1*</w:t>
            </w:r>
          </w:p>
        </w:tc>
        <w:tc>
          <w:tcPr>
            <w:tcW w:w="4300" w:type="dxa"/>
            <w:vAlign w:val="bottom"/>
            <w:tcBorders>
              <w:top w:val="single" w:sz="8" w:color="0000FF"/>
            </w:tcBorders>
            <w:gridSpan w:val="11"/>
          </w:tcPr>
          <w:p>
            <w:pPr>
              <w:spacing w:after="0" w:line="189" w:lineRule="exact"/>
              <w:rPr>
                <w:rFonts w:ascii="Arial" w:cs="Arial" w:eastAsia="Arial" w:hAnsi="Arial"/>
                <w:sz w:val="18"/>
                <w:szCs w:val="18"/>
                <w:color w:val="0000FF"/>
                <w:w w:val="95"/>
              </w:rPr>
            </w:pPr>
            <w:hyperlink w:anchor="page216">
              <w:r>
                <w:rPr>
                  <w:rFonts w:ascii="Arial" w:cs="Arial" w:eastAsia="Arial" w:hAnsi="Arial"/>
                  <w:sz w:val="18"/>
                  <w:szCs w:val="18"/>
                  <w:color w:val="0000FF"/>
                  <w:w w:val="95"/>
                </w:rPr>
                <w:t>Certifications of Principal Executive Officer and Principal</w:t>
              </w:r>
            </w:hyperlink>
          </w:p>
        </w:tc>
        <w:tc>
          <w:tcPr>
            <w:tcW w:w="360" w:type="dxa"/>
            <w:vAlign w:val="bottom"/>
            <w:tcBorders>
              <w:top w:val="single" w:sz="8" w:color="CCEEFF"/>
            </w:tcBorders>
            <w:gridSpan w:val="2"/>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200" w:type="dxa"/>
            <w:vAlign w:val="bottom"/>
            <w:tcBorders>
              <w:top w:val="single" w:sz="8" w:color="0000FF"/>
            </w:tcBorders>
            <w:gridSpan w:val="10"/>
          </w:tcPr>
          <w:p>
            <w:pPr>
              <w:spacing w:after="0" w:line="156" w:lineRule="exact"/>
              <w:rPr>
                <w:rFonts w:ascii="Arial" w:cs="Arial" w:eastAsia="Arial" w:hAnsi="Arial"/>
                <w:sz w:val="18"/>
                <w:szCs w:val="18"/>
                <w:color w:val="0000FF"/>
                <w:w w:val="94"/>
              </w:rPr>
            </w:pPr>
            <w:hyperlink w:anchor="page216">
              <w:r>
                <w:rPr>
                  <w:rFonts w:ascii="Arial" w:cs="Arial" w:eastAsia="Arial" w:hAnsi="Arial"/>
                  <w:sz w:val="18"/>
                  <w:szCs w:val="18"/>
                  <w:color w:val="0000FF"/>
                  <w:w w:val="94"/>
                </w:rPr>
                <w:t>Financial Officer pursuant to 18 U.S.C. Section 1350 as</w:t>
              </w:r>
            </w:hyperlink>
          </w:p>
        </w:tc>
        <w:tc>
          <w:tcPr>
            <w:tcW w:w="2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020" w:type="dxa"/>
            <w:vAlign w:val="bottom"/>
            <w:tcBorders>
              <w:top w:val="single" w:sz="8" w:color="0000FF"/>
            </w:tcBorders>
            <w:gridSpan w:val="7"/>
          </w:tcPr>
          <w:p>
            <w:pPr>
              <w:spacing w:after="0" w:line="156" w:lineRule="exact"/>
              <w:rPr>
                <w:rFonts w:ascii="Arial" w:cs="Arial" w:eastAsia="Arial" w:hAnsi="Arial"/>
                <w:sz w:val="18"/>
                <w:szCs w:val="18"/>
                <w:color w:val="0000FF"/>
                <w:w w:val="90"/>
              </w:rPr>
            </w:pPr>
            <w:hyperlink w:anchor="page216">
              <w:r>
                <w:rPr>
                  <w:rFonts w:ascii="Arial" w:cs="Arial" w:eastAsia="Arial" w:hAnsi="Arial"/>
                  <w:sz w:val="18"/>
                  <w:szCs w:val="18"/>
                  <w:color w:val="0000FF"/>
                  <w:w w:val="90"/>
                </w:rPr>
                <w:t>adopted pursuant to Section 906 of the Sarbanes-Oxley</w:t>
              </w:r>
            </w:hyperlink>
          </w:p>
        </w:tc>
        <w:tc>
          <w:tcPr>
            <w:tcW w:w="640" w:type="dxa"/>
            <w:vAlign w:val="bottom"/>
            <w:gridSpan w:val="6"/>
          </w:tcPr>
          <w:p>
            <w:pPr>
              <w:spacing w:after="0" w:line="156" w:lineRule="exact"/>
              <w:rPr>
                <w:rFonts w:ascii="Arial" w:cs="Arial" w:eastAsia="Arial" w:hAnsi="Arial"/>
                <w:sz w:val="18"/>
                <w:szCs w:val="18"/>
                <w:color w:val="0000FF"/>
              </w:rPr>
            </w:pPr>
            <w:hyperlink w:anchor="page216">
              <w:r>
                <w:rPr>
                  <w:rFonts w:ascii="Arial" w:cs="Arial" w:eastAsia="Arial" w:hAnsi="Arial"/>
                  <w:sz w:val="18"/>
                  <w:szCs w:val="18"/>
                  <w:color w:val="0000FF"/>
                </w:rPr>
                <w:t>Act of</w:t>
              </w:r>
            </w:hyperlink>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216">
              <w:r>
                <w:rPr>
                  <w:rFonts w:ascii="Arial" w:cs="Arial" w:eastAsia="Arial" w:hAnsi="Arial"/>
                  <w:sz w:val="18"/>
                  <w:szCs w:val="18"/>
                  <w:color w:val="0000FF"/>
                  <w:w w:val="84"/>
                </w:rPr>
                <w:t>2002.</w:t>
              </w:r>
            </w:hyperlink>
          </w:p>
        </w:tc>
        <w:tc>
          <w:tcPr>
            <w:tcW w:w="2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46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101.SCH*</w:t>
            </w:r>
          </w:p>
        </w:tc>
        <w:tc>
          <w:tcPr>
            <w:tcW w:w="46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101.CAL*</w:t>
            </w:r>
          </w:p>
        </w:tc>
        <w:tc>
          <w:tcPr>
            <w:tcW w:w="46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6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Document</w:t>
            </w: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101.DEF*</w:t>
            </w:r>
          </w:p>
        </w:tc>
        <w:tc>
          <w:tcPr>
            <w:tcW w:w="4660" w:type="dxa"/>
            <w:vAlign w:val="bottom"/>
            <w:gridSpan w:val="13"/>
          </w:tcPr>
          <w:p>
            <w:pPr>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466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4660" w:type="dxa"/>
            <w:vAlign w:val="bottom"/>
            <w:gridSpan w:val="13"/>
            <w:shd w:val="clear" w:color="auto" w:fill="CCEEFF"/>
          </w:tcPr>
          <w:p>
            <w:pPr>
              <w:spacing w:after="0"/>
              <w:rPr>
                <w:sz w:val="20"/>
                <w:szCs w:val="20"/>
                <w:color w:val="auto"/>
              </w:rPr>
            </w:pPr>
            <w:r>
              <w:rPr>
                <w:rFonts w:ascii="Arial" w:cs="Arial" w:eastAsia="Arial" w:hAnsi="Arial"/>
                <w:sz w:val="18"/>
                <w:szCs w:val="18"/>
                <w:color w:val="auto"/>
                <w:w w:val="96"/>
              </w:rPr>
              <w:t>Inline XBRL Taxonomy Extension Label Linkbase Document</w:t>
            </w: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101.PRE*</w:t>
            </w:r>
          </w:p>
        </w:tc>
        <w:tc>
          <w:tcPr>
            <w:tcW w:w="4660" w:type="dxa"/>
            <w:vAlign w:val="bottom"/>
            <w:gridSpan w:val="13"/>
          </w:tcPr>
          <w:p>
            <w:pPr>
              <w:spacing w:after="0" w:line="176" w:lineRule="exact"/>
              <w:rPr>
                <w:sz w:val="20"/>
                <w:szCs w:val="20"/>
                <w:color w:val="auto"/>
              </w:rPr>
            </w:pPr>
            <w:r>
              <w:rPr>
                <w:rFonts w:ascii="Arial" w:cs="Arial" w:eastAsia="Arial" w:hAnsi="Arial"/>
                <w:sz w:val="18"/>
                <w:szCs w:val="18"/>
                <w:color w:val="auto"/>
              </w:rPr>
              <w:t>Inline XBRL Taxonomy Extension Presentation Linkbase</w:t>
            </w: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66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280" w:right="5620" w:hanging="1254"/>
        <w:spacing w:after="0" w:line="234"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212529"/>
        </w:rPr>
        <w:t>—————</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212529"/>
        </w:rPr>
        <w:t>*</w:t>
      </w:r>
      <w:r>
        <w:rPr>
          <w:sz w:val="20"/>
          <w:szCs w:val="20"/>
          <w:color w:val="auto"/>
        </w:rPr>
        <w:tab/>
      </w:r>
      <w:r>
        <w:rPr>
          <w:rFonts w:ascii="Arial" w:cs="Arial" w:eastAsia="Arial" w:hAnsi="Arial"/>
          <w:sz w:val="16"/>
          <w:szCs w:val="16"/>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18"/>
          <w:szCs w:val="18"/>
          <w:color w:val="212529"/>
        </w:rPr>
      </w:pPr>
      <w:r>
        <w:rPr>
          <w:rFonts w:ascii="Arial" w:cs="Arial" w:eastAsia="Arial" w:hAnsi="Arial"/>
          <w:sz w:val="18"/>
          <w:szCs w:val="18"/>
          <w:color w:val="212529"/>
        </w:rPr>
        <w:t>Indicates management contract or compensatory plan.</w:t>
      </w:r>
    </w:p>
    <w:p>
      <w:pPr>
        <w:spacing w:after="0" w:line="9" w:lineRule="exact"/>
        <w:rPr>
          <w:sz w:val="20"/>
          <w:szCs w:val="20"/>
          <w:color w:val="auto"/>
        </w:rPr>
      </w:pPr>
    </w:p>
    <w:p>
      <w:pPr>
        <w:ind w:left="660" w:right="360" w:hanging="652"/>
        <w:spacing w:after="0" w:line="260" w:lineRule="auto"/>
        <w:tabs>
          <w:tab w:leader="none" w:pos="276" w:val="left"/>
        </w:tabs>
        <w:numPr>
          <w:ilvl w:val="0"/>
          <w:numId w:val="63"/>
        </w:numPr>
        <w:rPr>
          <w:rFonts w:ascii="Arial" w:cs="Arial" w:eastAsia="Arial" w:hAnsi="Arial"/>
          <w:sz w:val="18"/>
          <w:szCs w:val="18"/>
          <w:color w:val="212529"/>
        </w:rPr>
      </w:pPr>
      <w:r>
        <w:rPr>
          <w:rFonts w:ascii="Arial" w:cs="Arial" w:eastAsia="Arial" w:hAnsi="Arial"/>
          <w:sz w:val="18"/>
          <w:szCs w:val="18"/>
          <w:color w:val="auto"/>
        </w:rPr>
        <w:t>Portions of this exhibit (indicated by asterisk) have been excluded because such information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Quarterly Report on Form 10-Q has been signed below by the following persons on behalf of the registrant and in the capacities and on the dates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November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6400" w:type="dxa"/>
            <w:vAlign w:val="bottom"/>
            <w:gridSpan w:val="2"/>
          </w:tcPr>
          <w:p>
            <w:pPr>
              <w:ind w:left="960"/>
              <w:spacing w:after="0"/>
              <w:rPr>
                <w:sz w:val="20"/>
                <w:szCs w:val="20"/>
                <w:color w:val="auto"/>
              </w:rPr>
            </w:pPr>
            <w:r>
              <w:rPr>
                <w:rFonts w:ascii="Arial" w:cs="Arial" w:eastAsia="Arial" w:hAnsi="Arial"/>
                <w:sz w:val="18"/>
                <w:szCs w:val="18"/>
                <w:b w:val="1"/>
                <w:bCs w:val="1"/>
                <w:color w:val="auto"/>
              </w:rPr>
              <w:t>Upstart Holdings, Inc</w:t>
            </w:r>
          </w:p>
        </w:tc>
      </w:tr>
      <w:tr>
        <w:trPr>
          <w:trHeight w:val="486"/>
        </w:trPr>
        <w:tc>
          <w:tcPr>
            <w:tcW w:w="2920" w:type="dxa"/>
            <w:vAlign w:val="bottom"/>
          </w:tcPr>
          <w:p>
            <w:pPr>
              <w:spacing w:after="0"/>
              <w:rPr>
                <w:sz w:val="20"/>
                <w:szCs w:val="20"/>
                <w:color w:val="auto"/>
              </w:rPr>
            </w:pPr>
            <w:r>
              <w:rPr>
                <w:rFonts w:ascii="Arial" w:cs="Arial" w:eastAsia="Arial" w:hAnsi="Arial"/>
                <w:sz w:val="18"/>
                <w:szCs w:val="18"/>
                <w:b w:val="1"/>
                <w:bCs w:val="1"/>
                <w:color w:val="auto"/>
              </w:rPr>
              <w:t>Date: November 12, 2021</w:t>
            </w:r>
          </w:p>
        </w:tc>
        <w:tc>
          <w:tcPr>
            <w:tcW w:w="1580" w:type="dxa"/>
            <w:vAlign w:val="bottom"/>
          </w:tcPr>
          <w:p>
            <w:pPr>
              <w:ind w:left="108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Dave Girouard</w:t>
            </w:r>
          </w:p>
        </w:tc>
      </w:tr>
      <w:tr>
        <w:trPr>
          <w:trHeight w:val="222"/>
        </w:trPr>
        <w:tc>
          <w:tcPr>
            <w:tcW w:w="2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Dave Girouard</w:t>
            </w:r>
          </w:p>
        </w:tc>
      </w:tr>
      <w:tr>
        <w:trPr>
          <w:trHeight w:val="229"/>
        </w:trPr>
        <w:tc>
          <w:tcPr>
            <w:tcW w:w="2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2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2920" w:type="dxa"/>
            <w:vAlign w:val="bottom"/>
          </w:tcPr>
          <w:p>
            <w:pPr>
              <w:spacing w:after="0"/>
              <w:rPr>
                <w:sz w:val="20"/>
                <w:szCs w:val="20"/>
                <w:color w:val="auto"/>
              </w:rPr>
            </w:pPr>
            <w:r>
              <w:rPr>
                <w:rFonts w:ascii="Arial" w:cs="Arial" w:eastAsia="Arial" w:hAnsi="Arial"/>
                <w:sz w:val="18"/>
                <w:szCs w:val="18"/>
                <w:b w:val="1"/>
                <w:bCs w:val="1"/>
                <w:color w:val="auto"/>
              </w:rPr>
              <w:t>Date: November 12, 2021</w:t>
            </w:r>
          </w:p>
        </w:tc>
        <w:tc>
          <w:tcPr>
            <w:tcW w:w="1580" w:type="dxa"/>
            <w:vAlign w:val="bottom"/>
          </w:tcPr>
          <w:p>
            <w:pPr>
              <w:ind w:left="108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Datta</w:t>
            </w:r>
          </w:p>
        </w:tc>
      </w:tr>
      <w:tr>
        <w:trPr>
          <w:trHeight w:val="222"/>
        </w:trPr>
        <w:tc>
          <w:tcPr>
            <w:tcW w:w="2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Sanjay Datta</w:t>
            </w:r>
          </w:p>
        </w:tc>
      </w:tr>
      <w:tr>
        <w:trPr>
          <w:trHeight w:val="230"/>
        </w:trPr>
        <w:tc>
          <w:tcPr>
            <w:tcW w:w="2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79" w:right="339" w:bottom="1440" w:gutter="0" w:footer="0" w:header="0"/>
        </w:sectPr>
      </w:pPr>
    </w:p>
    <w:bookmarkStart w:id="136" w:name="page137"/>
    <w:bookmarkEnd w:id="136"/>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UPSTART HOLDINGS,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July 19, 2021)</w:t>
      </w:r>
    </w:p>
    <w:p>
      <w:pPr>
        <w:spacing w:after="0" w:line="220"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Purposes of the Plan; Award Types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rPr>
        <w:t>. The purposes of this Plan are to attract and retain personnel for positions with the Company Group, to provide additional incentive to Employees, Directors, and Consultants (collectively, “</w:t>
      </w:r>
      <w:r>
        <w:rPr>
          <w:rFonts w:ascii="Arial" w:cs="Arial" w:eastAsia="Arial" w:hAnsi="Arial"/>
          <w:sz w:val="22"/>
          <w:szCs w:val="22"/>
          <w:u w:val="single" w:color="auto"/>
          <w:color w:val="auto"/>
        </w:rPr>
        <w:t>Service Providers</w:t>
      </w:r>
      <w:r>
        <w:rPr>
          <w:rFonts w:ascii="Arial" w:cs="Arial" w:eastAsia="Arial" w:hAnsi="Arial"/>
          <w:sz w:val="22"/>
          <w:szCs w:val="22"/>
          <w:color w:val="auto"/>
        </w:rPr>
        <w:t>”), and to promote the success of the Company’s business.</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39"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Award Types</w:t>
      </w:r>
      <w:r>
        <w:rPr>
          <w:rFonts w:ascii="Arial" w:cs="Arial" w:eastAsia="Arial" w:hAnsi="Arial"/>
          <w:sz w:val="22"/>
          <w:szCs w:val="22"/>
          <w:color w:val="auto"/>
        </w:rPr>
        <w:t>. The Plan permits the grant of Incentive Stock Options to any ISO Employee and the grant of Nonstatutory Stock Options, Stock Appreciation Rights, Restricted Stock, Restricted Stock Units, and Performance Awards to any Service Provider.</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are used in this Plan:</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Administrator as defined in Section 4(a).</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1939" w:val="left"/>
        </w:tabs>
        <w:numPr>
          <w:ilvl w:val="1"/>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Laws</w:t>
      </w:r>
      <w:r>
        <w:rPr>
          <w:rFonts w:ascii="Arial" w:cs="Arial" w:eastAsia="Arial" w:hAnsi="Arial"/>
          <w:sz w:val="21"/>
          <w:szCs w:val="21"/>
          <w:color w:val="auto"/>
        </w:rPr>
        <w:t>” means the legal and regulatory requirements relating to the administration of equity-based awards, including but not limited to the related issuance of Shares under U.S. federal and state corporate laws, U.S. federal and state securities laws, the Code, any stock exchange or quotation system on which the Common Stock is listed or quoted and, only to the extent applicable with respect to an Award or Awards, the tax, securities, exchange control, and other laws of any jurisdictions other than the United States where Awards are, or will be, granted under the Plan. Reference to a section of an Applicable Law or regulation related to that section shall include such section or regulation, any valid regulation issued under such section, and any comparable provision of any future legislation or regulation amending, supplementing or superseding such section or regulation.</w:t>
      </w:r>
    </w:p>
    <w:p>
      <w:pPr>
        <w:spacing w:after="0" w:line="183" w:lineRule="exact"/>
        <w:rPr>
          <w:rFonts w:ascii="Arial" w:cs="Arial" w:eastAsia="Arial" w:hAnsi="Arial"/>
          <w:sz w:val="21"/>
          <w:szCs w:val="21"/>
          <w:color w:val="auto"/>
        </w:rPr>
      </w:pPr>
    </w:p>
    <w:p>
      <w:pPr>
        <w:ind w:firstLine="1304"/>
        <w:spacing w:after="0" w:line="263" w:lineRule="auto"/>
        <w:tabs>
          <w:tab w:leader="none" w:pos="1941"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individually or collectively, a grant under the Plan of Options, Stock Appreciation Rights, Restricted Stock, Restricted Stock Units, or Performance Awards.</w:t>
      </w:r>
    </w:p>
    <w:p>
      <w:pPr>
        <w:spacing w:after="0" w:line="174" w:lineRule="exact"/>
        <w:rPr>
          <w:rFonts w:ascii="Arial" w:cs="Arial" w:eastAsia="Arial" w:hAnsi="Arial"/>
          <w:sz w:val="22"/>
          <w:szCs w:val="22"/>
          <w:color w:val="auto"/>
        </w:rPr>
      </w:pPr>
    </w:p>
    <w:p>
      <w:pPr>
        <w:ind w:firstLine="1304"/>
        <w:spacing w:after="0" w:line="263" w:lineRule="auto"/>
        <w:tabs>
          <w:tab w:leader="none" w:pos="1939"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Agreement</w:t>
      </w:r>
      <w:r>
        <w:rPr>
          <w:rFonts w:ascii="Arial" w:cs="Arial" w:eastAsia="Arial" w:hAnsi="Arial"/>
          <w:sz w:val="22"/>
          <w:szCs w:val="22"/>
          <w:color w:val="auto"/>
        </w:rPr>
        <w:t>” means the written or electronic agreement setting forth the terms applicable to an Award granted under the Plan. The Award Agreement is subject to the terms of the Plan.</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19" w:lineRule="exact"/>
        <w:rPr>
          <w:rFonts w:ascii="Arial" w:cs="Arial" w:eastAsia="Arial" w:hAnsi="Arial"/>
          <w:sz w:val="22"/>
          <w:szCs w:val="22"/>
          <w:color w:val="auto"/>
        </w:rPr>
      </w:pPr>
    </w:p>
    <w:p>
      <w:pPr>
        <w:jc w:val="both"/>
        <w:ind w:firstLine="1952"/>
        <w:spacing w:after="0" w:line="248" w:lineRule="auto"/>
        <w:tabs>
          <w:tab w:leader="none" w:pos="2580" w:val="left"/>
        </w:tabs>
        <w:numPr>
          <w:ilvl w:val="2"/>
          <w:numId w:val="64"/>
        </w:numPr>
        <w:rPr>
          <w:rFonts w:ascii="Arial" w:cs="Arial" w:eastAsia="Arial" w:hAnsi="Arial"/>
          <w:sz w:val="22"/>
          <w:szCs w:val="22"/>
          <w:color w:val="auto"/>
        </w:rPr>
      </w:pPr>
      <w:r>
        <w:rPr>
          <w:rFonts w:ascii="Arial" w:cs="Arial" w:eastAsia="Arial" w:hAnsi="Arial"/>
          <w:sz w:val="22"/>
          <w:szCs w:val="22"/>
          <w:color w:val="auto"/>
        </w:rPr>
        <w:t>A change in the ownership of the Company which occurs on the date that any one person, or more than one person acting as a group (“</w:t>
      </w:r>
      <w:r>
        <w:rPr>
          <w:rFonts w:ascii="Arial" w:cs="Arial" w:eastAsia="Arial" w:hAnsi="Arial"/>
          <w:sz w:val="22"/>
          <w:szCs w:val="22"/>
          <w:u w:val="single" w:color="auto"/>
          <w:color w:val="auto"/>
        </w:rPr>
        <w:t>Person</w:t>
      </w:r>
      <w:r>
        <w:rPr>
          <w:rFonts w:ascii="Arial" w:cs="Arial" w:eastAsia="Arial" w:hAnsi="Arial"/>
          <w:sz w:val="22"/>
          <w:szCs w:val="22"/>
          <w:color w:val="auto"/>
        </w:rPr>
        <w:t>”), acquires ownership of the stock of the Company that, with the stock held by such Person, constitutes more than 50% of the total voting power of the stock of the Company; provided, that for this subsection, the acquisition of additional stock by any one Person, who prior to such acquisition is considered to own more than 50% of the total voting</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power of the stock of the Company will not be considered a Change in Control and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Section 2(f)(i).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5" w:lineRule="exact"/>
        <w:rPr>
          <w:sz w:val="20"/>
          <w:szCs w:val="20"/>
          <w:color w:val="auto"/>
        </w:rPr>
      </w:pPr>
    </w:p>
    <w:p>
      <w:pPr>
        <w:jc w:val="both"/>
        <w:ind w:firstLine="1952"/>
        <w:spacing w:after="0" w:line="248" w:lineRule="auto"/>
        <w:tabs>
          <w:tab w:leader="none" w:pos="2586"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change in the effective control of the Company which occurs on the date a majority of members of the Board is replaced during any 12-month period by Directors whose appointment or election is not endorsed by a majority of the members of the Board prior to the appointment or election. For purposes of this Section 2(f)(ii), if any Person is considered to be in effective control of the Company, the acquisition of additional control of the Company by the same Person will not be considered a Change in Control; or</w:t>
      </w:r>
    </w:p>
    <w:p>
      <w:pPr>
        <w:spacing w:after="0" w:line="191" w:lineRule="exact"/>
        <w:rPr>
          <w:rFonts w:ascii="Arial" w:cs="Arial" w:eastAsia="Arial" w:hAnsi="Arial"/>
          <w:sz w:val="22"/>
          <w:szCs w:val="22"/>
          <w:color w:val="auto"/>
        </w:rPr>
      </w:pPr>
    </w:p>
    <w:p>
      <w:pPr>
        <w:jc w:val="both"/>
        <w:ind w:firstLine="1952"/>
        <w:spacing w:after="0" w:line="247" w:lineRule="auto"/>
        <w:tabs>
          <w:tab w:leader="none" w:pos="2592"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that for this Section 2(f)(iii), the following will not constitute a change in the ownership of a substantial portion of the Company’s assets:</w:t>
      </w:r>
    </w:p>
    <w:p>
      <w:pPr>
        <w:spacing w:after="0" w:line="192" w:lineRule="exact"/>
        <w:rPr>
          <w:rFonts w:ascii="Arial" w:cs="Arial" w:eastAsia="Arial" w:hAnsi="Arial"/>
          <w:sz w:val="22"/>
          <w:szCs w:val="22"/>
          <w:color w:val="auto"/>
        </w:rPr>
      </w:pPr>
    </w:p>
    <w:p>
      <w:pPr>
        <w:ind w:left="3240" w:hanging="640"/>
        <w:spacing w:after="0"/>
        <w:tabs>
          <w:tab w:leader="none" w:pos="3240" w:val="left"/>
        </w:tabs>
        <w:numPr>
          <w:ilvl w:val="1"/>
          <w:numId w:val="65"/>
        </w:numPr>
        <w:rPr>
          <w:rFonts w:ascii="Arial" w:cs="Arial" w:eastAsia="Arial" w:hAnsi="Arial"/>
          <w:sz w:val="21"/>
          <w:szCs w:val="21"/>
          <w:color w:val="auto"/>
        </w:rPr>
      </w:pPr>
      <w:r>
        <w:rPr>
          <w:rFonts w:ascii="Arial" w:cs="Arial" w:eastAsia="Arial" w:hAnsi="Arial"/>
          <w:sz w:val="21"/>
          <w:szCs w:val="21"/>
          <w:color w:val="auto"/>
        </w:rPr>
        <w:t>a transfer to an entity controlled by the Company’s stockholders immediately after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transfer, or</w:t>
      </w:r>
    </w:p>
    <w:p>
      <w:pPr>
        <w:spacing w:after="0" w:line="201" w:lineRule="exact"/>
        <w:rPr>
          <w:rFonts w:ascii="Arial" w:cs="Arial" w:eastAsia="Arial" w:hAnsi="Arial"/>
          <w:sz w:val="21"/>
          <w:szCs w:val="21"/>
          <w:color w:val="auto"/>
        </w:rPr>
      </w:pPr>
    </w:p>
    <w:p>
      <w:pPr>
        <w:ind w:left="3240" w:hanging="640"/>
        <w:spacing w:after="0"/>
        <w:tabs>
          <w:tab w:leader="none" w:pos="324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transfer of assets by the Company to:</w:t>
      </w:r>
    </w:p>
    <w:p>
      <w:pPr>
        <w:spacing w:after="0" w:line="219" w:lineRule="exact"/>
        <w:rPr>
          <w:rFonts w:ascii="Arial" w:cs="Arial" w:eastAsia="Arial" w:hAnsi="Arial"/>
          <w:sz w:val="22"/>
          <w:szCs w:val="22"/>
          <w:color w:val="auto"/>
        </w:rPr>
      </w:pPr>
    </w:p>
    <w:p>
      <w:pPr>
        <w:ind w:left="3880" w:hanging="632"/>
        <w:spacing w:after="0"/>
        <w:tabs>
          <w:tab w:leader="none" w:pos="3880" w:val="left"/>
        </w:tabs>
        <w:numPr>
          <w:ilvl w:val="2"/>
          <w:numId w:val="65"/>
        </w:numPr>
        <w:rPr>
          <w:rFonts w:ascii="Arial" w:cs="Arial" w:eastAsia="Arial" w:hAnsi="Arial"/>
          <w:sz w:val="19"/>
          <w:szCs w:val="19"/>
          <w:color w:val="auto"/>
        </w:rPr>
      </w:pPr>
      <w:r>
        <w:rPr>
          <w:rFonts w:ascii="Arial" w:cs="Arial" w:eastAsia="Arial" w:hAnsi="Arial"/>
          <w:sz w:val="19"/>
          <w:szCs w:val="19"/>
          <w:color w:val="auto"/>
        </w:rPr>
        <w:t>a stockholder of the Company (immediately before the asset transfer) in exchange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or with respect to the Company’s stock,</w:t>
      </w:r>
    </w:p>
    <w:p>
      <w:pPr>
        <w:spacing w:after="0" w:line="201" w:lineRule="exact"/>
        <w:rPr>
          <w:rFonts w:ascii="Arial" w:cs="Arial" w:eastAsia="Arial" w:hAnsi="Arial"/>
          <w:sz w:val="19"/>
          <w:szCs w:val="19"/>
          <w:color w:val="auto"/>
        </w:rPr>
      </w:pPr>
    </w:p>
    <w:p>
      <w:pPr>
        <w:ind w:left="3880" w:hanging="632"/>
        <w:spacing w:after="0"/>
        <w:tabs>
          <w:tab w:leader="none" w:pos="3880" w:val="left"/>
        </w:tabs>
        <w:numPr>
          <w:ilvl w:val="2"/>
          <w:numId w:val="65"/>
        </w:numPr>
        <w:rPr>
          <w:rFonts w:ascii="Arial" w:cs="Arial" w:eastAsia="Arial" w:hAnsi="Arial"/>
          <w:sz w:val="19"/>
          <w:szCs w:val="19"/>
          <w:color w:val="auto"/>
        </w:rPr>
      </w:pPr>
      <w:r>
        <w:rPr>
          <w:rFonts w:ascii="Arial" w:cs="Arial" w:eastAsia="Arial" w:hAnsi="Arial"/>
          <w:sz w:val="19"/>
          <w:szCs w:val="19"/>
          <w:color w:val="auto"/>
        </w:rPr>
        <w:t>an entity, 50% or more of the total value or voting power of which is owned, directly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indirectly, by the Company,</w:t>
      </w:r>
    </w:p>
    <w:p>
      <w:pPr>
        <w:spacing w:after="0" w:line="201" w:lineRule="exact"/>
        <w:rPr>
          <w:rFonts w:ascii="Arial" w:cs="Arial" w:eastAsia="Arial" w:hAnsi="Arial"/>
          <w:sz w:val="19"/>
          <w:szCs w:val="19"/>
          <w:color w:val="auto"/>
        </w:rPr>
      </w:pPr>
    </w:p>
    <w:p>
      <w:pPr>
        <w:ind w:firstLine="3248"/>
        <w:spacing w:after="0" w:line="263" w:lineRule="auto"/>
        <w:tabs>
          <w:tab w:leader="none" w:pos="3879" w:val="left"/>
        </w:tabs>
        <w:numPr>
          <w:ilvl w:val="2"/>
          <w:numId w:val="65"/>
        </w:numPr>
        <w:rPr>
          <w:rFonts w:ascii="Arial" w:cs="Arial" w:eastAsia="Arial" w:hAnsi="Arial"/>
          <w:sz w:val="22"/>
          <w:szCs w:val="22"/>
          <w:color w:val="auto"/>
        </w:rPr>
      </w:pPr>
      <w:r>
        <w:rPr>
          <w:rFonts w:ascii="Arial" w:cs="Arial" w:eastAsia="Arial" w:hAnsi="Arial"/>
          <w:sz w:val="22"/>
          <w:szCs w:val="22"/>
          <w:color w:val="auto"/>
        </w:rPr>
        <w:t>a Person, that owns, directly or indirectly, 50% or more of the total value or voting power of all the outstanding stock of the Company, or</w:t>
      </w:r>
    </w:p>
    <w:p>
      <w:pPr>
        <w:spacing w:after="0" w:line="174" w:lineRule="exact"/>
        <w:rPr>
          <w:rFonts w:ascii="Arial" w:cs="Arial" w:eastAsia="Arial" w:hAnsi="Arial"/>
          <w:sz w:val="22"/>
          <w:szCs w:val="22"/>
          <w:color w:val="auto"/>
        </w:rPr>
      </w:pPr>
    </w:p>
    <w:p>
      <w:pPr>
        <w:ind w:left="3880" w:hanging="632"/>
        <w:spacing w:after="0"/>
        <w:tabs>
          <w:tab w:leader="none" w:pos="3880" w:val="left"/>
        </w:tabs>
        <w:numPr>
          <w:ilvl w:val="2"/>
          <w:numId w:val="65"/>
        </w:numPr>
        <w:rPr>
          <w:rFonts w:ascii="Arial" w:cs="Arial" w:eastAsia="Arial" w:hAnsi="Arial"/>
          <w:sz w:val="19"/>
          <w:szCs w:val="19"/>
          <w:color w:val="auto"/>
        </w:rPr>
      </w:pPr>
      <w:r>
        <w:rPr>
          <w:rFonts w:ascii="Arial" w:cs="Arial" w:eastAsia="Arial" w:hAnsi="Arial"/>
          <w:sz w:val="19"/>
          <w:szCs w:val="19"/>
          <w:color w:val="auto"/>
        </w:rPr>
        <w:t>an entity, at least 50% of the total value or voting power of which is owned, directly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indirectly, by a Person described in Section 2(f)(iii)(2)(A) to Section 2(f)(iii)(2)(C).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366"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21"/>
          <w:szCs w:val="21"/>
          <w:color w:val="auto"/>
        </w:rPr>
        <w:t>For this definition, gross fair market value means the value of the assets of the Company, or the value of the assets being disposed of, determined without regard to any liabilities associated with such assets. For this definition, persons will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2(f).</w:t>
      </w:r>
    </w:p>
    <w:p>
      <w:pPr>
        <w:spacing w:after="0" w:line="175" w:lineRule="exact"/>
        <w:rPr>
          <w:sz w:val="20"/>
          <w:szCs w:val="20"/>
          <w:color w:val="auto"/>
        </w:rPr>
      </w:pPr>
    </w:p>
    <w:p>
      <w:pPr>
        <w:jc w:val="both"/>
        <w:ind w:left="1960" w:hanging="656"/>
        <w:spacing w:after="0" w:line="265" w:lineRule="auto"/>
        <w:tabs>
          <w:tab w:leader="none" w:pos="2178" w:val="left"/>
        </w:tabs>
        <w:numPr>
          <w:ilvl w:val="1"/>
          <w:numId w:val="66"/>
        </w:numPr>
        <w:rPr>
          <w:rFonts w:ascii="Arial" w:cs="Arial" w:eastAsia="Arial" w:hAnsi="Arial"/>
          <w:sz w:val="21"/>
          <w:szCs w:val="21"/>
          <w:color w:val="auto"/>
        </w:rPr>
      </w:pPr>
      <w:r>
        <w:rPr>
          <w:rFonts w:ascii="Arial" w:cs="Arial" w:eastAsia="Arial" w:hAnsi="Arial"/>
          <w:sz w:val="21"/>
          <w:szCs w:val="21"/>
          <w:color w:val="auto"/>
        </w:rPr>
        <w:t>For purposes of this Section 2(f), persons will be considered to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2(f).</w:t>
      </w:r>
    </w:p>
    <w:p>
      <w:pPr>
        <w:spacing w:after="0" w:line="175" w:lineRule="exact"/>
        <w:rPr>
          <w:rFonts w:ascii="Arial" w:cs="Arial" w:eastAsia="Arial" w:hAnsi="Arial"/>
          <w:sz w:val="21"/>
          <w:szCs w:val="21"/>
          <w:color w:val="auto"/>
        </w:rPr>
      </w:pPr>
    </w:p>
    <w:p>
      <w:pPr>
        <w:ind w:left="2580" w:hanging="628"/>
        <w:spacing w:after="0"/>
        <w:tabs>
          <w:tab w:leader="none" w:pos="2580" w:val="left"/>
        </w:tabs>
        <w:numPr>
          <w:ilvl w:val="2"/>
          <w:numId w:val="66"/>
        </w:numPr>
        <w:rPr>
          <w:rFonts w:ascii="Arial" w:cs="Arial" w:eastAsia="Arial" w:hAnsi="Arial"/>
          <w:sz w:val="22"/>
          <w:szCs w:val="22"/>
          <w:color w:val="auto"/>
        </w:rPr>
      </w:pPr>
      <w:r>
        <w:rPr>
          <w:rFonts w:ascii="Arial" w:cs="Arial" w:eastAsia="Arial" w:hAnsi="Arial"/>
          <w:sz w:val="22"/>
          <w:szCs w:val="22"/>
          <w:color w:val="auto"/>
        </w:rPr>
        <w:t>A transaction will not be a Change in Control:</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3"/>
          <w:numId w:val="66"/>
        </w:numPr>
        <w:rPr>
          <w:rFonts w:ascii="Arial" w:cs="Arial" w:eastAsia="Arial" w:hAnsi="Arial"/>
          <w:sz w:val="19"/>
          <w:szCs w:val="19"/>
          <w:color w:val="auto"/>
        </w:rPr>
      </w:pPr>
      <w:r>
        <w:rPr>
          <w:rFonts w:ascii="Arial" w:cs="Arial" w:eastAsia="Arial" w:hAnsi="Arial"/>
          <w:sz w:val="19"/>
          <w:szCs w:val="19"/>
          <w:color w:val="auto"/>
        </w:rPr>
        <w:t>unless the transaction qualifies as a change in control event within the meaning of Code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409A; or</w:t>
      </w:r>
    </w:p>
    <w:p>
      <w:pPr>
        <w:spacing w:after="0" w:line="201" w:lineRule="exact"/>
        <w:rPr>
          <w:rFonts w:ascii="Arial" w:cs="Arial" w:eastAsia="Arial" w:hAnsi="Arial"/>
          <w:sz w:val="19"/>
          <w:szCs w:val="19"/>
          <w:color w:val="auto"/>
        </w:rPr>
      </w:pPr>
    </w:p>
    <w:p>
      <w:pPr>
        <w:ind w:left="3240" w:hanging="640"/>
        <w:spacing w:after="0"/>
        <w:tabs>
          <w:tab w:leader="none" w:pos="3240" w:val="left"/>
        </w:tabs>
        <w:numPr>
          <w:ilvl w:val="3"/>
          <w:numId w:val="66"/>
        </w:numPr>
        <w:rPr>
          <w:rFonts w:ascii="Arial" w:cs="Arial" w:eastAsia="Arial" w:hAnsi="Arial"/>
          <w:sz w:val="19"/>
          <w:szCs w:val="19"/>
          <w:color w:val="auto"/>
        </w:rPr>
      </w:pPr>
      <w:r>
        <w:rPr>
          <w:rFonts w:ascii="Arial" w:cs="Arial" w:eastAsia="Arial" w:hAnsi="Arial"/>
          <w:sz w:val="19"/>
          <w:szCs w:val="19"/>
          <w:color w:val="auto"/>
        </w:rPr>
        <w:t>if its primary purpose is to (1) change the jurisdiction of the Company’s incorporation, or</w:t>
      </w:r>
    </w:p>
    <w:p>
      <w:pPr>
        <w:spacing w:after="0" w:line="55" w:lineRule="exact"/>
        <w:rPr>
          <w:rFonts w:ascii="Arial" w:cs="Arial" w:eastAsia="Arial" w:hAnsi="Arial"/>
          <w:sz w:val="19"/>
          <w:szCs w:val="19"/>
          <w:color w:val="auto"/>
        </w:rPr>
      </w:pPr>
    </w:p>
    <w:p>
      <w:pPr>
        <w:ind w:right="20" w:firstLine="8"/>
        <w:spacing w:after="0" w:line="246" w:lineRule="auto"/>
        <w:tabs>
          <w:tab w:leader="none" w:pos="319" w:val="left"/>
        </w:tabs>
        <w:numPr>
          <w:ilvl w:val="0"/>
          <w:numId w:val="67"/>
        </w:numPr>
        <w:rPr>
          <w:rFonts w:ascii="Arial" w:cs="Arial" w:eastAsia="Arial" w:hAnsi="Arial"/>
          <w:sz w:val="22"/>
          <w:szCs w:val="22"/>
          <w:color w:val="auto"/>
        </w:rPr>
      </w:pPr>
      <w:r>
        <w:rPr>
          <w:rFonts w:ascii="Arial" w:cs="Arial" w:eastAsia="Arial" w:hAnsi="Arial"/>
          <w:sz w:val="22"/>
          <w:szCs w:val="22"/>
          <w:color w:val="auto"/>
        </w:rPr>
        <w:t>create a holding company owned in substantially the same proportions by the persons who held the Company’s securities immediately before such transaction.</w:t>
      </w:r>
    </w:p>
    <w:p>
      <w:pPr>
        <w:spacing w:after="0" w:line="192" w:lineRule="exact"/>
        <w:rPr>
          <w:sz w:val="20"/>
          <w:szCs w:val="20"/>
          <w:color w:val="auto"/>
        </w:rPr>
      </w:pPr>
    </w:p>
    <w:p>
      <w:pPr>
        <w:jc w:val="both"/>
        <w:ind w:firstLine="1304"/>
        <w:spacing w:after="0" w:line="248" w:lineRule="auto"/>
        <w:tabs>
          <w:tab w:leader="none" w:pos="1939"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Reference to a section of the Code or regulation related to that section shall include such section or regulation, any valid regulation issued or other official applicable guidance of general or direct applicability promulgated under such section or regulation, and any comparable provision of any future legislation, regulation or official guidance of general or direct applicability amending, supplementing or superseding such section or regulation.</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a committee of Directors or of other individuals satisfying Applicable Laws appointed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the Board.</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Upstart Holdings, Inc., a Delaware corporation, or any of its successors.</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the Company, any Parent or Subsidiary, and any entity that, from time to time and at the time of any determination, directly or indirectly, is in control of, is controlled by or is under common control with the Company.</w:t>
      </w:r>
    </w:p>
    <w:p>
      <w:pPr>
        <w:spacing w:after="0" w:line="185" w:lineRule="exact"/>
        <w:rPr>
          <w:rFonts w:ascii="Arial" w:cs="Arial" w:eastAsia="Arial" w:hAnsi="Arial"/>
          <w:sz w:val="22"/>
          <w:szCs w:val="22"/>
          <w:color w:val="auto"/>
        </w:rPr>
      </w:pPr>
    </w:p>
    <w:p>
      <w:pPr>
        <w:jc w:val="both"/>
        <w:ind w:firstLine="1304"/>
        <w:spacing w:after="0" w:line="302" w:lineRule="auto"/>
        <w:tabs>
          <w:tab w:leader="none" w:pos="1932"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Consultant</w:t>
      </w:r>
      <w:r>
        <w:rPr>
          <w:rFonts w:ascii="Arial" w:cs="Arial" w:eastAsia="Arial" w:hAnsi="Arial"/>
          <w:sz w:val="19"/>
          <w:szCs w:val="19"/>
          <w:color w:val="auto"/>
        </w:rPr>
        <w:t>” means any natural person engaged by a member of the Company Group to render bona fide services to such entity, provided the services (i) are not in connection with the offer or sale of securities in a capital raising transaction, and (ii) do not directly promote or maintain a market for the Company’s securities. A Consultant must be a person to whom the issuance of Shares registered on Form S-8 under the Securities Act is permitted.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66" w:lineRule="exact"/>
        <w:rPr>
          <w:sz w:val="20"/>
          <w:szCs w:val="20"/>
          <w:color w:val="auto"/>
        </w:rPr>
      </w:pPr>
    </w:p>
    <w:p>
      <w:pPr>
        <w:ind w:left="1940" w:hanging="636"/>
        <w:spacing w:after="0"/>
        <w:tabs>
          <w:tab w:leader="none" w:pos="19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7" w:lineRule="exact"/>
        <w:rPr>
          <w:rFonts w:ascii="Arial" w:cs="Arial" w:eastAsia="Arial" w:hAnsi="Arial"/>
          <w:sz w:val="22"/>
          <w:szCs w:val="22"/>
          <w:color w:val="auto"/>
        </w:rPr>
      </w:pPr>
    </w:p>
    <w:p>
      <w:pPr>
        <w:jc w:val="both"/>
        <w:ind w:firstLine="1304"/>
        <w:spacing w:after="0" w:line="261" w:lineRule="auto"/>
        <w:tabs>
          <w:tab w:leader="none" w:pos="1939" w:val="left"/>
        </w:tabs>
        <w:numPr>
          <w:ilvl w:val="0"/>
          <w:numId w:val="6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means any person, including Officers and Directors, providing services as an employee to the Company or any member of the Company Group. However, with respect to Incentive Stock Options, an Employee must be employed by the Company or any Parent or Subsidiary of the Company (such an Employee, an “</w:t>
      </w:r>
      <w:r>
        <w:rPr>
          <w:rFonts w:ascii="Arial" w:cs="Arial" w:eastAsia="Arial" w:hAnsi="Arial"/>
          <w:sz w:val="21"/>
          <w:szCs w:val="21"/>
          <w:u w:val="single" w:color="auto"/>
          <w:color w:val="auto"/>
        </w:rPr>
        <w:t>ISO Employee</w:t>
      </w:r>
      <w:r>
        <w:rPr>
          <w:rFonts w:ascii="Arial" w:cs="Arial" w:eastAsia="Arial" w:hAnsi="Arial"/>
          <w:sz w:val="21"/>
          <w:szCs w:val="21"/>
          <w:color w:val="auto"/>
        </w:rPr>
        <w:t>”). Notwithstanding, Options awarded to individuals not providing services to the Company or a Subsidiary of the Company should be carefully structured to comply with the payment timing rule of Code Section 409A. Neither service as a Director nor payment of a director’s fee by the Company will constitute “employment” by the Company.</w:t>
      </w:r>
    </w:p>
    <w:p>
      <w:pPr>
        <w:spacing w:after="0" w:line="179" w:lineRule="exact"/>
        <w:rPr>
          <w:rFonts w:ascii="Arial" w:cs="Arial" w:eastAsia="Arial" w:hAnsi="Arial"/>
          <w:sz w:val="21"/>
          <w:szCs w:val="21"/>
          <w:color w:val="auto"/>
        </w:rPr>
      </w:pPr>
    </w:p>
    <w:p>
      <w:pPr>
        <w:ind w:left="1940" w:hanging="636"/>
        <w:spacing w:after="0"/>
        <w:tabs>
          <w:tab w:leader="none" w:pos="19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w:t>
      </w:r>
    </w:p>
    <w:p>
      <w:pPr>
        <w:spacing w:after="0" w:line="219" w:lineRule="exact"/>
        <w:rPr>
          <w:rFonts w:ascii="Arial" w:cs="Arial" w:eastAsia="Arial" w:hAnsi="Arial"/>
          <w:sz w:val="22"/>
          <w:szCs w:val="22"/>
          <w:color w:val="auto"/>
        </w:rPr>
      </w:pPr>
    </w:p>
    <w:p>
      <w:pPr>
        <w:jc w:val="both"/>
        <w:ind w:firstLine="1304"/>
        <w:spacing w:after="0" w:line="297" w:lineRule="auto"/>
        <w:tabs>
          <w:tab w:leader="none" w:pos="1939" w:val="left"/>
        </w:tabs>
        <w:numPr>
          <w:ilvl w:val="0"/>
          <w:numId w:val="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Program</w:t>
      </w:r>
      <w:r>
        <w:rPr>
          <w:rFonts w:ascii="Arial" w:cs="Arial" w:eastAsia="Arial" w:hAnsi="Arial"/>
          <w:sz w:val="19"/>
          <w:szCs w:val="19"/>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46" w:lineRule="exact"/>
        <w:rPr>
          <w:rFonts w:ascii="Arial" w:cs="Arial" w:eastAsia="Arial" w:hAnsi="Arial"/>
          <w:sz w:val="19"/>
          <w:szCs w:val="19"/>
          <w:color w:val="auto"/>
        </w:rPr>
      </w:pPr>
    </w:p>
    <w:p>
      <w:pPr>
        <w:ind w:left="1960" w:hanging="656"/>
        <w:spacing w:after="0"/>
        <w:tabs>
          <w:tab w:leader="none" w:pos="1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Price</w:t>
      </w:r>
      <w:r>
        <w:rPr>
          <w:rFonts w:ascii="Arial" w:cs="Arial" w:eastAsia="Arial" w:hAnsi="Arial"/>
          <w:sz w:val="22"/>
          <w:szCs w:val="22"/>
          <w:color w:val="auto"/>
        </w:rPr>
        <w:t>” means the price payable per share to exercise an Award.</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42"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means the last possible day on which an Option or Stock Appreciation Right may be exercised. Any exercise must be completed before midnight U.S. Pacific Time between the Expiration Date and the following date; provided, however, that any broker-assisted cashless exercise of an Option granted hereunder must be completed by the close of market trading on the Expiration Date.</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the value of a Share, determined as follows:</w:t>
      </w:r>
    </w:p>
    <w:p>
      <w:pPr>
        <w:spacing w:after="0" w:line="219" w:lineRule="exact"/>
        <w:rPr>
          <w:rFonts w:ascii="Arial" w:cs="Arial" w:eastAsia="Arial" w:hAnsi="Arial"/>
          <w:sz w:val="22"/>
          <w:szCs w:val="22"/>
          <w:color w:val="auto"/>
        </w:rPr>
      </w:pPr>
    </w:p>
    <w:p>
      <w:pPr>
        <w:jc w:val="both"/>
        <w:ind w:firstLine="1952"/>
        <w:spacing w:after="0" w:line="260" w:lineRule="auto"/>
        <w:tabs>
          <w:tab w:leader="none" w:pos="2580" w:val="left"/>
        </w:tabs>
        <w:numPr>
          <w:ilvl w:val="1"/>
          <w:numId w:val="69"/>
        </w:numPr>
        <w:rPr>
          <w:rFonts w:ascii="Arial" w:cs="Arial" w:eastAsia="Arial" w:hAnsi="Arial"/>
          <w:sz w:val="21"/>
          <w:szCs w:val="21"/>
          <w:color w:val="auto"/>
        </w:rPr>
      </w:pPr>
      <w:r>
        <w:rPr>
          <w:rFonts w:ascii="Arial" w:cs="Arial" w:eastAsia="Arial" w:hAnsi="Arial"/>
          <w:sz w:val="21"/>
          <w:szCs w:val="21"/>
          <w:color w:val="auto"/>
        </w:rPr>
        <w:t>If the Common Stock is listed on any established stock exchange or a national market system, including without limitation the New York Stock Exchange, the NASDAQ Global Select Market, the NASDAQ Global Market or the NASDAQ Capital Market of The NASDAQ Stock Market, the Fair Market Value will be the closing sales price for a Share (or the closing bid, if no sales were reported) as quoted on such exchange or system on the day of determination, as reported by such source as the Administrator determines to be reliable. If the determination date for the Fair Market Value occurs on a non-Trading Day (i.e., a weekend or holiday), the Fair Market Value will be such price on the immediately preceding Trading Day, unless otherwise determined by the Administrator;</w:t>
      </w:r>
    </w:p>
    <w:p>
      <w:pPr>
        <w:spacing w:after="0" w:line="180" w:lineRule="exact"/>
        <w:rPr>
          <w:rFonts w:ascii="Arial" w:cs="Arial" w:eastAsia="Arial" w:hAnsi="Arial"/>
          <w:sz w:val="21"/>
          <w:szCs w:val="21"/>
          <w:color w:val="auto"/>
        </w:rPr>
      </w:pPr>
    </w:p>
    <w:p>
      <w:pPr>
        <w:ind w:firstLine="1952"/>
        <w:spacing w:after="0" w:line="263" w:lineRule="auto"/>
        <w:tabs>
          <w:tab w:leader="none" w:pos="2586"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the Common Stock is regularly quoted by a recognized securities dealer but selling prices are not reported, the Fair Market Value of a Share will be the mean between the high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3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bid and low asked prices for the Common Stock on the day of determination (or, if no bids and asks were reported on that date on the last Trading Day such bids and asks were reported), as reported by such source as the Administrator determines to be reliable;</w:t>
      </w:r>
    </w:p>
    <w:p>
      <w:pPr>
        <w:spacing w:after="0" w:line="104" w:lineRule="exact"/>
        <w:rPr>
          <w:sz w:val="20"/>
          <w:szCs w:val="20"/>
          <w:color w:val="auto"/>
        </w:rPr>
      </w:pPr>
    </w:p>
    <w:p>
      <w:pPr>
        <w:jc w:val="both"/>
        <w:ind w:firstLine="1952"/>
        <w:spacing w:after="0" w:line="253" w:lineRule="auto"/>
        <w:tabs>
          <w:tab w:leader="none" w:pos="2592" w:val="left"/>
        </w:tabs>
        <w:numPr>
          <w:ilvl w:val="0"/>
          <w:numId w:val="70"/>
        </w:numPr>
        <w:rPr>
          <w:rFonts w:ascii="Arial" w:cs="Arial" w:eastAsia="Arial" w:hAnsi="Arial"/>
          <w:sz w:val="22"/>
          <w:szCs w:val="22"/>
          <w:color w:val="auto"/>
        </w:rPr>
      </w:pPr>
      <w:r>
        <w:rPr>
          <w:rFonts w:ascii="Arial" w:cs="Arial" w:eastAsia="Arial" w:hAnsi="Arial"/>
          <w:sz w:val="22"/>
          <w:szCs w:val="22"/>
          <w:color w:val="auto"/>
        </w:rPr>
        <w:t>For any Awards granted on the Registration Date, the Fair Market Value will be the initial price to the public set forth in the final prospectus included within the registration statement on Form S-1 filed with the United States Securities and Exchange Commission for the initial public offering of the Common Stock; or</w:t>
      </w:r>
    </w:p>
    <w:p>
      <w:pPr>
        <w:spacing w:after="0" w:line="185" w:lineRule="exact"/>
        <w:rPr>
          <w:rFonts w:ascii="Arial" w:cs="Arial" w:eastAsia="Arial" w:hAnsi="Arial"/>
          <w:sz w:val="22"/>
          <w:szCs w:val="22"/>
          <w:color w:val="auto"/>
        </w:rPr>
      </w:pPr>
    </w:p>
    <w:p>
      <w:pPr>
        <w:ind w:firstLine="1952"/>
        <w:spacing w:after="0" w:line="263" w:lineRule="auto"/>
        <w:tabs>
          <w:tab w:leader="none" w:pos="25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Absent an established market for the Common Stock, the Fair Market Value will be determined in good faith by the Administrator.</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the foregoing, if the determination date for the Fair Market Value occurs on a weekend, holiday or other day other than a Trading Day, the Fair Market Value will be the price as determined under subsections (t)(i) or (t)(ii) above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83" w:lineRule="exact"/>
        <w:rPr>
          <w:sz w:val="20"/>
          <w:szCs w:val="20"/>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fiscal year of the Company.</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Grant Date as defined in Section 4(c).</w:t>
      </w:r>
    </w:p>
    <w:p>
      <w:pPr>
        <w:spacing w:after="0" w:line="219" w:lineRule="exact"/>
        <w:rPr>
          <w:rFonts w:ascii="Arial" w:cs="Arial" w:eastAsia="Arial" w:hAnsi="Arial"/>
          <w:sz w:val="22"/>
          <w:szCs w:val="22"/>
          <w:color w:val="auto"/>
        </w:rPr>
      </w:pPr>
    </w:p>
    <w:p>
      <w:pPr>
        <w:ind w:firstLine="1304"/>
        <w:spacing w:after="0" w:line="263" w:lineRule="auto"/>
        <w:tabs>
          <w:tab w:leader="none" w:pos="1933"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that is intended to qualify and does qualify as an incentive stock option within the meaning of Code Section 422.</w:t>
      </w:r>
    </w:p>
    <w:p>
      <w:pPr>
        <w:spacing w:after="0" w:line="174" w:lineRule="exact"/>
        <w:rPr>
          <w:rFonts w:ascii="Arial" w:cs="Arial" w:eastAsia="Arial" w:hAnsi="Arial"/>
          <w:sz w:val="22"/>
          <w:szCs w:val="22"/>
          <w:color w:val="auto"/>
        </w:rPr>
      </w:pPr>
    </w:p>
    <w:p>
      <w:pPr>
        <w:ind w:firstLine="1304"/>
        <w:spacing w:after="0" w:line="263" w:lineRule="auto"/>
        <w:tabs>
          <w:tab w:leader="none" w:pos="1939"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that by its terms does not qualify or is not intended to qualify as an Incentive Stock Option.</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7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w:t>
      </w:r>
      <w:r>
        <w:rPr>
          <w:rFonts w:ascii="Arial" w:cs="Arial" w:eastAsia="Arial" w:hAnsi="Arial"/>
          <w:sz w:val="21"/>
          <w:szCs w:val="21"/>
          <w:color w:val="auto"/>
        </w:rPr>
        <w:t>” means a person who is an officer of the Company within the meaning of Section 16 of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Exchange Act.</w:t>
      </w:r>
    </w:p>
    <w:p>
      <w:pPr>
        <w:spacing w:after="0" w:line="201" w:lineRule="exact"/>
        <w:rPr>
          <w:rFonts w:ascii="Arial" w:cs="Arial" w:eastAsia="Arial" w:hAnsi="Arial"/>
          <w:sz w:val="21"/>
          <w:szCs w:val="21"/>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stock option to acquire Shares granted under Section 6.</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(aa)</w:t>
        <w:tab/>
        <w:t>“</w:t>
      </w:r>
      <w:r>
        <w:rPr>
          <w:rFonts w:ascii="Arial" w:cs="Arial" w:eastAsia="Arial" w:hAnsi="Arial"/>
          <w:sz w:val="22"/>
          <w:szCs w:val="22"/>
          <w:u w:val="single" w:color="auto"/>
          <w:color w:val="auto"/>
        </w:rPr>
        <w:t>Outside Director</w:t>
      </w:r>
      <w:r>
        <w:rPr>
          <w:rFonts w:ascii="Arial" w:cs="Arial" w:eastAsia="Arial" w:hAnsi="Arial"/>
          <w:sz w:val="22"/>
          <w:szCs w:val="22"/>
          <w:color w:val="auto"/>
        </w:rPr>
        <w:t>” means a Director who is not an Employee.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Arial" w:cs="Arial" w:eastAsia="Arial" w:hAnsi="Arial"/>
                <w:sz w:val="22"/>
                <w:szCs w:val="22"/>
                <w:color w:val="auto"/>
              </w:rPr>
              <w:t>(ab)</w:t>
            </w:r>
          </w:p>
        </w:tc>
        <w:tc>
          <w:tcPr>
            <w:tcW w:w="9440" w:type="dxa"/>
            <w:vAlign w:val="bottom"/>
            <w:gridSpan w:val="5"/>
          </w:tcPr>
          <w:p>
            <w:pPr>
              <w:ind w:left="140"/>
              <w:spacing w:after="0"/>
              <w:rPr>
                <w:sz w:val="20"/>
                <w:szCs w:val="20"/>
                <w:color w:val="auto"/>
              </w:rPr>
            </w:pPr>
            <w:r>
              <w:rPr>
                <w:rFonts w:ascii="Arial" w:cs="Arial" w:eastAsia="Arial" w:hAnsi="Arial"/>
                <w:sz w:val="22"/>
                <w:szCs w:val="22"/>
                <w:color w:val="auto"/>
                <w:w w:val="94"/>
              </w:rPr>
              <w:t>“Parent”  means  a  “parent  corporation,”  whether  now  or  hereafter  existing,  as  defined  in  Code</w:t>
            </w:r>
          </w:p>
        </w:tc>
      </w:tr>
      <w:tr>
        <w:trPr>
          <w:trHeight w:val="287"/>
        </w:trPr>
        <w:tc>
          <w:tcPr>
            <w:tcW w:w="1800" w:type="dxa"/>
            <w:vAlign w:val="bottom"/>
          </w:tcPr>
          <w:p>
            <w:pPr>
              <w:spacing w:after="0"/>
              <w:rPr>
                <w:sz w:val="20"/>
                <w:szCs w:val="20"/>
                <w:color w:val="auto"/>
              </w:rPr>
            </w:pPr>
            <w:r>
              <w:rPr>
                <w:rFonts w:ascii="Arial" w:cs="Arial" w:eastAsia="Arial" w:hAnsi="Arial"/>
                <w:sz w:val="22"/>
                <w:szCs w:val="22"/>
                <w:color w:val="auto"/>
              </w:rPr>
              <w:t>Section 424(e).</w:t>
            </w: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422"/>
        </w:trPr>
        <w:tc>
          <w:tcPr>
            <w:tcW w:w="1800" w:type="dxa"/>
            <w:vAlign w:val="bottom"/>
          </w:tcPr>
          <w:p>
            <w:pPr>
              <w:ind w:left="1300"/>
              <w:spacing w:after="0"/>
              <w:rPr>
                <w:sz w:val="20"/>
                <w:szCs w:val="20"/>
                <w:color w:val="auto"/>
              </w:rPr>
            </w:pPr>
            <w:r>
              <w:rPr>
                <w:rFonts w:ascii="Arial" w:cs="Arial" w:eastAsia="Arial" w:hAnsi="Arial"/>
                <w:sz w:val="22"/>
                <w:szCs w:val="22"/>
                <w:color w:val="auto"/>
              </w:rPr>
              <w:t>(ac)</w:t>
            </w:r>
          </w:p>
        </w:tc>
        <w:tc>
          <w:tcPr>
            <w:tcW w:w="9440" w:type="dxa"/>
            <w:vAlign w:val="bottom"/>
            <w:gridSpan w:val="5"/>
          </w:tcPr>
          <w:p>
            <w:pPr>
              <w:ind w:left="160"/>
              <w:spacing w:after="0"/>
              <w:rPr>
                <w:sz w:val="20"/>
                <w:szCs w:val="20"/>
                <w:color w:val="auto"/>
              </w:rPr>
            </w:pPr>
            <w:r>
              <w:rPr>
                <w:rFonts w:ascii="Arial" w:cs="Arial" w:eastAsia="Arial" w:hAnsi="Arial"/>
                <w:sz w:val="22"/>
                <w:szCs w:val="22"/>
                <w:color w:val="auto"/>
              </w:rPr>
              <w:t>“Participant” means the holder of an outstanding Award.</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53"/>
        </w:trPr>
        <w:tc>
          <w:tcPr>
            <w:tcW w:w="1800" w:type="dxa"/>
            <w:vAlign w:val="bottom"/>
          </w:tcPr>
          <w:p>
            <w:pPr>
              <w:ind w:left="1300"/>
              <w:spacing w:after="0"/>
              <w:rPr>
                <w:sz w:val="20"/>
                <w:szCs w:val="20"/>
                <w:color w:val="auto"/>
              </w:rPr>
            </w:pPr>
            <w:r>
              <w:rPr>
                <w:rFonts w:ascii="Arial" w:cs="Arial" w:eastAsia="Arial" w:hAnsi="Arial"/>
                <w:sz w:val="22"/>
                <w:szCs w:val="22"/>
                <w:color w:val="auto"/>
              </w:rPr>
              <w:t>(ad)</w:t>
            </w:r>
          </w:p>
        </w:tc>
        <w:tc>
          <w:tcPr>
            <w:tcW w:w="9440" w:type="dxa"/>
            <w:vAlign w:val="bottom"/>
            <w:gridSpan w:val="5"/>
          </w:tcPr>
          <w:p>
            <w:pPr>
              <w:ind w:left="140"/>
              <w:spacing w:after="0"/>
              <w:rPr>
                <w:sz w:val="20"/>
                <w:szCs w:val="20"/>
                <w:color w:val="auto"/>
              </w:rPr>
            </w:pPr>
            <w:r>
              <w:rPr>
                <w:rFonts w:ascii="Arial" w:cs="Arial" w:eastAsia="Arial" w:hAnsi="Arial"/>
                <w:sz w:val="22"/>
                <w:szCs w:val="22"/>
                <w:color w:val="auto"/>
                <w:w w:val="95"/>
              </w:rPr>
              <w:t>“Performance Awards” means an Award which may be earned in whole or in part upon attainment of</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performance goals or other vesting criteria as the Administrator may determine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which may be cash- or stock-denominated and may be settled for cash, Shares or other securities or a combination of the foregoing under Section 10.</w:t>
      </w:r>
    </w:p>
    <w:p>
      <w:pPr>
        <w:spacing w:after="0" w:line="146"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(ae)</w:t>
            </w:r>
          </w:p>
        </w:tc>
        <w:tc>
          <w:tcPr>
            <w:tcW w:w="9460" w:type="dxa"/>
            <w:vAlign w:val="bottom"/>
            <w:gridSpan w:val="4"/>
          </w:tcPr>
          <w:p>
            <w:pPr>
              <w:ind w:left="180"/>
              <w:spacing w:after="0"/>
              <w:rPr>
                <w:sz w:val="20"/>
                <w:szCs w:val="20"/>
                <w:color w:val="auto"/>
              </w:rPr>
            </w:pPr>
            <w:r>
              <w:rPr>
                <w:rFonts w:ascii="Arial" w:cs="Arial" w:eastAsia="Arial" w:hAnsi="Arial"/>
                <w:sz w:val="22"/>
                <w:szCs w:val="22"/>
                <w:color w:val="auto"/>
              </w:rPr>
              <w:t>“Performance Period” means Performance Period as defined in Section 10(a)</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453"/>
        </w:trPr>
        <w:tc>
          <w:tcPr>
            <w:tcW w:w="480" w:type="dxa"/>
            <w:vAlign w:val="bottom"/>
          </w:tcPr>
          <w:p>
            <w:pPr>
              <w:spacing w:after="0"/>
              <w:rPr>
                <w:sz w:val="20"/>
                <w:szCs w:val="20"/>
                <w:color w:val="auto"/>
              </w:rPr>
            </w:pPr>
            <w:r>
              <w:rPr>
                <w:rFonts w:ascii="Arial" w:cs="Arial" w:eastAsia="Arial" w:hAnsi="Arial"/>
                <w:sz w:val="22"/>
                <w:szCs w:val="22"/>
                <w:color w:val="auto"/>
              </w:rPr>
              <w:t>(af)</w:t>
            </w:r>
          </w:p>
        </w:tc>
        <w:tc>
          <w:tcPr>
            <w:tcW w:w="9460" w:type="dxa"/>
            <w:vAlign w:val="bottom"/>
            <w:gridSpan w:val="4"/>
          </w:tcPr>
          <w:p>
            <w:pPr>
              <w:ind w:left="160"/>
              <w:spacing w:after="0"/>
              <w:rPr>
                <w:sz w:val="20"/>
                <w:szCs w:val="20"/>
                <w:color w:val="auto"/>
              </w:rPr>
            </w:pPr>
            <w:r>
              <w:rPr>
                <w:rFonts w:ascii="Arial" w:cs="Arial" w:eastAsia="Arial" w:hAnsi="Arial"/>
                <w:sz w:val="22"/>
                <w:szCs w:val="22"/>
                <w:color w:val="auto"/>
                <w:w w:val="90"/>
              </w:rPr>
              <w:t>“Period of Restriction” means the period during which the transfer of Shares of Restricted Stock is subject</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Arial" w:cs="Arial" w:eastAsia="Arial" w:hAnsi="Arial"/>
                <w:sz w:val="22"/>
                <w:szCs w:val="22"/>
                <w:color w:val="auto"/>
              </w:rPr>
              <w:t>(ag)</w:t>
            </w:r>
          </w:p>
        </w:tc>
        <w:tc>
          <w:tcPr>
            <w:tcW w:w="9440" w:type="dxa"/>
            <w:vAlign w:val="bottom"/>
            <w:gridSpan w:val="6"/>
          </w:tcPr>
          <w:p>
            <w:pPr>
              <w:ind w:left="140"/>
              <w:spacing w:after="0"/>
              <w:rPr>
                <w:sz w:val="20"/>
                <w:szCs w:val="20"/>
                <w:color w:val="auto"/>
              </w:rPr>
            </w:pPr>
            <w:r>
              <w:rPr>
                <w:rFonts w:ascii="Arial" w:cs="Arial" w:eastAsia="Arial" w:hAnsi="Arial"/>
                <w:sz w:val="22"/>
                <w:szCs w:val="22"/>
                <w:color w:val="auto"/>
              </w:rPr>
              <w:t>“Plan” means this 2020 Equity Incentive Plan.</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453"/>
        </w:trPr>
        <w:tc>
          <w:tcPr>
            <w:tcW w:w="1800" w:type="dxa"/>
            <w:vAlign w:val="bottom"/>
          </w:tcPr>
          <w:p>
            <w:pPr>
              <w:ind w:left="1300"/>
              <w:spacing w:after="0"/>
              <w:rPr>
                <w:sz w:val="20"/>
                <w:szCs w:val="20"/>
                <w:color w:val="auto"/>
              </w:rPr>
            </w:pPr>
            <w:r>
              <w:rPr>
                <w:rFonts w:ascii="Arial" w:cs="Arial" w:eastAsia="Arial" w:hAnsi="Arial"/>
                <w:sz w:val="22"/>
                <w:szCs w:val="22"/>
                <w:color w:val="auto"/>
              </w:rPr>
              <w:t>(ah)</w:t>
            </w:r>
          </w:p>
        </w:tc>
        <w:tc>
          <w:tcPr>
            <w:tcW w:w="9440" w:type="dxa"/>
            <w:vAlign w:val="bottom"/>
            <w:gridSpan w:val="6"/>
          </w:tcPr>
          <w:p>
            <w:pPr>
              <w:ind w:left="140"/>
              <w:spacing w:after="0"/>
              <w:rPr>
                <w:sz w:val="20"/>
                <w:szCs w:val="20"/>
                <w:color w:val="auto"/>
              </w:rPr>
            </w:pPr>
            <w:r>
              <w:rPr>
                <w:rFonts w:ascii="Arial" w:cs="Arial" w:eastAsia="Arial" w:hAnsi="Arial"/>
                <w:sz w:val="22"/>
                <w:szCs w:val="22"/>
                <w:color w:val="auto"/>
              </w:rPr>
              <w:t>“Registration Date” means the effective date of the first Registration Statement.</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453"/>
        </w:trPr>
        <w:tc>
          <w:tcPr>
            <w:tcW w:w="1800" w:type="dxa"/>
            <w:vAlign w:val="bottom"/>
          </w:tcPr>
          <w:p>
            <w:pPr>
              <w:ind w:left="1300"/>
              <w:spacing w:after="0"/>
              <w:rPr>
                <w:sz w:val="20"/>
                <w:szCs w:val="20"/>
                <w:color w:val="auto"/>
              </w:rPr>
            </w:pPr>
            <w:r>
              <w:rPr>
                <w:rFonts w:ascii="Arial" w:cs="Arial" w:eastAsia="Arial" w:hAnsi="Arial"/>
                <w:sz w:val="22"/>
                <w:szCs w:val="22"/>
                <w:color w:val="auto"/>
              </w:rPr>
              <w:t>(ai)</w:t>
            </w:r>
          </w:p>
        </w:tc>
        <w:tc>
          <w:tcPr>
            <w:tcW w:w="9440" w:type="dxa"/>
            <w:vAlign w:val="bottom"/>
            <w:gridSpan w:val="6"/>
          </w:tcPr>
          <w:p>
            <w:pPr>
              <w:ind w:left="140"/>
              <w:spacing w:after="0"/>
              <w:rPr>
                <w:sz w:val="20"/>
                <w:szCs w:val="20"/>
                <w:color w:val="auto"/>
              </w:rPr>
            </w:pPr>
            <w:r>
              <w:rPr>
                <w:rFonts w:ascii="Arial" w:cs="Arial" w:eastAsia="Arial" w:hAnsi="Arial"/>
                <w:sz w:val="22"/>
                <w:szCs w:val="22"/>
                <w:color w:val="auto"/>
                <w:w w:val="88"/>
              </w:rPr>
              <w:t>“Registration Statement” means a registration statement filed by the Company and declared effective under</w:t>
            </w:r>
          </w:p>
        </w:tc>
      </w:tr>
      <w:tr>
        <w:trPr>
          <w:trHeight w:val="20"/>
        </w:trPr>
        <w:tc>
          <w:tcPr>
            <w:tcW w:w="2040" w:type="dxa"/>
            <w:vAlign w:val="bottom"/>
            <w:gridSpan w:val="2"/>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260" w:type="dxa"/>
            <w:vAlign w:val="bottom"/>
            <w:tcBorders>
              <w:left w:val="single" w:sz="8" w:color="auto"/>
            </w:tcBorders>
          </w:tcPr>
          <w:p>
            <w:pPr>
              <w:spacing w:after="0" w:line="20" w:lineRule="exact"/>
              <w:rPr>
                <w:sz w:val="1"/>
                <w:szCs w:val="1"/>
                <w:color w:val="auto"/>
              </w:rPr>
            </w:pPr>
          </w:p>
        </w:tc>
      </w:tr>
      <w:tr>
        <w:trPr>
          <w:trHeight w:val="287"/>
        </w:trPr>
        <w:tc>
          <w:tcPr>
            <w:tcW w:w="11240" w:type="dxa"/>
            <w:vAlign w:val="bottom"/>
            <w:gridSpan w:val="7"/>
          </w:tcPr>
          <w:p>
            <w:pPr>
              <w:spacing w:after="0"/>
              <w:rPr>
                <w:sz w:val="20"/>
                <w:szCs w:val="20"/>
                <w:color w:val="auto"/>
              </w:rPr>
            </w:pPr>
            <w:r>
              <w:rPr>
                <w:rFonts w:ascii="Arial" w:cs="Arial" w:eastAsia="Arial" w:hAnsi="Arial"/>
                <w:sz w:val="22"/>
                <w:szCs w:val="22"/>
                <w:color w:val="auto"/>
              </w:rPr>
              <w:t>Section 12(b) of the Exchange Act, with respect to any class of the Company’s securities.</w:t>
            </w:r>
          </w:p>
        </w:tc>
      </w:tr>
      <w:tr>
        <w:trPr>
          <w:trHeight w:val="422"/>
        </w:trPr>
        <w:tc>
          <w:tcPr>
            <w:tcW w:w="1800" w:type="dxa"/>
            <w:vAlign w:val="bottom"/>
          </w:tcPr>
          <w:p>
            <w:pPr>
              <w:ind w:left="1300"/>
              <w:spacing w:after="0"/>
              <w:rPr>
                <w:sz w:val="20"/>
                <w:szCs w:val="20"/>
                <w:color w:val="auto"/>
              </w:rPr>
            </w:pPr>
            <w:r>
              <w:rPr>
                <w:rFonts w:ascii="Arial" w:cs="Arial" w:eastAsia="Arial" w:hAnsi="Arial"/>
                <w:sz w:val="22"/>
                <w:szCs w:val="22"/>
                <w:color w:val="auto"/>
              </w:rPr>
              <w:t>(aj)</w:t>
            </w:r>
          </w:p>
        </w:tc>
        <w:tc>
          <w:tcPr>
            <w:tcW w:w="9440" w:type="dxa"/>
            <w:vAlign w:val="bottom"/>
            <w:gridSpan w:val="6"/>
          </w:tcPr>
          <w:p>
            <w:pPr>
              <w:ind w:left="140"/>
              <w:spacing w:after="0"/>
              <w:rPr>
                <w:sz w:val="20"/>
                <w:szCs w:val="20"/>
                <w:color w:val="auto"/>
              </w:rPr>
            </w:pPr>
            <w:r>
              <w:rPr>
                <w:rFonts w:ascii="Arial" w:cs="Arial" w:eastAsia="Arial" w:hAnsi="Arial"/>
                <w:sz w:val="22"/>
                <w:szCs w:val="22"/>
                <w:color w:val="auto"/>
                <w:w w:val="87"/>
              </w:rPr>
              <w:t>“Restricted Stock” means Shares issued under an Award granted under Section 8 or issued as a result of the</w:t>
            </w:r>
          </w:p>
        </w:tc>
      </w:tr>
      <w:tr>
        <w:trPr>
          <w:trHeight w:val="20"/>
        </w:trPr>
        <w:tc>
          <w:tcPr>
            <w:tcW w:w="2040" w:type="dxa"/>
            <w:vAlign w:val="bottom"/>
            <w:gridSpan w:val="2"/>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87"/>
        </w:trPr>
        <w:tc>
          <w:tcPr>
            <w:tcW w:w="11240" w:type="dxa"/>
            <w:vAlign w:val="bottom"/>
            <w:gridSpan w:val="7"/>
          </w:tcPr>
          <w:p>
            <w:pPr>
              <w:spacing w:after="0"/>
              <w:rPr>
                <w:sz w:val="20"/>
                <w:szCs w:val="20"/>
                <w:color w:val="auto"/>
              </w:rPr>
            </w:pPr>
            <w:r>
              <w:rPr>
                <w:rFonts w:ascii="Arial" w:cs="Arial" w:eastAsia="Arial" w:hAnsi="Arial"/>
                <w:sz w:val="22"/>
                <w:szCs w:val="22"/>
                <w:color w:val="auto"/>
              </w:rPr>
              <w:t>early exercise of an Option.</w:t>
            </w:r>
          </w:p>
        </w:tc>
      </w:tr>
      <w:tr>
        <w:trPr>
          <w:trHeight w:val="422"/>
        </w:trPr>
        <w:tc>
          <w:tcPr>
            <w:tcW w:w="1800" w:type="dxa"/>
            <w:vAlign w:val="bottom"/>
          </w:tcPr>
          <w:p>
            <w:pPr>
              <w:ind w:left="1300"/>
              <w:spacing w:after="0"/>
              <w:rPr>
                <w:sz w:val="20"/>
                <w:szCs w:val="20"/>
                <w:color w:val="auto"/>
              </w:rPr>
            </w:pPr>
            <w:r>
              <w:rPr>
                <w:rFonts w:ascii="Arial" w:cs="Arial" w:eastAsia="Arial" w:hAnsi="Arial"/>
                <w:sz w:val="22"/>
                <w:szCs w:val="22"/>
                <w:color w:val="auto"/>
              </w:rPr>
              <w:t>(ak)</w:t>
            </w:r>
          </w:p>
        </w:tc>
        <w:tc>
          <w:tcPr>
            <w:tcW w:w="9440" w:type="dxa"/>
            <w:vAlign w:val="bottom"/>
            <w:gridSpan w:val="6"/>
          </w:tcPr>
          <w:p>
            <w:pPr>
              <w:ind w:left="140"/>
              <w:spacing w:after="0"/>
              <w:rPr>
                <w:sz w:val="20"/>
                <w:szCs w:val="20"/>
                <w:color w:val="auto"/>
              </w:rPr>
            </w:pPr>
            <w:r>
              <w:rPr>
                <w:rFonts w:ascii="Arial" w:cs="Arial" w:eastAsia="Arial" w:hAnsi="Arial"/>
                <w:sz w:val="22"/>
                <w:szCs w:val="22"/>
                <w:color w:val="auto"/>
                <w:w w:val="95"/>
              </w:rPr>
              <w:t>“Restricted Stock Unit” means a bookkeeping entry representing an amount equal to the Fair Market</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Value, granted under Section 9. Each Restricted Stock Unit represents an unfunded and unsecured obligation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tcPr>
          <w:p>
            <w:pPr>
              <w:ind w:left="1300"/>
              <w:spacing w:after="0"/>
              <w:rPr>
                <w:sz w:val="20"/>
                <w:szCs w:val="20"/>
                <w:color w:val="auto"/>
              </w:rPr>
            </w:pPr>
            <w:r>
              <w:rPr>
                <w:rFonts w:ascii="Arial" w:cs="Arial" w:eastAsia="Arial" w:hAnsi="Arial"/>
                <w:sz w:val="22"/>
                <w:szCs w:val="22"/>
                <w:color w:val="auto"/>
              </w:rPr>
              <w:t>(al)</w:t>
            </w:r>
          </w:p>
        </w:tc>
        <w:tc>
          <w:tcPr>
            <w:tcW w:w="9420" w:type="dxa"/>
            <w:vAlign w:val="bottom"/>
            <w:gridSpan w:val="8"/>
          </w:tcPr>
          <w:p>
            <w:pPr>
              <w:ind w:left="120"/>
              <w:spacing w:after="0"/>
              <w:rPr>
                <w:sz w:val="20"/>
                <w:szCs w:val="20"/>
                <w:color w:val="auto"/>
              </w:rPr>
            </w:pPr>
            <w:r>
              <w:rPr>
                <w:rFonts w:ascii="Arial" w:cs="Arial" w:eastAsia="Arial" w:hAnsi="Arial"/>
                <w:sz w:val="22"/>
                <w:szCs w:val="22"/>
                <w:color w:val="auto"/>
              </w:rPr>
              <w:t>“Securities Act” means U.S. Securities Act of 1933.</w:t>
            </w: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53"/>
        </w:trPr>
        <w:tc>
          <w:tcPr>
            <w:tcW w:w="1820" w:type="dxa"/>
            <w:vAlign w:val="bottom"/>
          </w:tcPr>
          <w:p>
            <w:pPr>
              <w:ind w:left="1300"/>
              <w:spacing w:after="0"/>
              <w:rPr>
                <w:sz w:val="20"/>
                <w:szCs w:val="20"/>
                <w:color w:val="auto"/>
              </w:rPr>
            </w:pPr>
            <w:r>
              <w:rPr>
                <w:rFonts w:ascii="Arial" w:cs="Arial" w:eastAsia="Arial" w:hAnsi="Arial"/>
                <w:sz w:val="22"/>
                <w:szCs w:val="22"/>
                <w:color w:val="auto"/>
              </w:rPr>
              <w:t>(am)</w:t>
            </w:r>
          </w:p>
        </w:tc>
        <w:tc>
          <w:tcPr>
            <w:tcW w:w="9420" w:type="dxa"/>
            <w:vAlign w:val="bottom"/>
            <w:gridSpan w:val="8"/>
          </w:tcPr>
          <w:p>
            <w:pPr>
              <w:ind w:left="120"/>
              <w:spacing w:after="0"/>
              <w:rPr>
                <w:sz w:val="20"/>
                <w:szCs w:val="20"/>
                <w:color w:val="auto"/>
              </w:rPr>
            </w:pPr>
            <w:r>
              <w:rPr>
                <w:rFonts w:ascii="Arial" w:cs="Arial" w:eastAsia="Arial" w:hAnsi="Arial"/>
                <w:sz w:val="22"/>
                <w:szCs w:val="22"/>
                <w:color w:val="auto"/>
              </w:rPr>
              <w:t>“Service Provider” means an Employee, Director or Consultant.</w:t>
            </w: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53"/>
        </w:trPr>
        <w:tc>
          <w:tcPr>
            <w:tcW w:w="1820" w:type="dxa"/>
            <w:vAlign w:val="bottom"/>
          </w:tcPr>
          <w:p>
            <w:pPr>
              <w:ind w:left="1300"/>
              <w:spacing w:after="0"/>
              <w:rPr>
                <w:sz w:val="20"/>
                <w:szCs w:val="20"/>
                <w:color w:val="auto"/>
              </w:rPr>
            </w:pPr>
            <w:r>
              <w:rPr>
                <w:rFonts w:ascii="Arial" w:cs="Arial" w:eastAsia="Arial" w:hAnsi="Arial"/>
                <w:sz w:val="22"/>
                <w:szCs w:val="22"/>
                <w:color w:val="auto"/>
              </w:rPr>
              <w:t>(an)</w:t>
            </w:r>
          </w:p>
        </w:tc>
        <w:tc>
          <w:tcPr>
            <w:tcW w:w="9420" w:type="dxa"/>
            <w:vAlign w:val="bottom"/>
            <w:gridSpan w:val="8"/>
          </w:tcPr>
          <w:p>
            <w:pPr>
              <w:ind w:left="120"/>
              <w:spacing w:after="0"/>
              <w:rPr>
                <w:sz w:val="20"/>
                <w:szCs w:val="20"/>
                <w:color w:val="auto"/>
              </w:rPr>
            </w:pPr>
            <w:r>
              <w:rPr>
                <w:rFonts w:ascii="Arial" w:cs="Arial" w:eastAsia="Arial" w:hAnsi="Arial"/>
                <w:sz w:val="22"/>
                <w:szCs w:val="22"/>
                <w:color w:val="auto"/>
                <w:w w:val="94"/>
              </w:rPr>
              <w:t>“Share” means a share of the Common Stock as adjusted in accordance with Section 13 of the Plan.</w:t>
            </w: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53"/>
        </w:trPr>
        <w:tc>
          <w:tcPr>
            <w:tcW w:w="1820" w:type="dxa"/>
            <w:vAlign w:val="bottom"/>
          </w:tcPr>
          <w:p>
            <w:pPr>
              <w:ind w:left="1300"/>
              <w:spacing w:after="0"/>
              <w:rPr>
                <w:sz w:val="20"/>
                <w:szCs w:val="20"/>
                <w:color w:val="auto"/>
              </w:rPr>
            </w:pPr>
            <w:r>
              <w:rPr>
                <w:rFonts w:ascii="Arial" w:cs="Arial" w:eastAsia="Arial" w:hAnsi="Arial"/>
                <w:sz w:val="22"/>
                <w:szCs w:val="22"/>
                <w:color w:val="auto"/>
              </w:rPr>
              <w:t>(ao)</w:t>
            </w:r>
          </w:p>
        </w:tc>
        <w:tc>
          <w:tcPr>
            <w:tcW w:w="9420" w:type="dxa"/>
            <w:vAlign w:val="bottom"/>
            <w:gridSpan w:val="8"/>
          </w:tcPr>
          <w:p>
            <w:pPr>
              <w:ind w:left="120"/>
              <w:spacing w:after="0"/>
              <w:rPr>
                <w:sz w:val="20"/>
                <w:szCs w:val="20"/>
                <w:color w:val="auto"/>
              </w:rPr>
            </w:pPr>
            <w:r>
              <w:rPr>
                <w:rFonts w:ascii="Arial" w:cs="Arial" w:eastAsia="Arial" w:hAnsi="Arial"/>
                <w:sz w:val="22"/>
                <w:szCs w:val="22"/>
                <w:color w:val="auto"/>
              </w:rPr>
              <w:t>“Stock Appreciation Right” means an Award granted under Section 7.</w:t>
            </w: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53"/>
        </w:trPr>
        <w:tc>
          <w:tcPr>
            <w:tcW w:w="1820" w:type="dxa"/>
            <w:vAlign w:val="bottom"/>
          </w:tcPr>
          <w:p>
            <w:pPr>
              <w:ind w:left="1300"/>
              <w:spacing w:after="0"/>
              <w:rPr>
                <w:sz w:val="20"/>
                <w:szCs w:val="20"/>
                <w:color w:val="auto"/>
              </w:rPr>
            </w:pPr>
            <w:r>
              <w:rPr>
                <w:rFonts w:ascii="Arial" w:cs="Arial" w:eastAsia="Arial" w:hAnsi="Arial"/>
                <w:sz w:val="22"/>
                <w:szCs w:val="22"/>
                <w:color w:val="auto"/>
              </w:rPr>
              <w:t>(ap)</w:t>
            </w:r>
          </w:p>
        </w:tc>
        <w:tc>
          <w:tcPr>
            <w:tcW w:w="9420" w:type="dxa"/>
            <w:vAlign w:val="bottom"/>
            <w:gridSpan w:val="8"/>
          </w:tcPr>
          <w:p>
            <w:pPr>
              <w:ind w:left="120"/>
              <w:spacing w:after="0"/>
              <w:rPr>
                <w:sz w:val="20"/>
                <w:szCs w:val="20"/>
                <w:color w:val="auto"/>
              </w:rPr>
            </w:pPr>
            <w:r>
              <w:rPr>
                <w:rFonts w:ascii="Arial" w:cs="Arial" w:eastAsia="Arial" w:hAnsi="Arial"/>
                <w:sz w:val="22"/>
                <w:szCs w:val="22"/>
                <w:color w:val="auto"/>
                <w:w w:val="98"/>
              </w:rPr>
              <w:t>“Subsidiary” means a “subsidiary corporation” as defined in Code Section 424(f), in relation to the</w:t>
            </w:r>
          </w:p>
        </w:tc>
      </w:tr>
      <w:tr>
        <w:trPr>
          <w:trHeight w:val="287"/>
        </w:trPr>
        <w:tc>
          <w:tcPr>
            <w:tcW w:w="1820" w:type="dxa"/>
            <w:vAlign w:val="bottom"/>
          </w:tcPr>
          <w:p>
            <w:pPr>
              <w:spacing w:after="0"/>
              <w:rPr>
                <w:sz w:val="20"/>
                <w:szCs w:val="20"/>
                <w:color w:val="auto"/>
              </w:rPr>
            </w:pPr>
            <w:r>
              <w:rPr>
                <w:rFonts w:ascii="Arial" w:cs="Arial" w:eastAsia="Arial" w:hAnsi="Arial"/>
                <w:sz w:val="22"/>
                <w:szCs w:val="22"/>
                <w:color w:val="auto"/>
              </w:rPr>
              <w:t>Company.</w:t>
            </w:r>
          </w:p>
        </w:tc>
        <w:tc>
          <w:tcPr>
            <w:tcW w:w="2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80" w:type="dxa"/>
            <w:vAlign w:val="bottom"/>
          </w:tcPr>
          <w:p>
            <w:pPr>
              <w:spacing w:after="0"/>
              <w:rPr>
                <w:sz w:val="24"/>
                <w:szCs w:val="24"/>
                <w:color w:val="auto"/>
              </w:rPr>
            </w:pPr>
          </w:p>
        </w:tc>
      </w:tr>
      <w:tr>
        <w:trPr>
          <w:trHeight w:val="422"/>
        </w:trPr>
        <w:tc>
          <w:tcPr>
            <w:tcW w:w="1820" w:type="dxa"/>
            <w:vAlign w:val="bottom"/>
          </w:tcPr>
          <w:p>
            <w:pPr>
              <w:ind w:left="1300"/>
              <w:spacing w:after="0"/>
              <w:rPr>
                <w:sz w:val="20"/>
                <w:szCs w:val="20"/>
                <w:color w:val="auto"/>
              </w:rPr>
            </w:pPr>
            <w:r>
              <w:rPr>
                <w:rFonts w:ascii="Arial" w:cs="Arial" w:eastAsia="Arial" w:hAnsi="Arial"/>
                <w:sz w:val="22"/>
                <w:szCs w:val="22"/>
                <w:color w:val="auto"/>
              </w:rPr>
              <w:t>(aq)</w:t>
            </w:r>
          </w:p>
        </w:tc>
        <w:tc>
          <w:tcPr>
            <w:tcW w:w="9420" w:type="dxa"/>
            <w:vAlign w:val="bottom"/>
            <w:gridSpan w:val="8"/>
          </w:tcPr>
          <w:p>
            <w:pPr>
              <w:ind w:left="120"/>
              <w:spacing w:after="0"/>
              <w:rPr>
                <w:sz w:val="20"/>
                <w:szCs w:val="20"/>
                <w:color w:val="auto"/>
              </w:rPr>
            </w:pPr>
            <w:r>
              <w:rPr>
                <w:rFonts w:ascii="Arial" w:cs="Arial" w:eastAsia="Arial" w:hAnsi="Arial"/>
                <w:sz w:val="22"/>
                <w:szCs w:val="22"/>
                <w:color w:val="auto"/>
                <w:w w:val="95"/>
              </w:rPr>
              <w:t>“Tax Withholdings</w:t>
            </w:r>
            <w:r>
              <w:rPr>
                <w:rFonts w:ascii="Arial" w:cs="Arial" w:eastAsia="Arial" w:hAnsi="Arial"/>
                <w:sz w:val="22"/>
                <w:szCs w:val="22"/>
                <w:color w:val="auto"/>
                <w:highlight w:val="white"/>
                <w:w w:val="95"/>
              </w:rPr>
              <w:t>” means tax, social insurance and social security liability or premium obligations in</w:t>
            </w: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connection with the Awards, including, without limitation, (i) all federal, state, and local income, employment and any other taxes (including the Participant’s U.S. Federal Insurance Contributions Act (FICA) obligation) that are required to be withheld by the Company or a member of the Company Group, (ii) the Participant’s and, to the extent required by the Company, the fringe benefit tax liability of the Company or a member of the Company Group, if any, associated with the grant, vesting, or exercise of an Award or sale of Shares issued under the Award, and (iii) any other taxes or social insurance or social security liabilities or premium the responsibility for which the Participant has, or has agreed to bear, with respect to such Award, the Shares subject to, or other amounts or property payable under, an Award, or otherwise associated with or related to participation in the Plan and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6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respect to which the Company or the applicable member of the Company Group has either agreed to withhold or has an obligation to withhold.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Pr>
          <w:p>
            <w:pPr>
              <w:ind w:left="1300"/>
              <w:spacing w:after="0"/>
              <w:rPr>
                <w:sz w:val="20"/>
                <w:szCs w:val="20"/>
                <w:color w:val="auto"/>
              </w:rPr>
            </w:pPr>
            <w:r>
              <w:rPr>
                <w:rFonts w:ascii="Arial" w:cs="Arial" w:eastAsia="Arial" w:hAnsi="Arial"/>
                <w:sz w:val="22"/>
                <w:szCs w:val="22"/>
                <w:color w:val="auto"/>
              </w:rPr>
              <w:t>(ar)</w:t>
            </w:r>
          </w:p>
        </w:tc>
        <w:tc>
          <w:tcPr>
            <w:tcW w:w="9460" w:type="dxa"/>
            <w:vAlign w:val="bottom"/>
            <w:gridSpan w:val="5"/>
          </w:tcPr>
          <w:p>
            <w:pPr>
              <w:ind w:left="160"/>
              <w:spacing w:after="0"/>
              <w:rPr>
                <w:sz w:val="20"/>
                <w:szCs w:val="20"/>
                <w:color w:val="auto"/>
              </w:rPr>
            </w:pPr>
            <w:r>
              <w:rPr>
                <w:rFonts w:ascii="Arial" w:cs="Arial" w:eastAsia="Arial" w:hAnsi="Arial"/>
                <w:sz w:val="22"/>
                <w:szCs w:val="22"/>
                <w:color w:val="auto"/>
              </w:rPr>
              <w:t>“Ten Percent Owner” means Ten Percent Owner as defined in Section 6(b)(i).</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453"/>
        </w:trPr>
        <w:tc>
          <w:tcPr>
            <w:tcW w:w="1780" w:type="dxa"/>
            <w:vAlign w:val="bottom"/>
          </w:tcPr>
          <w:p>
            <w:pPr>
              <w:ind w:left="1300"/>
              <w:spacing w:after="0"/>
              <w:rPr>
                <w:sz w:val="20"/>
                <w:szCs w:val="20"/>
                <w:color w:val="auto"/>
              </w:rPr>
            </w:pPr>
            <w:r>
              <w:rPr>
                <w:rFonts w:ascii="Arial" w:cs="Arial" w:eastAsia="Arial" w:hAnsi="Arial"/>
                <w:sz w:val="22"/>
                <w:szCs w:val="22"/>
                <w:color w:val="auto"/>
              </w:rPr>
              <w:t>(as)</w:t>
            </w:r>
          </w:p>
        </w:tc>
        <w:tc>
          <w:tcPr>
            <w:tcW w:w="9460" w:type="dxa"/>
            <w:vAlign w:val="bottom"/>
            <w:gridSpan w:val="5"/>
          </w:tcPr>
          <w:p>
            <w:pPr>
              <w:ind w:left="180"/>
              <w:spacing w:after="0"/>
              <w:rPr>
                <w:sz w:val="20"/>
                <w:szCs w:val="20"/>
                <w:color w:val="auto"/>
              </w:rPr>
            </w:pPr>
            <w:r>
              <w:rPr>
                <w:rFonts w:ascii="Arial" w:cs="Arial" w:eastAsia="Arial" w:hAnsi="Arial"/>
                <w:sz w:val="22"/>
                <w:szCs w:val="22"/>
                <w:color w:val="auto"/>
                <w:w w:val="94"/>
              </w:rPr>
              <w:t>“Trading Day” means a day on which the primary stock exchange or national market system (or other</w:t>
            </w:r>
          </w:p>
        </w:tc>
      </w:tr>
      <w:tr>
        <w:trPr>
          <w:trHeight w:val="20"/>
        </w:trPr>
        <w:tc>
          <w:tcPr>
            <w:tcW w:w="20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r>
      <w:tr>
        <w:trPr>
          <w:trHeight w:val="287"/>
        </w:trPr>
        <w:tc>
          <w:tcPr>
            <w:tcW w:w="11240" w:type="dxa"/>
            <w:vAlign w:val="bottom"/>
            <w:gridSpan w:val="6"/>
          </w:tcPr>
          <w:p>
            <w:pPr>
              <w:spacing w:after="0"/>
              <w:rPr>
                <w:sz w:val="20"/>
                <w:szCs w:val="20"/>
                <w:color w:val="auto"/>
              </w:rPr>
            </w:pPr>
            <w:r>
              <w:rPr>
                <w:rFonts w:ascii="Arial" w:cs="Arial" w:eastAsia="Arial" w:hAnsi="Arial"/>
                <w:sz w:val="22"/>
                <w:szCs w:val="22"/>
                <w:color w:val="auto"/>
              </w:rPr>
              <w:t>trading platform, as applicable) on which the Common Stock trades is open for trading.</w:t>
            </w:r>
          </w:p>
        </w:tc>
      </w:tr>
      <w:tr>
        <w:trPr>
          <w:trHeight w:val="422"/>
        </w:trPr>
        <w:tc>
          <w:tcPr>
            <w:tcW w:w="1780" w:type="dxa"/>
            <w:vAlign w:val="bottom"/>
          </w:tcPr>
          <w:p>
            <w:pPr>
              <w:ind w:left="1300"/>
              <w:spacing w:after="0"/>
              <w:rPr>
                <w:sz w:val="20"/>
                <w:szCs w:val="20"/>
                <w:color w:val="auto"/>
              </w:rPr>
            </w:pPr>
            <w:r>
              <w:rPr>
                <w:rFonts w:ascii="Arial" w:cs="Arial" w:eastAsia="Arial" w:hAnsi="Arial"/>
                <w:sz w:val="22"/>
                <w:szCs w:val="22"/>
                <w:color w:val="auto"/>
              </w:rPr>
              <w:t>(at)</w:t>
            </w:r>
          </w:p>
        </w:tc>
        <w:tc>
          <w:tcPr>
            <w:tcW w:w="9460" w:type="dxa"/>
            <w:vAlign w:val="bottom"/>
            <w:gridSpan w:val="5"/>
          </w:tcPr>
          <w:p>
            <w:pPr>
              <w:ind w:left="160"/>
              <w:spacing w:after="0"/>
              <w:rPr>
                <w:sz w:val="20"/>
                <w:szCs w:val="20"/>
                <w:color w:val="auto"/>
              </w:rPr>
            </w:pPr>
            <w:r>
              <w:rPr>
                <w:rFonts w:ascii="Arial" w:cs="Arial" w:eastAsia="Arial" w:hAnsi="Arial"/>
                <w:sz w:val="22"/>
                <w:szCs w:val="22"/>
                <w:color w:val="auto"/>
              </w:rPr>
              <w:t>“Transaction” means Transaction as defined in Section 14(a).</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235"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Shares Subject to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Allocation of Shares to Plan</w:t>
      </w:r>
      <w:r>
        <w:rPr>
          <w:rFonts w:ascii="Arial" w:cs="Arial" w:eastAsia="Arial" w:hAnsi="Arial"/>
          <w:sz w:val="19"/>
          <w:szCs w:val="19"/>
          <w:color w:val="auto"/>
        </w:rPr>
        <w:t>. The maximum aggregate number of Shares that may be issued under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is:</w:t>
      </w:r>
    </w:p>
    <w:p>
      <w:pPr>
        <w:spacing w:after="0" w:line="202" w:lineRule="exact"/>
        <w:rPr>
          <w:sz w:val="20"/>
          <w:szCs w:val="20"/>
          <w:color w:val="auto"/>
        </w:rPr>
      </w:pPr>
    </w:p>
    <w:p>
      <w:pPr>
        <w:ind w:left="2580" w:hanging="628"/>
        <w:spacing w:after="0"/>
        <w:tabs>
          <w:tab w:leader="none" w:pos="25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5,520,000 Shares, plus</w:t>
      </w:r>
    </w:p>
    <w:p>
      <w:pPr>
        <w:spacing w:after="0" w:line="219" w:lineRule="exact"/>
        <w:rPr>
          <w:rFonts w:ascii="Arial" w:cs="Arial" w:eastAsia="Arial" w:hAnsi="Arial"/>
          <w:sz w:val="22"/>
          <w:szCs w:val="22"/>
          <w:color w:val="auto"/>
        </w:rPr>
      </w:pPr>
    </w:p>
    <w:p>
      <w:pPr>
        <w:jc w:val="both"/>
        <w:ind w:firstLine="1952"/>
        <w:spacing w:after="0" w:line="248" w:lineRule="auto"/>
        <w:tabs>
          <w:tab w:leader="none" w:pos="2586"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Shares subject to awards granted under the Company’s 2012 Stock Plan (the “Existing Plan”)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under this clause (ii) equal to 23,000,000 Shares, plus</w:t>
      </w:r>
    </w:p>
    <w:p>
      <w:pPr>
        <w:spacing w:after="0" w:line="191" w:lineRule="exact"/>
        <w:rPr>
          <w:rFonts w:ascii="Arial" w:cs="Arial" w:eastAsia="Arial" w:hAnsi="Arial"/>
          <w:sz w:val="22"/>
          <w:szCs w:val="22"/>
          <w:color w:val="auto"/>
        </w:rPr>
      </w:pPr>
    </w:p>
    <w:p>
      <w:pPr>
        <w:ind w:left="2660" w:hanging="708"/>
        <w:spacing w:after="0"/>
        <w:tabs>
          <w:tab w:leader="none" w:pos="26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additional Shares that become available for issuance under the Plan under Sections 3(b) 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3(c).</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Shares may be authorized but unissued Common Stock or Common Stock issued and then reacquired by the Company.</w:t>
      </w:r>
    </w:p>
    <w:p>
      <w:pPr>
        <w:spacing w:after="0" w:line="175" w:lineRule="exact"/>
        <w:rPr>
          <w:sz w:val="20"/>
          <w:szCs w:val="20"/>
          <w:color w:val="auto"/>
        </w:rPr>
      </w:pPr>
    </w:p>
    <w:p>
      <w:pPr>
        <w:ind w:right="20" w:firstLine="1304"/>
        <w:spacing w:after="0" w:line="343" w:lineRule="auto"/>
        <w:tabs>
          <w:tab w:leader="none" w:pos="1939"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Automatic Share Reserve Increase</w:t>
      </w:r>
      <w:r>
        <w:rPr>
          <w:rFonts w:ascii="Arial" w:cs="Arial" w:eastAsia="Arial" w:hAnsi="Arial"/>
          <w:sz w:val="19"/>
          <w:szCs w:val="19"/>
          <w:color w:val="auto"/>
        </w:rPr>
        <w:t xml:space="preserve">. The number of Shares available for issuance under the Plan will be increased on the first day of each Fiscal Year beginning with the 2021 Fiscal Year, in an amount equal to the </w:t>
      </w:r>
      <w:r>
        <w:rPr>
          <w:rFonts w:ascii="Arial" w:cs="Arial" w:eastAsia="Arial" w:hAnsi="Arial"/>
          <w:sz w:val="19"/>
          <w:szCs w:val="19"/>
          <w:u w:val="single" w:color="auto"/>
          <w:color w:val="auto"/>
        </w:rPr>
        <w:t>least</w:t>
      </w:r>
      <w:r>
        <w:rPr>
          <w:rFonts w:ascii="Arial" w:cs="Arial" w:eastAsia="Arial" w:hAnsi="Arial"/>
          <w:sz w:val="19"/>
          <w:szCs w:val="19"/>
          <w:color w:val="auto"/>
        </w:rPr>
        <w:t xml:space="preserve"> of:</w:t>
      </w:r>
    </w:p>
    <w:p>
      <w:pPr>
        <w:spacing w:after="0" w:line="104" w:lineRule="exact"/>
        <w:rPr>
          <w:rFonts w:ascii="Arial" w:cs="Arial" w:eastAsia="Arial" w:hAnsi="Arial"/>
          <w:sz w:val="19"/>
          <w:szCs w:val="19"/>
          <w:color w:val="auto"/>
        </w:rPr>
      </w:pPr>
    </w:p>
    <w:p>
      <w:pPr>
        <w:ind w:left="2580" w:hanging="628"/>
        <w:spacing w:after="0"/>
        <w:tabs>
          <w:tab w:leader="none" w:pos="2580" w:val="left"/>
        </w:tabs>
        <w:numPr>
          <w:ilvl w:val="1"/>
          <w:numId w:val="74"/>
        </w:numPr>
        <w:rPr>
          <w:rFonts w:ascii="Arial" w:cs="Arial" w:eastAsia="Arial" w:hAnsi="Arial"/>
          <w:sz w:val="22"/>
          <w:szCs w:val="22"/>
          <w:color w:val="auto"/>
        </w:rPr>
      </w:pPr>
      <w:r>
        <w:rPr>
          <w:rFonts w:ascii="Arial" w:cs="Arial" w:eastAsia="Arial" w:hAnsi="Arial"/>
          <w:sz w:val="22"/>
          <w:szCs w:val="22"/>
          <w:color w:val="auto"/>
        </w:rPr>
        <w:t>15,000,000 Shares,</w:t>
      </w:r>
    </w:p>
    <w:p>
      <w:pPr>
        <w:spacing w:after="0" w:line="219" w:lineRule="exact"/>
        <w:rPr>
          <w:rFonts w:ascii="Arial" w:cs="Arial" w:eastAsia="Arial" w:hAnsi="Arial"/>
          <w:sz w:val="22"/>
          <w:szCs w:val="22"/>
          <w:color w:val="auto"/>
        </w:rPr>
      </w:pPr>
    </w:p>
    <w:p>
      <w:pPr>
        <w:ind w:firstLine="1952"/>
        <w:spacing w:after="0" w:line="263" w:lineRule="auto"/>
        <w:tabs>
          <w:tab w:leader="none" w:pos="2586" w:val="left"/>
        </w:tabs>
        <w:numPr>
          <w:ilvl w:val="1"/>
          <w:numId w:val="74"/>
        </w:numPr>
        <w:rPr>
          <w:rFonts w:ascii="Arial" w:cs="Arial" w:eastAsia="Arial" w:hAnsi="Arial"/>
          <w:sz w:val="22"/>
          <w:szCs w:val="22"/>
          <w:color w:val="auto"/>
        </w:rPr>
      </w:pPr>
      <w:r>
        <w:rPr>
          <w:rFonts w:ascii="Arial" w:cs="Arial" w:eastAsia="Arial" w:hAnsi="Arial"/>
          <w:sz w:val="22"/>
          <w:szCs w:val="22"/>
          <w:color w:val="auto"/>
        </w:rPr>
        <w:t>5% of the total number of shares of all classes of common stock of the Company outstanding on the last day of the immediately preceding Fiscal Year, and</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a lesser number of Shares determined by the Administrator.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Share Reserve Return</w:t>
      </w:r>
      <w:r>
        <w:rPr>
          <w:rFonts w:ascii="Arial" w:cs="Arial" w:eastAsia="Arial" w:hAnsi="Arial"/>
          <w:sz w:val="22"/>
          <w:szCs w:val="22"/>
          <w:color w:val="auto"/>
          <w:highlight w:val="white"/>
        </w:rPr>
        <w:t>.</w:t>
      </w:r>
    </w:p>
    <w:p>
      <w:pPr>
        <w:spacing w:after="0" w:line="219" w:lineRule="exact"/>
        <w:rPr>
          <w:rFonts w:ascii="Arial" w:cs="Arial" w:eastAsia="Arial" w:hAnsi="Arial"/>
          <w:sz w:val="22"/>
          <w:szCs w:val="22"/>
          <w:color w:val="auto"/>
        </w:rPr>
      </w:pPr>
    </w:p>
    <w:p>
      <w:pPr>
        <w:jc w:val="both"/>
        <w:ind w:right="20" w:firstLine="1952"/>
        <w:spacing w:after="0" w:line="312" w:lineRule="auto"/>
        <w:tabs>
          <w:tab w:leader="none" w:pos="2580"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Options and Stock Appreciation Rights</w:t>
      </w:r>
      <w:r>
        <w:rPr>
          <w:rFonts w:ascii="Arial" w:cs="Arial" w:eastAsia="Arial" w:hAnsi="Arial"/>
          <w:sz w:val="19"/>
          <w:szCs w:val="19"/>
          <w:color w:val="auto"/>
        </w:rPr>
        <w:t>. If an Option or Stock Appreciation Right expires or becomes unexercisable without having been exercised in full or is surrendered under an Exchange Program, the unissued Shares subject to the Option or Stock Appreciation Right will become available for future issuance under the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40" w:right="339" w:bottom="1440" w:gutter="0" w:footer="0" w:header="0"/>
          <w:type w:val="continuous"/>
        </w:sectPr>
      </w:pPr>
    </w:p>
    <w:bookmarkStart w:id="143" w:name="page144"/>
    <w:bookmarkEnd w:id="143"/>
    <w:p>
      <w:pPr>
        <w:spacing w:after="0" w:line="366" w:lineRule="exact"/>
        <w:rPr>
          <w:sz w:val="20"/>
          <w:szCs w:val="20"/>
          <w:color w:val="auto"/>
        </w:rPr>
      </w:pPr>
    </w:p>
    <w:p>
      <w:pPr>
        <w:jc w:val="both"/>
        <w:ind w:firstLine="1952"/>
        <w:spacing w:after="0" w:line="253" w:lineRule="auto"/>
        <w:tabs>
          <w:tab w:leader="none" w:pos="2586"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 Only Shares actually issued pursuant to a Stock Appreciation Right (i.e., the net Shares issued) will cease to be available under the Plan; all remaining Shares originally subject to the Stock Appreciation Right will remain available for future issuance under the Plan.</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592"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Full-Value Awards</w:t>
      </w:r>
      <w:r>
        <w:rPr>
          <w:rFonts w:ascii="Arial" w:cs="Arial" w:eastAsia="Arial" w:hAnsi="Arial"/>
          <w:sz w:val="22"/>
          <w:szCs w:val="22"/>
          <w:color w:val="auto"/>
        </w:rPr>
        <w:t>. Shares issued pursuant to Awards of Restricted Stock, Restricted Stock Units, or stock-settled Performance Awards that are reacquired by the Company due to failure to vest or are forfeited to the Company will become available for future issuance under the Plan.</w:t>
      </w:r>
    </w:p>
    <w:p>
      <w:pPr>
        <w:spacing w:after="0" w:line="185" w:lineRule="exact"/>
        <w:rPr>
          <w:rFonts w:ascii="Arial" w:cs="Arial" w:eastAsia="Arial" w:hAnsi="Arial"/>
          <w:sz w:val="22"/>
          <w:szCs w:val="22"/>
          <w:color w:val="auto"/>
        </w:rPr>
      </w:pPr>
    </w:p>
    <w:p>
      <w:pPr>
        <w:ind w:firstLine="1952"/>
        <w:spacing w:after="0" w:line="263" w:lineRule="auto"/>
        <w:tabs>
          <w:tab w:leader="none" w:pos="2580"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Withheld Shares</w:t>
      </w:r>
      <w:r>
        <w:rPr>
          <w:rFonts w:ascii="Arial" w:cs="Arial" w:eastAsia="Arial" w:hAnsi="Arial"/>
          <w:sz w:val="22"/>
          <w:szCs w:val="22"/>
          <w:color w:val="auto"/>
        </w:rPr>
        <w:t>. Shares used to pay the Exercise Price of an Award or to satisfy Tax Withholdings related to an Award will become available for future issuance under the Plan.</w:t>
      </w:r>
    </w:p>
    <w:p>
      <w:pPr>
        <w:spacing w:after="0" w:line="174" w:lineRule="exact"/>
        <w:rPr>
          <w:rFonts w:ascii="Arial" w:cs="Arial" w:eastAsia="Arial" w:hAnsi="Arial"/>
          <w:sz w:val="22"/>
          <w:szCs w:val="22"/>
          <w:color w:val="auto"/>
        </w:rPr>
      </w:pPr>
    </w:p>
    <w:p>
      <w:pPr>
        <w:ind w:firstLine="1952"/>
        <w:spacing w:after="0" w:line="287" w:lineRule="auto"/>
        <w:tabs>
          <w:tab w:leader="none" w:pos="2587" w:val="left"/>
        </w:tabs>
        <w:numPr>
          <w:ilvl w:val="2"/>
          <w:numId w:val="75"/>
        </w:numPr>
        <w:rPr>
          <w:rFonts w:ascii="Arial" w:cs="Arial" w:eastAsia="Arial" w:hAnsi="Arial"/>
          <w:sz w:val="21"/>
          <w:szCs w:val="21"/>
          <w:color w:val="auto"/>
        </w:rPr>
      </w:pPr>
      <w:r>
        <w:rPr>
          <w:rFonts w:ascii="Arial" w:cs="Arial" w:eastAsia="Arial" w:hAnsi="Arial"/>
          <w:sz w:val="21"/>
          <w:szCs w:val="21"/>
          <w:u w:val="single" w:color="auto"/>
          <w:color w:val="auto"/>
        </w:rPr>
        <w:t>Cash-Settled Awards</w:t>
      </w:r>
      <w:r>
        <w:rPr>
          <w:rFonts w:ascii="Arial" w:cs="Arial" w:eastAsia="Arial" w:hAnsi="Arial"/>
          <w:sz w:val="21"/>
          <w:szCs w:val="21"/>
          <w:color w:val="auto"/>
        </w:rPr>
        <w:t>. If any portion of an Award under the Plan is paid to a Participant in cash rather than Shares, that cash payment will not reduce the number of Shares available for issuance under the Plan.</w:t>
      </w:r>
    </w:p>
    <w:p>
      <w:pPr>
        <w:spacing w:after="0" w:line="151" w:lineRule="exact"/>
        <w:rPr>
          <w:rFonts w:ascii="Arial" w:cs="Arial" w:eastAsia="Arial" w:hAnsi="Arial"/>
          <w:sz w:val="21"/>
          <w:szCs w:val="21"/>
          <w:color w:val="auto"/>
        </w:rPr>
      </w:pPr>
    </w:p>
    <w:p>
      <w:pPr>
        <w:jc w:val="both"/>
        <w:ind w:firstLine="1304"/>
        <w:spacing w:after="0" w:line="312" w:lineRule="auto"/>
        <w:tabs>
          <w:tab w:leader="none" w:pos="1939"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Incentive Stock Options</w:t>
      </w:r>
      <w:r>
        <w:rPr>
          <w:rFonts w:ascii="Arial" w:cs="Arial" w:eastAsia="Arial" w:hAnsi="Arial"/>
          <w:sz w:val="19"/>
          <w:szCs w:val="19"/>
          <w:color w:val="auto"/>
          <w:highlight w:val="white"/>
        </w:rPr>
        <w:t>.</w:t>
      </w:r>
      <w:r>
        <w:rPr>
          <w:rFonts w:ascii="Arial" w:cs="Arial" w:eastAsia="Arial" w:hAnsi="Arial"/>
          <w:sz w:val="19"/>
          <w:szCs w:val="19"/>
          <w:color w:val="auto"/>
        </w:rPr>
        <w:t xml:space="preserve"> The maximum number of Shares that may be issued upon the exercise of Incentive Stock Options will equal 200% of the aggregate Share number stated in Section 3(a) plus, to the extent allowable under Code Section 422, any Shares that become available for issuance under the Plan under Sections 3(b) and 3(c).</w:t>
      </w:r>
    </w:p>
    <w:p>
      <w:pPr>
        <w:spacing w:after="0" w:line="133" w:lineRule="exact"/>
        <w:rPr>
          <w:rFonts w:ascii="Arial" w:cs="Arial" w:eastAsia="Arial" w:hAnsi="Arial"/>
          <w:sz w:val="19"/>
          <w:szCs w:val="19"/>
          <w:color w:val="auto"/>
        </w:rPr>
      </w:pPr>
    </w:p>
    <w:p>
      <w:pPr>
        <w:ind w:right="20" w:firstLine="1304"/>
        <w:spacing w:after="0" w:line="263" w:lineRule="auto"/>
        <w:tabs>
          <w:tab w:leader="none" w:pos="1941"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Adjustment</w:t>
      </w:r>
      <w:r>
        <w:rPr>
          <w:rFonts w:ascii="Arial" w:cs="Arial" w:eastAsia="Arial" w:hAnsi="Arial"/>
          <w:sz w:val="22"/>
          <w:szCs w:val="22"/>
          <w:color w:val="auto"/>
          <w:highlight w:val="white"/>
        </w:rPr>
        <w:t>. The numbers provided in Sections 3(a), 3(b), and 3(d) will be adjusted as a result of changes</w:t>
      </w:r>
      <w:r>
        <w:rPr>
          <w:rFonts w:ascii="Arial" w:cs="Arial" w:eastAsia="Arial" w:hAnsi="Arial"/>
          <w:sz w:val="22"/>
          <w:szCs w:val="22"/>
          <w:color w:val="auto"/>
        </w:rPr>
        <w:t xml:space="preserve"> in capitalization and any other adjustments under Section 13.</w:t>
      </w:r>
    </w:p>
    <w:p>
      <w:pPr>
        <w:spacing w:after="0" w:line="174"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Substitute Awards</w:t>
      </w:r>
      <w:r>
        <w:rPr>
          <w:rFonts w:ascii="Arial" w:cs="Arial" w:eastAsia="Arial" w:hAnsi="Arial"/>
          <w:sz w:val="21"/>
          <w:szCs w:val="21"/>
          <w:color w:val="auto"/>
          <w:highlight w:val="white"/>
        </w:rPr>
        <w:t>. If the Committee grants Awards in substitution for equity compensation awards</w:t>
      </w:r>
      <w:r>
        <w:rPr>
          <w:rFonts w:ascii="Arial" w:cs="Arial" w:eastAsia="Arial" w:hAnsi="Arial"/>
          <w:sz w:val="21"/>
          <w:szCs w:val="21"/>
          <w:color w:val="auto"/>
        </w:rPr>
        <w:t xml:space="preserve"> outstanding under a plan maintained by an entity acquired by or becomes a part of any member of the Company group, the grant of those substitute Awards will not decrease the number of Shares available for issuance under the Plan.</w:t>
      </w:r>
    </w:p>
    <w:p>
      <w:pPr>
        <w:spacing w:after="0" w:line="167" w:lineRule="exact"/>
        <w:rPr>
          <w:rFonts w:ascii="Arial" w:cs="Arial" w:eastAsia="Arial" w:hAnsi="Arial"/>
          <w:sz w:val="21"/>
          <w:szCs w:val="21"/>
          <w:color w:val="auto"/>
        </w:rPr>
      </w:pPr>
    </w:p>
    <w:p>
      <w:pPr>
        <w:ind w:firstLine="1304"/>
        <w:spacing w:after="0" w:line="263" w:lineRule="auto"/>
        <w:tabs>
          <w:tab w:leader="none" w:pos="1939"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Share Reserve</w:t>
      </w:r>
      <w:r>
        <w:rPr>
          <w:rFonts w:ascii="Arial" w:cs="Arial" w:eastAsia="Arial" w:hAnsi="Arial"/>
          <w:sz w:val="22"/>
          <w:szCs w:val="22"/>
          <w:color w:val="auto"/>
        </w:rPr>
        <w:t>. The Company, during the term of this Plan, will at all times reserve and keep available such number of Shares as will be sufficient to satisfy the requirements of the Plan.</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50" w:lineRule="auto"/>
        <w:tabs>
          <w:tab w:leader="none" w:pos="2580" w:val="left"/>
        </w:tabs>
        <w:numPr>
          <w:ilvl w:val="2"/>
          <w:numId w:val="77"/>
        </w:numPr>
        <w:rPr>
          <w:rFonts w:ascii="Arial" w:cs="Arial" w:eastAsia="Arial" w:hAnsi="Arial"/>
          <w:sz w:val="22"/>
          <w:szCs w:val="22"/>
          <w:color w:val="auto"/>
        </w:rPr>
      </w:pPr>
      <w:r>
        <w:rPr>
          <w:rFonts w:ascii="Arial" w:cs="Arial" w:eastAsia="Arial" w:hAnsi="Arial"/>
          <w:sz w:val="22"/>
          <w:szCs w:val="22"/>
          <w:color w:val="auto"/>
        </w:rPr>
        <w:t>The Plan will be administered by the Board or a Committee (the “</w:t>
      </w:r>
      <w:r>
        <w:rPr>
          <w:rFonts w:ascii="Arial" w:cs="Arial" w:eastAsia="Arial" w:hAnsi="Arial"/>
          <w:sz w:val="22"/>
          <w:szCs w:val="22"/>
          <w:u w:val="single" w:color="auto"/>
          <w:color w:val="auto"/>
        </w:rPr>
        <w:t>Administrator</w:t>
      </w:r>
      <w:r>
        <w:rPr>
          <w:rFonts w:ascii="Arial" w:cs="Arial" w:eastAsia="Arial" w:hAnsi="Arial"/>
          <w:sz w:val="22"/>
          <w:szCs w:val="22"/>
          <w:color w:val="auto"/>
        </w:rPr>
        <w:t>”). Different Administrators may administer the Plan with respect to different groups of Service Providers. The Board may retain the authority to concurrently administer the Plan with a Committee and may revoke the delegation of some or all authority previously delegated.</w:t>
      </w:r>
    </w:p>
    <w:p>
      <w:pPr>
        <w:spacing w:after="0" w:line="187" w:lineRule="exact"/>
        <w:rPr>
          <w:rFonts w:ascii="Arial" w:cs="Arial" w:eastAsia="Arial" w:hAnsi="Arial"/>
          <w:sz w:val="22"/>
          <w:szCs w:val="22"/>
          <w:color w:val="auto"/>
        </w:rPr>
      </w:pPr>
    </w:p>
    <w:p>
      <w:pPr>
        <w:jc w:val="both"/>
        <w:ind w:firstLine="1952"/>
        <w:spacing w:after="0" w:line="250" w:lineRule="auto"/>
        <w:tabs>
          <w:tab w:leader="none" w:pos="2586" w:val="left"/>
        </w:tabs>
        <w:numPr>
          <w:ilvl w:val="2"/>
          <w:numId w:val="77"/>
        </w:numPr>
        <w:rPr>
          <w:rFonts w:ascii="Arial" w:cs="Arial" w:eastAsia="Arial" w:hAnsi="Arial"/>
          <w:sz w:val="22"/>
          <w:szCs w:val="22"/>
          <w:color w:val="auto"/>
        </w:rPr>
      </w:pPr>
      <w:r>
        <w:rPr>
          <w:rFonts w:ascii="Arial" w:cs="Arial" w:eastAsia="Arial" w:hAnsi="Arial"/>
          <w:sz w:val="22"/>
          <w:szCs w:val="22"/>
          <w:color w:val="auto"/>
        </w:rPr>
        <w:t>To the extent permitted by Applicable Laws, the Board or a Committee may delegate to one or more subcommittees of the Board or a Committee or officers the authority to grant Awards to Employees of the Company or any of its Subsidiaries, provided that the delegation must comply with any limitations on the authority required by Applicable Laws, including the total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Shares that may be subject to the Awards granted by such officer(s). This delegation may be revoked at any time by the Board or Committee.</w:t>
      </w:r>
    </w:p>
    <w:p>
      <w:pPr>
        <w:spacing w:after="0" w:line="175" w:lineRule="exact"/>
        <w:rPr>
          <w:sz w:val="20"/>
          <w:szCs w:val="20"/>
          <w:color w:val="auto"/>
        </w:rPr>
      </w:pPr>
    </w:p>
    <w:p>
      <w:pPr>
        <w:jc w:val="both"/>
        <w:ind w:firstLine="1304"/>
        <w:spacing w:after="0" w:line="312" w:lineRule="auto"/>
        <w:tabs>
          <w:tab w:leader="none" w:pos="1939"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terms of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w:t>
      </w:r>
    </w:p>
    <w:p>
      <w:pPr>
        <w:spacing w:after="0" w:line="133" w:lineRule="exact"/>
        <w:rPr>
          <w:rFonts w:ascii="Arial" w:cs="Arial" w:eastAsia="Arial" w:hAnsi="Arial"/>
          <w:sz w:val="19"/>
          <w:szCs w:val="19"/>
          <w:color w:val="auto"/>
        </w:rPr>
      </w:pPr>
    </w:p>
    <w:p>
      <w:pPr>
        <w:ind w:left="2580" w:hanging="628"/>
        <w:spacing w:after="0"/>
        <w:tabs>
          <w:tab w:leader="none" w:pos="25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determine the Fair Market Value;</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approve forms of Award Agreements for use under the Plan;</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78"/>
        </w:numPr>
        <w:rPr>
          <w:rFonts w:ascii="Arial" w:cs="Arial" w:eastAsia="Arial" w:hAnsi="Arial"/>
          <w:sz w:val="19"/>
          <w:szCs w:val="19"/>
          <w:color w:val="auto"/>
        </w:rPr>
      </w:pPr>
      <w:r>
        <w:rPr>
          <w:rFonts w:ascii="Arial" w:cs="Arial" w:eastAsia="Arial" w:hAnsi="Arial"/>
          <w:sz w:val="19"/>
          <w:szCs w:val="19"/>
          <w:color w:val="auto"/>
        </w:rPr>
        <w:t>to select the Service Providers to whom Awards may be granted and grant Awards to such Service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Providers;</w:t>
      </w:r>
    </w:p>
    <w:p>
      <w:pPr>
        <w:spacing w:after="0" w:line="201" w:lineRule="exact"/>
        <w:rPr>
          <w:rFonts w:ascii="Arial" w:cs="Arial" w:eastAsia="Arial" w:hAnsi="Arial"/>
          <w:sz w:val="19"/>
          <w:szCs w:val="19"/>
          <w:color w:val="auto"/>
        </w:rPr>
      </w:pPr>
    </w:p>
    <w:p>
      <w:pPr>
        <w:ind w:left="2580" w:hanging="628"/>
        <w:spacing w:after="0"/>
        <w:tabs>
          <w:tab w:leader="none" w:pos="25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each Award granted;</w:t>
      </w:r>
    </w:p>
    <w:p>
      <w:pPr>
        <w:spacing w:after="0" w:line="219" w:lineRule="exact"/>
        <w:rPr>
          <w:rFonts w:ascii="Arial" w:cs="Arial" w:eastAsia="Arial" w:hAnsi="Arial"/>
          <w:sz w:val="22"/>
          <w:szCs w:val="22"/>
          <w:color w:val="auto"/>
        </w:rPr>
      </w:pPr>
    </w:p>
    <w:p>
      <w:pPr>
        <w:jc w:val="both"/>
        <w:ind w:firstLine="1952"/>
        <w:spacing w:after="0" w:line="250" w:lineRule="auto"/>
        <w:tabs>
          <w:tab w:leader="none" w:pos="2587"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determine the terms and conditions, consistent with the Plan, of any Award granted. Such terms and conditions may include, but are not limited to, the Exercise Price, the time(s) when Awards may be exercised (which may be based on performance criteria), any vesting acceleration or waiver of forfeiture restrictions, and any restriction or limitation regarding any Award or the Shares relating to an Award;</w:t>
      </w:r>
    </w:p>
    <w:p>
      <w:pPr>
        <w:spacing w:after="0" w:line="187" w:lineRule="exact"/>
        <w:rPr>
          <w:rFonts w:ascii="Arial" w:cs="Arial" w:eastAsia="Arial" w:hAnsi="Arial"/>
          <w:sz w:val="22"/>
          <w:szCs w:val="22"/>
          <w:color w:val="auto"/>
        </w:rPr>
      </w:pPr>
    </w:p>
    <w:p>
      <w:pPr>
        <w:ind w:left="2580" w:hanging="628"/>
        <w:spacing w:after="0"/>
        <w:tabs>
          <w:tab w:leader="none" w:pos="25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institute and determine the terms and conditions of an Exchange Program;</w:t>
      </w:r>
    </w:p>
    <w:p>
      <w:pPr>
        <w:spacing w:after="0" w:line="219" w:lineRule="exact"/>
        <w:rPr>
          <w:rFonts w:ascii="Arial" w:cs="Arial" w:eastAsia="Arial" w:hAnsi="Arial"/>
          <w:sz w:val="22"/>
          <w:szCs w:val="22"/>
          <w:color w:val="auto"/>
        </w:rPr>
      </w:pPr>
    </w:p>
    <w:p>
      <w:pPr>
        <w:ind w:firstLine="1952"/>
        <w:spacing w:after="0" w:line="263" w:lineRule="auto"/>
        <w:tabs>
          <w:tab w:leader="none" w:pos="2586"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construe interpret the Plan and make any decisions necessary to administer the Plan, including but not limited to determining whether and when a Change in Control has occurred;</w:t>
      </w:r>
    </w:p>
    <w:p>
      <w:pPr>
        <w:spacing w:after="0" w:line="174" w:lineRule="exact"/>
        <w:rPr>
          <w:rFonts w:ascii="Arial" w:cs="Arial" w:eastAsia="Arial" w:hAnsi="Arial"/>
          <w:sz w:val="22"/>
          <w:szCs w:val="22"/>
          <w:color w:val="auto"/>
        </w:rPr>
      </w:pPr>
    </w:p>
    <w:p>
      <w:pPr>
        <w:jc w:val="both"/>
        <w:ind w:firstLine="1952"/>
        <w:spacing w:after="0" w:line="250" w:lineRule="auto"/>
        <w:tabs>
          <w:tab w:leader="none" w:pos="2592"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establish, amend and rescind rules and regulations and adopt sub-plans relating to the Plan, including rules, regulations and sub-plans for the purposes of facilitating compliance with foreign laws, easing the administration of the Plan and/or obtaining tax-favorable treatment for Awards granted to Service Providers located outside the U.S., in each case as the Administrator may deem necessary or advisable;</w:t>
      </w:r>
    </w:p>
    <w:p>
      <w:pPr>
        <w:spacing w:after="0" w:line="187" w:lineRule="exact"/>
        <w:rPr>
          <w:rFonts w:ascii="Arial" w:cs="Arial" w:eastAsia="Arial" w:hAnsi="Arial"/>
          <w:sz w:val="22"/>
          <w:szCs w:val="22"/>
          <w:color w:val="auto"/>
        </w:rPr>
      </w:pPr>
    </w:p>
    <w:p>
      <w:pPr>
        <w:ind w:firstLine="1952"/>
        <w:spacing w:after="0" w:line="263" w:lineRule="auto"/>
        <w:tabs>
          <w:tab w:leader="none" w:pos="25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interpret, modify or amend each Award (subject to Section 18), including extending the Expiration Date and the post-termination exercisability period of such modified or amended Awards;</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78"/>
        </w:numPr>
        <w:rPr>
          <w:rFonts w:ascii="Arial" w:cs="Arial" w:eastAsia="Arial" w:hAnsi="Arial"/>
          <w:sz w:val="19"/>
          <w:szCs w:val="19"/>
          <w:color w:val="auto"/>
        </w:rPr>
      </w:pPr>
      <w:r>
        <w:rPr>
          <w:rFonts w:ascii="Arial" w:cs="Arial" w:eastAsia="Arial" w:hAnsi="Arial"/>
          <w:sz w:val="19"/>
          <w:szCs w:val="19"/>
          <w:color w:val="auto"/>
        </w:rPr>
        <w:t>to allow Participants to satisfy tax withholding obligations in any manner permitted by Section 15;</w:t>
      </w:r>
    </w:p>
    <w:p>
      <w:pPr>
        <w:spacing w:after="0" w:line="254" w:lineRule="exact"/>
        <w:rPr>
          <w:rFonts w:ascii="Arial" w:cs="Arial" w:eastAsia="Arial" w:hAnsi="Arial"/>
          <w:sz w:val="19"/>
          <w:szCs w:val="19"/>
          <w:color w:val="auto"/>
        </w:rPr>
      </w:pPr>
    </w:p>
    <w:p>
      <w:pPr>
        <w:ind w:left="2580" w:hanging="628"/>
        <w:spacing w:after="0"/>
        <w:tabs>
          <w:tab w:leader="none" w:pos="25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delegate ministerial duties to any of the Company’s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66" w:lineRule="exact"/>
        <w:rPr>
          <w:sz w:val="20"/>
          <w:szCs w:val="20"/>
          <w:color w:val="auto"/>
        </w:rPr>
      </w:pPr>
    </w:p>
    <w:p>
      <w:pPr>
        <w:ind w:firstLine="1952"/>
        <w:spacing w:after="0" w:line="263" w:lineRule="auto"/>
        <w:tabs>
          <w:tab w:leader="none" w:pos="2586" w:val="left"/>
        </w:tabs>
        <w:numPr>
          <w:ilvl w:val="1"/>
          <w:numId w:val="79"/>
        </w:numPr>
        <w:rPr>
          <w:rFonts w:ascii="Arial" w:cs="Arial" w:eastAsia="Arial" w:hAnsi="Arial"/>
          <w:sz w:val="22"/>
          <w:szCs w:val="22"/>
          <w:color w:val="auto"/>
        </w:rPr>
      </w:pPr>
      <w:r>
        <w:rPr>
          <w:rFonts w:ascii="Arial" w:cs="Arial" w:eastAsia="Arial" w:hAnsi="Arial"/>
          <w:sz w:val="22"/>
          <w:szCs w:val="22"/>
          <w:color w:val="auto"/>
        </w:rPr>
        <w:t>to authorize any person to take any steps and execute, on behalf of the Company, any documents required for an Award previously granted by the Administrator to be effective;</w:t>
      </w:r>
    </w:p>
    <w:p>
      <w:pPr>
        <w:spacing w:after="0" w:line="174" w:lineRule="exact"/>
        <w:rPr>
          <w:rFonts w:ascii="Arial" w:cs="Arial" w:eastAsia="Arial" w:hAnsi="Arial"/>
          <w:sz w:val="22"/>
          <w:szCs w:val="22"/>
          <w:color w:val="auto"/>
        </w:rPr>
      </w:pPr>
    </w:p>
    <w:p>
      <w:pPr>
        <w:jc w:val="both"/>
        <w:ind w:firstLine="1952"/>
        <w:spacing w:after="0" w:line="312" w:lineRule="auto"/>
        <w:tabs>
          <w:tab w:leader="none" w:pos="2592" w:val="left"/>
        </w:tabs>
        <w:numPr>
          <w:ilvl w:val="1"/>
          <w:numId w:val="79"/>
        </w:numPr>
        <w:rPr>
          <w:rFonts w:ascii="Arial" w:cs="Arial" w:eastAsia="Arial" w:hAnsi="Arial"/>
          <w:sz w:val="19"/>
          <w:szCs w:val="19"/>
          <w:color w:val="auto"/>
        </w:rPr>
      </w:pPr>
      <w:r>
        <w:rPr>
          <w:rFonts w:ascii="Arial" w:cs="Arial" w:eastAsia="Arial" w:hAnsi="Arial"/>
          <w:sz w:val="19"/>
          <w:szCs w:val="19"/>
          <w:color w:val="auto"/>
        </w:rPr>
        <w:t>to temporarily suspend the exercisability of an Award if the Administrator deems such suspension to be necessary or appropriate for administrative purposes, provided that, unless prohibited by Applicable Laws, such suspension shall be lifted in all cases not less than 10 Trading Days before the last date that the Award may be exercised;</w:t>
      </w:r>
    </w:p>
    <w:p>
      <w:pPr>
        <w:spacing w:after="0" w:line="133" w:lineRule="exact"/>
        <w:rPr>
          <w:rFonts w:ascii="Arial" w:cs="Arial" w:eastAsia="Arial" w:hAnsi="Arial"/>
          <w:sz w:val="19"/>
          <w:szCs w:val="19"/>
          <w:color w:val="auto"/>
        </w:rPr>
      </w:pPr>
    </w:p>
    <w:p>
      <w:pPr>
        <w:ind w:right="20" w:firstLine="1952"/>
        <w:spacing w:after="0" w:line="263" w:lineRule="auto"/>
        <w:tabs>
          <w:tab w:leader="none" w:pos="25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to allow Participants to defer the receipt of the payment of cash or the delivery of Shares otherwise due to any such Participants under an Award; and</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79"/>
        </w:numPr>
        <w:rPr>
          <w:rFonts w:ascii="Arial" w:cs="Arial" w:eastAsia="Arial" w:hAnsi="Arial"/>
          <w:sz w:val="22"/>
          <w:szCs w:val="22"/>
          <w:color w:val="auto"/>
        </w:rPr>
      </w:pPr>
      <w:r>
        <w:rPr>
          <w:rFonts w:ascii="Arial" w:cs="Arial" w:eastAsia="Arial" w:hAnsi="Arial"/>
          <w:sz w:val="22"/>
          <w:szCs w:val="22"/>
          <w:color w:val="auto"/>
        </w:rPr>
        <w:t>to make any determinations necessary or appropriate under Section 13</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41"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Grant Date</w:t>
      </w:r>
      <w:r>
        <w:rPr>
          <w:rFonts w:ascii="Arial" w:cs="Arial" w:eastAsia="Arial" w:hAnsi="Arial"/>
          <w:sz w:val="22"/>
          <w:szCs w:val="22"/>
          <w:color w:val="auto"/>
        </w:rPr>
        <w:t>. The grant date of an Award (“</w:t>
      </w:r>
      <w:r>
        <w:rPr>
          <w:rFonts w:ascii="Arial" w:cs="Arial" w:eastAsia="Arial" w:hAnsi="Arial"/>
          <w:sz w:val="22"/>
          <w:szCs w:val="22"/>
          <w:u w:val="single" w:color="auto"/>
          <w:color w:val="auto"/>
        </w:rPr>
        <w:t>Grant Date</w:t>
      </w:r>
      <w:r>
        <w:rPr>
          <w:rFonts w:ascii="Arial" w:cs="Arial" w:eastAsia="Arial" w:hAnsi="Arial"/>
          <w:sz w:val="22"/>
          <w:szCs w:val="22"/>
          <w:color w:val="auto"/>
        </w:rPr>
        <w:t>”)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Administrator may waive any terms, conditions or restrictions.</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Except as otherwise provided by the Administrator, any fractional Shares that result from the adjustment of Awards will be canceled. Any fractional Shares that result from vesting percentages will be accumulated and vested on the date that an accumulated full Share is vested.</w:t>
      </w:r>
    </w:p>
    <w:p>
      <w:pPr>
        <w:spacing w:after="0" w:line="185" w:lineRule="exact"/>
        <w:rPr>
          <w:rFonts w:ascii="Arial" w:cs="Arial" w:eastAsia="Arial" w:hAnsi="Arial"/>
          <w:sz w:val="22"/>
          <w:szCs w:val="22"/>
          <w:color w:val="auto"/>
        </w:rPr>
      </w:pPr>
    </w:p>
    <w:p>
      <w:pPr>
        <w:jc w:val="both"/>
        <w:ind w:firstLine="1304"/>
        <w:spacing w:after="0" w:line="265" w:lineRule="auto"/>
        <w:tabs>
          <w:tab w:leader="none" w:pos="1944"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The Company may deliver by e-mail or other electronic means (including posting on a website maintained by the Company or by a third party under contract with the Company or another member of the Company Group) all documents relating to the Plan or any Award and all other documents that the Company is required to deliver to its security holders (including prospectuses, annual reports and proxy statements).</w:t>
      </w:r>
    </w:p>
    <w:p>
      <w:pPr>
        <w:spacing w:after="0" w:line="175" w:lineRule="exact"/>
        <w:rPr>
          <w:rFonts w:ascii="Arial" w:cs="Arial" w:eastAsia="Arial" w:hAnsi="Arial"/>
          <w:sz w:val="21"/>
          <w:szCs w:val="21"/>
          <w:color w:val="auto"/>
        </w:rPr>
      </w:pPr>
    </w:p>
    <w:p>
      <w:pPr>
        <w:jc w:val="both"/>
        <w:ind w:firstLine="1304"/>
        <w:spacing w:after="0" w:line="294" w:lineRule="auto"/>
        <w:tabs>
          <w:tab w:leader="none" w:pos="1939"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Choice of Law; Choice of Forum</w:t>
      </w:r>
      <w:r>
        <w:rPr>
          <w:rFonts w:ascii="Arial" w:cs="Arial" w:eastAsia="Arial" w:hAnsi="Arial"/>
          <w:sz w:val="19"/>
          <w:szCs w:val="19"/>
          <w:color w:val="auto"/>
        </w:rPr>
        <w:t>.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spacing w:after="0" w:line="149" w:lineRule="exact"/>
        <w:rPr>
          <w:rFonts w:ascii="Arial" w:cs="Arial" w:eastAsia="Arial" w:hAnsi="Arial"/>
          <w:sz w:val="19"/>
          <w:szCs w:val="19"/>
          <w:color w:val="auto"/>
        </w:rPr>
      </w:pPr>
    </w:p>
    <w:p>
      <w:pPr>
        <w:ind w:firstLine="1304"/>
        <w:spacing w:after="0" w:line="263" w:lineRule="auto"/>
        <w:tabs>
          <w:tab w:leader="none" w:pos="1939"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The Administrator’s decisions, determinations and interpretations will be final and binding on all Participants and any other holders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-2112010</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366" w:lineRule="exact"/>
        <w:rPr>
          <w:sz w:val="20"/>
          <w:szCs w:val="20"/>
          <w:color w:val="auto"/>
        </w:rPr>
      </w:pPr>
    </w:p>
    <w:p>
      <w:pPr>
        <w:ind w:firstLine="656"/>
        <w:spacing w:after="0" w:line="343" w:lineRule="auto"/>
        <w:tabs>
          <w:tab w:leader="none" w:pos="129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Nonstatutory Stock Options, Stock Appreciation Rights, Restricted Stock, Restricted Stock Units and Performance Awards may be granted to Service Providers. Incentive Stock Options may be granted only to Employees.</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302" w:lineRule="auto"/>
        <w:tabs>
          <w:tab w:leader="none" w:pos="1941"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Stock Option Award Agreement</w:t>
      </w:r>
      <w:r>
        <w:rPr>
          <w:rFonts w:ascii="Arial" w:cs="Arial" w:eastAsia="Arial" w:hAnsi="Arial"/>
          <w:sz w:val="19"/>
          <w:szCs w:val="19"/>
          <w:color w:val="auto"/>
        </w:rPr>
        <w:t>. Each Option will be evidenced by an Award Agreement that will specify the number of Shares subject to the Option, per share Exercise Price, its Expiration Date, and such other terms and conditions as the Administrator determines. Each Option will be designated in the Award Agreement as either an Incentive Stock Option or a Nonstatutory Stock Option. An Option not designated as an Incentive Stock Option is a Nonstatutory Stock Option.</w:t>
      </w:r>
    </w:p>
    <w:p>
      <w:pPr>
        <w:spacing w:after="0" w:line="142" w:lineRule="exact"/>
        <w:rPr>
          <w:rFonts w:ascii="Arial" w:cs="Arial" w:eastAsia="Arial" w:hAnsi="Arial"/>
          <w:sz w:val="19"/>
          <w:szCs w:val="19"/>
          <w:color w:val="auto"/>
        </w:rPr>
      </w:pPr>
    </w:p>
    <w:p>
      <w:pPr>
        <w:ind w:right="20" w:firstLine="1304"/>
        <w:spacing w:after="0" w:line="263" w:lineRule="auto"/>
        <w:tabs>
          <w:tab w:leader="none" w:pos="1939"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for the Shares to be issued upon exercise of an Option will be determined by the Administrator and stated in the Award Agreement, subject to the following:</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2"/>
          <w:numId w:val="81"/>
        </w:numPr>
        <w:rPr>
          <w:rFonts w:ascii="Arial" w:cs="Arial" w:eastAsia="Arial" w:hAnsi="Arial"/>
          <w:sz w:val="22"/>
          <w:szCs w:val="22"/>
          <w:color w:val="auto"/>
        </w:rPr>
      </w:pPr>
      <w:r>
        <w:rPr>
          <w:rFonts w:ascii="Arial" w:cs="Arial" w:eastAsia="Arial" w:hAnsi="Arial"/>
          <w:sz w:val="22"/>
          <w:szCs w:val="22"/>
          <w:color w:val="auto"/>
        </w:rPr>
        <w:t>In the case of an Incentive Stock Option:</w:t>
      </w:r>
    </w:p>
    <w:p>
      <w:pPr>
        <w:spacing w:after="0" w:line="219" w:lineRule="exact"/>
        <w:rPr>
          <w:rFonts w:ascii="Arial" w:cs="Arial" w:eastAsia="Arial" w:hAnsi="Arial"/>
          <w:sz w:val="22"/>
          <w:szCs w:val="22"/>
          <w:color w:val="auto"/>
        </w:rPr>
      </w:pPr>
    </w:p>
    <w:p>
      <w:pPr>
        <w:jc w:val="both"/>
        <w:ind w:firstLine="2600"/>
        <w:spacing w:after="0" w:line="250" w:lineRule="auto"/>
        <w:tabs>
          <w:tab w:leader="none" w:pos="3235" w:val="left"/>
        </w:tabs>
        <w:numPr>
          <w:ilvl w:val="3"/>
          <w:numId w:val="81"/>
        </w:numPr>
        <w:rPr>
          <w:rFonts w:ascii="Arial" w:cs="Arial" w:eastAsia="Arial" w:hAnsi="Arial"/>
          <w:sz w:val="22"/>
          <w:szCs w:val="22"/>
          <w:color w:val="auto"/>
        </w:rPr>
      </w:pPr>
      <w:r>
        <w:rPr>
          <w:rFonts w:ascii="Arial" w:cs="Arial" w:eastAsia="Arial" w:hAnsi="Arial"/>
          <w:sz w:val="22"/>
          <w:szCs w:val="22"/>
          <w:color w:val="auto"/>
        </w:rPr>
        <w:t>granted to an ISO Employee who, at the time the Incentive Stock Option is granted, owns stock representing more than 10% of the voting power of all classes of stock of the Company or any Parent or Subsidiary (a “</w:t>
      </w:r>
      <w:r>
        <w:rPr>
          <w:rFonts w:ascii="Arial" w:cs="Arial" w:eastAsia="Arial" w:hAnsi="Arial"/>
          <w:sz w:val="22"/>
          <w:szCs w:val="22"/>
          <w:u w:val="single" w:color="auto"/>
          <w:color w:val="auto"/>
        </w:rPr>
        <w:t>Ten</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Percent Owner</w:t>
      </w:r>
      <w:r>
        <w:rPr>
          <w:rFonts w:ascii="Arial" w:cs="Arial" w:eastAsia="Arial" w:hAnsi="Arial"/>
          <w:sz w:val="22"/>
          <w:szCs w:val="22"/>
          <w:color w:val="auto"/>
        </w:rPr>
        <w:t>”), the Exercise Price for the Shares to be issued will be no less than 110% of the Fair Market Value per Share on the date of grant; and</w:t>
      </w:r>
    </w:p>
    <w:p>
      <w:pPr>
        <w:spacing w:after="0" w:line="187" w:lineRule="exact"/>
        <w:rPr>
          <w:rFonts w:ascii="Arial" w:cs="Arial" w:eastAsia="Arial" w:hAnsi="Arial"/>
          <w:sz w:val="22"/>
          <w:szCs w:val="22"/>
          <w:color w:val="auto"/>
        </w:rPr>
      </w:pPr>
    </w:p>
    <w:p>
      <w:pPr>
        <w:ind w:left="3240" w:hanging="640"/>
        <w:spacing w:after="0"/>
        <w:tabs>
          <w:tab w:leader="none" w:pos="3240" w:val="left"/>
        </w:tabs>
        <w:numPr>
          <w:ilvl w:val="3"/>
          <w:numId w:val="81"/>
        </w:numPr>
        <w:rPr>
          <w:rFonts w:ascii="Arial" w:cs="Arial" w:eastAsia="Arial" w:hAnsi="Arial"/>
          <w:sz w:val="19"/>
          <w:szCs w:val="19"/>
          <w:color w:val="auto"/>
        </w:rPr>
      </w:pPr>
      <w:r>
        <w:rPr>
          <w:rFonts w:ascii="Arial" w:cs="Arial" w:eastAsia="Arial" w:hAnsi="Arial"/>
          <w:sz w:val="19"/>
          <w:szCs w:val="19"/>
          <w:color w:val="auto"/>
        </w:rPr>
        <w:t>granted to any ISO Employee other than a Ten Percent Owner, the Exercise Price for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 to be issued will be no less than 100% of the Fair Market Value per Share on the date of grant.</w:t>
      </w:r>
    </w:p>
    <w:p>
      <w:pPr>
        <w:spacing w:after="0" w:line="201" w:lineRule="exact"/>
        <w:rPr>
          <w:rFonts w:ascii="Arial" w:cs="Arial" w:eastAsia="Arial" w:hAnsi="Arial"/>
          <w:sz w:val="19"/>
          <w:szCs w:val="19"/>
          <w:color w:val="auto"/>
        </w:rPr>
      </w:pPr>
    </w:p>
    <w:p>
      <w:pPr>
        <w:ind w:firstLine="1952"/>
        <w:spacing w:after="0" w:line="263" w:lineRule="auto"/>
        <w:tabs>
          <w:tab w:leader="none" w:pos="2586" w:val="left"/>
        </w:tabs>
        <w:numPr>
          <w:ilvl w:val="2"/>
          <w:numId w:val="81"/>
        </w:numPr>
        <w:rPr>
          <w:rFonts w:ascii="Arial" w:cs="Arial" w:eastAsia="Arial" w:hAnsi="Arial"/>
          <w:sz w:val="22"/>
          <w:szCs w:val="22"/>
          <w:color w:val="auto"/>
        </w:rPr>
      </w:pPr>
      <w:r>
        <w:rPr>
          <w:rFonts w:ascii="Arial" w:cs="Arial" w:eastAsia="Arial" w:hAnsi="Arial"/>
          <w:sz w:val="22"/>
          <w:szCs w:val="22"/>
          <w:color w:val="auto"/>
        </w:rPr>
        <w:t>In the case of a Nonstatutory Stock Option, the Exercise Price for the Shares to be issued will be no less than 100% of the Fair Market Value per Share on the date of grant.</w:t>
      </w:r>
    </w:p>
    <w:p>
      <w:pPr>
        <w:spacing w:after="0" w:line="174" w:lineRule="exact"/>
        <w:rPr>
          <w:rFonts w:ascii="Arial" w:cs="Arial" w:eastAsia="Arial" w:hAnsi="Arial"/>
          <w:sz w:val="22"/>
          <w:szCs w:val="22"/>
          <w:color w:val="auto"/>
        </w:rPr>
      </w:pPr>
    </w:p>
    <w:p>
      <w:pPr>
        <w:jc w:val="both"/>
        <w:ind w:right="20" w:firstLine="1952"/>
        <w:spacing w:after="0" w:line="253" w:lineRule="auto"/>
        <w:tabs>
          <w:tab w:leader="none" w:pos="2592" w:val="left"/>
        </w:tabs>
        <w:numPr>
          <w:ilvl w:val="2"/>
          <w:numId w:val="81"/>
        </w:numPr>
        <w:rPr>
          <w:rFonts w:ascii="Arial" w:cs="Arial" w:eastAsia="Arial" w:hAnsi="Arial"/>
          <w:sz w:val="22"/>
          <w:szCs w:val="22"/>
          <w:color w:val="auto"/>
        </w:rPr>
      </w:pPr>
      <w:r>
        <w:rPr>
          <w:rFonts w:ascii="Arial" w:cs="Arial" w:eastAsia="Arial" w:hAnsi="Arial"/>
          <w:sz w:val="22"/>
          <w:szCs w:val="22"/>
          <w:color w:val="auto"/>
        </w:rPr>
        <w:t>Notwithstanding the foregoing, Options may be granted with an Exercise Price of less than 100% of the Fair Market Value per Share on the date of grant (i) pursuant to a transaction described in, and in a manner consistent with, Section 424(a) of the Code or (ii) to a Service Provider that is not a U.S. taxpayer.</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Form of Consideration</w:t>
      </w:r>
      <w:r>
        <w:rPr>
          <w:rFonts w:ascii="Arial" w:cs="Arial" w:eastAsia="Arial" w:hAnsi="Arial"/>
          <w:sz w:val="22"/>
          <w:szCs w:val="22"/>
          <w:color w:val="auto"/>
        </w:rPr>
        <w:t>. The Administrator will determine the acceptable form(s) of consideration for exercising an Option. Unless the Administrator determines otherwise, the consideration may consist of any one or more or combination of the following, to the extent permitted by Applicable Laws:</w:t>
      </w:r>
    </w:p>
    <w:p>
      <w:pPr>
        <w:spacing w:after="0" w:line="185" w:lineRule="exact"/>
        <w:rPr>
          <w:rFonts w:ascii="Arial" w:cs="Arial" w:eastAsia="Arial" w:hAnsi="Arial"/>
          <w:sz w:val="22"/>
          <w:szCs w:val="22"/>
          <w:color w:val="auto"/>
        </w:rPr>
      </w:pPr>
    </w:p>
    <w:p>
      <w:pPr>
        <w:ind w:left="2580" w:hanging="628"/>
        <w:spacing w:after="0"/>
        <w:tabs>
          <w:tab w:leader="none" w:pos="2580" w:val="left"/>
        </w:tabs>
        <w:numPr>
          <w:ilvl w:val="2"/>
          <w:numId w:val="81"/>
        </w:numPr>
        <w:rPr>
          <w:rFonts w:ascii="Arial" w:cs="Arial" w:eastAsia="Arial" w:hAnsi="Arial"/>
          <w:sz w:val="22"/>
          <w:szCs w:val="22"/>
          <w:color w:val="auto"/>
        </w:rPr>
      </w:pPr>
      <w:r>
        <w:rPr>
          <w:rFonts w:ascii="Arial" w:cs="Arial" w:eastAsia="Arial" w:hAnsi="Arial"/>
          <w:sz w:val="22"/>
          <w:szCs w:val="22"/>
          <w:color w:val="auto"/>
        </w:rPr>
        <w:t>cash;</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2"/>
          <w:numId w:val="81"/>
        </w:numPr>
        <w:rPr>
          <w:rFonts w:ascii="Arial" w:cs="Arial" w:eastAsia="Arial" w:hAnsi="Arial"/>
          <w:sz w:val="22"/>
          <w:szCs w:val="22"/>
          <w:color w:val="auto"/>
        </w:rPr>
      </w:pPr>
      <w:r>
        <w:rPr>
          <w:rFonts w:ascii="Arial" w:cs="Arial" w:eastAsia="Arial" w:hAnsi="Arial"/>
          <w:sz w:val="22"/>
          <w:szCs w:val="22"/>
          <w:color w:val="auto"/>
        </w:rPr>
        <w:t>check or wire transfer;</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2"/>
          <w:numId w:val="81"/>
        </w:numPr>
        <w:rPr>
          <w:rFonts w:ascii="Arial" w:cs="Arial" w:eastAsia="Arial" w:hAnsi="Arial"/>
          <w:sz w:val="22"/>
          <w:szCs w:val="22"/>
          <w:color w:val="auto"/>
        </w:rPr>
      </w:pPr>
      <w:r>
        <w:rPr>
          <w:rFonts w:ascii="Arial" w:cs="Arial" w:eastAsia="Arial" w:hAnsi="Arial"/>
          <w:sz w:val="22"/>
          <w:szCs w:val="22"/>
          <w:color w:val="auto"/>
        </w:rPr>
        <w:t>promissory note, if and to the extent approved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66" w:lineRule="exact"/>
        <w:rPr>
          <w:sz w:val="20"/>
          <w:szCs w:val="20"/>
          <w:color w:val="auto"/>
        </w:rPr>
      </w:pPr>
    </w:p>
    <w:p>
      <w:pPr>
        <w:jc w:val="both"/>
        <w:ind w:firstLine="1952"/>
        <w:spacing w:after="0" w:line="250" w:lineRule="auto"/>
        <w:tabs>
          <w:tab w:leader="none" w:pos="2580" w:val="left"/>
        </w:tabs>
        <w:numPr>
          <w:ilvl w:val="2"/>
          <w:numId w:val="82"/>
        </w:numPr>
        <w:rPr>
          <w:rFonts w:ascii="Arial" w:cs="Arial" w:eastAsia="Arial" w:hAnsi="Arial"/>
          <w:sz w:val="22"/>
          <w:szCs w:val="22"/>
          <w:color w:val="auto"/>
        </w:rPr>
      </w:pPr>
      <w:r>
        <w:rPr>
          <w:rFonts w:ascii="Arial" w:cs="Arial" w:eastAsia="Arial" w:hAnsi="Arial"/>
          <w:sz w:val="22"/>
          <w:szCs w:val="22"/>
          <w:color w:val="auto"/>
        </w:rPr>
        <w:t>other Shares that have a fair market value on the date of surrender equal to the aggregate Exercise Price of the Shares as to which such Option will be exercised. To the extent not prohibited by the Administrator, this shall include the ability to tender Shares to exercise the Option and then use the Shares received on exercise to exercise the Option with respect to additional Shares;</w:t>
      </w:r>
    </w:p>
    <w:p>
      <w:pPr>
        <w:spacing w:after="0" w:line="187" w:lineRule="exact"/>
        <w:rPr>
          <w:rFonts w:ascii="Arial" w:cs="Arial" w:eastAsia="Arial" w:hAnsi="Arial"/>
          <w:sz w:val="22"/>
          <w:szCs w:val="22"/>
          <w:color w:val="auto"/>
        </w:rPr>
      </w:pPr>
    </w:p>
    <w:p>
      <w:pPr>
        <w:jc w:val="both"/>
        <w:ind w:firstLine="1952"/>
        <w:spacing w:after="0" w:line="253" w:lineRule="auto"/>
        <w:tabs>
          <w:tab w:leader="none" w:pos="2587" w:val="left"/>
        </w:tabs>
        <w:numPr>
          <w:ilvl w:val="2"/>
          <w:numId w:val="82"/>
        </w:numPr>
        <w:rPr>
          <w:rFonts w:ascii="Arial" w:cs="Arial" w:eastAsia="Arial" w:hAnsi="Arial"/>
          <w:sz w:val="22"/>
          <w:szCs w:val="22"/>
          <w:color w:val="auto"/>
        </w:rPr>
      </w:pPr>
      <w:r>
        <w:rPr>
          <w:rFonts w:ascii="Arial" w:cs="Arial" w:eastAsia="Arial" w:hAnsi="Arial"/>
          <w:sz w:val="22"/>
          <w:szCs w:val="22"/>
          <w:color w:val="auto"/>
        </w:rPr>
        <w:t>consideration received by the Company under a cashless exercise arrangement (whether through a broker or otherwise) implemented by the Company for the exercise of Options that has been approved by the Administrator, if and to the extent permitted by the Company with respect to a particular Award;</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580" w:val="left"/>
        </w:tabs>
        <w:numPr>
          <w:ilvl w:val="2"/>
          <w:numId w:val="82"/>
        </w:numPr>
        <w:rPr>
          <w:rFonts w:ascii="Arial" w:cs="Arial" w:eastAsia="Arial" w:hAnsi="Arial"/>
          <w:sz w:val="22"/>
          <w:szCs w:val="22"/>
          <w:color w:val="auto"/>
        </w:rPr>
      </w:pPr>
      <w:r>
        <w:rPr>
          <w:rFonts w:ascii="Arial" w:cs="Arial" w:eastAsia="Arial" w:hAnsi="Arial"/>
          <w:sz w:val="22"/>
          <w:szCs w:val="22"/>
          <w:color w:val="auto"/>
        </w:rPr>
        <w:t>consideration received by the Company under a net exercise program under which Shares are withheld from otherwise deliverable Shares that has been approved by the Administrator, if and to the extent permitted by the Company with respect to a particular Award; and</w:t>
      </w:r>
    </w:p>
    <w:p>
      <w:pPr>
        <w:spacing w:after="0" w:line="185" w:lineRule="exact"/>
        <w:rPr>
          <w:rFonts w:ascii="Arial" w:cs="Arial" w:eastAsia="Arial" w:hAnsi="Arial"/>
          <w:sz w:val="22"/>
          <w:szCs w:val="22"/>
          <w:color w:val="auto"/>
        </w:rPr>
      </w:pPr>
    </w:p>
    <w:p>
      <w:pPr>
        <w:ind w:firstLine="1952"/>
        <w:spacing w:after="0" w:line="263" w:lineRule="auto"/>
        <w:tabs>
          <w:tab w:leader="none" w:pos="2586" w:val="left"/>
        </w:tabs>
        <w:numPr>
          <w:ilvl w:val="2"/>
          <w:numId w:val="82"/>
        </w:numPr>
        <w:rPr>
          <w:rFonts w:ascii="Arial" w:cs="Arial" w:eastAsia="Arial" w:hAnsi="Arial"/>
          <w:sz w:val="22"/>
          <w:szCs w:val="22"/>
          <w:color w:val="auto"/>
        </w:rPr>
      </w:pPr>
      <w:r>
        <w:rPr>
          <w:rFonts w:ascii="Arial" w:cs="Arial" w:eastAsia="Arial" w:hAnsi="Arial"/>
          <w:sz w:val="22"/>
          <w:szCs w:val="22"/>
          <w:color w:val="auto"/>
        </w:rPr>
        <w:t>any other consideration or method of payment to issue Shares (provided that other forms of considerations may only be approved by the Administrator).</w:t>
      </w:r>
    </w:p>
    <w:p>
      <w:pPr>
        <w:spacing w:after="0" w:line="17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Administrator has the power to remove or limit any of the above forms of consideration for exercising an Option except for the payment of cash at any time in its sole discretion.</w:t>
      </w:r>
    </w:p>
    <w:p>
      <w:pPr>
        <w:spacing w:after="0" w:line="174" w:lineRule="exact"/>
        <w:rPr>
          <w:rFonts w:ascii="Arial" w:cs="Arial" w:eastAsia="Arial" w:hAnsi="Arial"/>
          <w:sz w:val="22"/>
          <w:szCs w:val="22"/>
          <w:color w:val="auto"/>
        </w:rPr>
      </w:pPr>
    </w:p>
    <w:p>
      <w:pPr>
        <w:jc w:val="both"/>
        <w:ind w:firstLine="1304"/>
        <w:spacing w:after="0" w:line="247" w:lineRule="auto"/>
        <w:tabs>
          <w:tab w:leader="none" w:pos="1939"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The term of each Option will be determined by the Administrator and stated in the Award Agreement, provided that, in the case of an Incentive Stock Option: (a) granted to a Ten Percent Owner, the Option may not be exercisable after the expiration of 5 years from the date such Option is granted, or such shorter term as may be provided in the Award Agreement; and (b) granted to an ISO Employee other than a Ten Percent Owner, the Option may not be exercisable after the expiration of 10 years from the date such Option is granted term, or such shorter term as may be provided in the Award Agreement.</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Incentive Stock Option Limitations.</w:t>
      </w:r>
    </w:p>
    <w:p>
      <w:pPr>
        <w:spacing w:after="0" w:line="219" w:lineRule="exact"/>
        <w:rPr>
          <w:rFonts w:ascii="Arial" w:cs="Arial" w:eastAsia="Arial" w:hAnsi="Arial"/>
          <w:sz w:val="22"/>
          <w:szCs w:val="22"/>
          <w:color w:val="auto"/>
        </w:rPr>
      </w:pPr>
    </w:p>
    <w:p>
      <w:pPr>
        <w:jc w:val="both"/>
        <w:ind w:firstLine="1952"/>
        <w:spacing w:after="0" w:line="297" w:lineRule="auto"/>
        <w:tabs>
          <w:tab w:leader="none" w:pos="2580" w:val="left"/>
        </w:tabs>
        <w:numPr>
          <w:ilvl w:val="2"/>
          <w:numId w:val="83"/>
        </w:numPr>
        <w:rPr>
          <w:rFonts w:ascii="Arial" w:cs="Arial" w:eastAsia="Arial" w:hAnsi="Arial"/>
          <w:sz w:val="19"/>
          <w:szCs w:val="19"/>
          <w:color w:val="auto"/>
        </w:rPr>
      </w:pPr>
      <w:r>
        <w:rPr>
          <w:rFonts w:ascii="Arial" w:cs="Arial" w:eastAsia="Arial" w:hAnsi="Arial"/>
          <w:sz w:val="19"/>
          <w:szCs w:val="19"/>
          <w:color w:val="auto"/>
        </w:rPr>
        <w:t>To the extent that the aggregate fair market value of the shares with respect to which incentive stock options under Code Section 422(b) are exercisable for the first time by a Participant during any calendar year (under all plans and agreements of the Company Group) exceeds $100,000, the incentive stock options whose value exceeds $100,000 will be treated as nonstatutory stock options. Incentive stock options will be considered in the order in which they were granted. For this purpose, the fair market value of the shares subject to an option will be determined as of the grant date of each option.</w:t>
      </w:r>
    </w:p>
    <w:p>
      <w:pPr>
        <w:spacing w:after="0" w:line="146" w:lineRule="exact"/>
        <w:rPr>
          <w:rFonts w:ascii="Arial" w:cs="Arial" w:eastAsia="Arial" w:hAnsi="Arial"/>
          <w:sz w:val="19"/>
          <w:szCs w:val="19"/>
          <w:color w:val="auto"/>
        </w:rPr>
      </w:pPr>
    </w:p>
    <w:p>
      <w:pPr>
        <w:jc w:val="both"/>
        <w:ind w:firstLine="1952"/>
        <w:spacing w:after="0" w:line="253" w:lineRule="auto"/>
        <w:tabs>
          <w:tab w:leader="none" w:pos="2586" w:val="left"/>
        </w:tabs>
        <w:numPr>
          <w:ilvl w:val="2"/>
          <w:numId w:val="83"/>
        </w:numPr>
        <w:rPr>
          <w:rFonts w:ascii="Arial" w:cs="Arial" w:eastAsia="Arial" w:hAnsi="Arial"/>
          <w:sz w:val="22"/>
          <w:szCs w:val="22"/>
          <w:color w:val="auto"/>
        </w:rPr>
      </w:pPr>
      <w:r>
        <w:rPr>
          <w:rFonts w:ascii="Arial" w:cs="Arial" w:eastAsia="Arial" w:hAnsi="Arial"/>
          <w:sz w:val="22"/>
          <w:szCs w:val="22"/>
          <w:color w:val="auto"/>
        </w:rPr>
        <w:t>If an Option is designated in the Administrator action that granted it as an Incentive Stock Option but the terms of the Option do not comply with Sections 6(b) and 6(d), then the Option will not qualify as an Incentive Stock Option.</w:t>
      </w:r>
    </w:p>
    <w:p>
      <w:pPr>
        <w:spacing w:after="0" w:line="185" w:lineRule="exact"/>
        <w:rPr>
          <w:rFonts w:ascii="Arial" w:cs="Arial" w:eastAsia="Arial" w:hAnsi="Arial"/>
          <w:sz w:val="22"/>
          <w:szCs w:val="22"/>
          <w:color w:val="auto"/>
        </w:rPr>
      </w:pPr>
    </w:p>
    <w:p>
      <w:pPr>
        <w:jc w:val="both"/>
        <w:ind w:firstLine="1304"/>
        <w:spacing w:after="0" w:line="302" w:lineRule="auto"/>
        <w:tabs>
          <w:tab w:leader="none" w:pos="1944"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Exercise of Option</w:t>
      </w:r>
      <w:r>
        <w:rPr>
          <w:rFonts w:ascii="Arial" w:cs="Arial" w:eastAsia="Arial" w:hAnsi="Arial"/>
          <w:sz w:val="19"/>
          <w:szCs w:val="19"/>
          <w:color w:val="auto"/>
        </w:rPr>
        <w:t>. An Option is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Shares issued upon exercise of an Option will be issued in the name of the Participant. Until the Shares are issued (as evidenced by the entry on the books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of the Company or of a duly authorized transfer agent of the Company), no right to vote or receive dividends or any other rights as a stockholder will exist with respect to the Shares subject to an Option, despite the exercise of the Option. The Company will issue (or cause to be issued) such Shares promptly after the Option is exercised. An Option may not be exercised for a fraction of a Share. Exercising an Option in any manner will decrease the number of Shares thereafter available, both for purposes of the Plan (except as provided in Section 3(c) and for purchase under the Option, by the number of Shares as to which the Option is exercised.</w:t>
      </w:r>
    </w:p>
    <w:p>
      <w:pPr>
        <w:spacing w:after="0" w:line="193" w:lineRule="exact"/>
        <w:rPr>
          <w:sz w:val="20"/>
          <w:szCs w:val="20"/>
          <w:color w:val="auto"/>
        </w:rPr>
      </w:pPr>
    </w:p>
    <w:p>
      <w:pPr>
        <w:jc w:val="both"/>
        <w:ind w:firstLine="1952"/>
        <w:spacing w:after="0" w:line="290" w:lineRule="auto"/>
        <w:tabs>
          <w:tab w:leader="none" w:pos="263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 as a Service Provider</w:t>
      </w:r>
      <w:r>
        <w:rPr>
          <w:rFonts w:ascii="Arial" w:cs="Arial" w:eastAsia="Arial" w:hAnsi="Arial"/>
          <w:sz w:val="19"/>
          <w:szCs w:val="19"/>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or in writing by the Administrator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55" w:lineRule="exact"/>
        <w:rPr>
          <w:rFonts w:ascii="Arial" w:cs="Arial" w:eastAsia="Arial" w:hAnsi="Arial"/>
          <w:sz w:val="19"/>
          <w:szCs w:val="19"/>
          <w:color w:val="auto"/>
        </w:rPr>
      </w:pPr>
    </w:p>
    <w:p>
      <w:pPr>
        <w:jc w:val="both"/>
        <w:ind w:firstLine="1952"/>
        <w:spacing w:after="0" w:line="292" w:lineRule="auto"/>
        <w:tabs>
          <w:tab w:leader="none" w:pos="258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Disability of Participant</w:t>
      </w:r>
      <w:r>
        <w:rPr>
          <w:rFonts w:ascii="Arial" w:cs="Arial" w:eastAsia="Arial" w:hAnsi="Arial"/>
          <w:sz w:val="19"/>
          <w:szCs w:val="19"/>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50" w:lineRule="exact"/>
        <w:rPr>
          <w:rFonts w:ascii="Arial" w:cs="Arial" w:eastAsia="Arial" w:hAnsi="Arial"/>
          <w:sz w:val="19"/>
          <w:szCs w:val="19"/>
          <w:color w:val="auto"/>
        </w:rPr>
      </w:pPr>
    </w:p>
    <w:p>
      <w:pPr>
        <w:jc w:val="both"/>
        <w:ind w:firstLine="1952"/>
        <w:spacing w:after="0" w:line="286" w:lineRule="auto"/>
        <w:tabs>
          <w:tab w:leader="none" w:pos="2659"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the Administrator has permitted the designation of a beneficiary and provided such beneficiary has been designated prior to the Participant’s death in a form (if any) acceptable to the Administrator. If the Administrator has not permitted the designation of the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If the Option is exercised pursuant to this Section 6(f)(iii), Participant’s designated beneficiary or personal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66" w:lineRule="exact"/>
        <w:rPr>
          <w:sz w:val="20"/>
          <w:szCs w:val="20"/>
          <w:color w:val="auto"/>
        </w:rPr>
      </w:pPr>
    </w:p>
    <w:p>
      <w:pPr>
        <w:jc w:val="both"/>
        <w:ind w:firstLine="1304"/>
        <w:spacing w:after="0" w:line="253" w:lineRule="auto"/>
        <w:tabs>
          <w:tab w:leader="none" w:pos="1939"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Expiration of Options</w:t>
      </w:r>
      <w:r>
        <w:rPr>
          <w:rFonts w:ascii="Arial" w:cs="Arial" w:eastAsia="Arial" w:hAnsi="Arial"/>
          <w:sz w:val="22"/>
          <w:szCs w:val="22"/>
          <w:color w:val="auto"/>
        </w:rPr>
        <w:t>. Subject to Section 6(d), an Option’s Expiration Date will be set forth in the Award Agreement. An Option may expire before its expiration date under the Plan (including pursuant to Sections 6(f), 13, 14, or 16(d)) or under the Award Agreement.</w:t>
      </w:r>
    </w:p>
    <w:p>
      <w:pPr>
        <w:spacing w:after="0" w:line="185" w:lineRule="exact"/>
        <w:rPr>
          <w:rFonts w:ascii="Arial" w:cs="Arial" w:eastAsia="Arial" w:hAnsi="Arial"/>
          <w:sz w:val="22"/>
          <w:szCs w:val="22"/>
          <w:color w:val="auto"/>
        </w:rPr>
      </w:pPr>
    </w:p>
    <w:p>
      <w:pPr>
        <w:jc w:val="both"/>
        <w:ind w:firstLine="1304"/>
        <w:spacing w:after="0" w:line="290" w:lineRule="auto"/>
        <w:tabs>
          <w:tab w:leader="none" w:pos="1939"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Tolling of Expiration</w:t>
      </w:r>
      <w:r>
        <w:rPr>
          <w:rFonts w:ascii="Arial" w:cs="Arial" w:eastAsia="Arial" w:hAnsi="Arial"/>
          <w:sz w:val="19"/>
          <w:szCs w:val="19"/>
          <w:color w:val="auto"/>
        </w:rPr>
        <w:t>. If exercising an Option prior to its expiration is not permitted because of Applicable Laws, other than the rules of any stock exchange or quotation system on which the Common Stock is listed or quoted, the Option will remain exercisable until 30 days after the first date on which exercise no longer would be prevented by such provisions; provided, however, that this tolling of expiration shall not apply if and to the extent the holder of such Option is a United States taxpayer and the tolling would result in a violation of Section 409A such that the Option would be subject to additional taxation or interest under Section 409A. If this would result in the Option remaining exercisable past its Expiration Date, then unless earlier terminated pursuant to Section 14, the Option will remain exercisable only until the end of the later of (x) the first day on which its exercise would not be prevented by Section 19(a) and (y) its Expiration Date.</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71" w:lineRule="auto"/>
        <w:tabs>
          <w:tab w:leader="none" w:pos="1941"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Stock Appreciation Right Award Agreement</w:t>
      </w:r>
      <w:r>
        <w:rPr>
          <w:rFonts w:ascii="Arial" w:cs="Arial" w:eastAsia="Arial" w:hAnsi="Arial"/>
          <w:sz w:val="21"/>
          <w:szCs w:val="21"/>
          <w:color w:val="auto"/>
        </w:rPr>
        <w:t>. Each Stock Appreciation Right grant will be evidenced by an Award Agreement that will specify the number of Shares subject to the Stock Appreciation Right, its per share Exercise Price, its Expiration Date, and such other terms and conditions as the Administrator determines.</w:t>
      </w:r>
    </w:p>
    <w:p>
      <w:pPr>
        <w:spacing w:after="0" w:line="167" w:lineRule="exact"/>
        <w:rPr>
          <w:rFonts w:ascii="Arial" w:cs="Arial" w:eastAsia="Arial" w:hAnsi="Arial"/>
          <w:sz w:val="21"/>
          <w:szCs w:val="21"/>
          <w:color w:val="auto"/>
        </w:rPr>
      </w:pPr>
    </w:p>
    <w:p>
      <w:pPr>
        <w:jc w:val="both"/>
        <w:ind w:right="20" w:firstLine="1304"/>
        <w:spacing w:after="0" w:line="253" w:lineRule="auto"/>
        <w:tabs>
          <w:tab w:leader="none" w:pos="1939"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a Stock Appreciation Right will be determined by the Administrator, provided that in the case of a Stock Appreciation Right granted to a U.S. taxpayer, the Exercise Price will be no less than 100% of the Fair Market Value of a Share on the date of grant.</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41"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Payment of Stock Appreciation Right Amount</w:t>
      </w:r>
      <w:r>
        <w:rPr>
          <w:rFonts w:ascii="Arial" w:cs="Arial" w:eastAsia="Arial" w:hAnsi="Arial"/>
          <w:sz w:val="22"/>
          <w:szCs w:val="22"/>
          <w:color w:val="auto"/>
        </w:rPr>
        <w:t>. Payment upon Stock Appreciation Right exercise may be made in cash, in Shares (which, on the date of exercise, have an aggregate Fair Market Value equal to the amount of payment to be made under the Award), or any combination of cash and Shares, with the determination of form of payment made by the Administrator. When a Participant exercises a Stock Appreciation Right, he or she will be entitled to receive a payment from the Company equal to:</w:t>
      </w:r>
    </w:p>
    <w:p>
      <w:pPr>
        <w:spacing w:after="0" w:line="191" w:lineRule="exact"/>
        <w:rPr>
          <w:rFonts w:ascii="Arial" w:cs="Arial" w:eastAsia="Arial" w:hAnsi="Arial"/>
          <w:sz w:val="22"/>
          <w:szCs w:val="22"/>
          <w:color w:val="auto"/>
        </w:rPr>
      </w:pPr>
    </w:p>
    <w:p>
      <w:pPr>
        <w:ind w:left="2580" w:hanging="628"/>
        <w:spacing w:after="0"/>
        <w:tabs>
          <w:tab w:leader="none" w:pos="2580" w:val="left"/>
        </w:tabs>
        <w:numPr>
          <w:ilvl w:val="2"/>
          <w:numId w:val="86"/>
        </w:numPr>
        <w:rPr>
          <w:rFonts w:ascii="Arial" w:cs="Arial" w:eastAsia="Arial" w:hAnsi="Arial"/>
          <w:sz w:val="19"/>
          <w:szCs w:val="19"/>
          <w:color w:val="auto"/>
        </w:rPr>
      </w:pPr>
      <w:r>
        <w:rPr>
          <w:rFonts w:ascii="Arial" w:cs="Arial" w:eastAsia="Arial" w:hAnsi="Arial"/>
          <w:sz w:val="19"/>
          <w:szCs w:val="19"/>
          <w:color w:val="auto"/>
        </w:rPr>
        <w:t>the excess, if any, between the fair market value on the date of exercise over the Exercise Price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multiplied by</w:t>
      </w:r>
    </w:p>
    <w:p>
      <w:pPr>
        <w:spacing w:after="0" w:line="201" w:lineRule="exact"/>
        <w:rPr>
          <w:rFonts w:ascii="Arial" w:cs="Arial" w:eastAsia="Arial" w:hAnsi="Arial"/>
          <w:sz w:val="19"/>
          <w:szCs w:val="19"/>
          <w:color w:val="auto"/>
        </w:rPr>
      </w:pPr>
    </w:p>
    <w:p>
      <w:pPr>
        <w:ind w:left="2600" w:hanging="648"/>
        <w:spacing w:after="0"/>
        <w:tabs>
          <w:tab w:leader="none" w:pos="2600" w:val="left"/>
        </w:tabs>
        <w:numPr>
          <w:ilvl w:val="2"/>
          <w:numId w:val="86"/>
        </w:numPr>
        <w:rPr>
          <w:rFonts w:ascii="Arial" w:cs="Arial" w:eastAsia="Arial" w:hAnsi="Arial"/>
          <w:sz w:val="22"/>
          <w:szCs w:val="22"/>
          <w:color w:val="auto"/>
        </w:rPr>
      </w:pPr>
      <w:r>
        <w:rPr>
          <w:rFonts w:ascii="Arial" w:cs="Arial" w:eastAsia="Arial" w:hAnsi="Arial"/>
          <w:sz w:val="22"/>
          <w:szCs w:val="22"/>
          <w:color w:val="auto"/>
        </w:rPr>
        <w:t>the number of Shares with respect to which the Stock Appreciation Right is exercised.</w:t>
      </w:r>
    </w:p>
    <w:p>
      <w:pPr>
        <w:spacing w:after="0" w:line="219" w:lineRule="exact"/>
        <w:rPr>
          <w:rFonts w:ascii="Arial" w:cs="Arial" w:eastAsia="Arial" w:hAnsi="Arial"/>
          <w:sz w:val="22"/>
          <w:szCs w:val="22"/>
          <w:color w:val="auto"/>
        </w:rPr>
      </w:pPr>
    </w:p>
    <w:p>
      <w:pPr>
        <w:jc w:val="both"/>
        <w:ind w:firstLine="1304"/>
        <w:spacing w:after="0" w:line="297" w:lineRule="auto"/>
        <w:tabs>
          <w:tab w:leader="none" w:pos="1939"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Exercise of Stock Appreciation Right</w:t>
      </w:r>
      <w:r>
        <w:rPr>
          <w:rFonts w:ascii="Arial" w:cs="Arial" w:eastAsia="Arial" w:hAnsi="Arial"/>
          <w:sz w:val="19"/>
          <w:szCs w:val="19"/>
          <w:color w:val="auto"/>
        </w:rPr>
        <w:t>. A Stock Appreciation Right is exercised when the Company receives a notice of exercise (in such form as the Administrator may specify from time to time) from the person entitled to exercise the Stock Appreciation Right. Shares issued upon exercise of a Stock Appreciation Right will be issued in the name of the Participant. Until the Shares are issued (as evidenced by the entry on the books of the Company or of a duly authorized transfer agent of the Company), no right to vote or receive dividends or any other rights as a stockholder will exist with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3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respect to the Shares subject to a Stock Appreciation Right, despite the exercise of the Stock Appreciation Right. The Company will issue (or cause to be issued) such Shares promptly after the Stock Appreciation Right is exercised. A Stock Appreciation Right may not be exercised for a fraction of a Share. Exercising a Stock Appreciation Right in any manner will decrease (x) the number of Shares thereafter available under the Stock Appreciation Right by the number of Shares as to which the Stock Appreciation Right is exercised and (y) the number of Shares thereafter available under the Plan by the number of Shares issued upon such exercise.</w:t>
      </w:r>
    </w:p>
    <w:p>
      <w:pPr>
        <w:spacing w:after="0" w:line="193" w:lineRule="exact"/>
        <w:rPr>
          <w:sz w:val="20"/>
          <w:szCs w:val="20"/>
          <w:color w:val="auto"/>
        </w:rPr>
      </w:pPr>
    </w:p>
    <w:p>
      <w:pPr>
        <w:jc w:val="both"/>
        <w:ind w:firstLine="1304"/>
        <w:spacing w:after="0" w:line="265" w:lineRule="auto"/>
        <w:tabs>
          <w:tab w:leader="none" w:pos="1941"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Expiration of Stock Appreciation Rights</w:t>
      </w:r>
      <w:r>
        <w:rPr>
          <w:rFonts w:ascii="Arial" w:cs="Arial" w:eastAsia="Arial" w:hAnsi="Arial"/>
          <w:sz w:val="21"/>
          <w:szCs w:val="21"/>
          <w:color w:val="auto"/>
        </w:rPr>
        <w:t>. A Stock Appreciation Right’s Expiration Date will be set forth in the Award Agreement. A Stock Appreciation Right may expire before its expiration date under the Plan (including pursuant to Sections 13, 14, or 16(c)) or under the Award Agreement. Notwithstanding the foregoing, the rules of Section 6(d) relating to the maximum term and Section 6(f) relating to exercise also will apply to Stock Appreciation Rights.</w:t>
      </w:r>
    </w:p>
    <w:p>
      <w:pPr>
        <w:spacing w:after="0" w:line="175" w:lineRule="exact"/>
        <w:rPr>
          <w:rFonts w:ascii="Arial" w:cs="Arial" w:eastAsia="Arial" w:hAnsi="Arial"/>
          <w:sz w:val="21"/>
          <w:szCs w:val="21"/>
          <w:color w:val="auto"/>
        </w:rPr>
      </w:pPr>
    </w:p>
    <w:p>
      <w:pPr>
        <w:jc w:val="both"/>
        <w:ind w:firstLine="1304"/>
        <w:spacing w:after="0" w:line="289" w:lineRule="auto"/>
        <w:tabs>
          <w:tab w:leader="none" w:pos="1944"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Tolling of Expiration</w:t>
      </w:r>
      <w:r>
        <w:rPr>
          <w:rFonts w:ascii="Arial" w:cs="Arial" w:eastAsia="Arial" w:hAnsi="Arial"/>
          <w:sz w:val="19"/>
          <w:szCs w:val="19"/>
          <w:color w:val="auto"/>
        </w:rPr>
        <w:t>. If exercising a Stock Appreciation Right prior to its expiration is not permitted because of Applicable Laws, other than the rules of any stock exchange or quotation system on which the Common Stock is listed or quoted, the Stock Appreciation Right will remain exercisable until 30 days after the first date on which exercise no longer would be prevented by such provisions; provided, however, that this tolling of expiration shall not apply if and to the extent the holder of such Stock Appreciation Right is a United States taxpayer and the tolling would result in a violation of Section 409A such that the Stock Appreciation Right would be subject to additional taxation or interest under Section 409A. If this would result in the Stock Appreciation Right remaining exercisable past its Expiration Date, then unless earlier terminated pursuant to Section 14, the Stock Appreciation Right will remain exercisable only until the end of the later of (x) the first day on which its exercise would not be prevented by Section 19(a) and (y) its Expiration Date.</w:t>
      </w:r>
    </w:p>
    <w:p>
      <w:pPr>
        <w:spacing w:after="0" w:line="156" w:lineRule="exact"/>
        <w:rPr>
          <w:rFonts w:ascii="Arial" w:cs="Arial" w:eastAsia="Arial" w:hAnsi="Arial"/>
          <w:sz w:val="19"/>
          <w:szCs w:val="19"/>
          <w:color w:val="auto"/>
        </w:rPr>
      </w:pPr>
    </w:p>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48" w:lineRule="auto"/>
        <w:tabs>
          <w:tab w:leader="none" w:pos="1941"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Restricted Stock Award Agreement</w:t>
      </w:r>
      <w:r>
        <w:rPr>
          <w:rFonts w:ascii="Arial" w:cs="Arial" w:eastAsia="Arial" w:hAnsi="Arial"/>
          <w:sz w:val="22"/>
          <w:szCs w:val="22"/>
          <w:color w:val="auto"/>
        </w:rPr>
        <w:t>. Each Award of Restricted Stock will be evidenced by an Award Agreement that will specify the number of Shares subject to the Award of Restricted Stock and such other terms and conditions as the Administrator determines. For the avoidance of doubt, Restricted Stock may be granted without any Period of Restriction (e.g., vested stock bonuses). Unless the Administrator determines otherwise, Shares of Restricted Stock will be held in escrow while unvested.</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952"/>
        <w:spacing w:after="0" w:line="263" w:lineRule="auto"/>
        <w:tabs>
          <w:tab w:leader="none" w:pos="2580" w:val="left"/>
        </w:tabs>
        <w:numPr>
          <w:ilvl w:val="2"/>
          <w:numId w:val="88"/>
        </w:numPr>
        <w:rPr>
          <w:rFonts w:ascii="Arial" w:cs="Arial" w:eastAsia="Arial" w:hAnsi="Arial"/>
          <w:sz w:val="22"/>
          <w:szCs w:val="22"/>
          <w:color w:val="auto"/>
        </w:rPr>
      </w:pPr>
      <w:r>
        <w:rPr>
          <w:rFonts w:ascii="Arial" w:cs="Arial" w:eastAsia="Arial" w:hAnsi="Arial"/>
          <w:sz w:val="22"/>
          <w:szCs w:val="22"/>
          <w:color w:val="auto"/>
        </w:rPr>
        <w:t>Except as provided in this Section 8(b) or the Award Agreement, while unvested, Shares of Restricted Stock may not be sold, transferred, pledged, assigned, or otherwise alienated.</w:t>
      </w:r>
    </w:p>
    <w:p>
      <w:pPr>
        <w:spacing w:after="0" w:line="174" w:lineRule="exact"/>
        <w:rPr>
          <w:rFonts w:ascii="Arial" w:cs="Arial" w:eastAsia="Arial" w:hAnsi="Arial"/>
          <w:sz w:val="22"/>
          <w:szCs w:val="22"/>
          <w:color w:val="auto"/>
        </w:rPr>
      </w:pPr>
    </w:p>
    <w:p>
      <w:pPr>
        <w:ind w:right="20" w:firstLine="1952"/>
        <w:spacing w:after="0" w:line="263" w:lineRule="auto"/>
        <w:tabs>
          <w:tab w:leader="none" w:pos="2586" w:val="left"/>
        </w:tabs>
        <w:numPr>
          <w:ilvl w:val="2"/>
          <w:numId w:val="88"/>
        </w:numPr>
        <w:rPr>
          <w:rFonts w:ascii="Arial" w:cs="Arial" w:eastAsia="Arial" w:hAnsi="Arial"/>
          <w:sz w:val="22"/>
          <w:szCs w:val="22"/>
          <w:color w:val="auto"/>
        </w:rPr>
      </w:pPr>
      <w:r>
        <w:rPr>
          <w:rFonts w:ascii="Arial" w:cs="Arial" w:eastAsia="Arial" w:hAnsi="Arial"/>
          <w:sz w:val="22"/>
          <w:szCs w:val="22"/>
          <w:color w:val="auto"/>
        </w:rPr>
        <w:t>While unvested, Service Providers holding Shares of Restricted Stock may exercise full voting rights with respect to those Shares, unless the Administrator determines otherwise.</w:t>
      </w:r>
    </w:p>
    <w:p>
      <w:pPr>
        <w:spacing w:after="0" w:line="174" w:lineRule="exact"/>
        <w:rPr>
          <w:rFonts w:ascii="Arial" w:cs="Arial" w:eastAsia="Arial" w:hAnsi="Arial"/>
          <w:sz w:val="22"/>
          <w:szCs w:val="22"/>
          <w:color w:val="auto"/>
        </w:rPr>
      </w:pPr>
    </w:p>
    <w:p>
      <w:pPr>
        <w:ind w:right="20" w:firstLine="1952"/>
        <w:spacing w:after="0" w:line="263" w:lineRule="auto"/>
        <w:tabs>
          <w:tab w:leader="none" w:pos="2592" w:val="left"/>
        </w:tabs>
        <w:numPr>
          <w:ilvl w:val="2"/>
          <w:numId w:val="88"/>
        </w:numPr>
        <w:rPr>
          <w:rFonts w:ascii="Arial" w:cs="Arial" w:eastAsia="Arial" w:hAnsi="Arial"/>
          <w:sz w:val="22"/>
          <w:szCs w:val="22"/>
          <w:color w:val="auto"/>
        </w:rPr>
      </w:pPr>
      <w:r>
        <w:rPr>
          <w:rFonts w:ascii="Arial" w:cs="Arial" w:eastAsia="Arial" w:hAnsi="Arial"/>
          <w:sz w:val="22"/>
          <w:szCs w:val="22"/>
          <w:color w:val="auto"/>
        </w:rPr>
        <w:t>Service Providers holding a Share covered by an Award of Restricted Stock will not be entitled to receive dividends and other distributions paid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while such Shares are unvested, unless the Administrator provides otherwise. If the Administrator provides that dividends and distributions will be received and any such dividends or distributions are paid in cash they will be subject to the same provisions regarding forfeitability as the Shares with respect to which they were paid and if such dividend or distributions are paid in Shares, the Shares will be subject to the same restrictions on transferability and forfeitability as the Shares with respect to which they were paid and, unless the Administrator determines otherwise, the Company will hold such dividends until the restrictions on the Shares with respect to which they were paid have lapsed.</w:t>
      </w:r>
    </w:p>
    <w:p>
      <w:pPr>
        <w:spacing w:after="0" w:line="179" w:lineRule="exact"/>
        <w:rPr>
          <w:sz w:val="20"/>
          <w:szCs w:val="20"/>
          <w:color w:val="auto"/>
        </w:rPr>
      </w:pPr>
    </w:p>
    <w:p>
      <w:pPr>
        <w:jc w:val="both"/>
        <w:ind w:right="20" w:firstLine="1952"/>
        <w:spacing w:after="0" w:line="253" w:lineRule="auto"/>
        <w:tabs>
          <w:tab w:leader="none" w:pos="2580" w:val="left"/>
        </w:tabs>
        <w:numPr>
          <w:ilvl w:val="2"/>
          <w:numId w:val="89"/>
        </w:numPr>
        <w:rPr>
          <w:rFonts w:ascii="Arial" w:cs="Arial" w:eastAsia="Arial" w:hAnsi="Arial"/>
          <w:sz w:val="22"/>
          <w:szCs w:val="22"/>
          <w:color w:val="auto"/>
        </w:rPr>
      </w:pPr>
      <w:r>
        <w:rPr>
          <w:rFonts w:ascii="Arial" w:cs="Arial" w:eastAsia="Arial" w:hAnsi="Arial"/>
          <w:sz w:val="22"/>
          <w:szCs w:val="22"/>
          <w:color w:val="auto"/>
        </w:rPr>
        <w:t>Except as otherwise provided in this Section 8(b) or an Award Agreement, a Share covered by each Award of Restricted Stock made under the Plan will be released from escrow when practicable after the last day of the applicable Period of Restriction.</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2"/>
          <w:numId w:val="89"/>
        </w:numPr>
        <w:rPr>
          <w:rFonts w:ascii="Arial" w:cs="Arial" w:eastAsia="Arial" w:hAnsi="Arial"/>
          <w:sz w:val="19"/>
          <w:szCs w:val="19"/>
          <w:color w:val="auto"/>
        </w:rPr>
      </w:pPr>
      <w:r>
        <w:rPr>
          <w:rFonts w:ascii="Arial" w:cs="Arial" w:eastAsia="Arial" w:hAnsi="Arial"/>
          <w:sz w:val="19"/>
          <w:szCs w:val="19"/>
          <w:color w:val="auto"/>
        </w:rPr>
        <w:t>The Administrator may impose, prior to grant, or remove any restrictions on Shares covered by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Award of Restricted Stock.</w:t>
      </w: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Restricted Stock Unit Award Agreement</w:t>
      </w:r>
      <w:r>
        <w:rPr>
          <w:rFonts w:ascii="Arial" w:cs="Arial" w:eastAsia="Arial" w:hAnsi="Arial"/>
          <w:sz w:val="22"/>
          <w:szCs w:val="22"/>
          <w:color w:val="auto"/>
        </w:rPr>
        <w:t>. Each Award of Restricted Stock Units will be evidenced by an Award Agreement that will specify the number of Restricted Stock Units subject to the Award of Restricted Stock Units and such other terms and conditions as the Administrator determines.</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39"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Vesting Criteria and Other Terms</w:t>
      </w:r>
      <w:r>
        <w:rPr>
          <w:rFonts w:ascii="Arial" w:cs="Arial" w:eastAsia="Arial" w:hAnsi="Arial"/>
          <w:sz w:val="22"/>
          <w:szCs w:val="22"/>
          <w:color w:val="auto"/>
        </w:rPr>
        <w:t>. The Administrator will set vesting criteria, if any, that, depending on the extent to which the criteria are met, will determine the number of Restricted Stock Units paid out to the Participant. The Administrator may set vesting criteria based upon the achievement of Company-wide, divisional, business unit, or individual goals (that may include continued employment or service) or any other basis determined by the Administrator in its sole discretion.</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Earning Restricted Stock Units</w:t>
      </w:r>
      <w:r>
        <w:rPr>
          <w:rFonts w:ascii="Arial" w:cs="Arial" w:eastAsia="Arial" w:hAnsi="Arial"/>
          <w:sz w:val="22"/>
          <w:szCs w:val="22"/>
          <w:color w:val="auto"/>
        </w:rPr>
        <w:t>. Upon meeting any applicable vesting criteria, the Participant will have earned the Restricted Stock Units and will be paid as determined in Section 9(d). The Administrator may reduce or waive any criteria that must be met to earn the Restricted Stock Units.</w:t>
      </w:r>
    </w:p>
    <w:p>
      <w:pPr>
        <w:spacing w:after="0" w:line="185" w:lineRule="exact"/>
        <w:rPr>
          <w:rFonts w:ascii="Arial" w:cs="Arial" w:eastAsia="Arial" w:hAnsi="Arial"/>
          <w:sz w:val="22"/>
          <w:szCs w:val="22"/>
          <w:color w:val="auto"/>
        </w:rPr>
      </w:pPr>
    </w:p>
    <w:p>
      <w:pPr>
        <w:jc w:val="both"/>
        <w:ind w:right="20" w:firstLine="1304"/>
        <w:spacing w:after="0" w:line="271" w:lineRule="auto"/>
        <w:tabs>
          <w:tab w:leader="none" w:pos="1939" w:val="left"/>
        </w:tabs>
        <w:numPr>
          <w:ilvl w:val="1"/>
          <w:numId w:val="90"/>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Restricted Stock Units will be made at the time(s) set forth in the Award Agreement and determined by the Administrator. Unless otherwise provided in the Award Agreement, the Administrator may settle earned Restricted Stock Units in cash, Shares, or a combination of both.</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Performance Awards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Award Agreement</w:t>
      </w:r>
      <w:r>
        <w:rPr>
          <w:rFonts w:ascii="Arial" w:cs="Arial" w:eastAsia="Arial" w:hAnsi="Arial"/>
          <w:sz w:val="22"/>
          <w:szCs w:val="22"/>
          <w:color w:val="auto"/>
        </w:rPr>
        <w:t>. Each Performance Award will be evidenced by an Award Agreement that will specify the specify any time period during which any performance objectives or other vesting provisions, if any, will be measured (“</w:t>
      </w:r>
      <w:r>
        <w:rPr>
          <w:rFonts w:ascii="Arial" w:cs="Arial" w:eastAsia="Arial" w:hAnsi="Arial"/>
          <w:sz w:val="22"/>
          <w:szCs w:val="22"/>
          <w:u w:val="single" w:color="auto"/>
          <w:color w:val="auto"/>
        </w:rPr>
        <w:t>Performance Period</w:t>
      </w:r>
      <w:r>
        <w:rPr>
          <w:rFonts w:ascii="Arial" w:cs="Arial" w:eastAsia="Arial" w:hAnsi="Arial"/>
          <w:sz w:val="22"/>
          <w:szCs w:val="22"/>
          <w:color w:val="auto"/>
        </w:rPr>
        <w:t>”), and such other terms and conditions as the Administrator determines.</w:t>
      </w:r>
    </w:p>
    <w:p>
      <w:pPr>
        <w:spacing w:after="0" w:line="185" w:lineRule="exact"/>
        <w:rPr>
          <w:rFonts w:ascii="Arial" w:cs="Arial" w:eastAsia="Arial" w:hAnsi="Arial"/>
          <w:sz w:val="22"/>
          <w:szCs w:val="22"/>
          <w:color w:val="auto"/>
        </w:rPr>
      </w:pPr>
    </w:p>
    <w:p>
      <w:pPr>
        <w:ind w:firstLine="1304"/>
        <w:spacing w:after="0" w:line="263" w:lineRule="auto"/>
        <w:tabs>
          <w:tab w:leader="none" w:pos="1939"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Objectives or Vesting Provisions and Other Terms</w:t>
      </w:r>
      <w:r>
        <w:rPr>
          <w:rFonts w:ascii="Arial" w:cs="Arial" w:eastAsia="Arial" w:hAnsi="Arial"/>
          <w:sz w:val="22"/>
          <w:szCs w:val="22"/>
          <w:color w:val="auto"/>
        </w:rPr>
        <w:t>. The Administrator will set objectives or vesting provisions that, depending on the extent to which the objectives or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-208915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3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provisions are met, will determine the value of the payout for the Performance Awards. The Administrator may set vesting criteria based upon the achievement of Company-wide, divisional, business unit, or individual goals (that may include continued employment or service) or any other basis determined by the Administrator in its sole discretion.</w:t>
      </w:r>
    </w:p>
    <w:p>
      <w:pPr>
        <w:spacing w:after="0" w:line="167" w:lineRule="exact"/>
        <w:rPr>
          <w:sz w:val="20"/>
          <w:szCs w:val="20"/>
          <w:color w:val="auto"/>
        </w:rPr>
      </w:pPr>
    </w:p>
    <w:p>
      <w:pPr>
        <w:jc w:val="both"/>
        <w:ind w:firstLine="1304"/>
        <w:spacing w:after="0" w:line="265" w:lineRule="auto"/>
        <w:tabs>
          <w:tab w:leader="none" w:pos="1941" w:val="left"/>
        </w:tabs>
        <w:numPr>
          <w:ilvl w:val="2"/>
          <w:numId w:val="91"/>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Performance Awards will be made at the time(s) specified in the Award Agreement. Payment with respect to earned Performance Awards will be made in cash, in Shares of equivalent value, or any combination of cash and Shares, with the determination of form of payment made by the Administrator at the time of payment or, in the discretion of the Administrator, at the time of grant.</w:t>
      </w:r>
    </w:p>
    <w:p>
      <w:pPr>
        <w:spacing w:after="0" w:line="175" w:lineRule="exact"/>
        <w:rPr>
          <w:rFonts w:ascii="Arial" w:cs="Arial" w:eastAsia="Arial" w:hAnsi="Arial"/>
          <w:sz w:val="21"/>
          <w:szCs w:val="21"/>
          <w:color w:val="auto"/>
        </w:rPr>
      </w:pPr>
    </w:p>
    <w:p>
      <w:pPr>
        <w:ind w:firstLine="1304"/>
        <w:spacing w:after="0" w:line="263" w:lineRule="auto"/>
        <w:tabs>
          <w:tab w:leader="none" w:pos="1939" w:val="left"/>
        </w:tabs>
        <w:numPr>
          <w:ilvl w:val="2"/>
          <w:numId w:val="91"/>
        </w:numPr>
        <w:rPr>
          <w:rFonts w:ascii="Arial" w:cs="Arial" w:eastAsia="Arial" w:hAnsi="Arial"/>
          <w:sz w:val="22"/>
          <w:szCs w:val="22"/>
          <w:color w:val="auto"/>
        </w:rPr>
      </w:pPr>
      <w:r>
        <w:rPr>
          <w:rFonts w:ascii="Arial" w:cs="Arial" w:eastAsia="Arial" w:hAnsi="Arial"/>
          <w:sz w:val="22"/>
          <w:szCs w:val="22"/>
          <w:u w:val="single" w:color="auto"/>
          <w:color w:val="auto"/>
        </w:rPr>
        <w:t>Value of Performance Awards</w:t>
      </w:r>
      <w:r>
        <w:rPr>
          <w:rFonts w:ascii="Arial" w:cs="Arial" w:eastAsia="Arial" w:hAnsi="Arial"/>
          <w:sz w:val="22"/>
          <w:szCs w:val="22"/>
          <w:color w:val="auto"/>
        </w:rPr>
        <w:t>. Each Performance Award’s threshold, target, and maximum payout values will be established by the Administrator on or before the Grant Date.</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941" w:val="left"/>
        </w:tabs>
        <w:numPr>
          <w:ilvl w:val="2"/>
          <w:numId w:val="91"/>
        </w:numPr>
        <w:rPr>
          <w:rFonts w:ascii="Arial" w:cs="Arial" w:eastAsia="Arial" w:hAnsi="Arial"/>
          <w:sz w:val="22"/>
          <w:szCs w:val="22"/>
          <w:color w:val="auto"/>
        </w:rPr>
      </w:pPr>
      <w:r>
        <w:rPr>
          <w:rFonts w:ascii="Arial" w:cs="Arial" w:eastAsia="Arial" w:hAnsi="Arial"/>
          <w:sz w:val="22"/>
          <w:szCs w:val="22"/>
          <w:u w:val="single" w:color="auto"/>
          <w:color w:val="auto"/>
        </w:rPr>
        <w:t>Earning Performance Awards</w:t>
      </w:r>
      <w:r>
        <w:rPr>
          <w:rFonts w:ascii="Arial" w:cs="Arial" w:eastAsia="Arial" w:hAnsi="Arial"/>
          <w:sz w:val="22"/>
          <w:szCs w:val="22"/>
          <w:color w:val="auto"/>
        </w:rPr>
        <w:t>. After an applicable Performance Period has ended, the holder of a Performance Award will be entitled to receive a payout for the Performance Award earned by the Participant over the Performance Period. The Administrator may reduce or waive any performance objectives or other vesting provisions for such Performance Award.</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Leaves of Absence/ Reduced or Part-time Work Schedule/Transfer Between Locations/Change of Status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jc w:val="both"/>
        <w:ind w:firstLine="1304"/>
        <w:spacing w:after="0" w:line="258" w:lineRule="auto"/>
        <w:tabs>
          <w:tab w:leader="none" w:pos="1941" w:val="left"/>
        </w:tabs>
        <w:numPr>
          <w:ilvl w:val="2"/>
          <w:numId w:val="92"/>
        </w:numPr>
        <w:rPr>
          <w:rFonts w:ascii="Arial" w:cs="Arial" w:eastAsia="Arial" w:hAnsi="Arial"/>
          <w:sz w:val="21"/>
          <w:szCs w:val="21"/>
          <w:color w:val="auto"/>
        </w:rPr>
      </w:pPr>
      <w:r>
        <w:rPr>
          <w:rFonts w:ascii="Arial" w:cs="Arial" w:eastAsia="Arial" w:hAnsi="Arial"/>
          <w:sz w:val="21"/>
          <w:szCs w:val="21"/>
          <w:u w:val="single" w:color="auto"/>
          <w:color w:val="auto"/>
        </w:rPr>
        <w:t>Leaves of Absence/ Reduced or Part-time Work Schedule/Transfer Between Locations</w:t>
      </w:r>
      <w:r>
        <w:rPr>
          <w:rFonts w:ascii="Arial" w:cs="Arial" w:eastAsia="Arial" w:hAnsi="Arial"/>
          <w:sz w:val="21"/>
          <w:szCs w:val="21"/>
          <w:color w:val="auto"/>
        </w:rPr>
        <w:t>. Unless the Administrator provides otherwise or as otherwise required by Applicable Laws, vesting of Awards granted hereunder will be adjusted or suspended during any unpaid leave of absence in accordance with the Company’s leave of absence policy in effect at the time of such leave. A Participant will not cease to be an Employee in the case of (i) any leave of absence approved by the Company or (ii) transfers between locations of the Company or within the Company Group. In addition, unless the Administrator provides otherwise or as otherwise required by Applicable Laws, if, after the date of grant of a Participant’s Award, the Participant commences working on a part-time or reduced work schedule basis, the vesting of such Award will be adjusted in accordance with the Company’s reduced work schedule/ part-time policy then in effect. Adjustments or suspensions of vesting pursuant to this Section shall be accomplished in a manner that is exempt from or complies with the requirements of Code Section 409A and the regulations and guidance thereunder.</w:t>
      </w:r>
    </w:p>
    <w:p>
      <w:pPr>
        <w:spacing w:after="0" w:line="185" w:lineRule="exact"/>
        <w:rPr>
          <w:rFonts w:ascii="Arial" w:cs="Arial" w:eastAsia="Arial" w:hAnsi="Arial"/>
          <w:sz w:val="21"/>
          <w:szCs w:val="21"/>
          <w:color w:val="auto"/>
        </w:rPr>
      </w:pPr>
    </w:p>
    <w:p>
      <w:pPr>
        <w:jc w:val="both"/>
        <w:ind w:firstLine="1304"/>
        <w:spacing w:after="0" w:line="253" w:lineRule="auto"/>
        <w:tabs>
          <w:tab w:leader="none" w:pos="1939" w:val="left"/>
        </w:tabs>
        <w:numPr>
          <w:ilvl w:val="2"/>
          <w:numId w:val="92"/>
        </w:numPr>
        <w:rPr>
          <w:rFonts w:ascii="Arial" w:cs="Arial" w:eastAsia="Arial" w:hAnsi="Arial"/>
          <w:sz w:val="22"/>
          <w:szCs w:val="22"/>
          <w:color w:val="auto"/>
        </w:rPr>
      </w:pPr>
      <w:r>
        <w:rPr>
          <w:rFonts w:ascii="Arial" w:cs="Arial" w:eastAsia="Arial" w:hAnsi="Arial"/>
          <w:sz w:val="22"/>
          <w:szCs w:val="22"/>
          <w:u w:val="single" w:color="auto"/>
          <w:color w:val="auto"/>
        </w:rPr>
        <w:t>Employment Status</w:t>
      </w:r>
      <w:r>
        <w:rPr>
          <w:rFonts w:ascii="Arial" w:cs="Arial" w:eastAsia="Arial" w:hAnsi="Arial"/>
          <w:sz w:val="22"/>
          <w:szCs w:val="22"/>
          <w:color w:val="auto"/>
        </w:rPr>
        <w:t>. A Participant will not cease to be a Service Provider in the case of (i) any leave of absence approved by the Company or (ii) transfers between locations of the Company (or member of the Company Group) or between the Company or any member of the Company Group.</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2"/>
          <w:numId w:val="92"/>
        </w:numPr>
        <w:rPr>
          <w:rFonts w:ascii="Arial" w:cs="Arial" w:eastAsia="Arial" w:hAnsi="Arial"/>
          <w:sz w:val="21"/>
          <w:szCs w:val="21"/>
          <w:color w:val="auto"/>
        </w:rPr>
      </w:pPr>
      <w:r>
        <w:rPr>
          <w:rFonts w:ascii="Arial" w:cs="Arial" w:eastAsia="Arial" w:hAnsi="Arial"/>
          <w:sz w:val="21"/>
          <w:szCs w:val="21"/>
          <w:u w:val="single" w:color="auto"/>
          <w:color w:val="auto"/>
        </w:rPr>
        <w:t>Incentive Stock Options</w:t>
      </w:r>
      <w:r>
        <w:rPr>
          <w:rFonts w:ascii="Arial" w:cs="Arial" w:eastAsia="Arial" w:hAnsi="Arial"/>
          <w:sz w:val="21"/>
          <w:szCs w:val="21"/>
          <w:color w:val="auto"/>
        </w:rPr>
        <w:t>. With respect to Incentive Stock Options, no such leave may exceed three</w:t>
      </w:r>
    </w:p>
    <w:p>
      <w:pPr>
        <w:spacing w:after="0" w:line="32" w:lineRule="exact"/>
        <w:rPr>
          <w:rFonts w:ascii="Arial" w:cs="Arial" w:eastAsia="Arial" w:hAnsi="Arial"/>
          <w:sz w:val="21"/>
          <w:szCs w:val="21"/>
          <w:color w:val="auto"/>
        </w:rPr>
      </w:pPr>
    </w:p>
    <w:p>
      <w:pPr>
        <w:jc w:val="both"/>
        <w:ind w:firstLine="8"/>
        <w:spacing w:after="0" w:line="227" w:lineRule="auto"/>
        <w:tabs>
          <w:tab w:leader="none" w:pos="342" w:val="left"/>
        </w:tabs>
        <w:numPr>
          <w:ilvl w:val="0"/>
          <w:numId w:val="93"/>
        </w:numPr>
        <w:rPr>
          <w:rFonts w:ascii="Arial" w:cs="Arial" w:eastAsia="Arial" w:hAnsi="Arial"/>
          <w:sz w:val="22"/>
          <w:szCs w:val="22"/>
          <w:color w:val="auto"/>
        </w:rPr>
      </w:pPr>
      <w:r>
        <w:rPr>
          <w:rFonts w:ascii="Arial" w:cs="Arial" w:eastAsia="Arial" w:hAnsi="Arial"/>
          <w:sz w:val="22"/>
          <w:szCs w:val="22"/>
          <w:color w:val="auto"/>
        </w:rPr>
        <w:t>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such leave any Incentive Stock Option held by a Participant will cease to be treated as an Incentive Stock Option and will be treated for tax purposes as a Nonstatutory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366" w:lineRule="exact"/>
        <w:rPr>
          <w:sz w:val="20"/>
          <w:szCs w:val="20"/>
          <w:color w:val="auto"/>
        </w:rPr>
      </w:pPr>
    </w:p>
    <w:p>
      <w:pPr>
        <w:jc w:val="both"/>
        <w:ind w:firstLine="656"/>
        <w:spacing w:after="0" w:line="263" w:lineRule="auto"/>
        <w:tabs>
          <w:tab w:leader="none" w:pos="129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Transferability of Awards</w:t>
      </w:r>
      <w:r>
        <w:rPr>
          <w:rFonts w:ascii="Arial" w:cs="Arial" w:eastAsia="Arial" w:hAnsi="Arial"/>
          <w:sz w:val="21"/>
          <w:szCs w:val="21"/>
          <w:color w:val="auto"/>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8" w:lineRule="auto"/>
        <w:tabs>
          <w:tab w:leader="none" w:pos="1941"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or other securities of the Company, other change in the corporate structure of the Company affecting the Shares, or any similar equity restructuring transaction, as that term is used in Statement of Financial Accounting Standards Board Accounting Standards Codification Topic 718 (or any of its successors) affecting the Shares occurs (including a Change in Control), the Administrator, to prevent diminution or enlargement of the benefits or potential benefits intended to be provided under the Plan, will adjust the number and class of shares that may be delivered under the Plan and/or the number, class, and price of shares covered by each outstanding Award, and the numerical Share limits in Section 3. Notwithstanding the foregoing, the conversion of any convertible securities of the Company and ordinary course repurchases of Shares or other securities of the Company will not be treated as an event that will require adjustment.</w:t>
      </w:r>
    </w:p>
    <w:p>
      <w:pPr>
        <w:spacing w:after="0" w:line="181" w:lineRule="exact"/>
        <w:rPr>
          <w:rFonts w:ascii="Arial" w:cs="Arial" w:eastAsia="Arial" w:hAnsi="Arial"/>
          <w:sz w:val="21"/>
          <w:szCs w:val="21"/>
          <w:color w:val="auto"/>
        </w:rPr>
      </w:pPr>
    </w:p>
    <w:p>
      <w:pPr>
        <w:jc w:val="both"/>
        <w:ind w:firstLine="1304"/>
        <w:spacing w:after="0" w:line="250" w:lineRule="auto"/>
        <w:tabs>
          <w:tab w:leader="none" w:pos="1939"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the Administrator will notify each Participant, at such time prior to the effective date of such proposed transaction as the Administrator determines. To the extent it has not been previously exercised, an Award will terminate immediately prior to the consummation of such proposed action.</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Change in Control or Merger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63" w:lineRule="auto"/>
        <w:tabs>
          <w:tab w:leader="none" w:pos="1941"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Administrator Discretion</w:t>
      </w:r>
      <w:r>
        <w:rPr>
          <w:rFonts w:ascii="Arial" w:cs="Arial" w:eastAsia="Arial" w:hAnsi="Arial"/>
          <w:sz w:val="21"/>
          <w:szCs w:val="21"/>
          <w:color w:val="auto"/>
        </w:rPr>
        <w:t>. If a Change in Control or a merger of the Company with or into another corporation or other entity occurs (each, a “</w:t>
      </w:r>
      <w:r>
        <w:rPr>
          <w:rFonts w:ascii="Arial" w:cs="Arial" w:eastAsia="Arial" w:hAnsi="Arial"/>
          <w:sz w:val="21"/>
          <w:szCs w:val="21"/>
          <w:u w:val="single" w:color="auto"/>
          <w:color w:val="auto"/>
        </w:rPr>
        <w:t>Transaction</w:t>
      </w:r>
      <w:r>
        <w:rPr>
          <w:rFonts w:ascii="Arial" w:cs="Arial" w:eastAsia="Arial" w:hAnsi="Arial"/>
          <w:sz w:val="21"/>
          <w:szCs w:val="21"/>
          <w:color w:val="auto"/>
        </w:rPr>
        <w:t>”), each outstanding Award will be treated as the Administrator determines (subject to the provisions of this Section), without a Participant’s consent, including that such Award be continued by the successor corporation or a Parent or Subsidiary of the successor corporation (or an affiliate thereof) or that the vesting of any such Awards may accelerate automatically upon consummation of a Transaction.</w:t>
      </w:r>
    </w:p>
    <w:p>
      <w:pPr>
        <w:spacing w:after="0" w:line="175" w:lineRule="exact"/>
        <w:rPr>
          <w:rFonts w:ascii="Arial" w:cs="Arial" w:eastAsia="Arial" w:hAnsi="Arial"/>
          <w:sz w:val="21"/>
          <w:szCs w:val="21"/>
          <w:color w:val="auto"/>
        </w:rPr>
      </w:pPr>
    </w:p>
    <w:p>
      <w:pPr>
        <w:jc w:val="both"/>
        <w:ind w:firstLine="1304"/>
        <w:spacing w:after="0" w:line="250" w:lineRule="auto"/>
        <w:tabs>
          <w:tab w:leader="none" w:pos="1939"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Identical Treatment Not Required</w:t>
      </w:r>
      <w:r>
        <w:rPr>
          <w:rFonts w:ascii="Arial" w:cs="Arial" w:eastAsia="Arial" w:hAnsi="Arial"/>
          <w:sz w:val="22"/>
          <w:szCs w:val="22"/>
          <w:color w:val="auto"/>
        </w:rPr>
        <w:t>.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Transaction.</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Continuation</w:t>
      </w:r>
      <w:r>
        <w:rPr>
          <w:rFonts w:ascii="Arial" w:cs="Arial" w:eastAsia="Arial" w:hAnsi="Arial"/>
          <w:sz w:val="21"/>
          <w:szCs w:val="21"/>
          <w:color w:val="auto"/>
        </w:rPr>
        <w:t>. An Award will be considered continued if, following the Change in Control or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366" w:lineRule="exact"/>
        <w:rPr>
          <w:sz w:val="20"/>
          <w:szCs w:val="20"/>
          <w:color w:val="auto"/>
        </w:rPr>
      </w:pPr>
    </w:p>
    <w:p>
      <w:pPr>
        <w:jc w:val="both"/>
        <w:ind w:firstLine="1952"/>
        <w:spacing w:after="0" w:line="288" w:lineRule="auto"/>
        <w:tabs>
          <w:tab w:leader="none" w:pos="2580"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Award confers the right to purchase or receive, for each Share subject to the Award immediately prior to the Transaction, the consideration (whether stock, cash, or other securities or property) received in the Transaction by holders of Shares for each Share held on the effective date of the Transaction (and if holders were offered a choice of consideration, the type of consideration received by the holders of a majority of the outstanding Shares) and the Award otherwise is continued in accordance with its terms (including vesting criteria, subject to Section 14(c)(iii) below and Section 13(a); provided that if the consideration received in the Transaction is not solely common stock of the successor corporation or its Parent, the Administrator may, with the consent of the successor corporation, provide for the consideration to be received upon exercising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Transaction; or</w:t>
      </w:r>
    </w:p>
    <w:p>
      <w:pPr>
        <w:spacing w:after="0" w:line="159" w:lineRule="exact"/>
        <w:rPr>
          <w:rFonts w:ascii="Arial" w:cs="Arial" w:eastAsia="Arial" w:hAnsi="Arial"/>
          <w:sz w:val="19"/>
          <w:szCs w:val="19"/>
          <w:color w:val="auto"/>
        </w:rPr>
      </w:pPr>
    </w:p>
    <w:p>
      <w:pPr>
        <w:jc w:val="both"/>
        <w:ind w:firstLine="1952"/>
        <w:spacing w:after="0" w:line="260" w:lineRule="auto"/>
        <w:tabs>
          <w:tab w:leader="none" w:pos="2586"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Award is terminated in exchange for an amount of cash and/or property, if any, equal to the amount that would have been attained upon the exercise of such Award or realization of the Participant’s rights as of the date of the occurrence of the Transaction. Any such cash or property may be subjected to any escrow applicable to holders of Common Stock in the Change in Control. If as of the date of the occurrence of the Transaction the Administrator determines that no amount would have been attained upon the exercise of such Award or realization of the Participant’s rights, then such Award may be terminated by the Company without payment. The amount of cash or property can be subjected to vesting and paid to the Participant over the original vesting schedule of the Award.</w:t>
      </w:r>
    </w:p>
    <w:p>
      <w:pPr>
        <w:spacing w:after="0" w:line="180" w:lineRule="exact"/>
        <w:rPr>
          <w:rFonts w:ascii="Arial" w:cs="Arial" w:eastAsia="Arial" w:hAnsi="Arial"/>
          <w:sz w:val="21"/>
          <w:szCs w:val="21"/>
          <w:color w:val="auto"/>
        </w:rPr>
      </w:pPr>
    </w:p>
    <w:p>
      <w:pPr>
        <w:jc w:val="both"/>
        <w:ind w:firstLine="1952"/>
        <w:spacing w:after="0" w:line="246" w:lineRule="auto"/>
        <w:tabs>
          <w:tab w:leader="none" w:pos="2592" w:val="left"/>
        </w:tabs>
        <w:numPr>
          <w:ilvl w:val="1"/>
          <w:numId w:val="95"/>
        </w:numPr>
        <w:rPr>
          <w:rFonts w:ascii="Arial" w:cs="Arial" w:eastAsia="Arial" w:hAnsi="Arial"/>
          <w:sz w:val="22"/>
          <w:szCs w:val="22"/>
          <w:color w:val="auto"/>
        </w:rPr>
      </w:pPr>
      <w:r>
        <w:rPr>
          <w:rFonts w:ascii="Arial" w:cs="Arial" w:eastAsia="Arial" w:hAnsi="Arial"/>
          <w:sz w:val="22"/>
          <w:szCs w:val="22"/>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post-Transaction corporate structure will not invalidate an otherwise valid Award assumption.</w:t>
      </w:r>
    </w:p>
    <w:p>
      <w:pPr>
        <w:spacing w:after="0" w:line="196" w:lineRule="exact"/>
        <w:rPr>
          <w:rFonts w:ascii="Arial" w:cs="Arial" w:eastAsia="Arial" w:hAnsi="Arial"/>
          <w:sz w:val="22"/>
          <w:szCs w:val="22"/>
          <w:color w:val="auto"/>
        </w:rPr>
      </w:pPr>
    </w:p>
    <w:p>
      <w:pPr>
        <w:ind w:left="1940" w:hanging="636"/>
        <w:spacing w:after="0"/>
        <w:tabs>
          <w:tab w:leader="none" w:pos="194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Modification</w:t>
      </w:r>
      <w:r>
        <w:rPr>
          <w:rFonts w:ascii="Arial" w:cs="Arial" w:eastAsia="Arial" w:hAnsi="Arial"/>
          <w:sz w:val="21"/>
          <w:szCs w:val="21"/>
          <w:color w:val="auto"/>
        </w:rPr>
        <w:t>. The Administrator will have authority to modify Awards in connection with a Change in</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Control or merger:</w:t>
      </w:r>
    </w:p>
    <w:p>
      <w:pPr>
        <w:spacing w:after="0" w:line="201" w:lineRule="exact"/>
        <w:rPr>
          <w:rFonts w:ascii="Arial" w:cs="Arial" w:eastAsia="Arial" w:hAnsi="Arial"/>
          <w:sz w:val="21"/>
          <w:szCs w:val="21"/>
          <w:color w:val="auto"/>
        </w:rPr>
      </w:pPr>
    </w:p>
    <w:p>
      <w:pPr>
        <w:ind w:left="2580" w:hanging="628"/>
        <w:spacing w:after="0"/>
        <w:tabs>
          <w:tab w:leader="none" w:pos="25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in a manner that causes the Awards to lose their tax-preferred status,</w:t>
      </w:r>
    </w:p>
    <w:p>
      <w:pPr>
        <w:spacing w:after="0" w:line="219" w:lineRule="exact"/>
        <w:rPr>
          <w:rFonts w:ascii="Arial" w:cs="Arial" w:eastAsia="Arial" w:hAnsi="Arial"/>
          <w:sz w:val="22"/>
          <w:szCs w:val="22"/>
          <w:color w:val="auto"/>
        </w:rPr>
      </w:pPr>
    </w:p>
    <w:p>
      <w:pPr>
        <w:jc w:val="both"/>
        <w:ind w:firstLine="1952"/>
        <w:spacing w:after="0" w:line="253" w:lineRule="auto"/>
        <w:tabs>
          <w:tab w:leader="none" w:pos="2586" w:val="left"/>
        </w:tabs>
        <w:numPr>
          <w:ilvl w:val="1"/>
          <w:numId w:val="96"/>
        </w:numPr>
        <w:rPr>
          <w:rFonts w:ascii="Arial" w:cs="Arial" w:eastAsia="Arial" w:hAnsi="Arial"/>
          <w:sz w:val="22"/>
          <w:szCs w:val="22"/>
          <w:color w:val="auto"/>
        </w:rPr>
      </w:pPr>
      <w:r>
        <w:rPr>
          <w:rFonts w:ascii="Arial" w:cs="Arial" w:eastAsia="Arial" w:hAnsi="Arial"/>
          <w:sz w:val="22"/>
          <w:szCs w:val="22"/>
          <w:color w:val="auto"/>
        </w:rPr>
        <w:t>to terminate any right a Participant has to exercise an Option prior to vesting in the Shares subject to the Option (i.e., “early exercise”), so that following the closing of the Transaction the Option may only be exercised only to the extent it is vested;</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592" w:val="left"/>
        </w:tabs>
        <w:numPr>
          <w:ilvl w:val="1"/>
          <w:numId w:val="96"/>
        </w:numPr>
        <w:rPr>
          <w:rFonts w:ascii="Arial" w:cs="Arial" w:eastAsia="Arial" w:hAnsi="Arial"/>
          <w:sz w:val="22"/>
          <w:szCs w:val="22"/>
          <w:color w:val="auto"/>
        </w:rPr>
      </w:pPr>
      <w:r>
        <w:rPr>
          <w:rFonts w:ascii="Arial" w:cs="Arial" w:eastAsia="Arial" w:hAnsi="Arial"/>
          <w:sz w:val="22"/>
          <w:szCs w:val="22"/>
          <w:color w:val="auto"/>
        </w:rPr>
        <w:t>to reduce the Exercise Price subject to the Award in a manner that is disproportionate to the increase in the number of Shares subject to the Award, as long as the amount that would be received upon exercise of the Award immediately before and immediately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36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closing of the Transaction is equivalent and the adjustment complies with U.S. Treasury Regulation Section 1.409A-1(b)(v)(D); and</w:t>
      </w:r>
    </w:p>
    <w:p>
      <w:pPr>
        <w:spacing w:after="0" w:line="175" w:lineRule="exact"/>
        <w:rPr>
          <w:sz w:val="20"/>
          <w:szCs w:val="20"/>
          <w:color w:val="auto"/>
        </w:rPr>
      </w:pPr>
    </w:p>
    <w:p>
      <w:pPr>
        <w:jc w:val="both"/>
        <w:ind w:firstLine="1952"/>
        <w:spacing w:after="0" w:line="253" w:lineRule="auto"/>
        <w:tabs>
          <w:tab w:leader="none" w:pos="2580" w:val="left"/>
        </w:tabs>
        <w:numPr>
          <w:ilvl w:val="1"/>
          <w:numId w:val="97"/>
        </w:numPr>
        <w:rPr>
          <w:rFonts w:ascii="Arial" w:cs="Arial" w:eastAsia="Arial" w:hAnsi="Arial"/>
          <w:sz w:val="22"/>
          <w:szCs w:val="22"/>
          <w:color w:val="auto"/>
        </w:rPr>
      </w:pPr>
      <w:r>
        <w:rPr>
          <w:rFonts w:ascii="Arial" w:cs="Arial" w:eastAsia="Arial" w:hAnsi="Arial"/>
          <w:sz w:val="22"/>
          <w:szCs w:val="22"/>
          <w:color w:val="auto"/>
        </w:rPr>
        <w:t>to suspend a Participant’s right to exercise an Option during a limited period of time preceding and or following the closing of the Transaction without Participant consent if such suspension is administratively necessary or advisable to permit the closing of the Transaction.</w:t>
      </w:r>
    </w:p>
    <w:p>
      <w:pPr>
        <w:spacing w:after="0" w:line="185" w:lineRule="exact"/>
        <w:rPr>
          <w:rFonts w:ascii="Arial" w:cs="Arial" w:eastAsia="Arial" w:hAnsi="Arial"/>
          <w:sz w:val="22"/>
          <w:szCs w:val="22"/>
          <w:color w:val="auto"/>
        </w:rPr>
      </w:pPr>
    </w:p>
    <w:p>
      <w:pPr>
        <w:jc w:val="both"/>
        <w:ind w:firstLine="1304"/>
        <w:spacing w:after="0" w:line="286" w:lineRule="auto"/>
        <w:tabs>
          <w:tab w:leader="none" w:pos="1941"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Non-Continuation</w:t>
      </w:r>
      <w:r>
        <w:rPr>
          <w:rFonts w:ascii="Arial" w:cs="Arial" w:eastAsia="Arial" w:hAnsi="Arial"/>
          <w:sz w:val="19"/>
          <w:szCs w:val="19"/>
          <w:color w:val="auto"/>
        </w:rPr>
        <w:t>. If the successor corporation does not continue an Award (or some portion such Award), the Participant will fully vest in (and have the right to exercise) 100% of the then-unvested Shares subject to his or her outstanding Options and Stock Appreciation Rights, all restrictions on 100% of the Participant’s outstanding Restricted Stock and Restricted Stock Units will lapse, and, regarding 100% of Participant’s outstanding Awards with performance-based vesting, all performance goals or other vesting criteria will be treated as achieved at 100% of target levels and all other terms and conditions met, in all cases, unless specifically provided otherwise under the applicable Award Agreement or other written agreement authorized by the Administrator between the Participant and the Company or any of its Subsidiaries or Parents, as applicable, as applicable. In no event will vesting of an Award accelerate as to more than 100% of the Award. Unless specifically provided otherwise under the applicable Award Agreement or other written agreement authorized by the Administrator between the Participant and the Company or any of its Subsidiaries or Parents, as applicable, if Options or Stock Appreciation Rights are not continued when a Change in Control or a merger of the Company with or into another corporation or other entity occurs, the Administrator will notify the Participant in writing or electronically that the Participant’s vested Options or Stock Appreciation Rights (after considering the foregoing vesting acceleration, if any) will be exercisable for a period of time determined by the Administrator in its sole discretion and all of the Participant’s Options or Stock Appreciation Rights will terminate upon the expiration of such period (whether vested or unvested).</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960" w:hanging="656"/>
        <w:spacing w:after="0"/>
        <w:tabs>
          <w:tab w:leader="none" w:pos="196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Outside Director Grants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59" w:lineRule="auto"/>
        <w:tabs>
          <w:tab w:leader="none" w:pos="2580" w:val="left"/>
        </w:tabs>
        <w:numPr>
          <w:ilvl w:val="1"/>
          <w:numId w:val="98"/>
        </w:numPr>
        <w:rPr>
          <w:rFonts w:ascii="Arial" w:cs="Arial" w:eastAsia="Arial" w:hAnsi="Arial"/>
          <w:sz w:val="21"/>
          <w:szCs w:val="21"/>
          <w:color w:val="auto"/>
        </w:rPr>
      </w:pPr>
      <w:r>
        <w:rPr>
          <w:rFonts w:ascii="Arial" w:cs="Arial" w:eastAsia="Arial" w:hAnsi="Arial"/>
          <w:sz w:val="21"/>
          <w:szCs w:val="21"/>
          <w:color w:val="auto"/>
        </w:rPr>
        <w:t>With respect to Awards granted to an Outside Director, in the event of a Change in Control, the Participant will fully vest in and have the right to exercise outstanding Options and/or Stock Appreciation Rights as to all of the Shares underlying such Award, including those Shares which otherwise would not be vested or exercisable, all restrictions on other outstanding Awards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a Company policy related to Director compensation, or other written agreement authorized by the Administrator between the Participant and the Company or any of its Subsidiaries or Parents, as applicable, that specifically references this default rule.</w:t>
      </w:r>
    </w:p>
    <w:p>
      <w:pPr>
        <w:spacing w:after="0" w:line="183" w:lineRule="exact"/>
        <w:rPr>
          <w:rFonts w:ascii="Arial" w:cs="Arial" w:eastAsia="Arial" w:hAnsi="Arial"/>
          <w:sz w:val="21"/>
          <w:szCs w:val="21"/>
          <w:color w:val="auto"/>
        </w:rPr>
      </w:pPr>
    </w:p>
    <w:p>
      <w:pPr>
        <w:jc w:val="both"/>
        <w:ind w:firstLine="1952"/>
        <w:spacing w:after="0" w:line="248" w:lineRule="auto"/>
        <w:tabs>
          <w:tab w:leader="none" w:pos="2586" w:val="left"/>
        </w:tabs>
        <w:numPr>
          <w:ilvl w:val="1"/>
          <w:numId w:val="98"/>
        </w:numPr>
        <w:rPr>
          <w:rFonts w:ascii="Arial" w:cs="Arial" w:eastAsia="Arial" w:hAnsi="Arial"/>
          <w:sz w:val="22"/>
          <w:szCs w:val="22"/>
          <w:color w:val="auto"/>
        </w:rPr>
      </w:pPr>
      <w:r>
        <w:rPr>
          <w:rFonts w:ascii="Arial" w:cs="Arial" w:eastAsia="Arial" w:hAnsi="Arial"/>
          <w:sz w:val="22"/>
          <w:szCs w:val="22"/>
          <w:color w:val="auto"/>
        </w:rPr>
        <w:t>No Outside Director may be paid, issued or granted, in any Fiscal Year, cash compensation and equity awards (including any Awards issued under this Plan) with an aggregate value greater than $1,000,000, increased to $2,000,000 in connection with his or her initial service (with the value of each equity award based on its grant date fair value (determined in accordance with U.S. generally accepted accounting principles)). Any cash compensation paid or Awards granted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6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individual for his or her services as an Employee, or for his or her services as a Consultant (other than as an Outside Director), will not count for purposes of the limitation under this Section 14(f)(ii).</w:t>
      </w:r>
    </w:p>
    <w:p>
      <w:pPr>
        <w:spacing w:after="0" w:line="175" w:lineRule="exact"/>
        <w:rPr>
          <w:sz w:val="20"/>
          <w:szCs w:val="20"/>
          <w:color w:val="auto"/>
        </w:rPr>
      </w:pPr>
    </w:p>
    <w:p>
      <w:pPr>
        <w:ind w:left="1300" w:hanging="644"/>
        <w:spacing w:after="0"/>
        <w:tabs>
          <w:tab w:leader="none" w:pos="1300"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41" w:val="left"/>
        </w:tabs>
        <w:numPr>
          <w:ilvl w:val="2"/>
          <w:numId w:val="99"/>
        </w:numPr>
        <w:rPr>
          <w:rFonts w:ascii="Arial" w:cs="Arial" w:eastAsia="Arial" w:hAnsi="Arial"/>
          <w:sz w:val="22"/>
          <w:szCs w:val="22"/>
          <w:color w:val="auto"/>
        </w:rPr>
      </w:pPr>
      <w:r>
        <w:rPr>
          <w:rFonts w:ascii="Arial" w:cs="Arial" w:eastAsia="Arial" w:hAnsi="Arial"/>
          <w:sz w:val="22"/>
          <w:szCs w:val="22"/>
          <w:u w:val="single" w:color="auto"/>
          <w:color w:val="auto"/>
        </w:rPr>
        <w:t>Withholding Requirements</w:t>
      </w:r>
      <w:r>
        <w:rPr>
          <w:rFonts w:ascii="Arial" w:cs="Arial" w:eastAsia="Arial" w:hAnsi="Arial"/>
          <w:sz w:val="22"/>
          <w:szCs w:val="22"/>
          <w:color w:val="auto"/>
        </w:rPr>
        <w:t>. Prior to the delivery of any Shares or cash under an Award (or exercise thereof) or such earlier time as any Tax Withholding are due, the Company may deduct or withhold, or require a Participant to remit to the Company, an amount sufficient to satisfy any Tax Withholding with respect to such Award or Shares subject to an Award (including upon exercise of an Award).</w:t>
      </w:r>
    </w:p>
    <w:p>
      <w:pPr>
        <w:spacing w:after="0" w:line="187" w:lineRule="exact"/>
        <w:rPr>
          <w:rFonts w:ascii="Arial" w:cs="Arial" w:eastAsia="Arial" w:hAnsi="Arial"/>
          <w:sz w:val="22"/>
          <w:szCs w:val="22"/>
          <w:color w:val="auto"/>
        </w:rPr>
      </w:pPr>
    </w:p>
    <w:p>
      <w:pPr>
        <w:jc w:val="both"/>
        <w:ind w:firstLine="1304"/>
        <w:spacing w:after="0" w:line="283" w:lineRule="auto"/>
        <w:tabs>
          <w:tab w:leader="none" w:pos="1939" w:val="left"/>
        </w:tabs>
        <w:numPr>
          <w:ilvl w:val="2"/>
          <w:numId w:val="99"/>
        </w:numPr>
        <w:rPr>
          <w:rFonts w:ascii="Arial" w:cs="Arial" w:eastAsia="Arial" w:hAnsi="Arial"/>
          <w:sz w:val="19"/>
          <w:szCs w:val="19"/>
          <w:color w:val="auto"/>
        </w:rPr>
      </w:pPr>
      <w:r>
        <w:rPr>
          <w:rFonts w:ascii="Arial" w:cs="Arial" w:eastAsia="Arial" w:hAnsi="Arial"/>
          <w:sz w:val="19"/>
          <w:szCs w:val="19"/>
          <w:u w:val="single" w:color="auto"/>
          <w:color w:val="auto"/>
        </w:rPr>
        <w:t>Withholding Arrangements</w:t>
      </w:r>
      <w:r>
        <w:rPr>
          <w:rFonts w:ascii="Arial" w:cs="Arial" w:eastAsia="Arial" w:hAnsi="Arial"/>
          <w:sz w:val="19"/>
          <w:szCs w:val="19"/>
          <w:color w:val="auto"/>
        </w:rPr>
        <w:t>. The Administrator, in its sole discretion and under such procedures as it may specify from time to time, may elect to satisfy such Tax Withholding, in whole or in part (including in combination) by (without limitation) (i) requiring the Participant to pay cash, (ii) withholding otherwise deliverable cash (including cash from the sale of Shares issued to the Participant) or Shares having a fair market value equal to the amount required to be withheld or such greater amount (including up to a maximum statutory amount) as the Administrator may determine or permit if such amount does not result in unfavorable financial accounting treatment, as the Administrator determines in its sole discretion, (iii) forcing the sale of Shares issued pursuant to an Award (or exercise thereof) having a fair market value equal to the minimum statutory amount applicable in a Participant’s jurisdiction or a greater amount as the Administrator may determine or permit if such greater amount would not result in unfavorable financial accounting treatment, as the Administrator determines in its sole discretion,</w:t>
      </w:r>
    </w:p>
    <w:p>
      <w:pPr>
        <w:spacing w:after="0" w:line="7" w:lineRule="exact"/>
        <w:rPr>
          <w:rFonts w:ascii="Arial" w:cs="Arial" w:eastAsia="Arial" w:hAnsi="Arial"/>
          <w:sz w:val="19"/>
          <w:szCs w:val="19"/>
          <w:color w:val="auto"/>
        </w:rPr>
      </w:pPr>
    </w:p>
    <w:p>
      <w:pPr>
        <w:jc w:val="both"/>
        <w:ind w:firstLine="8"/>
        <w:spacing w:after="0" w:line="281" w:lineRule="auto"/>
        <w:tabs>
          <w:tab w:leader="none" w:pos="37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requiring the Participant to deliver to the Company already-owned Shares having a fair market value equal to the minimum statutory amount required to be withheld or a greater amount as the Administrator may determine or permit if such greater amount would not result in unfavorable financial accounting treatment, as the Administrator determines in its sole discretion,</w:t>
      </w:r>
    </w:p>
    <w:p>
      <w:pPr>
        <w:spacing w:after="0" w:line="2" w:lineRule="exact"/>
        <w:rPr>
          <w:rFonts w:ascii="Arial" w:cs="Arial" w:eastAsia="Arial" w:hAnsi="Arial"/>
          <w:sz w:val="19"/>
          <w:szCs w:val="19"/>
          <w:color w:val="auto"/>
        </w:rPr>
      </w:pPr>
    </w:p>
    <w:p>
      <w:pPr>
        <w:jc w:val="both"/>
        <w:ind w:firstLine="8"/>
        <w:spacing w:after="0" w:line="287" w:lineRule="auto"/>
        <w:tabs>
          <w:tab w:leader="none" w:pos="31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requiring the Participant to engage in a cashless exercise transaction (whether through a broker or otherwise) implemented by the Company in connection with the Plan, (vi) having the Company or a Parent or Subsidiary withhold from wages or any other cash amount due or to become due to the Participant and payable by the Company or any Parent or Subsidiary, or (vii) such other consideration and method of payment for the meeting of Tax Withholding as the Administrator may determine to the extent permitted by Applicable Laws, provided that, in all instances, the satisfaction of the Tax Withholding will not result in any adverse accounting consequence to the Company, as the Administrator may determine in its sole discretion. The fair market value of the Shares to be withheld or delivered will be determined as of the date the amount of tax to be withheld is calculated or such other date as Administrator determines is applicable or appropriate with respect to the Tax Withholding calculation.</w:t>
      </w:r>
    </w:p>
    <w:p>
      <w:pPr>
        <w:spacing w:after="0" w:line="159" w:lineRule="exact"/>
        <w:rPr>
          <w:rFonts w:ascii="Arial" w:cs="Arial" w:eastAsia="Arial" w:hAnsi="Arial"/>
          <w:sz w:val="19"/>
          <w:szCs w:val="19"/>
          <w:color w:val="auto"/>
        </w:rPr>
      </w:pPr>
    </w:p>
    <w:p>
      <w:pPr>
        <w:jc w:val="both"/>
        <w:ind w:firstLine="1304"/>
        <w:spacing w:after="0" w:line="260" w:lineRule="auto"/>
        <w:tabs>
          <w:tab w:leader="none" w:pos="1941" w:val="left"/>
        </w:tabs>
        <w:numPr>
          <w:ilvl w:val="2"/>
          <w:numId w:val="100"/>
        </w:numPr>
        <w:rPr>
          <w:rFonts w:ascii="Arial" w:cs="Arial" w:eastAsia="Arial" w:hAnsi="Arial"/>
          <w:sz w:val="21"/>
          <w:szCs w:val="21"/>
          <w:color w:val="auto"/>
        </w:rPr>
      </w:pPr>
      <w:r>
        <w:rPr>
          <w:rFonts w:ascii="Arial" w:cs="Arial" w:eastAsia="Arial" w:hAnsi="Arial"/>
          <w:sz w:val="21"/>
          <w:szCs w:val="21"/>
          <w:u w:val="single" w:color="auto"/>
          <w:color w:val="auto"/>
        </w:rPr>
        <w:t>Compliance With Code Section 409A</w:t>
      </w:r>
      <w:r>
        <w:rPr>
          <w:rFonts w:ascii="Arial" w:cs="Arial" w:eastAsia="Arial" w:hAnsi="Arial"/>
          <w:sz w:val="21"/>
          <w:szCs w:val="21"/>
          <w:color w:val="auto"/>
        </w:rPr>
        <w:t>. Unless the Administrator determines that compliance with Code Section 409A is not necessary, it is intended that Awards will be designed and operated so that they are either exempt or excepted from the application of Code Section 409A or comply with any requirements necessary to avoid the imposition of additional tax under Code Section 409A(a)(1)(B) so that the grant, payment, settlement or deferral will not be subject to the additional tax or interest applicable under Code Section 409A and the Plan and each Award Agreement will be interpreted consistent with this intent. This Section 15(c) is not a guarantee to any Participant of the consequences of his or her Awards. In no event will the Company have any responsibility, liability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obligation to reimburse, indemnify or hold harmless Participant for any taxes that may be imposed or other costs that may be incurred, as a result of Section 409A.</w:t>
      </w:r>
    </w:p>
    <w:p>
      <w:pPr>
        <w:spacing w:after="0" w:line="175"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Other Terms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No Effect on Employment or Service</w:t>
      </w:r>
      <w:r>
        <w:rPr>
          <w:rFonts w:ascii="Arial" w:cs="Arial" w:eastAsia="Arial" w:hAnsi="Arial"/>
          <w:sz w:val="22"/>
          <w:szCs w:val="22"/>
          <w:color w:val="auto"/>
        </w:rPr>
        <w:t>. Neither the Plan nor any Award will confer upon a Participant any right regarding continuing the Participant’s relationship as a Service Provider with the Company or member of the Company Group, nor will they interfere with the Participant’s right, or the Participant’s employer’s right, to terminate such relationship with or without cause, to the extent permitted by Applicable Laws.</w:t>
      </w:r>
    </w:p>
    <w:p>
      <w:pPr>
        <w:spacing w:after="0" w:line="187" w:lineRule="exact"/>
        <w:rPr>
          <w:rFonts w:ascii="Arial" w:cs="Arial" w:eastAsia="Arial" w:hAnsi="Arial"/>
          <w:sz w:val="22"/>
          <w:szCs w:val="22"/>
          <w:color w:val="auto"/>
        </w:rPr>
      </w:pPr>
    </w:p>
    <w:p>
      <w:pPr>
        <w:ind w:firstLine="1304"/>
        <w:spacing w:after="0" w:line="263" w:lineRule="auto"/>
        <w:tabs>
          <w:tab w:leader="none" w:pos="1939"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Interpretation and Rules of Construction</w:t>
      </w:r>
      <w:r>
        <w:rPr>
          <w:rFonts w:ascii="Arial" w:cs="Arial" w:eastAsia="Arial" w:hAnsi="Arial"/>
          <w:sz w:val="22"/>
          <w:szCs w:val="22"/>
          <w:color w:val="auto"/>
        </w:rPr>
        <w:t>. The words “include,” “includes” and “including” when used herein shall be deemed in each case to be followed by the words “without limitation.”</w:t>
      </w:r>
    </w:p>
    <w:p>
      <w:pPr>
        <w:spacing w:after="0" w:line="174" w:lineRule="exact"/>
        <w:rPr>
          <w:rFonts w:ascii="Arial" w:cs="Arial" w:eastAsia="Arial" w:hAnsi="Arial"/>
          <w:sz w:val="22"/>
          <w:szCs w:val="22"/>
          <w:color w:val="auto"/>
        </w:rPr>
      </w:pPr>
    </w:p>
    <w:p>
      <w:pPr>
        <w:ind w:firstLine="1304"/>
        <w:spacing w:after="0" w:line="263" w:lineRule="auto"/>
        <w:tabs>
          <w:tab w:leader="none" w:pos="1941"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Plan Governs</w:t>
      </w:r>
      <w:r>
        <w:rPr>
          <w:rFonts w:ascii="Arial" w:cs="Arial" w:eastAsia="Arial" w:hAnsi="Arial"/>
          <w:sz w:val="22"/>
          <w:szCs w:val="22"/>
          <w:color w:val="auto"/>
          <w:highlight w:val="white"/>
        </w:rPr>
        <w:t>. In the event of a conflict between the terms and conditions of the Plan and the terms and</w:t>
      </w:r>
      <w:r>
        <w:rPr>
          <w:rFonts w:ascii="Arial" w:cs="Arial" w:eastAsia="Arial" w:hAnsi="Arial"/>
          <w:sz w:val="22"/>
          <w:szCs w:val="22"/>
          <w:color w:val="auto"/>
        </w:rPr>
        <w:t xml:space="preserve"> conditions of any Grant Agreement, the terms and conditions of the Plan will prevail.</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Forfeiture Events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89" w:lineRule="auto"/>
        <w:tabs>
          <w:tab w:leader="none" w:pos="2580" w:val="left"/>
        </w:tabs>
        <w:numPr>
          <w:ilvl w:val="2"/>
          <w:numId w:val="101"/>
        </w:numPr>
        <w:rPr>
          <w:rFonts w:ascii="Arial" w:cs="Arial" w:eastAsia="Arial" w:hAnsi="Arial"/>
          <w:sz w:val="19"/>
          <w:szCs w:val="19"/>
          <w:color w:val="auto"/>
        </w:rPr>
      </w:pPr>
      <w:r>
        <w:rPr>
          <w:rFonts w:ascii="Arial" w:cs="Arial" w:eastAsia="Arial" w:hAnsi="Arial"/>
          <w:sz w:val="19"/>
          <w:szCs w:val="19"/>
          <w:color w:val="auto"/>
        </w:rPr>
        <w:t>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to a reacquisition right regarding previously acquired Shares or other cash or property. Unless this Section 16(d)(i)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member of the Company Group.</w:t>
      </w:r>
    </w:p>
    <w:p>
      <w:pPr>
        <w:spacing w:after="0" w:line="156" w:lineRule="exact"/>
        <w:rPr>
          <w:rFonts w:ascii="Arial" w:cs="Arial" w:eastAsia="Arial" w:hAnsi="Arial"/>
          <w:sz w:val="19"/>
          <w:szCs w:val="19"/>
          <w:color w:val="auto"/>
        </w:rPr>
      </w:pPr>
    </w:p>
    <w:p>
      <w:pPr>
        <w:jc w:val="both"/>
        <w:ind w:firstLine="1952"/>
        <w:spacing w:after="0" w:line="297" w:lineRule="auto"/>
        <w:tabs>
          <w:tab w:leader="none" w:pos="2586" w:val="left"/>
        </w:tabs>
        <w:numPr>
          <w:ilvl w:val="2"/>
          <w:numId w:val="101"/>
        </w:numPr>
        <w:rPr>
          <w:rFonts w:ascii="Arial" w:cs="Arial" w:eastAsia="Arial" w:hAnsi="Arial"/>
          <w:sz w:val="19"/>
          <w:szCs w:val="19"/>
          <w:color w:val="auto"/>
        </w:rPr>
      </w:pPr>
      <w:r>
        <w:rPr>
          <w:rFonts w:ascii="Arial" w:cs="Arial" w:eastAsia="Arial" w:hAnsi="Arial"/>
          <w:sz w:val="19"/>
          <w:szCs w:val="19"/>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that would constitute cause for termination of such Participant’s status as a Service Provider.</w:t>
      </w:r>
    </w:p>
    <w:p>
      <w:pPr>
        <w:spacing w:after="0" w:line="146"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Subject to Section 20, the Plan will become effective upon the business day immediately prior to the Registration Date. It will continue in effect until terminated under Section 18, but no Incentive Stock Options may be granted after ten (10) years from the date the Plan is adopted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the Board and Section 3(b) will operate only until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date the Plan is adopted by the Board.</w:t>
      </w:r>
    </w:p>
    <w:p>
      <w:pPr>
        <w:spacing w:after="0" w:line="174"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The Administrator may amend, alter, suspend or terminate the Plan.</w:t>
      </w:r>
    </w:p>
    <w:p>
      <w:pPr>
        <w:spacing w:after="0" w:line="231" w:lineRule="exact"/>
        <w:rPr>
          <w:rFonts w:ascii="Arial" w:cs="Arial" w:eastAsia="Arial" w:hAnsi="Arial"/>
          <w:sz w:val="21"/>
          <w:szCs w:val="21"/>
          <w:color w:val="auto"/>
        </w:rPr>
      </w:pPr>
    </w:p>
    <w:p>
      <w:pPr>
        <w:ind w:firstLine="1304"/>
        <w:spacing w:after="0" w:line="263" w:lineRule="auto"/>
        <w:tabs>
          <w:tab w:leader="none" w:pos="1939"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Company will obtain stockholder approval of any Plan amendment to the extent necessary or desirable to comply with Applicable Laws.</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941"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Consent of Participants Generally Required</w:t>
      </w:r>
      <w:r>
        <w:rPr>
          <w:rFonts w:ascii="Arial" w:cs="Arial" w:eastAsia="Arial" w:hAnsi="Arial"/>
          <w:sz w:val="22"/>
          <w:szCs w:val="22"/>
          <w:color w:val="auto"/>
        </w:rPr>
        <w:t>. Subject to Section 18(d) below, no amendment, alteration, suspension or termination of the Plan or an Award under it will materially impair the rights of any Participant without a signed, written agreement authorized by the Administrator between the Participant and the Company. Termination of the Plan will not affect the Administrator’s ability to exercise the powers granted to it regarding Awards granted under the Plan prior to such termination.</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Exceptions to Consent Requirement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53" w:lineRule="auto"/>
        <w:tabs>
          <w:tab w:leader="none" w:pos="2580" w:val="left"/>
        </w:tabs>
        <w:numPr>
          <w:ilvl w:val="2"/>
          <w:numId w:val="102"/>
        </w:numPr>
        <w:rPr>
          <w:rFonts w:ascii="Arial" w:cs="Arial" w:eastAsia="Arial" w:hAnsi="Arial"/>
          <w:sz w:val="22"/>
          <w:szCs w:val="22"/>
          <w:color w:val="auto"/>
        </w:rPr>
      </w:pPr>
      <w:r>
        <w:rPr>
          <w:rFonts w:ascii="Arial" w:cs="Arial" w:eastAsia="Arial" w:hAnsi="Arial"/>
          <w:sz w:val="22"/>
          <w:szCs w:val="22"/>
          <w:color w:val="auto"/>
        </w:rPr>
        <w:t>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586" w:val="left"/>
        </w:tabs>
        <w:numPr>
          <w:ilvl w:val="2"/>
          <w:numId w:val="102"/>
        </w:numPr>
        <w:rPr>
          <w:rFonts w:ascii="Arial" w:cs="Arial" w:eastAsia="Arial" w:hAnsi="Arial"/>
          <w:sz w:val="22"/>
          <w:szCs w:val="22"/>
          <w:color w:val="auto"/>
        </w:rPr>
      </w:pPr>
      <w:r>
        <w:rPr>
          <w:rFonts w:ascii="Arial" w:cs="Arial" w:eastAsia="Arial" w:hAnsi="Arial"/>
          <w:sz w:val="22"/>
          <w:szCs w:val="22"/>
          <w:color w:val="auto"/>
        </w:rPr>
        <w:t>Subject to any limitations of Applicable Laws, the Administrator may amend the terms of any one or more Awards without the affected Participant’s consent even if it does materially impair the Participant’s right if such amendment is done</w:t>
      </w:r>
    </w:p>
    <w:p>
      <w:pPr>
        <w:spacing w:after="0" w:line="185" w:lineRule="exact"/>
        <w:rPr>
          <w:rFonts w:ascii="Arial" w:cs="Arial" w:eastAsia="Arial" w:hAnsi="Arial"/>
          <w:sz w:val="22"/>
          <w:szCs w:val="22"/>
          <w:color w:val="auto"/>
        </w:rPr>
      </w:pPr>
    </w:p>
    <w:p>
      <w:pPr>
        <w:ind w:left="3240" w:hanging="640"/>
        <w:spacing w:after="0"/>
        <w:tabs>
          <w:tab w:leader="none" w:pos="3240" w:val="left"/>
        </w:tabs>
        <w:numPr>
          <w:ilvl w:val="3"/>
          <w:numId w:val="102"/>
        </w:numPr>
        <w:rPr>
          <w:rFonts w:ascii="Arial" w:cs="Arial" w:eastAsia="Arial" w:hAnsi="Arial"/>
          <w:sz w:val="22"/>
          <w:szCs w:val="22"/>
          <w:color w:val="auto"/>
        </w:rPr>
      </w:pPr>
      <w:r>
        <w:rPr>
          <w:rFonts w:ascii="Arial" w:cs="Arial" w:eastAsia="Arial" w:hAnsi="Arial"/>
          <w:sz w:val="22"/>
          <w:szCs w:val="22"/>
          <w:color w:val="auto"/>
        </w:rPr>
        <w:t>in a manner specified by the Plan,</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3"/>
          <w:numId w:val="102"/>
        </w:numPr>
        <w:rPr>
          <w:rFonts w:ascii="Arial" w:cs="Arial" w:eastAsia="Arial" w:hAnsi="Arial"/>
          <w:sz w:val="21"/>
          <w:szCs w:val="21"/>
          <w:color w:val="auto"/>
        </w:rPr>
      </w:pPr>
      <w:r>
        <w:rPr>
          <w:rFonts w:ascii="Arial" w:cs="Arial" w:eastAsia="Arial" w:hAnsi="Arial"/>
          <w:sz w:val="21"/>
          <w:szCs w:val="21"/>
          <w:color w:val="auto"/>
        </w:rPr>
        <w:t>to maintain the qualified status of the Award as an Incentive Stock Option under Code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422,</w:t>
      </w:r>
    </w:p>
    <w:p>
      <w:pPr>
        <w:spacing w:after="0" w:line="201" w:lineRule="exact"/>
        <w:rPr>
          <w:rFonts w:ascii="Arial" w:cs="Arial" w:eastAsia="Arial" w:hAnsi="Arial"/>
          <w:sz w:val="21"/>
          <w:szCs w:val="21"/>
          <w:color w:val="auto"/>
        </w:rPr>
      </w:pPr>
    </w:p>
    <w:p>
      <w:pPr>
        <w:ind w:right="280" w:firstLine="2600"/>
        <w:spacing w:after="0" w:line="343" w:lineRule="auto"/>
        <w:tabs>
          <w:tab w:leader="none" w:pos="3228" w:val="left"/>
        </w:tabs>
        <w:numPr>
          <w:ilvl w:val="3"/>
          <w:numId w:val="102"/>
        </w:numPr>
        <w:rPr>
          <w:rFonts w:ascii="Arial" w:cs="Arial" w:eastAsia="Arial" w:hAnsi="Arial"/>
          <w:sz w:val="19"/>
          <w:szCs w:val="19"/>
          <w:color w:val="auto"/>
        </w:rPr>
      </w:pPr>
      <w:r>
        <w:rPr>
          <w:rFonts w:ascii="Arial" w:cs="Arial" w:eastAsia="Arial" w:hAnsi="Arial"/>
          <w:sz w:val="19"/>
          <w:szCs w:val="19"/>
          <w:color w:val="auto"/>
        </w:rPr>
        <w:t>to change the terms of an Incentive Stock Option, if such change results in impairment of the Award only because it impairs the qualified status of the Award as an Incentive Stock Option under Code Section 422,</w:t>
      </w:r>
    </w:p>
    <w:p>
      <w:pPr>
        <w:spacing w:after="0" w:line="104" w:lineRule="exact"/>
        <w:rPr>
          <w:rFonts w:ascii="Arial" w:cs="Arial" w:eastAsia="Arial" w:hAnsi="Arial"/>
          <w:sz w:val="19"/>
          <w:szCs w:val="19"/>
          <w:color w:val="auto"/>
        </w:rPr>
      </w:pPr>
    </w:p>
    <w:p>
      <w:pPr>
        <w:ind w:right="680" w:firstLine="2600"/>
        <w:spacing w:after="0" w:line="343" w:lineRule="auto"/>
        <w:tabs>
          <w:tab w:leader="none" w:pos="3235" w:val="left"/>
        </w:tabs>
        <w:numPr>
          <w:ilvl w:val="3"/>
          <w:numId w:val="102"/>
        </w:numPr>
        <w:rPr>
          <w:rFonts w:ascii="Arial" w:cs="Arial" w:eastAsia="Arial" w:hAnsi="Arial"/>
          <w:sz w:val="19"/>
          <w:szCs w:val="19"/>
          <w:color w:val="auto"/>
        </w:rPr>
      </w:pPr>
      <w:r>
        <w:rPr>
          <w:rFonts w:ascii="Arial" w:cs="Arial" w:eastAsia="Arial" w:hAnsi="Arial"/>
          <w:sz w:val="19"/>
          <w:szCs w:val="19"/>
          <w:color w:val="auto"/>
        </w:rPr>
        <w:t>to clarify the manner of exemption from Code Section 409A or compliance with any requirements necessary to avoid the imposition of additional tax or interest under Code Section 409A(a)(1)(B), or</w:t>
      </w:r>
    </w:p>
    <w:p>
      <w:pPr>
        <w:spacing w:after="0" w:line="104" w:lineRule="exact"/>
        <w:rPr>
          <w:rFonts w:ascii="Arial" w:cs="Arial" w:eastAsia="Arial" w:hAnsi="Arial"/>
          <w:sz w:val="19"/>
          <w:szCs w:val="19"/>
          <w:color w:val="auto"/>
        </w:rPr>
      </w:pPr>
    </w:p>
    <w:p>
      <w:pPr>
        <w:ind w:left="3240" w:hanging="640"/>
        <w:spacing w:after="0"/>
        <w:tabs>
          <w:tab w:leader="none" w:pos="3240" w:val="left"/>
        </w:tabs>
        <w:numPr>
          <w:ilvl w:val="3"/>
          <w:numId w:val="102"/>
        </w:numPr>
        <w:rPr>
          <w:rFonts w:ascii="Arial" w:cs="Arial" w:eastAsia="Arial" w:hAnsi="Arial"/>
          <w:sz w:val="22"/>
          <w:szCs w:val="22"/>
          <w:color w:val="auto"/>
        </w:rPr>
      </w:pPr>
      <w:r>
        <w:rPr>
          <w:rFonts w:ascii="Arial" w:cs="Arial" w:eastAsia="Arial" w:hAnsi="Arial"/>
          <w:sz w:val="22"/>
          <w:szCs w:val="22"/>
          <w:color w:val="auto"/>
        </w:rPr>
        <w:t>to comply with other Applicable Laws.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66" w:lineRule="exact"/>
        <w:rPr>
          <w:sz w:val="20"/>
          <w:szCs w:val="20"/>
          <w:color w:val="auto"/>
        </w:rPr>
      </w:pPr>
    </w:p>
    <w:p>
      <w:pPr>
        <w:jc w:val="both"/>
        <w:ind w:firstLine="1304"/>
        <w:spacing w:after="0" w:line="287" w:lineRule="auto"/>
        <w:tabs>
          <w:tab w:leader="none" w:pos="1941"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Legal Compliance</w:t>
      </w:r>
      <w:r>
        <w:rPr>
          <w:rFonts w:ascii="Arial" w:cs="Arial" w:eastAsia="Arial" w:hAnsi="Arial"/>
          <w:sz w:val="19"/>
          <w:szCs w:val="19"/>
          <w:color w:val="auto"/>
        </w:rPr>
        <w:t>. The Company will make good faith efforts to comply with all Applicable Laws related to the issuance of Shares. Shares will not be issued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304"/>
        <w:spacing w:after="0" w:line="250" w:lineRule="auto"/>
        <w:tabs>
          <w:tab w:leader="none" w:pos="1939"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or vesting of an Award, the Company may require the person exercising such Award to represent and warrant during any such exercise or vesting that the Shares are being purchased only for investment and with no present intention to sell or distribute such Shares if, in the opinion of counsel for the Company, such a representation is required.</w:t>
      </w:r>
    </w:p>
    <w:p>
      <w:pPr>
        <w:spacing w:after="0" w:line="187" w:lineRule="exact"/>
        <w:rPr>
          <w:rFonts w:ascii="Arial" w:cs="Arial" w:eastAsia="Arial" w:hAnsi="Arial"/>
          <w:sz w:val="22"/>
          <w:szCs w:val="22"/>
          <w:color w:val="auto"/>
        </w:rPr>
      </w:pPr>
    </w:p>
    <w:p>
      <w:pPr>
        <w:jc w:val="both"/>
        <w:ind w:firstLine="1304"/>
        <w:spacing w:after="0" w:line="261" w:lineRule="auto"/>
        <w:tabs>
          <w:tab w:leader="none" w:pos="1941" w:val="left"/>
        </w:tabs>
        <w:numPr>
          <w:ilvl w:val="1"/>
          <w:numId w:val="103"/>
        </w:numPr>
        <w:rPr>
          <w:rFonts w:ascii="Arial" w:cs="Arial" w:eastAsia="Arial" w:hAnsi="Arial"/>
          <w:sz w:val="21"/>
          <w:szCs w:val="21"/>
          <w:color w:val="auto"/>
        </w:rPr>
      </w:pPr>
      <w:r>
        <w:rPr>
          <w:rFonts w:ascii="Arial" w:cs="Arial" w:eastAsia="Arial" w:hAnsi="Arial"/>
          <w:sz w:val="21"/>
          <w:szCs w:val="21"/>
          <w:u w:val="single" w:color="auto"/>
          <w:color w:val="auto"/>
        </w:rPr>
        <w:t>Failure to Accept Award</w:t>
      </w:r>
      <w:r>
        <w:rPr>
          <w:rFonts w:ascii="Arial" w:cs="Arial" w:eastAsia="Arial" w:hAnsi="Arial"/>
          <w:sz w:val="21"/>
          <w:szCs w:val="21"/>
          <w:color w:val="auto"/>
        </w:rPr>
        <w:t>.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first date the Shares subject to such Award are scheduled to vest, then the portion of the Award scheduled to vest on such date will be cancelled on such date and such Shares subject to the Award immediately will revert to the Plan for no additional consideration unless otherwise provided by the Administrator.</w:t>
      </w:r>
    </w:p>
    <w:p>
      <w:pPr>
        <w:spacing w:after="0" w:line="179" w:lineRule="exact"/>
        <w:rPr>
          <w:rFonts w:ascii="Arial" w:cs="Arial" w:eastAsia="Arial" w:hAnsi="Arial"/>
          <w:sz w:val="21"/>
          <w:szCs w:val="21"/>
          <w:color w:val="auto"/>
        </w:rPr>
      </w:pPr>
    </w:p>
    <w:p>
      <w:pPr>
        <w:jc w:val="both"/>
        <w:ind w:firstLine="656"/>
        <w:spacing w:after="0" w:line="253"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Plan will be subject to approval by the stockholders of the Company within 12 months after the date the Plan is adopted by the Board. Such stockholder approval will be obtained in the manner and to the degree required under Applicable Laws.</w:t>
      </w:r>
    </w:p>
    <w:p>
      <w:pPr>
        <w:spacing w:after="0" w:line="185" w:lineRule="exact"/>
        <w:rPr>
          <w:rFonts w:ascii="Arial" w:cs="Arial" w:eastAsia="Arial" w:hAnsi="Arial"/>
          <w:sz w:val="22"/>
          <w:szCs w:val="22"/>
          <w:color w:val="auto"/>
        </w:rPr>
      </w:pPr>
    </w:p>
    <w:p>
      <w:pPr>
        <w:jc w:val="both"/>
        <w:ind w:left="20" w:firstLine="642"/>
        <w:spacing w:after="0" w:line="297" w:lineRule="auto"/>
        <w:tabs>
          <w:tab w:leader="none" w:pos="130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In the event a Participant ceases to be a Service Provider due to the Participant’s death, the Participant’s outstanding and unvested Awards will accelerate and fully vest. With respect to Awards with performance-based vesting that accelerate pursuant to this Section 21, unless specifically provided otherwise under the applicable Award Agreement, a Company policy applicable to the Participant, or other written agreement between the Participant and the Company, all performance goals or other vesting criteria will be deemed achieved at 100% of target levels and all other terms and conditions met.</w:t>
      </w:r>
    </w:p>
    <w:p>
      <w:pPr>
        <w:spacing w:after="0" w:line="160" w:lineRule="exact"/>
        <w:rPr>
          <w:sz w:val="20"/>
          <w:szCs w:val="20"/>
          <w:color w:val="auto"/>
        </w:rPr>
      </w:pPr>
    </w:p>
    <w:p>
      <w:pPr>
        <w:ind w:left="3120" w:right="220" w:hanging="1925"/>
        <w:spacing w:after="0" w:line="239" w:lineRule="auto"/>
        <w:rPr>
          <w:sz w:val="20"/>
          <w:szCs w:val="20"/>
          <w:color w:val="auto"/>
        </w:rPr>
      </w:pPr>
      <w:r>
        <w:rPr>
          <w:rFonts w:ascii="Arial" w:cs="Arial" w:eastAsia="Arial" w:hAnsi="Arial"/>
          <w:sz w:val="22"/>
          <w:szCs w:val="22"/>
          <w:color w:val="auto"/>
        </w:rPr>
        <w:t>(Adopted on October 23, 2020 and effective as of December 15, 2020; as amended and restated on November 12, 2020; and further amended and restated on July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360"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UPSTART HOLDINGS, INC.</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2020 EQUITY INCENTIVE PLAN</w:t>
      </w:r>
    </w:p>
    <w:p>
      <w:pPr>
        <w:spacing w:after="0" w:line="196"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NOTICE OF RESTRICTED STOCK UNIT AWARD AND</w:t>
      </w:r>
    </w:p>
    <w:p>
      <w:pPr>
        <w:spacing w:after="0" w:line="220"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RESTRICTED STOCK UNIT AGREEMENT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Capitalized terms that are not defined in this Notice of Restricted Stock Unit Award and Restricted Stock Unit Agreement (the “</w:t>
      </w:r>
      <w:r>
        <w:rPr>
          <w:rFonts w:ascii="Arial" w:cs="Arial" w:eastAsia="Arial" w:hAnsi="Arial"/>
          <w:sz w:val="22"/>
          <w:szCs w:val="22"/>
          <w:u w:val="single" w:color="auto"/>
          <w:color w:val="auto"/>
        </w:rPr>
        <w:t>Notice of Grant</w:t>
      </w:r>
      <w:r>
        <w:rPr>
          <w:rFonts w:ascii="Arial" w:cs="Arial" w:eastAsia="Arial" w:hAnsi="Arial"/>
          <w:sz w:val="22"/>
          <w:szCs w:val="22"/>
          <w:color w:val="auto"/>
        </w:rPr>
        <w:t>”), the Terms and Conditions of Restricted Stock Unit Award and all other exhibits to these documents (all together, the “</w:t>
      </w:r>
      <w:r>
        <w:rPr>
          <w:rFonts w:ascii="Arial" w:cs="Arial" w:eastAsia="Arial" w:hAnsi="Arial"/>
          <w:sz w:val="22"/>
          <w:szCs w:val="22"/>
          <w:u w:val="single" w:color="auto"/>
          <w:color w:val="auto"/>
        </w:rPr>
        <w:t>Agreement</w:t>
      </w:r>
      <w:r>
        <w:rPr>
          <w:rFonts w:ascii="Arial" w:cs="Arial" w:eastAsia="Arial" w:hAnsi="Arial"/>
          <w:sz w:val="22"/>
          <w:szCs w:val="22"/>
          <w:color w:val="auto"/>
        </w:rPr>
        <w:t>”) have the meanings given to them in the Upstart Holdings, Inc. 2020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8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The Participant has been granted this Restricted Stock Unit (“</w:t>
      </w:r>
      <w:r>
        <w:rPr>
          <w:rFonts w:ascii="Arial" w:cs="Arial" w:eastAsia="Arial" w:hAnsi="Arial"/>
          <w:sz w:val="22"/>
          <w:szCs w:val="22"/>
          <w:u w:val="single" w:color="auto"/>
          <w:color w:val="auto"/>
        </w:rPr>
        <w:t>RSU</w:t>
      </w:r>
      <w:r>
        <w:rPr>
          <w:rFonts w:ascii="Arial" w:cs="Arial" w:eastAsia="Arial" w:hAnsi="Arial"/>
          <w:sz w:val="22"/>
          <w:szCs w:val="22"/>
          <w:color w:val="auto"/>
        </w:rPr>
        <w:t>”) award according to the terms below and subject to the terms and conditions of the Plan and this Agreement, as follows: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-17780</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Participant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-17780</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-17780</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1570355</wp:posOffset>
            </wp:positionH>
            <wp:positionV relativeFrom="paragraph">
              <wp:posOffset>-17780</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-17780</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Number of 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-17780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Vesting Schedule: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Subject to the acceleration of vesting provisions herein, the RSUs subject to this Agreement will vest as follows: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highlight w:val="yellow"/>
        </w:rPr>
        <w:t>[_________________</w:t>
      </w:r>
      <w:r>
        <w:rPr>
          <w:rFonts w:ascii="Arial" w:cs="Arial" w:eastAsia="Arial" w:hAnsi="Arial"/>
          <w:sz w:val="22"/>
          <w:szCs w:val="22"/>
          <w:color w:val="auto"/>
        </w:rPr>
        <w:t>]</w:t>
      </w:r>
    </w:p>
    <w:p>
      <w:pPr>
        <w:spacing w:after="0" w:line="247"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If the Participant ceases to be a Service Provider for any or no reason, other than due to the Participant’s death, before he or she fully vests in these RSUs, the unvested RSUs will terminate according to the terms of Section 5 of this Agreement. In the event the Participant ceases to be a Service Provider due to the Participant’s death, 100% of the then-outstanding and unvested RSUs subject to this Agreement will accelerate and fully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440" w:right="399" w:bottom="1440" w:gutter="0" w:footer="0" w:header="0"/>
        </w:sectPr>
      </w:pPr>
    </w:p>
    <w:bookmarkStart w:id="161" w:name="page162"/>
    <w:bookmarkEnd w:id="161"/>
    <w:p>
      <w:pPr>
        <w:spacing w:after="0" w:line="393" w:lineRule="exact"/>
        <w:rPr>
          <w:sz w:val="20"/>
          <w:szCs w:val="20"/>
          <w:color w:val="auto"/>
        </w:rPr>
      </w:pPr>
    </w:p>
    <w:p>
      <w:pPr>
        <w:ind w:right="1000" w:firstLine="648"/>
        <w:spacing w:after="0" w:line="263" w:lineRule="auto"/>
        <w:rPr>
          <w:sz w:val="20"/>
          <w:szCs w:val="20"/>
          <w:color w:val="auto"/>
        </w:rPr>
      </w:pPr>
      <w:r>
        <w:rPr>
          <w:rFonts w:ascii="Arial" w:cs="Arial" w:eastAsia="Arial" w:hAnsi="Arial"/>
          <w:sz w:val="22"/>
          <w:szCs w:val="22"/>
          <w:color w:val="auto"/>
        </w:rPr>
        <w:t>The Participant’s signature below (or Participant’s electronic signature or other electronic acknowledgement or acceptance of this Agreement or Award) indicates that:</w:t>
      </w:r>
    </w:p>
    <w:p>
      <w:pPr>
        <w:spacing w:after="0" w:line="175" w:lineRule="exact"/>
        <w:rPr>
          <w:sz w:val="20"/>
          <w:szCs w:val="20"/>
          <w:color w:val="auto"/>
        </w:rPr>
      </w:pPr>
    </w:p>
    <w:p>
      <w:pPr>
        <w:ind w:left="980" w:right="20" w:hanging="648"/>
        <w:spacing w:after="0" w:line="263" w:lineRule="auto"/>
        <w:tabs>
          <w:tab w:leader="none" w:pos="96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He or she agrees that this Restricted Stock Unit award is granted under and governed by the terms and conditions of the Plan and this Agreement, including their exhibits and appendices.</w:t>
      </w:r>
    </w:p>
    <w:p>
      <w:pPr>
        <w:spacing w:after="0" w:line="174" w:lineRule="exact"/>
        <w:rPr>
          <w:rFonts w:ascii="Arial" w:cs="Arial" w:eastAsia="Arial" w:hAnsi="Arial"/>
          <w:sz w:val="22"/>
          <w:szCs w:val="22"/>
          <w:color w:val="auto"/>
        </w:rPr>
      </w:pPr>
    </w:p>
    <w:p>
      <w:pPr>
        <w:ind w:left="980" w:hanging="648"/>
        <w:spacing w:after="0" w:line="287" w:lineRule="auto"/>
        <w:tabs>
          <w:tab w:leader="none" w:pos="97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He or she understands that the Company is not providing any tax, legal, or financial advice and is not making any recommendations regarding his or her participation in the Plan or his or her acquisition or sale of Shares.</w:t>
      </w:r>
    </w:p>
    <w:p>
      <w:pPr>
        <w:spacing w:after="0" w:line="151" w:lineRule="exact"/>
        <w:rPr>
          <w:rFonts w:ascii="Arial" w:cs="Arial" w:eastAsia="Arial" w:hAnsi="Arial"/>
          <w:sz w:val="21"/>
          <w:szCs w:val="21"/>
          <w:color w:val="auto"/>
        </w:rPr>
      </w:pPr>
    </w:p>
    <w:p>
      <w:pPr>
        <w:jc w:val="both"/>
        <w:ind w:left="980" w:hanging="648"/>
        <w:spacing w:after="0" w:line="250" w:lineRule="auto"/>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He or she has reviewed the Plan and this Agreement, has had an opportunity to obtain the advice of personal tax, legal, and financial advisors prior to signing this Agreement, and fully understands all provisions of the Plan and Agreement. He or she will consult with his or her own personal tax, legal, and financial advisors before taking any action related to the Plan.</w:t>
      </w:r>
    </w:p>
    <w:p>
      <w:pPr>
        <w:spacing w:after="0" w:line="187" w:lineRule="exact"/>
        <w:rPr>
          <w:rFonts w:ascii="Arial" w:cs="Arial" w:eastAsia="Arial" w:hAnsi="Arial"/>
          <w:sz w:val="22"/>
          <w:szCs w:val="22"/>
          <w:color w:val="auto"/>
        </w:rPr>
      </w:pPr>
    </w:p>
    <w:p>
      <w:pPr>
        <w:ind w:left="960" w:hanging="628"/>
        <w:spacing w:after="0"/>
        <w:tabs>
          <w:tab w:leader="none" w:pos="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He or she has read and agrees to each provision of Section 9 of this Agreement.</w:t>
      </w:r>
    </w:p>
    <w:p>
      <w:pPr>
        <w:spacing w:after="0" w:line="219" w:lineRule="exact"/>
        <w:rPr>
          <w:rFonts w:ascii="Arial" w:cs="Arial" w:eastAsia="Arial" w:hAnsi="Arial"/>
          <w:sz w:val="22"/>
          <w:szCs w:val="22"/>
          <w:color w:val="auto"/>
        </w:rPr>
      </w:pPr>
    </w:p>
    <w:p>
      <w:pPr>
        <w:ind w:left="980" w:hanging="648"/>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He or she will notify the Company of any change to the contact address below.</w:t>
      </w:r>
    </w:p>
    <w:p>
      <w:pPr>
        <w:spacing w:after="0" w:line="219" w:lineRule="exact"/>
        <w:rPr>
          <w:rFonts w:ascii="Arial" w:cs="Arial" w:eastAsia="Arial" w:hAnsi="Arial"/>
          <w:sz w:val="22"/>
          <w:szCs w:val="22"/>
          <w:color w:val="auto"/>
        </w:rPr>
      </w:pPr>
    </w:p>
    <w:p>
      <w:pPr>
        <w:ind w:left="980" w:hanging="648"/>
        <w:spacing w:after="0" w:line="343" w:lineRule="auto"/>
        <w:tabs>
          <w:tab w:leader="none" w:pos="96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He or she acknowledges and agrees that unless otherwise required to comply with Applicable Laws, these RSUs will be subject to recoupment under any clawback policy that the Company adopts pursuant to Section 16(d) of the Plan.</w:t>
      </w:r>
    </w:p>
    <w:p>
      <w:pPr>
        <w:spacing w:after="0" w:line="320" w:lineRule="exact"/>
        <w:rPr>
          <w:rFonts w:ascii="Arial" w:cs="Arial" w:eastAsia="Arial" w:hAnsi="Arial"/>
          <w:sz w:val="19"/>
          <w:szCs w:val="19"/>
          <w:color w:val="auto"/>
        </w:rPr>
      </w:pPr>
    </w:p>
    <w:p>
      <w:pPr>
        <w:ind w:left="980"/>
        <w:spacing w:after="0"/>
        <w:rPr>
          <w:rFonts w:ascii="Arial" w:cs="Arial" w:eastAsia="Arial" w:hAnsi="Arial"/>
          <w:sz w:val="19"/>
          <w:szCs w:val="19"/>
          <w:color w:val="auto"/>
        </w:rPr>
      </w:pPr>
      <w:r>
        <w:rPr>
          <w:rFonts w:ascii="Arial" w:cs="Arial" w:eastAsia="Arial" w:hAnsi="Arial"/>
          <w:sz w:val="22"/>
          <w:szCs w:val="22"/>
          <w:color w:val="auto"/>
        </w:rPr>
        <w:t>PARTICIPANT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jc w:val="both"/>
        <w:ind w:left="980" w:right="9440"/>
        <w:spacing w:after="0" w:line="626" w:lineRule="auto"/>
        <w:rPr>
          <w:rFonts w:ascii="Arial" w:cs="Arial" w:eastAsia="Arial" w:hAnsi="Arial"/>
          <w:sz w:val="19"/>
          <w:szCs w:val="19"/>
          <w:color w:val="auto"/>
        </w:rPr>
      </w:pPr>
      <w:r>
        <w:rPr>
          <w:rFonts w:ascii="Arial" w:cs="Arial" w:eastAsia="Arial" w:hAnsi="Arial"/>
          <w:sz w:val="18"/>
          <w:szCs w:val="18"/>
          <w:color w:val="auto"/>
        </w:rPr>
        <w:t>Signature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-705485</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1109980</wp:posOffset>
            </wp:positionH>
            <wp:positionV relativeFrom="paragraph">
              <wp:posOffset>-242570</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56515</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5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60" w:lineRule="exact"/>
        <w:rPr>
          <w:sz w:val="20"/>
          <w:szCs w:val="20"/>
          <w:color w:val="auto"/>
        </w:rPr>
      </w:pPr>
    </w:p>
    <w:p>
      <w:pPr>
        <w:ind w:left="538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TERMS AND CONDITIONS OF RESTRICTED STOCK UNIT AWARD</w:t>
      </w:r>
    </w:p>
    <w:p>
      <w:pPr>
        <w:spacing w:after="0" w:line="226" w:lineRule="exact"/>
        <w:rPr>
          <w:sz w:val="20"/>
          <w:szCs w:val="20"/>
          <w:color w:val="auto"/>
        </w:rPr>
      </w:pPr>
    </w:p>
    <w:p>
      <w:pPr>
        <w:jc w:val="both"/>
        <w:ind w:left="660" w:hanging="652"/>
        <w:spacing w:after="0" w:line="250" w:lineRule="auto"/>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Grant. The Company grants the Participant an award of RSUs as described in the Notice of Grant. If there is a conflict between the Plan, this Agreement, or any other agreement with the Participant governing these RSUs, those documents will take precedence and prevail in the following order: (a) the Plan, (b) the Agreement, and (c) any other agreement between the Company and the Participant governing these RSUs.</w:t>
      </w:r>
    </w:p>
    <w:p>
      <w:pPr>
        <w:spacing w:after="0" w:line="187" w:lineRule="exact"/>
        <w:rPr>
          <w:rFonts w:ascii="Arial" w:cs="Arial" w:eastAsia="Arial" w:hAnsi="Arial"/>
          <w:sz w:val="22"/>
          <w:szCs w:val="22"/>
          <w:color w:val="auto"/>
        </w:rPr>
      </w:pPr>
    </w:p>
    <w:p>
      <w:pPr>
        <w:jc w:val="both"/>
        <w:ind w:left="660" w:hanging="652"/>
        <w:spacing w:after="0" w:line="286" w:lineRule="auto"/>
        <w:tabs>
          <w:tab w:leader="none" w:pos="66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 Each RSU is a right to receive a Share or, in the sole discretion of the Administrator, an amount in cash equal to the Fair Market Value of one Share, on the date it vests. Until an RSU vests, the Participant has no right to payment of the Share. Before a vested RSU is paid, the RSU is an unsecured obligation of the Company, payable (if at all) only from the Company’s general assets. A vested RSU will be paid to the Participant (or in the event of his or her death, to his or her estate or such other person as specified in Section 6 below) in whole Shares or cash. Subject to the provisions of Section 4(b) and notwithstanding anything in the Plan to the contrary, each vested RSU that has met all requirements for settlement under this Agreement (including with respect to RSUs that the Administrator determines will be settled in cash) will be settled no later than the applicable Settlement Deadline. “Settlement Deadline” with respect to a particular vested RSU means as soon as practicable after vesting (but no later than sixty (60) days following the vesting date (or, if earlier, no later than March 15 of the calendar year following the calendar year in which occurs the first date on which the applicable RSU is no longer subject to a substantial risk of forfeiture for purposes of Section 409A)). If any RSU has not met all the requirements for settlement under this Agreement in a manner that would allow it to be settled by the applicable Settlement Deadline, such RSU will be forfeited as of immediately following the applicable Settlement Deadline. In no event will Participant be permitted, directly or indirectly, to specify the taxable year or date of settlement of any RSUs under this Agreement. For the avoidance of doubt, there may be multiple Settlement Deadlines, with each such Settlement Deadline corresponding to a particular RSU.</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660" w:hanging="652"/>
        <w:spacing w:after="0" w:line="312" w:lineRule="auto"/>
        <w:tabs>
          <w:tab w:leader="none" w:pos="66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Vesting. These RSUs will vest only under the Vesting Schedule in the Notice of Grant, Section 4 of this Agreement, or Section 13 of the Plan. RSUs scheduled to vest on a certain date or upon the occurrence of a certain condition will not vest unless the Participant continues to be a Service Provider until the time such vesting is scheduled to occur.</w:t>
      </w:r>
    </w:p>
    <w:p>
      <w:pPr>
        <w:spacing w:after="0" w:line="133" w:lineRule="exact"/>
        <w:rPr>
          <w:rFonts w:ascii="Arial" w:cs="Arial" w:eastAsia="Arial" w:hAnsi="Arial"/>
          <w:sz w:val="19"/>
          <w:szCs w:val="19"/>
          <w:color w:val="auto"/>
        </w:rPr>
      </w:pPr>
    </w:p>
    <w:p>
      <w:pPr>
        <w:ind w:left="660" w:hanging="652"/>
        <w:spacing w:after="0"/>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Acceleration; Amendment.</w:t>
      </w:r>
    </w:p>
    <w:p>
      <w:pPr>
        <w:spacing w:after="0" w:line="219" w:lineRule="exact"/>
        <w:rPr>
          <w:rFonts w:ascii="Arial" w:cs="Arial" w:eastAsia="Arial" w:hAnsi="Arial"/>
          <w:sz w:val="22"/>
          <w:szCs w:val="22"/>
          <w:color w:val="auto"/>
        </w:rPr>
      </w:pPr>
    </w:p>
    <w:p>
      <w:pPr>
        <w:jc w:val="both"/>
        <w:ind w:left="1300" w:hanging="644"/>
        <w:spacing w:after="0" w:line="246" w:lineRule="auto"/>
        <w:tabs>
          <w:tab w:leader="none" w:pos="1297"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Discretionary Acceleration or Amendment</w:t>
      </w:r>
      <w:r>
        <w:rPr>
          <w:rFonts w:ascii="Arial" w:cs="Arial" w:eastAsia="Arial" w:hAnsi="Arial"/>
          <w:sz w:val="22"/>
          <w:szCs w:val="22"/>
          <w:color w:val="auto"/>
        </w:rPr>
        <w:t xml:space="preserve">. The Administrator may, pursuant to its authority under, and in accordance with, Section 4(b)(v), Section 4(b)(ix), Section 4(b)(xiv) and Section 9(c) of the Plan, in its discretion, unilaterally (x) accelerate, in whole or in part, the vesting of these RSUs, (y) waive or decrease some or all of the requirements required for vesting of unvested RSUs at any time, or (z) waive or decrease some or all of the requirements for settlement of RSUs at any time, in each case, subject to the terms of the Plan but without the need for Participant consent in any instance, and subject to Section 13(j)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366" w:lineRule="exact"/>
        <w:rPr>
          <w:sz w:val="20"/>
          <w:szCs w:val="20"/>
          <w:color w:val="auto"/>
        </w:rPr>
      </w:pPr>
    </w:p>
    <w:p>
      <w:pPr>
        <w:jc w:val="both"/>
        <w:ind w:left="644"/>
        <w:spacing w:after="0" w:line="286" w:lineRule="auto"/>
        <w:rPr>
          <w:sz w:val="20"/>
          <w:szCs w:val="20"/>
          <w:color w:val="auto"/>
        </w:rPr>
      </w:pPr>
      <w:r>
        <w:rPr>
          <w:rFonts w:ascii="Arial" w:cs="Arial" w:eastAsia="Arial" w:hAnsi="Arial"/>
          <w:sz w:val="19"/>
          <w:szCs w:val="19"/>
          <w:color w:val="auto"/>
        </w:rPr>
        <w:t>waiver or decrease shall occur or be effective unless such modification would result in this RSU award remaining exempt or excepted from the requirements of Code Section 409A pursuant to the “short-term deferral” exception or another exception or exemption under Code Section 409A, or otherwise complying with Code Section 409A, in each case such that none of this Agreement, the RSUs provided under this Agreement, or Shares issuable hereunder will be subject to the additional tax imposed under Code Section 409A. If so modified, the vesting date with respect to the applicable RSUs will be deemed for all purposes of this Agreement to be the date specified by the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determining the applicable settlement deadline under Section 1 of this Agreement with respect to such RSUs, the vesting date will be deemed to be no later than the first date on which the RSUs are no longer subject to a substantial risk of forfeiture for purposes of Code Section 409A). The settlement of RSUs through Shares pursuant to this Section 4(a) shall in all cases be no later than the applicable settlement deadline as set forth in Section 1 of this Agreement and at a time or in a manner that is exempt from, or complies with, Code Section 409A. The prior sentence may be superseded in a future agreement or amendment to this Agreement only by direct and specific reference to such sentence.</w:t>
      </w:r>
    </w:p>
    <w:p>
      <w:pPr>
        <w:spacing w:after="0" w:line="166" w:lineRule="exact"/>
        <w:rPr>
          <w:sz w:val="20"/>
          <w:szCs w:val="20"/>
          <w:color w:val="auto"/>
        </w:rPr>
      </w:pPr>
    </w:p>
    <w:p>
      <w:pPr>
        <w:jc w:val="both"/>
        <w:ind w:left="644" w:hanging="644"/>
        <w:spacing w:after="0" w:line="284" w:lineRule="auto"/>
        <w:tabs>
          <w:tab w:leader="none" w:pos="63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Company’s intent is that this RSU award be exempt or excepted from the requirements of Code Section 409A. However, in an abundance of caution, the Company is including in this subsection, certain Code Section 409A rules that only apply if these RSUs are not exempt or excepted, and then only in certain circumstances. Specifically, Code Section 409A contains rules that must apply to these RSUs if (a) they are not exempt or excepted from Code Section 409A, (b) the Company has any stock that is publicly traded on an established securities market or otherwise at the time Participant’s service terminates, (c) Participant receives acceleration of vesting of these RSUs in connection with a termination of service, and (d) at the time of such termination, Participant is considered a “specified employee” under the Code Section 409A rules. Should these rules ever become applicable to Participant’s RSUs, then notwithstanding anything in the Plan, this Agreement or any other agreement (whether entered into before, on or after the Grant Date) to the contrary, if the vesting of these RSUs is accelerated in connection with Participant’s termination as a Service Provider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termination is a “separation from service” within the meaning of Code Section 409A, as determined by the Company), other than due to Participant’s death, and if (x) Participant is a U.S. taxpayer and a “specified employee” within the meaning of Code Section 409A at the time of such termination as a Service Provider and (y) the settlement of such accelerated RSUs will result in the imposition of additional tax under Code Section 409A if such settlement is on or within the six (6) month period following Participant’s termination as a Service Provider, then the settlement of such accelerated RSUs will not occur until the date six (6) months and one (1) day following the date of Participant’s termination as a Service Provider, unless the Participant dies following his or her termination as a Service Provider, in which case, the Shares subject to these RSUs will be settled and issued to the Participant’s administrator or executor of his or her estate as soon as practicable following his or her death (subject to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4"/>
          </w:cols>
          <w:pgMar w:left="976" w:top="1440" w:right="339" w:bottom="1440" w:gutter="0" w:footer="0" w:header="0"/>
        </w:sectPr>
      </w:pPr>
    </w:p>
    <w:bookmarkStart w:id="164" w:name="page165"/>
    <w:bookmarkEnd w:id="164"/>
    <w:p>
      <w:pPr>
        <w:spacing w:after="0" w:line="366" w:lineRule="exact"/>
        <w:rPr>
          <w:sz w:val="20"/>
          <w:szCs w:val="20"/>
          <w:color w:val="auto"/>
        </w:rPr>
      </w:pPr>
    </w:p>
    <w:p>
      <w:pPr>
        <w:jc w:val="both"/>
        <w:ind w:left="660" w:hanging="652"/>
        <w:spacing w:after="0" w:line="286" w:lineRule="auto"/>
        <w:tabs>
          <w:tab w:leader="none" w:pos="66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Forfeiture upon Cessation of Status as a Service Provider. Upon the Participant’s termination as a Service Provider for any reason, other than due to the Participant’s death, these RSUs will immediately stop vesting and any of these RSUs that have not yet vested will be forfeited by the Participant for no consideration upon the date that Participant ceases to be a Service Provider for any reason, in all cases, subject to Applicable Laws. For the avoidance of doubt, service during any portion of the vesting period shall not entitle the Participant to vest in a pro rata portion of unvested RSUs. For purposes of the RSUs, the Participant’s status as a Service Provider will be considered to be terminated as of the date the Participant is no longer providing services to the Company, or if different, the Participant’s employer (the “Employer”) or the Subsidiary or Parent to which the Participant is providing services (the Employer, Subsidiary or Parent, as applicable, the “Service Recipient”) or other member of the Company Group (regardless of the reason for such termination and whether or not later found to be invalid or in breach of employment laws in the jurisdiction where the Participant is a Service Provider or the terms of the Participant’s employment or service agreement, if any). The Administrator shall have the exclusive discretion to determine when the Participant is no longer providing services for purposes of the RSUs (including whether the Participant may still be considered to be providing services while on a leave of absence).</w:t>
      </w:r>
    </w:p>
    <w:p>
      <w:pPr>
        <w:spacing w:after="0" w:line="165" w:lineRule="exact"/>
        <w:rPr>
          <w:rFonts w:ascii="Arial" w:cs="Arial" w:eastAsia="Arial" w:hAnsi="Arial"/>
          <w:sz w:val="19"/>
          <w:szCs w:val="19"/>
          <w:color w:val="auto"/>
        </w:rPr>
      </w:pPr>
    </w:p>
    <w:p>
      <w:pPr>
        <w:jc w:val="both"/>
        <w:ind w:left="660" w:hanging="652"/>
        <w:spacing w:after="0" w:line="297" w:lineRule="auto"/>
        <w:tabs>
          <w:tab w:leader="none" w:pos="66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Death of Participant.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 (b) evidence satisfactory to the Company to establish the validity of the transfer and compliance with any laws or regulations that apply to the transfer.</w:t>
      </w:r>
    </w:p>
    <w:p>
      <w:pPr>
        <w:spacing w:after="0" w:line="146" w:lineRule="exact"/>
        <w:rPr>
          <w:rFonts w:ascii="Arial" w:cs="Arial" w:eastAsia="Arial" w:hAnsi="Arial"/>
          <w:sz w:val="19"/>
          <w:szCs w:val="19"/>
          <w:color w:val="auto"/>
        </w:rPr>
      </w:pPr>
    </w:p>
    <w:p>
      <w:pPr>
        <w:ind w:left="660" w:hanging="652"/>
        <w:spacing w:after="0"/>
        <w:tabs>
          <w:tab w:leader="none" w:pos="66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Tax Obligations.</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1"/>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1960" w:hanging="656"/>
        <w:spacing w:after="0" w:line="259" w:lineRule="auto"/>
        <w:tabs>
          <w:tab w:leader="none" w:pos="1948" w:val="left"/>
        </w:tabs>
        <w:numPr>
          <w:ilvl w:val="2"/>
          <w:numId w:val="108"/>
        </w:numPr>
        <w:rPr>
          <w:rFonts w:ascii="Arial" w:cs="Arial" w:eastAsia="Arial" w:hAnsi="Arial"/>
          <w:sz w:val="21"/>
          <w:szCs w:val="21"/>
          <w:color w:val="auto"/>
        </w:rPr>
      </w:pPr>
      <w:r>
        <w:rPr>
          <w:rFonts w:ascii="Arial" w:cs="Arial" w:eastAsia="Arial" w:hAnsi="Arial"/>
          <w:sz w:val="21"/>
          <w:szCs w:val="21"/>
          <w:color w:val="auto"/>
        </w:rPr>
        <w:t>No Shares will be issued to the Participant until he or she makes satisfactory arrangements (as determined by the Administrator) for the payment of Tax Withholdings. If the Participant is a non-U.S. employee, the method of payment of Tax Withholdings may be restricted by any Appendix (as defined below). If the Participant fails to make satisfactory arrangements for the payment of any Tax Withholdings under this Agreement when any of these RSUs otherwise are supposed to vest or Tax Withholdings related to RSUs otherwise are due, he or she will permanently forfeit the applicable RSUs and any right to receive Shares under such RSUs, and such RSUs will be returned to the Company at no cost to the Company, to the extent permitted by Applicable Laws.</w:t>
      </w:r>
    </w:p>
    <w:p>
      <w:pPr>
        <w:spacing w:after="0" w:line="183" w:lineRule="exact"/>
        <w:rPr>
          <w:rFonts w:ascii="Arial" w:cs="Arial" w:eastAsia="Arial" w:hAnsi="Arial"/>
          <w:sz w:val="21"/>
          <w:szCs w:val="21"/>
          <w:color w:val="auto"/>
        </w:rPr>
      </w:pPr>
    </w:p>
    <w:p>
      <w:pPr>
        <w:jc w:val="both"/>
        <w:ind w:left="1960" w:hanging="656"/>
        <w:spacing w:after="0" w:line="312" w:lineRule="auto"/>
        <w:tabs>
          <w:tab w:leader="none" w:pos="1954" w:val="left"/>
        </w:tabs>
        <w:numPr>
          <w:ilvl w:val="2"/>
          <w:numId w:val="108"/>
        </w:numPr>
        <w:rPr>
          <w:rFonts w:ascii="Arial" w:cs="Arial" w:eastAsia="Arial" w:hAnsi="Arial"/>
          <w:sz w:val="19"/>
          <w:szCs w:val="19"/>
          <w:color w:val="auto"/>
        </w:rPr>
      </w:pPr>
      <w:r>
        <w:rPr>
          <w:rFonts w:ascii="Arial" w:cs="Arial" w:eastAsia="Arial" w:hAnsi="Arial"/>
          <w:sz w:val="19"/>
          <w:szCs w:val="19"/>
          <w:color w:val="auto"/>
        </w:rPr>
        <w:t>The Company has the right (but not the obligation) to satisfy any Tax Withholdings by withholding from proceeds of a sale of Shares acquired upon payment of these RSUs arranged by the Company (on the Participant’s behalf pursuant to this authorization without further consent), and this will be the method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366" w:lineRule="exact"/>
        <w:rPr>
          <w:sz w:val="20"/>
          <w:szCs w:val="20"/>
          <w:color w:val="auto"/>
        </w:rPr>
      </w:pPr>
    </w:p>
    <w:p>
      <w:pPr>
        <w:ind w:left="1304"/>
        <w:spacing w:after="0" w:line="263" w:lineRule="auto"/>
        <w:rPr>
          <w:sz w:val="20"/>
          <w:szCs w:val="20"/>
          <w:color w:val="auto"/>
        </w:rPr>
      </w:pPr>
      <w:r>
        <w:rPr>
          <w:rFonts w:ascii="Arial" w:cs="Arial" w:eastAsia="Arial" w:hAnsi="Arial"/>
          <w:sz w:val="22"/>
          <w:szCs w:val="22"/>
          <w:color w:val="auto"/>
        </w:rPr>
        <w:t>by which such tax withholding obligations are satisfied until the Company determines otherwise, subject to Applicable Laws.</w:t>
      </w:r>
    </w:p>
    <w:p>
      <w:pPr>
        <w:spacing w:after="0" w:line="175" w:lineRule="exact"/>
        <w:rPr>
          <w:sz w:val="20"/>
          <w:szCs w:val="20"/>
          <w:color w:val="auto"/>
        </w:rPr>
      </w:pPr>
    </w:p>
    <w:p>
      <w:pPr>
        <w:jc w:val="both"/>
        <w:ind w:left="1304" w:hanging="656"/>
        <w:spacing w:after="0" w:line="261" w:lineRule="auto"/>
        <w:tabs>
          <w:tab w:leader="none" w:pos="1304"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Company also has the right (but not the obligation) to satisfy any Tax Withholdings: (a) by reducing the number of Shares otherwise deliverable to the Participant; (b) by requiring payment by cash or check made payable to the Company and/or any Service Recipient with respect to which the withholding obligation arises; (c) by deduction of such amount from salary, wages or other compensation payable to the Participant; or (d) in any combination of the foregoing, or any other method determined by the Administrator to be compliance with Applicable Laws.</w:t>
      </w:r>
    </w:p>
    <w:p>
      <w:pPr>
        <w:spacing w:after="0" w:line="179" w:lineRule="exact"/>
        <w:rPr>
          <w:rFonts w:ascii="Arial" w:cs="Arial" w:eastAsia="Arial" w:hAnsi="Arial"/>
          <w:sz w:val="21"/>
          <w:szCs w:val="21"/>
          <w:color w:val="auto"/>
        </w:rPr>
      </w:pPr>
    </w:p>
    <w:p>
      <w:pPr>
        <w:jc w:val="both"/>
        <w:ind w:left="1304" w:hanging="656"/>
        <w:spacing w:after="0" w:line="258" w:lineRule="auto"/>
        <w:tabs>
          <w:tab w:leader="none" w:pos="1292"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Employer(s). If the obligation for Tax Withholdings is satisfied by withholding in Shares, for tax purposes, the Participant will be deemed to have been issued the full number of Shares subject to the vested RSUs, notwithstanding that a number of the Shares is held back solely for the purpose of paying the Tax Withholdings.</w:t>
      </w:r>
    </w:p>
    <w:p>
      <w:pPr>
        <w:spacing w:after="0" w:line="185" w:lineRule="exact"/>
        <w:rPr>
          <w:rFonts w:ascii="Arial" w:cs="Arial" w:eastAsia="Arial" w:hAnsi="Arial"/>
          <w:sz w:val="21"/>
          <w:szCs w:val="21"/>
          <w:color w:val="auto"/>
        </w:rPr>
      </w:pPr>
    </w:p>
    <w:p>
      <w:pPr>
        <w:jc w:val="both"/>
        <w:ind w:left="1304" w:hanging="656"/>
        <w:spacing w:after="0" w:line="271" w:lineRule="auto"/>
        <w:tabs>
          <w:tab w:leader="none" w:pos="1299" w:val="left"/>
        </w:tabs>
        <w:numPr>
          <w:ilvl w:val="1"/>
          <w:numId w:val="109"/>
        </w:numPr>
        <w:rPr>
          <w:rFonts w:ascii="Arial" w:cs="Arial" w:eastAsia="Arial" w:hAnsi="Arial"/>
          <w:sz w:val="21"/>
          <w:szCs w:val="21"/>
          <w:color w:val="auto"/>
        </w:rPr>
      </w:pPr>
      <w:r>
        <w:rPr>
          <w:rFonts w:ascii="Arial" w:cs="Arial" w:eastAsia="Arial" w:hAnsi="Arial"/>
          <w:sz w:val="21"/>
          <w:szCs w:val="21"/>
          <w:color w:val="auto"/>
        </w:rPr>
        <w:t>Further, if the Participant is subject to taxation in more than one jurisdiction between the Grant Date and the date of any relevant taxable or tax withholding event, the Company or the Employer(s) or former Employer(s) may withhold or account for tax in more than one jurisdiction.</w:t>
      </w:r>
    </w:p>
    <w:p>
      <w:pPr>
        <w:spacing w:after="0" w:line="167" w:lineRule="exact"/>
        <w:rPr>
          <w:rFonts w:ascii="Arial" w:cs="Arial" w:eastAsia="Arial" w:hAnsi="Arial"/>
          <w:sz w:val="21"/>
          <w:szCs w:val="21"/>
          <w:color w:val="auto"/>
        </w:rPr>
      </w:pPr>
    </w:p>
    <w:p>
      <w:pPr>
        <w:jc w:val="both"/>
        <w:ind w:left="1304" w:hanging="656"/>
        <w:spacing w:after="0" w:line="259" w:lineRule="auto"/>
        <w:tabs>
          <w:tab w:leader="none" w:pos="1292" w:val="left"/>
        </w:tabs>
        <w:numPr>
          <w:ilvl w:val="1"/>
          <w:numId w:val="109"/>
        </w:numPr>
        <w:rPr>
          <w:rFonts w:ascii="Arial" w:cs="Arial" w:eastAsia="Arial" w:hAnsi="Arial"/>
          <w:sz w:val="21"/>
          <w:szCs w:val="21"/>
          <w:color w:val="auto"/>
        </w:rPr>
      </w:pPr>
      <w:r>
        <w:rPr>
          <w:rFonts w:ascii="Arial" w:cs="Arial" w:eastAsia="Arial" w:hAnsi="Arial"/>
          <w:sz w:val="21"/>
          <w:szCs w:val="21"/>
          <w:color w:val="auto"/>
        </w:rPr>
        <w:t>Regardless of any action of the Company or the Employer(s), the Participant acknowledges that the ultimate liability for all Tax Withholdings and any and all additional taxes related to the Award, the Shares or other amounts or property delivered under the Award and the Participant’s participation in the Plan is and remains his or her responsibility and may exceed the amount actually withheld by the Company or the Employer(s). The Participant further acknowledges that the Company and the Employer(s) (1) make no representations or undertakings regarding the treatment of any Tax Withholdings in connection with any aspect of these RSUs and (2) do not commit to and are under no obligation to structure the terms of the grant or any aspect of these RSUs to reduce or eliminate his or her liability for Tax Withholdings or achieve any particular tax result.</w:t>
      </w:r>
    </w:p>
    <w:p>
      <w:pPr>
        <w:spacing w:after="0" w:line="173" w:lineRule="exact"/>
        <w:rPr>
          <w:rFonts w:ascii="Arial" w:cs="Arial" w:eastAsia="Arial" w:hAnsi="Arial"/>
          <w:sz w:val="21"/>
          <w:szCs w:val="21"/>
          <w:color w:val="auto"/>
        </w:rPr>
      </w:pPr>
    </w:p>
    <w:p>
      <w:pPr>
        <w:jc w:val="both"/>
        <w:ind w:left="644" w:hanging="644"/>
        <w:spacing w:after="0" w:line="252" w:lineRule="auto"/>
        <w:tabs>
          <w:tab w:leader="none" w:pos="639"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It is the intent of this Agreement that it and all issuances and benefits to U.S. taxpayers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be exempt or excepted from the requirements of Code Section 409A pursuant to the “short-term deferral” exception under Code Section 409A, or otherwise be exempted or excepted from, or comply with,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84"/>
          </w:cols>
          <w:pgMar w:left="976" w:top="1440" w:right="339" w:bottom="1440" w:gutter="0" w:footer="0" w:header="0"/>
        </w:sectPr>
      </w:pPr>
    </w:p>
    <w:bookmarkStart w:id="166" w:name="page167"/>
    <w:bookmarkEnd w:id="166"/>
    <w:p>
      <w:pPr>
        <w:spacing w:after="0" w:line="366"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so that none of this Agreement, the RSUs provided under this Agreement, or Shares issuable thereunder will be subject to the additional tax imposed under Code Section 409A, and any ambiguities or ambiguous terms herein will be interpreted to be so exempt or excepted, or to so comply. Each issuance upon settlement of the RSUs under this Agreement is intended to constitute a separate payment for purposes of Treasury Regulation Section 1.409A-2(b)(2). In no event will any member of the Company Group have any liability or obligation to reimburse, indemnify, or hold harmless Participant for any taxes that may be imposed, or other costs incurred, on Participant as a result of Code Section 409A.</w:t>
      </w:r>
    </w:p>
    <w:p>
      <w:pPr>
        <w:spacing w:after="0" w:line="180" w:lineRule="exact"/>
        <w:rPr>
          <w:sz w:val="20"/>
          <w:szCs w:val="20"/>
          <w:color w:val="auto"/>
        </w:rPr>
      </w:pPr>
    </w:p>
    <w:p>
      <w:pPr>
        <w:jc w:val="both"/>
        <w:ind w:left="660" w:hanging="652"/>
        <w:spacing w:after="0" w:line="253" w:lineRule="auto"/>
        <w:tabs>
          <w:tab w:leader="none" w:pos="66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Rights as Stockholder. The Participant’s or any other person’s rights as a stockholder of the Company (including the right to vote and to receive dividends and distributions) will not begin until Shares have been issued and recorded on the records of the Company or its transfer agents or registrars.</w:t>
      </w:r>
    </w:p>
    <w:p>
      <w:pPr>
        <w:spacing w:after="0" w:line="18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Acknowledgements and Agreements. The Participant’s signature on the Notice of Grant accepting these RSUs indicates that:</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97" w:val="left"/>
        </w:tabs>
        <w:numPr>
          <w:ilvl w:val="1"/>
          <w:numId w:val="111"/>
        </w:numPr>
        <w:rPr>
          <w:rFonts w:ascii="Arial" w:cs="Arial" w:eastAsia="Arial" w:hAnsi="Arial"/>
          <w:sz w:val="22"/>
          <w:szCs w:val="22"/>
          <w:color w:val="auto"/>
        </w:rPr>
      </w:pPr>
      <w:r>
        <w:rPr>
          <w:rFonts w:ascii="Arial" w:cs="Arial" w:eastAsia="Arial" w:hAnsi="Arial"/>
          <w:sz w:val="22"/>
          <w:szCs w:val="22"/>
          <w:color w:val="auto"/>
        </w:rPr>
        <w:t>HE OR SHE ACKNOWLEDGES AND AGREES THAT THE VESTING OF THESE RSUS IS EARNED ONLY BY CONTINUING AS A SERVICE PROVIDER AND THAT BEING HIRED OR BEING GRANTED THESE RSUS WILL NOT RESULT IN VESTING.</w:t>
      </w:r>
    </w:p>
    <w:p>
      <w:pPr>
        <w:spacing w:after="0" w:line="185" w:lineRule="exact"/>
        <w:rPr>
          <w:rFonts w:ascii="Arial" w:cs="Arial" w:eastAsia="Arial" w:hAnsi="Arial"/>
          <w:sz w:val="22"/>
          <w:szCs w:val="22"/>
          <w:color w:val="auto"/>
        </w:rPr>
      </w:pPr>
    </w:p>
    <w:p>
      <w:pPr>
        <w:jc w:val="both"/>
        <w:ind w:left="1300" w:hanging="644"/>
        <w:spacing w:after="0" w:line="247" w:lineRule="auto"/>
        <w:tabs>
          <w:tab w:leader="none" w:pos="1295" w:val="left"/>
        </w:tabs>
        <w:numPr>
          <w:ilvl w:val="1"/>
          <w:numId w:val="111"/>
        </w:numPr>
        <w:rPr>
          <w:rFonts w:ascii="Arial" w:cs="Arial" w:eastAsia="Arial" w:hAnsi="Arial"/>
          <w:sz w:val="22"/>
          <w:szCs w:val="22"/>
          <w:color w:val="auto"/>
        </w:rPr>
      </w:pPr>
      <w:r>
        <w:rPr>
          <w:rFonts w:ascii="Arial" w:cs="Arial" w:eastAsia="Arial" w:hAnsi="Arial"/>
          <w:sz w:val="22"/>
          <w:szCs w:val="22"/>
          <w:color w:val="auto"/>
        </w:rPr>
        <w:t>HE OR SHE FURTHER ACKNOWLEDGES AND AGREES THAT THESE RSUS AND THIS AGREEMENT DO NOT CREATE AN EXPRESS OR IMPLIED PROMISE OF CONTINUED ENGAGEMENT AS A SERVICE PROVIDER FOR THE VESTING PERIOD, FOR ANY PERIOD, OR AT ALL AND WILL NOT INTERFERE IN ANY WAY WITH HIS OR HER RIGHT OR THE RIGHT OF THE EMPLOYER(S) TO TERMINATE HIS OR HER RELATIONSHIP AS A SERVICE PROVIDER AT ANY TIME, WITH OR WITHOUT CAUSE, SUBJECT TO APPLICABLE LAWS.</w:t>
      </w:r>
    </w:p>
    <w:p>
      <w:pPr>
        <w:spacing w:after="0" w:line="192" w:lineRule="exact"/>
        <w:rPr>
          <w:rFonts w:ascii="Arial" w:cs="Arial" w:eastAsia="Arial" w:hAnsi="Arial"/>
          <w:sz w:val="22"/>
          <w:szCs w:val="22"/>
          <w:color w:val="auto"/>
        </w:rPr>
      </w:pPr>
    </w:p>
    <w:p>
      <w:pPr>
        <w:jc w:val="both"/>
        <w:ind w:left="1300" w:hanging="644"/>
        <w:spacing w:after="0" w:line="253" w:lineRule="auto"/>
        <w:tabs>
          <w:tab w:leader="none" w:pos="1297"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Participant agrees that this Agreement and its incorporated documents reflect all agreements on its subject matters and that he or she is not accepting this Agreement based on any promises, representations, or inducements other than those reflected in the Agreement.</w:t>
      </w:r>
    </w:p>
    <w:p>
      <w:pPr>
        <w:spacing w:after="0" w:line="185" w:lineRule="exact"/>
        <w:rPr>
          <w:rFonts w:ascii="Arial" w:cs="Arial" w:eastAsia="Arial" w:hAnsi="Arial"/>
          <w:sz w:val="22"/>
          <w:szCs w:val="22"/>
          <w:color w:val="auto"/>
        </w:rPr>
      </w:pPr>
    </w:p>
    <w:p>
      <w:pPr>
        <w:jc w:val="both"/>
        <w:ind w:left="1300" w:hanging="644"/>
        <w:spacing w:after="0" w:line="290" w:lineRule="auto"/>
        <w:tabs>
          <w:tab w:leader="none" w:pos="129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Participant agrees that the Company’s delivery of any documents related to the Plan or these RSUs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366" w:lineRule="exact"/>
        <w:rPr>
          <w:sz w:val="20"/>
          <w:szCs w:val="20"/>
          <w:color w:val="auto"/>
        </w:rPr>
      </w:pPr>
    </w:p>
    <w:p>
      <w:pPr>
        <w:jc w:val="both"/>
        <w:ind w:left="644"/>
        <w:spacing w:after="0" w:line="297" w:lineRule="auto"/>
        <w:rPr>
          <w:sz w:val="20"/>
          <w:szCs w:val="20"/>
          <w:color w:val="auto"/>
        </w:rPr>
      </w:pPr>
      <w:r>
        <w:rPr>
          <w:rFonts w:ascii="Arial" w:cs="Arial" w:eastAsia="Arial" w:hAnsi="Arial"/>
          <w:sz w:val="19"/>
          <w:szCs w:val="19"/>
          <w:color w:val="auto"/>
        </w:rPr>
        <w:t>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w:t>
      </w:r>
    </w:p>
    <w:p>
      <w:pPr>
        <w:spacing w:after="0" w:line="147" w:lineRule="exact"/>
        <w:rPr>
          <w:sz w:val="20"/>
          <w:szCs w:val="20"/>
          <w:color w:val="auto"/>
        </w:rPr>
      </w:pPr>
    </w:p>
    <w:p>
      <w:pPr>
        <w:jc w:val="both"/>
        <w:ind w:left="644" w:hanging="644"/>
        <w:spacing w:after="0" w:line="250" w:lineRule="auto"/>
        <w:tabs>
          <w:tab w:leader="none" w:pos="64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Participant may deliver any documents related to the Plan or these RSUs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w:t>
      </w:r>
    </w:p>
    <w:p>
      <w:pPr>
        <w:spacing w:after="0" w:line="187"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Participant accepts that all good faith decisions or interpretations of the Administrator regarding the Plan and Awards under the Plan are binding, conclusive, and final. No member of the Administrator will be personally liable for any such decisions or interpretations.</w:t>
      </w:r>
    </w:p>
    <w:p>
      <w:pPr>
        <w:spacing w:after="0" w:line="185" w:lineRule="exact"/>
        <w:rPr>
          <w:rFonts w:ascii="Arial" w:cs="Arial" w:eastAsia="Arial" w:hAnsi="Arial"/>
          <w:sz w:val="22"/>
          <w:szCs w:val="22"/>
          <w:color w:val="auto"/>
        </w:rPr>
      </w:pPr>
    </w:p>
    <w:p>
      <w:pPr>
        <w:ind w:left="644" w:hanging="644"/>
        <w:spacing w:after="0" w:line="343" w:lineRule="auto"/>
        <w:tabs>
          <w:tab w:leader="none" w:pos="63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Participant agrees that the Plan is established voluntarily by the Company, is discretionary in nature, and may be amended, suspended, or terminated by the Company at any time, to the extent permitted by the Plan.</w:t>
      </w:r>
    </w:p>
    <w:p>
      <w:pPr>
        <w:spacing w:after="0" w:line="104" w:lineRule="exact"/>
        <w:rPr>
          <w:rFonts w:ascii="Arial" w:cs="Arial" w:eastAsia="Arial" w:hAnsi="Arial"/>
          <w:sz w:val="19"/>
          <w:szCs w:val="19"/>
          <w:color w:val="auto"/>
        </w:rPr>
      </w:pPr>
    </w:p>
    <w:p>
      <w:pPr>
        <w:jc w:val="both"/>
        <w:ind w:left="644" w:hanging="644"/>
        <w:spacing w:after="0" w:line="253" w:lineRule="auto"/>
        <w:tabs>
          <w:tab w:leader="none" w:pos="63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Participant agrees that the grant of these RSUs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Participant agrees that any decisions regarding future Awards will be in the Company’s sole discretion.</w:t>
      </w:r>
    </w:p>
    <w:p>
      <w:pPr>
        <w:spacing w:after="0" w:line="231" w:lineRule="exact"/>
        <w:rPr>
          <w:rFonts w:ascii="Arial" w:cs="Arial" w:eastAsia="Arial" w:hAnsi="Arial"/>
          <w:sz w:val="21"/>
          <w:szCs w:val="21"/>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Participant agrees that he or she is voluntarily participating in the Plan.</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3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Participant agrees that these RSUs and any Shares acquired under these RSUs, and the income from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left="644" w:hanging="644"/>
        <w:spacing w:after="0" w:line="302" w:lineRule="auto"/>
        <w:tabs>
          <w:tab w:leader="none" w:pos="63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Participant agrees that these RSUs, any Shares acquired under these RSUs,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42" w:lineRule="exact"/>
        <w:rPr>
          <w:rFonts w:ascii="Arial" w:cs="Arial" w:eastAsia="Arial" w:hAnsi="Arial"/>
          <w:sz w:val="19"/>
          <w:szCs w:val="19"/>
          <w:color w:val="auto"/>
        </w:rPr>
      </w:pPr>
    </w:p>
    <w:p>
      <w:pPr>
        <w:ind w:left="644" w:hanging="644"/>
        <w:spacing w:after="0" w:line="263" w:lineRule="auto"/>
        <w:tabs>
          <w:tab w:leader="none" w:pos="63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Participant agrees that the future value of the Shares underlying these RSUs is unknown, indeterminable,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4"/>
          </w:cols>
          <w:pgMar w:left="976" w:top="1440" w:right="339" w:bottom="1440" w:gutter="0" w:footer="0" w:header="0"/>
        </w:sectPr>
      </w:pPr>
    </w:p>
    <w:bookmarkStart w:id="168" w:name="page169"/>
    <w:bookmarkEnd w:id="168"/>
    <w:p>
      <w:pPr>
        <w:spacing w:after="0" w:line="366" w:lineRule="exact"/>
        <w:rPr>
          <w:sz w:val="20"/>
          <w:szCs w:val="20"/>
          <w:color w:val="auto"/>
        </w:rPr>
      </w:pPr>
    </w:p>
    <w:p>
      <w:pPr>
        <w:jc w:val="both"/>
        <w:ind w:left="1300" w:hanging="644"/>
        <w:spacing w:after="0" w:line="250" w:lineRule="auto"/>
        <w:tabs>
          <w:tab w:leader="none" w:pos="1295"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Participant agrees that no member of the Company Group is liable for any foreign exchange rate fluctuation between the Participant’s local currency and the United States Dollar that may affect the value of these RSUs or of any amounts due to him or her from the payment of these RSUs or the subsequent sale of any Shares acquired upon such payment.</w:t>
      </w:r>
    </w:p>
    <w:p>
      <w:pPr>
        <w:spacing w:after="0" w:line="187" w:lineRule="exact"/>
        <w:rPr>
          <w:rFonts w:ascii="Arial" w:cs="Arial" w:eastAsia="Arial" w:hAnsi="Arial"/>
          <w:sz w:val="22"/>
          <w:szCs w:val="22"/>
          <w:color w:val="auto"/>
        </w:rPr>
      </w:pPr>
    </w:p>
    <w:p>
      <w:pPr>
        <w:jc w:val="both"/>
        <w:ind w:left="1300" w:hanging="644"/>
        <w:spacing w:after="0" w:line="250" w:lineRule="auto"/>
        <w:tabs>
          <w:tab w:leader="none" w:pos="1295" w:val="left"/>
        </w:tabs>
        <w:numPr>
          <w:ilvl w:val="1"/>
          <w:numId w:val="113"/>
        </w:numPr>
        <w:rPr>
          <w:rFonts w:ascii="Arial" w:cs="Arial" w:eastAsia="Arial" w:hAnsi="Arial"/>
          <w:sz w:val="22"/>
          <w:szCs w:val="22"/>
          <w:color w:val="auto"/>
        </w:rPr>
      </w:pPr>
      <w:r>
        <w:rPr>
          <w:rFonts w:ascii="Arial" w:cs="Arial" w:eastAsia="Arial" w:hAnsi="Arial"/>
          <w:sz w:val="22"/>
          <w:szCs w:val="22"/>
          <w:color w:val="auto"/>
        </w:rPr>
        <w:t>Unless otherwise provided in the Plan or by the Administrator in its discretion, the RSUs and the benefits evidenced in this Agreement do not create any entitlement to have the RSUs or any such benefits transferred to, or assumed by, another company, nor to be exchanged, cashed out or substituted for, in connection with any corporate transaction affecting the Shares.</w:t>
      </w:r>
    </w:p>
    <w:p>
      <w:pPr>
        <w:spacing w:after="0" w:line="187" w:lineRule="exact"/>
        <w:rPr>
          <w:rFonts w:ascii="Arial" w:cs="Arial" w:eastAsia="Arial" w:hAnsi="Arial"/>
          <w:sz w:val="22"/>
          <w:szCs w:val="22"/>
          <w:color w:val="auto"/>
        </w:rPr>
      </w:pPr>
    </w:p>
    <w:p>
      <w:pPr>
        <w:jc w:val="both"/>
        <w:ind w:left="1300" w:hanging="644"/>
        <w:spacing w:after="0" w:line="265" w:lineRule="auto"/>
        <w:tabs>
          <w:tab w:leader="none" w:pos="1295" w:val="left"/>
        </w:tabs>
        <w:numPr>
          <w:ilvl w:val="1"/>
          <w:numId w:val="113"/>
        </w:numPr>
        <w:rPr>
          <w:rFonts w:ascii="Arial" w:cs="Arial" w:eastAsia="Arial" w:hAnsi="Arial"/>
          <w:sz w:val="21"/>
          <w:szCs w:val="21"/>
          <w:color w:val="auto"/>
        </w:rPr>
      </w:pPr>
      <w:r>
        <w:rPr>
          <w:rFonts w:ascii="Arial" w:cs="Arial" w:eastAsia="Arial" w:hAnsi="Arial"/>
          <w:sz w:val="21"/>
          <w:szCs w:val="21"/>
          <w:color w:val="auto"/>
        </w:rPr>
        <w:t>The Participant agrees that he or she has no claim or entitlement to compensation or damages from any forfeiture of these RSUs resulting from the termination of his or her status as a Service Provider (for any reason whatsoever, whether or not later found to be invalid or in breach of employment laws in the jurisdiction where he or she is a Service Provider or the terms of his or her service agreement, if any).</w:t>
      </w:r>
    </w:p>
    <w:p>
      <w:pPr>
        <w:spacing w:after="0" w:line="175" w:lineRule="exact"/>
        <w:rPr>
          <w:rFonts w:ascii="Arial" w:cs="Arial" w:eastAsia="Arial" w:hAnsi="Arial"/>
          <w:sz w:val="21"/>
          <w:szCs w:val="21"/>
          <w:color w:val="auto"/>
        </w:rPr>
      </w:pPr>
    </w:p>
    <w:p>
      <w:pPr>
        <w:ind w:left="660" w:hanging="652"/>
        <w:spacing w:after="0"/>
        <w:tabs>
          <w:tab w:leader="none" w:pos="66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Data Privacy.</w:t>
      </w:r>
    </w:p>
    <w:p>
      <w:pPr>
        <w:spacing w:after="0" w:line="219" w:lineRule="exact"/>
        <w:rPr>
          <w:rFonts w:ascii="Arial" w:cs="Arial" w:eastAsia="Arial" w:hAnsi="Arial"/>
          <w:sz w:val="22"/>
          <w:szCs w:val="22"/>
          <w:color w:val="auto"/>
        </w:rPr>
      </w:pPr>
    </w:p>
    <w:p>
      <w:pPr>
        <w:jc w:val="both"/>
        <w:ind w:left="1300" w:hanging="644"/>
        <w:spacing w:after="0" w:line="265" w:lineRule="auto"/>
        <w:tabs>
          <w:tab w:leader="none" w:pos="1295" w:val="left"/>
        </w:tabs>
        <w:numPr>
          <w:ilvl w:val="1"/>
          <w:numId w:val="114"/>
        </w:numPr>
        <w:rPr>
          <w:rFonts w:ascii="Arial" w:cs="Arial" w:eastAsia="Arial" w:hAnsi="Arial"/>
          <w:sz w:val="21"/>
          <w:szCs w:val="21"/>
          <w:i w:val="1"/>
          <w:iCs w:val="1"/>
          <w:color w:val="auto"/>
        </w:rPr>
      </w:pPr>
      <w:r>
        <w:rPr>
          <w:rFonts w:ascii="Arial" w:cs="Arial" w:eastAsia="Arial" w:hAnsi="Arial"/>
          <w:sz w:val="21"/>
          <w:szCs w:val="21"/>
          <w:i w:val="1"/>
          <w:iCs w:val="1"/>
          <w:color w:val="auto"/>
        </w:rPr>
        <w:t>The Participant voluntarily consents to the collection, use and transfer, in electronic or other form, of his or her personal data as described in this Agreement and any other Award materials (“</w:t>
      </w:r>
      <w:r>
        <w:rPr>
          <w:rFonts w:ascii="Arial" w:cs="Arial" w:eastAsia="Arial" w:hAnsi="Arial"/>
          <w:sz w:val="21"/>
          <w:szCs w:val="21"/>
          <w:i w:val="1"/>
          <w:iCs w:val="1"/>
          <w:u w:val="single" w:color="auto"/>
          <w:color w:val="auto"/>
        </w:rPr>
        <w:t>Data</w:t>
      </w:r>
      <w:r>
        <w:rPr>
          <w:rFonts w:ascii="Arial" w:cs="Arial" w:eastAsia="Arial" w:hAnsi="Arial"/>
          <w:sz w:val="21"/>
          <w:szCs w:val="21"/>
          <w:i w:val="1"/>
          <w:iCs w:val="1"/>
          <w:color w:val="auto"/>
        </w:rPr>
        <w:t>”) by and among, as applicable, the Employer(s), the Company and any member of the Company Group for the exclusive purpose of implementing, administering, and managing his or her participation in the Plan.</w:t>
      </w:r>
    </w:p>
    <w:p>
      <w:pPr>
        <w:spacing w:after="0" w:line="175" w:lineRule="exact"/>
        <w:rPr>
          <w:rFonts w:ascii="Arial" w:cs="Arial" w:eastAsia="Arial" w:hAnsi="Arial"/>
          <w:sz w:val="21"/>
          <w:szCs w:val="21"/>
          <w:i w:val="1"/>
          <w:iCs w:val="1"/>
          <w:color w:val="auto"/>
        </w:rPr>
      </w:pPr>
    </w:p>
    <w:p>
      <w:pPr>
        <w:jc w:val="both"/>
        <w:ind w:left="1300" w:hanging="644"/>
        <w:spacing w:after="0" w:line="261" w:lineRule="auto"/>
        <w:tabs>
          <w:tab w:leader="none" w:pos="1295" w:val="left"/>
        </w:tabs>
        <w:numPr>
          <w:ilvl w:val="1"/>
          <w:numId w:val="114"/>
        </w:numPr>
        <w:rPr>
          <w:rFonts w:ascii="Arial" w:cs="Arial" w:eastAsia="Arial" w:hAnsi="Arial"/>
          <w:sz w:val="21"/>
          <w:szCs w:val="21"/>
          <w:i w:val="1"/>
          <w:iCs w:val="1"/>
          <w:color w:val="auto"/>
        </w:rPr>
      </w:pPr>
      <w:r>
        <w:rPr>
          <w:rFonts w:ascii="Arial" w:cs="Arial" w:eastAsia="Arial" w:hAnsi="Arial"/>
          <w:sz w:val="21"/>
          <w:szCs w:val="21"/>
          <w:i w:val="1"/>
          <w:iCs w:val="1"/>
          <w:color w:val="auto"/>
        </w:rPr>
        <w:t>The Participant understands that the Company and the Employer(s) may hold certain personal information about him or her, including, but not limited to, his or her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his or her favor, for the exclusive purpose of implementing, administering, and managing the Plan.</w:t>
      </w:r>
    </w:p>
    <w:p>
      <w:pPr>
        <w:spacing w:after="0" w:line="179" w:lineRule="exact"/>
        <w:rPr>
          <w:rFonts w:ascii="Arial" w:cs="Arial" w:eastAsia="Arial" w:hAnsi="Arial"/>
          <w:sz w:val="21"/>
          <w:szCs w:val="21"/>
          <w:i w:val="1"/>
          <w:iCs w:val="1"/>
          <w:color w:val="auto"/>
        </w:rPr>
      </w:pPr>
    </w:p>
    <w:p>
      <w:pPr>
        <w:jc w:val="both"/>
        <w:ind w:left="1300" w:hanging="644"/>
        <w:spacing w:after="0" w:line="289" w:lineRule="auto"/>
        <w:tabs>
          <w:tab w:leader="none" w:pos="1297" w:val="left"/>
        </w:tabs>
        <w:numPr>
          <w:ilvl w:val="1"/>
          <w:numId w:val="114"/>
        </w:numPr>
        <w:rPr>
          <w:rFonts w:ascii="Arial" w:cs="Arial" w:eastAsia="Arial" w:hAnsi="Arial"/>
          <w:sz w:val="19"/>
          <w:szCs w:val="19"/>
          <w:i w:val="1"/>
          <w:iCs w:val="1"/>
          <w:color w:val="auto"/>
        </w:rPr>
      </w:pPr>
      <w:r>
        <w:rPr>
          <w:rFonts w:ascii="Arial" w:cs="Arial" w:eastAsia="Arial" w:hAnsi="Arial"/>
          <w:sz w:val="19"/>
          <w:szCs w:val="19"/>
          <w:i w:val="1"/>
          <w:iCs w:val="1"/>
          <w:color w:val="auto"/>
        </w:rPr>
        <w:t>The Participant understands that Data will be transferred to one or more stock plan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66"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i w:val="1"/>
          <w:iCs w:val="1"/>
          <w:color w:val="auto"/>
        </w:rPr>
        <w:t>transfer the Data, in electronic or other form, for the sole purposes of implementing, administering and managing his or her participation in the Plan.</w:t>
      </w:r>
    </w:p>
    <w:p>
      <w:pPr>
        <w:spacing w:after="0" w:line="175" w:lineRule="exact"/>
        <w:rPr>
          <w:sz w:val="20"/>
          <w:szCs w:val="20"/>
          <w:color w:val="auto"/>
        </w:rPr>
      </w:pPr>
    </w:p>
    <w:p>
      <w:pPr>
        <w:jc w:val="both"/>
        <w:ind w:left="1300" w:hanging="644"/>
        <w:spacing w:after="0" w:line="286" w:lineRule="auto"/>
        <w:tabs>
          <w:tab w:leader="none" w:pos="1295" w:val="left"/>
        </w:tabs>
        <w:numPr>
          <w:ilvl w:val="1"/>
          <w:numId w:val="115"/>
        </w:numPr>
        <w:rPr>
          <w:rFonts w:ascii="Arial" w:cs="Arial" w:eastAsia="Arial" w:hAnsi="Arial"/>
          <w:sz w:val="19"/>
          <w:szCs w:val="19"/>
          <w:i w:val="1"/>
          <w:iCs w:val="1"/>
          <w:color w:val="auto"/>
        </w:rPr>
      </w:pPr>
      <w:r>
        <w:rPr>
          <w:rFonts w:ascii="Arial" w:cs="Arial" w:eastAsia="Arial" w:hAnsi="Arial"/>
          <w:sz w:val="19"/>
          <w:szCs w:val="19"/>
          <w:i w:val="1"/>
          <w:iCs w:val="1"/>
          <w:color w:val="auto"/>
        </w:rPr>
        <w:t>The Participant understands that Data will be held only as long as is necessary to implement, administer and manage his or her participation in the Plan. The Participant understands that if he or she resides in certain jurisdictions outside the United States, to the extent required by Applicable Laws, he or she may, at any time, request access to Data, request additional information about the storage and processing of Data, require any necessary amendments to Data or refuse or withdraw the consents given by accepting these RSUs,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Employer(s) will not be adversely affected; the only consequence of refusing or withdrawing his or her consent is that the Company will not be able to grant him or her awards under the Plan or administer or maintain awards. Therefore, the Participant understands that refusing or withdrawing his or her consent may affect his or her ability to participate in the Plan (including the right to retain these RSUs). The Participant understands that he or she may contact his or her local human resources representative for more information on the consequences of his or her refusal to consent or withdrawal of consent.</w:t>
      </w:r>
    </w:p>
    <w:p>
      <w:pPr>
        <w:spacing w:after="0" w:line="200" w:lineRule="exact"/>
        <w:rPr>
          <w:rFonts w:ascii="Arial" w:cs="Arial" w:eastAsia="Arial" w:hAnsi="Arial"/>
          <w:sz w:val="19"/>
          <w:szCs w:val="19"/>
          <w:i w:val="1"/>
          <w:iCs w:val="1"/>
          <w:color w:val="auto"/>
        </w:rPr>
      </w:pPr>
    </w:p>
    <w:p>
      <w:pPr>
        <w:spacing w:after="0" w:line="222" w:lineRule="exact"/>
        <w:rPr>
          <w:rFonts w:ascii="Arial" w:cs="Arial" w:eastAsia="Arial" w:hAnsi="Arial"/>
          <w:sz w:val="19"/>
          <w:szCs w:val="19"/>
          <w:i w:val="1"/>
          <w:iCs w:val="1"/>
          <w:color w:val="auto"/>
        </w:rPr>
      </w:pPr>
    </w:p>
    <w:p>
      <w:pPr>
        <w:jc w:val="both"/>
        <w:ind w:left="660" w:hanging="652"/>
        <w:spacing w:after="0" w:line="257" w:lineRule="auto"/>
        <w:tabs>
          <w:tab w:leader="none" w:pos="652"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Insider Trading Restrictions/Market Abuse Laws. The Participant acknowledges that he or she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RSUs)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w:t>
      </w:r>
    </w:p>
    <w:p>
      <w:pPr>
        <w:spacing w:after="0" w:line="190" w:lineRule="exact"/>
        <w:rPr>
          <w:rFonts w:ascii="Arial" w:cs="Arial" w:eastAsia="Arial" w:hAnsi="Arial"/>
          <w:sz w:val="21"/>
          <w:szCs w:val="21"/>
          <w:color w:val="auto"/>
        </w:rPr>
      </w:pPr>
    </w:p>
    <w:p>
      <w:pPr>
        <w:jc w:val="both"/>
        <w:ind w:left="660" w:hanging="652"/>
        <w:spacing w:after="0" w:line="260" w:lineRule="auto"/>
        <w:tabs>
          <w:tab w:leader="none" w:pos="660"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Foreign Asset/Account Reporting Requirements. Depending on the Participant’s country, the Participant may be subject to foreign asset/account, exchange control and/or tax reporting requirements as a result of the vesting of the RSUs,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sale proceeds or other funds received as a result of his or her participation in the Plan to his or her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3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u w:val="single" w:color="auto"/>
          <w:color w:val="auto"/>
        </w:rPr>
        <w:t>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w:t>
      </w:r>
    </w:p>
    <w:p>
      <w:pPr>
        <w:spacing w:after="0" w:line="188"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19" w:lineRule="exact"/>
        <w:rPr>
          <w:rFonts w:ascii="Arial" w:cs="Arial" w:eastAsia="Arial" w:hAnsi="Arial"/>
          <w:sz w:val="22"/>
          <w:szCs w:val="22"/>
          <w:color w:val="auto"/>
        </w:rPr>
      </w:pPr>
    </w:p>
    <w:p>
      <w:pPr>
        <w:jc w:val="both"/>
        <w:ind w:left="1300" w:hanging="644"/>
        <w:spacing w:after="0" w:line="265" w:lineRule="auto"/>
        <w:tabs>
          <w:tab w:leader="none" w:pos="1297"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Address for Notices</w:t>
      </w:r>
      <w:r>
        <w:rPr>
          <w:rFonts w:ascii="Arial" w:cs="Arial" w:eastAsia="Arial" w:hAnsi="Arial"/>
          <w:sz w:val="21"/>
          <w:szCs w:val="21"/>
          <w:color w:val="auto"/>
        </w:rPr>
        <w:t>. Any notice to be given to the Company under the terms of this Agreement must be addressed to the Company at Upstart Holdings, Inc., 2950 S. Delaware Street, Suite 300, San Mateo, CA 94403, USA, and a copy of such notice must be delivered to the Company through electronic mail addressed to notice@upstart.com, until the Company designates another address in writing.</w:t>
      </w:r>
    </w:p>
    <w:p>
      <w:pPr>
        <w:spacing w:after="0" w:line="175" w:lineRule="exact"/>
        <w:rPr>
          <w:rFonts w:ascii="Arial" w:cs="Arial" w:eastAsia="Arial" w:hAnsi="Arial"/>
          <w:sz w:val="21"/>
          <w:szCs w:val="21"/>
          <w:color w:val="auto"/>
        </w:rPr>
      </w:pPr>
    </w:p>
    <w:p>
      <w:pPr>
        <w:ind w:left="1300" w:right="20" w:hanging="644"/>
        <w:spacing w:after="0" w:line="263" w:lineRule="auto"/>
        <w:tabs>
          <w:tab w:leader="none" w:pos="1295"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Non-Transferability of RSUs</w:t>
      </w:r>
      <w:r>
        <w:rPr>
          <w:rFonts w:ascii="Arial" w:cs="Arial" w:eastAsia="Arial" w:hAnsi="Arial"/>
          <w:sz w:val="22"/>
          <w:szCs w:val="22"/>
          <w:color w:val="auto"/>
        </w:rPr>
        <w:t>. These RSUs may not be transferred other than by will or the applicable laws of descent or distribution.</w:t>
      </w:r>
    </w:p>
    <w:p>
      <w:pPr>
        <w:spacing w:after="0" w:line="168" w:lineRule="exact"/>
        <w:rPr>
          <w:rFonts w:ascii="Arial" w:cs="Arial" w:eastAsia="Arial" w:hAnsi="Arial"/>
          <w:sz w:val="22"/>
          <w:szCs w:val="22"/>
          <w:color w:val="auto"/>
        </w:rPr>
      </w:pPr>
    </w:p>
    <w:p>
      <w:pPr>
        <w:ind w:left="1300" w:hanging="644"/>
        <w:spacing w:after="0" w:line="349" w:lineRule="auto"/>
        <w:tabs>
          <w:tab w:leader="none" w:pos="1297" w:val="left"/>
        </w:tabs>
        <w:numPr>
          <w:ilvl w:val="1"/>
          <w:numId w:val="117"/>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Agreement</w:t>
      </w:r>
      <w:r>
        <w:rPr>
          <w:rFonts w:ascii="Arial" w:cs="Arial" w:eastAsia="Arial" w:hAnsi="Arial"/>
          <w:sz w:val="19"/>
          <w:szCs w:val="19"/>
          <w:color w:val="auto"/>
        </w:rPr>
        <w:t>. If any RSUs are transferred, this Agreement will be binding upon and inure to the benefit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heirs, legatees, legal representatives, successors, and assigns of the parties to this Agreement.</w:t>
      </w:r>
    </w:p>
    <w:p>
      <w:pPr>
        <w:spacing w:after="0" w:line="93" w:lineRule="exact"/>
        <w:rPr>
          <w:rFonts w:ascii="Arial" w:cs="Arial" w:eastAsia="Arial" w:hAnsi="Arial"/>
          <w:sz w:val="19"/>
          <w:szCs w:val="19"/>
          <w:color w:val="auto"/>
        </w:rPr>
      </w:pPr>
    </w:p>
    <w:p>
      <w:pPr>
        <w:jc w:val="both"/>
        <w:ind w:left="1300" w:hanging="644"/>
        <w:spacing w:after="0" w:line="286" w:lineRule="auto"/>
        <w:tabs>
          <w:tab w:leader="none" w:pos="1295" w:val="left"/>
        </w:tabs>
        <w:numPr>
          <w:ilvl w:val="1"/>
          <w:numId w:val="117"/>
        </w:numPr>
        <w:rPr>
          <w:rFonts w:ascii="Arial" w:cs="Arial" w:eastAsia="Arial" w:hAnsi="Arial"/>
          <w:sz w:val="19"/>
          <w:szCs w:val="19"/>
          <w:color w:val="auto"/>
        </w:rPr>
      </w:pPr>
      <w:r>
        <w:rPr>
          <w:rFonts w:ascii="Arial" w:cs="Arial" w:eastAsia="Arial" w:hAnsi="Arial"/>
          <w:sz w:val="19"/>
          <w:szCs w:val="19"/>
          <w:b w:val="1"/>
          <w:bCs w:val="1"/>
          <w:u w:val="single" w:color="auto"/>
          <w:color w:val="auto"/>
        </w:rPr>
        <w:t>Additional Conditions to Issuance of Stock</w:t>
      </w:r>
      <w:r>
        <w:rPr>
          <w:rFonts w:ascii="Arial" w:cs="Arial" w:eastAsia="Arial" w:hAnsi="Arial"/>
          <w:sz w:val="19"/>
          <w:szCs w:val="19"/>
          <w:color w:val="auto"/>
        </w:rPr>
        <w:t>. If at any time the Company determines, in its discretion,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with respect to a Restricted Stock Unit in a manner that would allow it to be settled by the applicable Settlement Deadline, such Restricted Stock Unit will be forfeited as of immediately following the Settlement Deadline for no consideration and at no cost to the Company. Subject to the terms of this Agreement and the Plan, the Company shall not be required to issue any certificate or certificates for Shares hereunder prior to the lapse of such reasonable period of time following the date of vesting of a Restricted Stock Unit as the Administrator may establish from time to time for reasons of administrative convenience and any such certificate may be in book entry form.</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1300" w:hanging="644"/>
        <w:spacing w:after="0" w:line="269" w:lineRule="auto"/>
        <w:tabs>
          <w:tab w:leader="none" w:pos="1297" w:val="left"/>
        </w:tabs>
        <w:numPr>
          <w:ilvl w:val="1"/>
          <w:numId w:val="117"/>
        </w:numPr>
        <w:rPr>
          <w:rFonts w:ascii="Arial" w:cs="Arial" w:eastAsia="Arial" w:hAnsi="Arial"/>
          <w:sz w:val="22"/>
          <w:szCs w:val="22"/>
          <w:color w:val="auto"/>
        </w:rPr>
      </w:pPr>
      <w:r>
        <w:rPr>
          <w:rFonts w:ascii="Arial" w:cs="Arial" w:eastAsia="Arial" w:hAnsi="Arial"/>
          <w:sz w:val="22"/>
          <w:szCs w:val="22"/>
          <w:b w:val="1"/>
          <w:bCs w:val="1"/>
          <w:u w:val="single" w:color="auto"/>
          <w:color w:val="auto"/>
        </w:rPr>
        <w:t>Captions</w:t>
      </w:r>
      <w:r>
        <w:rPr>
          <w:rFonts w:ascii="Arial" w:cs="Arial" w:eastAsia="Arial" w:hAnsi="Arial"/>
          <w:sz w:val="22"/>
          <w:szCs w:val="22"/>
          <w:color w:val="auto"/>
        </w:rPr>
        <w:t>. Captions provided in this Agreement are for convenience only and are not to serve as a basis for</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interpretation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60" w:lineRule="exact"/>
        <w:rPr>
          <w:sz w:val="20"/>
          <w:szCs w:val="20"/>
          <w:color w:val="auto"/>
        </w:rPr>
      </w:pPr>
    </w:p>
    <w:p>
      <w:pPr>
        <w:jc w:val="both"/>
        <w:ind w:left="644" w:hanging="644"/>
        <w:spacing w:after="0" w:line="256" w:lineRule="auto"/>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 Severable</w:t>
      </w:r>
      <w:r>
        <w:rPr>
          <w:rFonts w:ascii="Arial" w:cs="Arial" w:eastAsia="Arial" w:hAnsi="Arial"/>
          <w:sz w:val="22"/>
          <w:szCs w:val="22"/>
          <w:color w:val="auto"/>
        </w:rPr>
        <w:t>. If any provision of this Agreement is held invalid or unenforceable, that provision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severed from the remaining provisions of this Agreement and the invalidity or unenforceability will have no effect on the remainder of the Agreement.</w:t>
      </w:r>
    </w:p>
    <w:p>
      <w:pPr>
        <w:spacing w:after="0" w:line="176" w:lineRule="exact"/>
        <w:rPr>
          <w:rFonts w:ascii="Arial" w:cs="Arial" w:eastAsia="Arial" w:hAnsi="Arial"/>
          <w:sz w:val="22"/>
          <w:szCs w:val="22"/>
          <w:color w:val="auto"/>
        </w:rPr>
      </w:pPr>
    </w:p>
    <w:p>
      <w:pPr>
        <w:jc w:val="both"/>
        <w:ind w:left="644" w:hanging="644"/>
        <w:spacing w:after="0" w:line="249" w:lineRule="auto"/>
        <w:tabs>
          <w:tab w:leader="none" w:pos="639"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Non-U.S. Appendix</w:t>
      </w:r>
      <w:r>
        <w:rPr>
          <w:rFonts w:ascii="Arial" w:cs="Arial" w:eastAsia="Arial" w:hAnsi="Arial"/>
          <w:sz w:val="22"/>
          <w:szCs w:val="22"/>
          <w:color w:val="auto"/>
        </w:rPr>
        <w:t>. These RSUs are subject to any special terms and conditions set forth in any appendix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for the Participant’s country (the “</w:t>
      </w: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If the Participant relocates to a country included in such Appendix, the special terms and conditions for that country will apply to him or her to the extent the Company determines that applying such terms and conditions is necessary or advisable for legal or administrative reasons.</w:t>
      </w:r>
    </w:p>
    <w:p>
      <w:pPr>
        <w:spacing w:after="0" w:line="186" w:lineRule="exact"/>
        <w:rPr>
          <w:rFonts w:ascii="Arial" w:cs="Arial" w:eastAsia="Arial" w:hAnsi="Arial"/>
          <w:sz w:val="22"/>
          <w:szCs w:val="22"/>
          <w:color w:val="auto"/>
        </w:rPr>
      </w:pPr>
    </w:p>
    <w:p>
      <w:pPr>
        <w:jc w:val="both"/>
        <w:ind w:left="644" w:hanging="644"/>
        <w:spacing w:after="0" w:line="289" w:lineRule="auto"/>
        <w:tabs>
          <w:tab w:leader="none" w:pos="639" w:val="left"/>
        </w:tabs>
        <w:numPr>
          <w:ilvl w:val="0"/>
          <w:numId w:val="118"/>
        </w:numPr>
        <w:rPr>
          <w:rFonts w:ascii="Arial" w:cs="Arial" w:eastAsia="Arial" w:hAnsi="Arial"/>
          <w:sz w:val="19"/>
          <w:szCs w:val="19"/>
          <w:color w:val="auto"/>
        </w:rPr>
      </w:pPr>
      <w:r>
        <w:rPr>
          <w:rFonts w:ascii="Arial" w:cs="Arial" w:eastAsia="Arial" w:hAnsi="Arial"/>
          <w:sz w:val="19"/>
          <w:szCs w:val="19"/>
          <w:b w:val="1"/>
          <w:bCs w:val="1"/>
          <w:u w:val="single" w:color="auto"/>
          <w:color w:val="auto"/>
        </w:rPr>
        <w:t>Imposition of Other Requirements</w:t>
      </w:r>
      <w:r>
        <w:rPr>
          <w:rFonts w:ascii="Arial" w:cs="Arial" w:eastAsia="Arial" w:hAnsi="Arial"/>
          <w:sz w:val="19"/>
          <w:szCs w:val="19"/>
          <w:b w:val="1"/>
          <w:bCs w:val="1"/>
          <w:color w:val="auto"/>
        </w:rPr>
        <w:t>.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 provided, however, that no such imposition of other requirements shall occur or be effective unless such imposition would result in these RSUs remaining exempt or excepted from the requirements of Code Section 409A pursuant to the “short-term deferral” exception or another exception or exemption under Code Section 409A, or otherwise complying with Code Section 409A, in each case such that none of this Agreement, the RSUs provided under this Agreement, or Shares, cash or other property issuable hereunder will be subject to the additional tax imposed under Code Section 409A.</w:t>
      </w:r>
    </w:p>
    <w:p>
      <w:pPr>
        <w:spacing w:after="0" w:line="150" w:lineRule="exact"/>
        <w:rPr>
          <w:rFonts w:ascii="Arial" w:cs="Arial" w:eastAsia="Arial" w:hAnsi="Arial"/>
          <w:sz w:val="19"/>
          <w:szCs w:val="19"/>
          <w:color w:val="auto"/>
        </w:rPr>
      </w:pPr>
    </w:p>
    <w:p>
      <w:pPr>
        <w:jc w:val="both"/>
        <w:ind w:left="644" w:hanging="644"/>
        <w:spacing w:after="0" w:line="293" w:lineRule="auto"/>
        <w:tabs>
          <w:tab w:leader="none" w:pos="632" w:val="left"/>
        </w:tabs>
        <w:numPr>
          <w:ilvl w:val="0"/>
          <w:numId w:val="118"/>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Choice of Forum</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this Agreement, these RSUs, and all determinations made and</w:t>
      </w:r>
      <w:r>
        <w:rPr>
          <w:rFonts w:ascii="Arial" w:cs="Arial" w:eastAsia="Arial" w:hAnsi="Arial"/>
          <w:sz w:val="19"/>
          <w:szCs w:val="19"/>
          <w:b w:val="1"/>
          <w:bCs w:val="1"/>
          <w:color w:val="auto"/>
        </w:rPr>
        <w:t xml:space="preserve"> </w:t>
      </w:r>
      <w:r>
        <w:rPr>
          <w:rFonts w:ascii="Arial" w:cs="Arial" w:eastAsia="Arial" w:hAnsi="Arial"/>
          <w:sz w:val="19"/>
          <w:szCs w:val="19"/>
          <w:color w:val="auto"/>
        </w:rPr>
        <w:t>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these RSUs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w:t>
      </w:r>
    </w:p>
    <w:p>
      <w:pPr>
        <w:spacing w:after="0" w:line="144" w:lineRule="exact"/>
        <w:rPr>
          <w:rFonts w:ascii="Arial" w:cs="Arial" w:eastAsia="Arial" w:hAnsi="Arial"/>
          <w:sz w:val="19"/>
          <w:szCs w:val="19"/>
          <w:color w:val="auto"/>
        </w:rPr>
      </w:pPr>
    </w:p>
    <w:p>
      <w:pPr>
        <w:jc w:val="both"/>
        <w:ind w:left="644" w:hanging="644"/>
        <w:spacing w:after="0" w:line="291" w:lineRule="auto"/>
        <w:tabs>
          <w:tab w:leader="none" w:pos="632" w:val="left"/>
        </w:tabs>
        <w:numPr>
          <w:ilvl w:val="0"/>
          <w:numId w:val="118"/>
        </w:numPr>
        <w:rPr>
          <w:rFonts w:ascii="Arial" w:cs="Arial" w:eastAsia="Arial" w:hAnsi="Arial"/>
          <w:sz w:val="19"/>
          <w:szCs w:val="19"/>
          <w:color w:val="auto"/>
        </w:rPr>
      </w:pPr>
      <w:r>
        <w:rPr>
          <w:rFonts w:ascii="Arial" w:cs="Arial" w:eastAsia="Arial" w:hAnsi="Arial"/>
          <w:sz w:val="19"/>
          <w:szCs w:val="19"/>
          <w:b w:val="1"/>
          <w:bCs w:val="1"/>
          <w:u w:val="single" w:color="auto"/>
          <w:color w:val="auto"/>
        </w:rPr>
        <w:t>Modifications to the Agreement</w:t>
      </w:r>
      <w:r>
        <w:rPr>
          <w:rFonts w:ascii="Arial" w:cs="Arial" w:eastAsia="Arial" w:hAnsi="Arial"/>
          <w:sz w:val="19"/>
          <w:szCs w:val="19"/>
          <w:color w:val="auto"/>
        </w:rPr>
        <w:t>. The Plan and this Agreement constitute the entire understanding of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subjects covered. The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in the Plan or this Agreement to the contrary, but subject to Section 13(h), the Administrator may, without the consent of the Participant, modify this Agreement in any of the following manners: (a) take any action permitted by Section 4 of this Agreement, including to waive or decrease, in whole or in part, some or all of the requirements required for vesting of all 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84"/>
          </w:cols>
          <w:pgMar w:left="976" w:top="1440" w:right="339" w:bottom="1440" w:gutter="0" w:footer="0" w:header="0"/>
        </w:sectPr>
      </w:pPr>
    </w:p>
    <w:bookmarkStart w:id="172" w:name="page173"/>
    <w:bookmarkEnd w:id="172"/>
    <w:p>
      <w:pPr>
        <w:spacing w:after="0" w:line="366" w:lineRule="exact"/>
        <w:rPr>
          <w:sz w:val="20"/>
          <w:szCs w:val="20"/>
          <w:color w:val="auto"/>
        </w:rPr>
      </w:pPr>
    </w:p>
    <w:p>
      <w:pPr>
        <w:jc w:val="both"/>
        <w:ind w:left="644"/>
        <w:spacing w:after="0" w:line="248" w:lineRule="auto"/>
        <w:rPr>
          <w:sz w:val="20"/>
          <w:szCs w:val="20"/>
          <w:color w:val="auto"/>
        </w:rPr>
      </w:pPr>
      <w:r>
        <w:rPr>
          <w:rFonts w:ascii="Arial" w:cs="Arial" w:eastAsia="Arial" w:hAnsi="Arial"/>
          <w:sz w:val="22"/>
          <w:szCs w:val="22"/>
          <w:color w:val="auto"/>
        </w:rPr>
        <w:t>a portion of the unvested RSUs; or (b) waive or decrease some or all of the requirements for settlement of RSUs. The Company reserves the right to revise this Agreement as it deems necessary or advisable, in its sole discretion and without the consent of the Participant, to comply with Code Section 409A, to otherwise avoid imposition of any additional tax or income recognition under Code Section 409A in connection with these RSUs, or to comply with other Applicable Laws.</w:t>
      </w:r>
    </w:p>
    <w:p>
      <w:pPr>
        <w:spacing w:after="0" w:line="186" w:lineRule="exact"/>
        <w:rPr>
          <w:sz w:val="20"/>
          <w:szCs w:val="20"/>
          <w:color w:val="auto"/>
        </w:rPr>
      </w:pPr>
    </w:p>
    <w:p>
      <w:pPr>
        <w:jc w:val="both"/>
        <w:ind w:left="644" w:right="20" w:hanging="644"/>
        <w:spacing w:after="0" w:line="256" w:lineRule="auto"/>
        <w:tabs>
          <w:tab w:leader="none" w:pos="639" w:val="left"/>
        </w:tabs>
        <w:numPr>
          <w:ilvl w:val="0"/>
          <w:numId w:val="119"/>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The Participant acknowledges that a waiver by the Company of a breach of any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not operate or be construed as a waiver of any other provision of this Agreement or of any subsequent breach of this Agreement by him or her.</w:t>
      </w:r>
    </w:p>
    <w:p>
      <w:pPr>
        <w:spacing w:after="0" w:line="182" w:lineRule="exact"/>
        <w:rPr>
          <w:rFonts w:ascii="Arial" w:cs="Arial" w:eastAsia="Arial" w:hAnsi="Arial"/>
          <w:sz w:val="22"/>
          <w:szCs w:val="22"/>
          <w:color w:val="auto"/>
        </w:rPr>
      </w:pPr>
    </w:p>
    <w:p>
      <w:pPr>
        <w:jc w:val="both"/>
        <w:ind w:left="644" w:hanging="644"/>
        <w:spacing w:after="0" w:line="263" w:lineRule="auto"/>
        <w:tabs>
          <w:tab w:leader="none" w:pos="632"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Language</w:t>
      </w:r>
      <w:r>
        <w:rPr>
          <w:rFonts w:ascii="Arial" w:cs="Arial" w:eastAsia="Arial" w:hAnsi="Arial"/>
          <w:sz w:val="21"/>
          <w:szCs w:val="21"/>
          <w:color w:val="auto"/>
        </w:rPr>
        <w:t>. The Participant acknowledges that the Participant is sufficiently proficient in English, or has consulted with an advisor who is sufficiently proficient in English, so as to allow the Participant to understand the terms of this Agreement. If Participant has received this Agreement, or any other document related to these RSUs and/or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84"/>
          </w:cols>
          <w:pgMar w:left="976" w:top="1440" w:right="339" w:bottom="1440" w:gutter="0" w:footer="0" w:header="0"/>
        </w:sectPr>
      </w:pPr>
    </w:p>
    <w:bookmarkStart w:id="173" w:name="page174"/>
    <w:bookmarkEnd w:id="173"/>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UPSTART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2020 EQUITY INCENTIVE PLAN</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STOCK OPTION GRANT AND STOCK OPTION AGREEMENT</w:t>
      </w:r>
    </w:p>
    <w:p>
      <w:pPr>
        <w:spacing w:after="0" w:line="226"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auto"/>
        </w:rPr>
        <w:t>Capitalized terms that are not defined in this Notice of Stock Option Grant and Stock Option Agreement (the “</w:t>
      </w:r>
      <w:r>
        <w:rPr>
          <w:rFonts w:ascii="Arial" w:cs="Arial" w:eastAsia="Arial" w:hAnsi="Arial"/>
          <w:sz w:val="19"/>
          <w:szCs w:val="19"/>
          <w:u w:val="single" w:color="auto"/>
          <w:color w:val="auto"/>
        </w:rPr>
        <w:t>Notice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w:t>
      </w:r>
      <w:r>
        <w:rPr>
          <w:rFonts w:ascii="Arial" w:cs="Arial" w:eastAsia="Arial" w:hAnsi="Arial"/>
          <w:sz w:val="19"/>
          <w:szCs w:val="19"/>
          <w:color w:val="auto"/>
        </w:rPr>
        <w:t>”), the Terms and Conditions of Stock Option Grant and all other exhibits to these documents (all together, the “</w:t>
      </w:r>
      <w:r>
        <w:rPr>
          <w:rFonts w:ascii="Arial" w:cs="Arial" w:eastAsia="Arial" w:hAnsi="Arial"/>
          <w:sz w:val="19"/>
          <w:szCs w:val="19"/>
          <w:u w:val="single" w:color="auto"/>
          <w:color w:val="auto"/>
        </w:rPr>
        <w:t>Agreement</w:t>
      </w:r>
      <w:r>
        <w:rPr>
          <w:rFonts w:ascii="Arial" w:cs="Arial" w:eastAsia="Arial" w:hAnsi="Arial"/>
          <w:sz w:val="19"/>
          <w:szCs w:val="19"/>
          <w:color w:val="auto"/>
        </w:rPr>
        <w:t>”) have the meanings given to them in the Upstart Holdings, Inc. 2020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Participant has been granted an Option according to the terms below and subject to the terms and conditions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 and this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-17780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Participant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-17780</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-17780</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1570355</wp:posOffset>
            </wp:positionH>
            <wp:positionV relativeFrom="paragraph">
              <wp:posOffset>-17780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-17780</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-17780</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-17780</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2067560</wp:posOffset>
            </wp:positionH>
            <wp:positionV relativeFrom="paragraph">
              <wp:posOffset>-17780</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22"/>
          <w:szCs w:val="22"/>
          <w:color w:val="auto"/>
        </w:rPr>
        <w:t>Type of Option</w:t>
      </w:r>
      <w:r>
        <w:rPr>
          <w:sz w:val="20"/>
          <w:szCs w:val="20"/>
          <w:color w:val="auto"/>
        </w:rPr>
        <w:tab/>
      </w:r>
      <w:r>
        <w:rPr>
          <w:rFonts w:ascii="Arial" w:cs="Arial" w:eastAsia="Arial" w:hAnsi="Arial"/>
          <w:sz w:val="19"/>
          <w:szCs w:val="19"/>
          <w:color w:val="auto"/>
        </w:rPr>
        <w:t>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-17780</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-17780</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-17780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Vesting Schedule:</w:t>
      </w:r>
    </w:p>
    <w:p>
      <w:pPr>
        <w:spacing w:after="0" w:line="98"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Subject to the conditions set forth in this Agreement, this Option shall be exercisable, in whole or in part, according to the following vesting schedule (as such vesting schedule may be amended or modified from time to time in accordance with this Agreement and the Plan):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auto"/>
          <w:highlight w:val="yellow"/>
        </w:rPr>
        <w:t>______________</w:t>
      </w:r>
      <w:r>
        <w:rPr>
          <w:rFonts w:ascii="Arial" w:cs="Arial" w:eastAsia="Arial" w:hAnsi="Arial"/>
          <w:sz w:val="22"/>
          <w:szCs w:val="22"/>
          <w:color w:val="auto"/>
        </w:rPr>
        <w:t>]</w:t>
      </w:r>
    </w:p>
    <w:p>
      <w:pPr>
        <w:spacing w:after="0" w:line="220"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Notwithstanding the foregoing, in the event the Participant ceases to be a Service Provider due to the Participant’s death, 100% of the then-outstanding and unvested Shares subject to this Option will accelerate and fully vest.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174" w:name="page175"/>
    <w:bookmarkEnd w:id="174"/>
    <w:p>
      <w:pPr>
        <w:spacing w:after="0" w:line="366"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For the avoidance of doubt, in the event of any conflict, discrepancy, or inconsistency between the vesting schedule set forth above and the document or action of the Board or its authorized committee approving this Option pursuant to the Plan (the “</w:t>
      </w:r>
      <w:r>
        <w:rPr>
          <w:rFonts w:ascii="Arial" w:cs="Arial" w:eastAsia="Arial" w:hAnsi="Arial"/>
          <w:sz w:val="22"/>
          <w:szCs w:val="22"/>
          <w:u w:val="single" w:color="auto"/>
          <w:color w:val="auto"/>
        </w:rPr>
        <w:t>Approval</w:t>
      </w:r>
      <w:r>
        <w:rPr>
          <w:rFonts w:ascii="Arial" w:cs="Arial" w:eastAsia="Arial" w:hAnsi="Arial"/>
          <w:sz w:val="22"/>
          <w:szCs w:val="22"/>
          <w:color w:val="auto"/>
        </w:rPr>
        <w:t>”), the Approval shall govern the initial vesting terms. Any portion of this Option that shall vest on a monthly basis per such vesting schedule shall vest on the same day of the applicable vesting month as the Vesting Commencement Date set forth above (and if there is no corresponding day, on the last day of such month), subject to Participant continuing to be a Service Provider through each such date.</w:t>
      </w:r>
    </w:p>
    <w:p>
      <w:pPr>
        <w:spacing w:after="0" w:line="19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In addition to the vesting terms set forth above for this award, this Option’s vesting will be accelerated in accordance with any vesting acceleration provisions approved by the Administrator. If the Participant ceases to be a Service Provider for any or no reason before he or she fully vests in this Option, the unvested portion of this Option will terminate according to the terms of Section 4 of this Agreement.</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Adjustments to Vesting Schedule</w:t>
      </w:r>
      <w:r>
        <w:rPr>
          <w:rFonts w:ascii="Arial" w:cs="Arial" w:eastAsia="Arial" w:hAnsi="Arial"/>
          <w:sz w:val="22"/>
          <w:szCs w:val="22"/>
          <w:color w:val="auto"/>
        </w:rPr>
        <w:t>:</w:t>
      </w:r>
    </w:p>
    <w:p>
      <w:pPr>
        <w:spacing w:after="0" w:line="8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Notwithstanding the aforementioned vesting schedule, in accordance with Section 11 of the Plan, unless the Administrator provides otherwise or as otherwise required by Applicable Laws, (a) the vesting schedule of this Option will be adjusted or suspended during any leave of absence in accordance with the Company’s leave of absence and/or reduced work schedule and/or part-time policy in effect at the time of such leave and (b) if, after the Grant Date of this Option, Participant commences working on a part-time or reduced work schedule basis, the vesting schedule will be adjusted in accordance with the Company’s reduced work schedule/ part-time policy then in effect.</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Exercise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1211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0" w:lineRule="exact"/>
        <w:rPr>
          <w:sz w:val="20"/>
          <w:szCs w:val="20"/>
          <w:color w:val="auto"/>
        </w:rPr>
      </w:pPr>
    </w:p>
    <w:p>
      <w:pPr>
        <w:jc w:val="both"/>
        <w:ind w:left="980" w:hanging="648"/>
        <w:spacing w:after="0" w:line="265" w:lineRule="auto"/>
        <w:tabs>
          <w:tab w:leader="none" w:pos="97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If the Participant dies or his or her status as a Service Provider is terminated due to his or her Disability, the vested portion of this Option will remain exercisable for twelve (12) months after the Participant ceases to be a Service Provider. For any other termination of status as a Service Provider, the vested portion of this Option will remain exercisable for three (3) months after the Participant ceases to be a Service Provider.</w:t>
      </w:r>
    </w:p>
    <w:p>
      <w:pPr>
        <w:spacing w:after="0" w:line="175" w:lineRule="exact"/>
        <w:rPr>
          <w:rFonts w:ascii="Arial" w:cs="Arial" w:eastAsia="Arial" w:hAnsi="Arial"/>
          <w:sz w:val="21"/>
          <w:szCs w:val="21"/>
          <w:color w:val="auto"/>
        </w:rPr>
      </w:pPr>
    </w:p>
    <w:p>
      <w:pPr>
        <w:ind w:left="980" w:hanging="648"/>
        <w:spacing w:after="0"/>
        <w:tabs>
          <w:tab w:leader="none" w:pos="9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If a Transaction occurs, Section 14 of the Plan may further limit this Option’s exercisability.</w:t>
      </w:r>
    </w:p>
    <w:p>
      <w:pPr>
        <w:spacing w:after="0" w:line="219" w:lineRule="exact"/>
        <w:rPr>
          <w:rFonts w:ascii="Arial" w:cs="Arial" w:eastAsia="Arial" w:hAnsi="Arial"/>
          <w:sz w:val="22"/>
          <w:szCs w:val="22"/>
          <w:color w:val="auto"/>
        </w:rPr>
      </w:pPr>
    </w:p>
    <w:p>
      <w:pPr>
        <w:ind w:left="980" w:hanging="648"/>
        <w:spacing w:after="0" w:line="343" w:lineRule="auto"/>
        <w:tabs>
          <w:tab w:leader="none" w:pos="97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This Option will not be exercisable after the Expiration Date, except as may be permitted in accordance with Section 6(h) of the Plan (which tolls expiration in very limited cases when there are legal restrictions on exercise).</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The Participant’s signature below (or Participant’s electronic signature or other electronic acknowledgement or acceptance of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 or Award) indicates that:</w:t>
      </w:r>
    </w:p>
    <w:p>
      <w:pPr>
        <w:spacing w:after="0" w:line="202" w:lineRule="exact"/>
        <w:rPr>
          <w:sz w:val="20"/>
          <w:szCs w:val="20"/>
          <w:color w:val="auto"/>
        </w:rPr>
      </w:pPr>
    </w:p>
    <w:p>
      <w:pPr>
        <w:ind w:left="980" w:hanging="648"/>
        <w:spacing w:after="0" w:line="263" w:lineRule="auto"/>
        <w:tabs>
          <w:tab w:leader="none" w:pos="97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He or she agrees that this Option is granted under and governed by the terms and conditions of the Plan and this Agreement, including their exhibits and appendices.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66" w:lineRule="exact"/>
        <w:rPr>
          <w:sz w:val="20"/>
          <w:szCs w:val="20"/>
          <w:color w:val="auto"/>
        </w:rPr>
      </w:pPr>
    </w:p>
    <w:p>
      <w:pPr>
        <w:ind w:left="648" w:hanging="648"/>
        <w:spacing w:after="0" w:line="287" w:lineRule="auto"/>
        <w:tabs>
          <w:tab w:leader="none" w:pos="64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He or she understands that the Company is not providing any tax, legal, or financial advice and is not making any recommendations regarding his or her participation in the Plan or his or her acquisition or sale of Shares.</w:t>
      </w:r>
    </w:p>
    <w:p>
      <w:pPr>
        <w:spacing w:after="0" w:line="151" w:lineRule="exact"/>
        <w:rPr>
          <w:rFonts w:ascii="Arial" w:cs="Arial" w:eastAsia="Arial" w:hAnsi="Arial"/>
          <w:sz w:val="21"/>
          <w:szCs w:val="21"/>
          <w:color w:val="auto"/>
        </w:rPr>
      </w:pPr>
    </w:p>
    <w:p>
      <w:pPr>
        <w:jc w:val="both"/>
        <w:ind w:left="648" w:hanging="648"/>
        <w:spacing w:after="0" w:line="250" w:lineRule="auto"/>
        <w:tabs>
          <w:tab w:leader="none" w:pos="63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He or she has reviewed the Plan and this Agreement, has had an opportunity to obtain the advice of personal tax, legal, and financial advisors prior to signing this Agreement, and fully understands all provisions of the Plan and Agreement. He or she will consult with his or her own personal tax, legal, and financial advisors before taking any action related to the Plan.</w:t>
      </w:r>
    </w:p>
    <w:p>
      <w:pPr>
        <w:spacing w:after="0" w:line="187" w:lineRule="exact"/>
        <w:rPr>
          <w:rFonts w:ascii="Arial" w:cs="Arial" w:eastAsia="Arial" w:hAnsi="Arial"/>
          <w:sz w:val="22"/>
          <w:szCs w:val="22"/>
          <w:color w:val="auto"/>
        </w:rPr>
      </w:pPr>
    </w:p>
    <w:p>
      <w:pPr>
        <w:ind w:left="648" w:hanging="648"/>
        <w:spacing w:after="0"/>
        <w:tabs>
          <w:tab w:leader="none" w:pos="64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He or she has read and agrees to each provision of Section 10 of this Agreement.</w:t>
      </w:r>
    </w:p>
    <w:p>
      <w:pPr>
        <w:spacing w:after="0" w:line="219" w:lineRule="exact"/>
        <w:rPr>
          <w:rFonts w:ascii="Arial" w:cs="Arial" w:eastAsia="Arial" w:hAnsi="Arial"/>
          <w:sz w:val="22"/>
          <w:szCs w:val="22"/>
          <w:color w:val="auto"/>
        </w:rPr>
      </w:pPr>
    </w:p>
    <w:p>
      <w:pPr>
        <w:ind w:left="628" w:hanging="628"/>
        <w:spacing w:after="0"/>
        <w:tabs>
          <w:tab w:leader="none" w:pos="62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He or she will notify the Company of any change to the contact address below.</w:t>
      </w:r>
    </w:p>
    <w:p>
      <w:pPr>
        <w:spacing w:after="0" w:line="219" w:lineRule="exact"/>
        <w:rPr>
          <w:rFonts w:ascii="Arial" w:cs="Arial" w:eastAsia="Arial" w:hAnsi="Arial"/>
          <w:sz w:val="22"/>
          <w:szCs w:val="22"/>
          <w:color w:val="auto"/>
        </w:rPr>
      </w:pPr>
    </w:p>
    <w:p>
      <w:pPr>
        <w:ind w:left="648" w:hanging="648"/>
        <w:spacing w:after="0" w:line="263" w:lineRule="auto"/>
        <w:tabs>
          <w:tab w:leader="none" w:pos="64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He or she acknowledges and agrees that this Option will be subject to recoupment under any clawback policy that the Company adopts pursuant to Section 16(d) of the Plan.</w:t>
      </w:r>
    </w:p>
    <w:p>
      <w:pPr>
        <w:spacing w:after="0" w:line="174" w:lineRule="exact"/>
        <w:rPr>
          <w:rFonts w:ascii="Arial" w:cs="Arial" w:eastAsia="Arial" w:hAnsi="Arial"/>
          <w:sz w:val="22"/>
          <w:szCs w:val="22"/>
          <w:color w:val="auto"/>
        </w:rPr>
      </w:pPr>
    </w:p>
    <w:p>
      <w:pPr>
        <w:ind w:left="648"/>
        <w:spacing w:after="0"/>
        <w:rPr>
          <w:rFonts w:ascii="Arial" w:cs="Arial" w:eastAsia="Arial" w:hAnsi="Arial"/>
          <w:sz w:val="22"/>
          <w:szCs w:val="22"/>
          <w:color w:val="auto"/>
        </w:rPr>
      </w:pPr>
      <w:r>
        <w:rPr>
          <w:rFonts w:ascii="Arial" w:cs="Arial" w:eastAsia="Arial" w:hAnsi="Arial"/>
          <w:sz w:val="22"/>
          <w:szCs w:val="22"/>
          <w:color w:val="auto"/>
        </w:rPr>
        <w:t>PARTICIPANT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jc w:val="both"/>
        <w:ind w:left="648" w:right="9440"/>
        <w:spacing w:after="0" w:line="626" w:lineRule="auto"/>
        <w:rPr>
          <w:rFonts w:ascii="Arial" w:cs="Arial" w:eastAsia="Arial" w:hAnsi="Arial"/>
          <w:sz w:val="22"/>
          <w:szCs w:val="22"/>
          <w:color w:val="auto"/>
        </w:rPr>
      </w:pPr>
      <w:r>
        <w:rPr>
          <w:rFonts w:ascii="Arial" w:cs="Arial" w:eastAsia="Arial" w:hAnsi="Arial"/>
          <w:sz w:val="18"/>
          <w:szCs w:val="18"/>
          <w:color w:val="auto"/>
        </w:rPr>
        <w:t>Signature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-705485</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-242570</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56515</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356870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8"/>
          </w:cols>
          <w:pgMar w:left="652" w:top="1440" w:right="339" w:bottom="1440" w:gutter="0" w:footer="0" w:header="0"/>
        </w:sectPr>
      </w:pPr>
    </w:p>
    <w:bookmarkStart w:id="176" w:name="page177"/>
    <w:bookmarkEnd w:id="176"/>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TERMS AND CONDITIONS OF STOCK OPTION GRANT</w:t>
      </w:r>
    </w:p>
    <w:p>
      <w:pPr>
        <w:spacing w:after="0" w:line="230" w:lineRule="exact"/>
        <w:rPr>
          <w:sz w:val="20"/>
          <w:szCs w:val="20"/>
          <w:color w:val="auto"/>
        </w:rPr>
      </w:pPr>
    </w:p>
    <w:p>
      <w:pPr>
        <w:jc w:val="both"/>
        <w:ind w:left="660" w:hanging="652"/>
        <w:spacing w:after="0" w:line="302" w:lineRule="auto"/>
        <w:tabs>
          <w:tab w:leader="none" w:pos="66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Grant. The Company grants the Participant an Option to purchase Shares of Common Stock as described in the Notice of Grant. If there is a conflict between the Plan, this Agreement, or any other agreement with the Participant governing this Option, those documents will take precedence and prevail in the following order: (a) the Plan, (b) the Agreement, and (c) any other agreement between the Company and the Participant governing this Option.</w:t>
      </w:r>
    </w:p>
    <w:p>
      <w:pPr>
        <w:spacing w:after="0" w:line="142"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color w:val="auto"/>
        </w:rPr>
        <w:t>If the Notice of Grant designates this Option as an Incentive Stock Option (“</w:t>
      </w:r>
      <w:r>
        <w:rPr>
          <w:rFonts w:ascii="Arial" w:cs="Arial" w:eastAsia="Arial" w:hAnsi="Arial"/>
          <w:sz w:val="19"/>
          <w:szCs w:val="19"/>
          <w:u w:val="single" w:color="auto"/>
          <w:color w:val="auto"/>
        </w:rPr>
        <w:t>ISO</w:t>
      </w:r>
      <w:r>
        <w:rPr>
          <w:rFonts w:ascii="Arial" w:cs="Arial" w:eastAsia="Arial" w:hAnsi="Arial"/>
          <w:sz w:val="19"/>
          <w:szCs w:val="19"/>
          <w:color w:val="auto"/>
        </w:rPr>
        <w:t>”), this Option is intended to qualify as an ISO under Code Section 422. Even if this Option is designated an ISO, to the extent it first become exercisable as to more than $100,000 in any calendar year, the portion in excess of $100,000 is not an ISO under Code Section 422(d) and that portion will be a Nonstatutory Stock Option (“</w:t>
      </w:r>
      <w:r>
        <w:rPr>
          <w:rFonts w:ascii="Arial" w:cs="Arial" w:eastAsia="Arial" w:hAnsi="Arial"/>
          <w:sz w:val="19"/>
          <w:szCs w:val="19"/>
          <w:u w:val="single" w:color="auto"/>
          <w:color w:val="auto"/>
        </w:rPr>
        <w:t>NSO</w:t>
      </w:r>
      <w:r>
        <w:rPr>
          <w:rFonts w:ascii="Arial" w:cs="Arial" w:eastAsia="Arial" w:hAnsi="Arial"/>
          <w:sz w:val="19"/>
          <w:szCs w:val="19"/>
          <w:color w:val="auto"/>
        </w:rPr>
        <w:t>”). In addition, if the Participant exercises this Option after three (3) months have passed since he or she ceased to be an employee of the Company or a Parent or Subsidiary of the Company, it generally will no longer be an ISO (however, different rules apply to cessation of employee status due to death or Disability). If there is any other reason this Option (or a portion of it) will not qualify as an ISO, to the extent of such nonqualification, this Option will be an NSO. The Participant understands that he or she will have no recourse against the Administrator, any member of the Company Group, or any officer or director of a member of the Company Group if any portion of this Option is not an ISO.</w:t>
      </w:r>
    </w:p>
    <w:p>
      <w:pPr>
        <w:spacing w:after="0" w:line="157" w:lineRule="exact"/>
        <w:rPr>
          <w:sz w:val="20"/>
          <w:szCs w:val="20"/>
          <w:color w:val="auto"/>
        </w:rPr>
      </w:pPr>
    </w:p>
    <w:p>
      <w:pPr>
        <w:jc w:val="both"/>
        <w:ind w:left="660" w:hanging="652"/>
        <w:spacing w:after="0" w:line="250" w:lineRule="auto"/>
        <w:tabs>
          <w:tab w:leader="none" w:pos="66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Vesting. This Option will only be exercisable (also referred to as vested) under the Vesting Schedule in the Notice of Grant, Section 3 of this Agreement, or Section 14 of the Plan. Shares scheduled to vest on a certain date or upon the occurrence of a certain condition will not vest unless the Participant continues to be a Service Provider until the time such vesting is scheduled to occur.</w:t>
      </w:r>
    </w:p>
    <w:p>
      <w:pPr>
        <w:spacing w:after="0" w:line="187" w:lineRule="exact"/>
        <w:rPr>
          <w:rFonts w:ascii="Arial" w:cs="Arial" w:eastAsia="Arial" w:hAnsi="Arial"/>
          <w:sz w:val="22"/>
          <w:szCs w:val="22"/>
          <w:color w:val="auto"/>
        </w:rPr>
      </w:pPr>
    </w:p>
    <w:p>
      <w:pPr>
        <w:ind w:left="660" w:right="20" w:hanging="652"/>
        <w:spacing w:after="0" w:line="287" w:lineRule="auto"/>
        <w:tabs>
          <w:tab w:leader="none" w:pos="660"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Administrator Discretion. The Administrator has the discretion to accelerate the vesting of any portion of this Option. In that case, this Option will be vested as of the date and to the extent specified by the Administrator.</w:t>
      </w:r>
    </w:p>
    <w:p>
      <w:pPr>
        <w:spacing w:after="0" w:line="151" w:lineRule="exact"/>
        <w:rPr>
          <w:rFonts w:ascii="Arial" w:cs="Arial" w:eastAsia="Arial" w:hAnsi="Arial"/>
          <w:sz w:val="21"/>
          <w:szCs w:val="21"/>
          <w:color w:val="auto"/>
        </w:rPr>
      </w:pPr>
    </w:p>
    <w:p>
      <w:pPr>
        <w:jc w:val="both"/>
        <w:ind w:left="660" w:hanging="652"/>
        <w:spacing w:after="0" w:line="288" w:lineRule="auto"/>
        <w:tabs>
          <w:tab w:leader="none" w:pos="66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Forfeiture upon Cessation of Status as a Service Provider. Upon the Participant’s termination as a Service Provider for any reason, this Option will immediately stop vesting and any portion of this Option that has not yet vested will be immediately forfeited for no consideration upon the date that Participant ceases to be a Service Provider for any reason, in all cases, subject to Applicable Laws. For purposes of this Option, the Participant’s status as a Service Provider will be considered to be terminated as of the date the Participant is no longer providing services to the Company, or if different, the Participant’s employer (the “Employer”) or the Subsidiary or Parent to which the Participant is providing services (the Employer, Subsidiary or Parent, as applicable, the “Service Recipient”) or other member of the Company Group (regardless of the reason for such termination and whether or not later found to be invalid or in breach of employment laws in the jurisdiction where the Participant is a Service Provider or the terms of the Participant’s employment or service agreement, if any). The Administrator shall have the exclusive discretion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6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u w:val="single" w:color="auto"/>
          <w:color w:val="auto"/>
        </w:rPr>
        <w:t>to determine when the Participant is no longer providing services for purposes of this Option (including whether the Participant may still be considered to be providing services while on a leave of absence).</w:t>
      </w:r>
    </w:p>
    <w:p>
      <w:pPr>
        <w:spacing w:after="0" w:line="175" w:lineRule="exact"/>
        <w:rPr>
          <w:sz w:val="20"/>
          <w:szCs w:val="20"/>
          <w:color w:val="auto"/>
        </w:rPr>
      </w:pPr>
    </w:p>
    <w:p>
      <w:pPr>
        <w:jc w:val="both"/>
        <w:ind w:left="660" w:hanging="652"/>
        <w:spacing w:after="0" w:line="297" w:lineRule="auto"/>
        <w:tabs>
          <w:tab w:leader="none" w:pos="660"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Death of Participant.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 (b) evidence satisfactory to the Company to establish the validity of the transfer and compliance with any laws or regulations that apply to the transfer.</w:t>
      </w:r>
    </w:p>
    <w:p>
      <w:pPr>
        <w:spacing w:after="0" w:line="146" w:lineRule="exact"/>
        <w:rPr>
          <w:rFonts w:ascii="Arial" w:cs="Arial" w:eastAsia="Arial" w:hAnsi="Arial"/>
          <w:sz w:val="19"/>
          <w:szCs w:val="19"/>
          <w:color w:val="auto"/>
        </w:rPr>
      </w:pPr>
    </w:p>
    <w:p>
      <w:pPr>
        <w:ind w:left="660" w:hanging="652"/>
        <w:spacing w:after="0"/>
        <w:tabs>
          <w:tab w:leader="none" w:pos="66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p>
    <w:p>
      <w:pPr>
        <w:spacing w:after="0" w:line="213" w:lineRule="exact"/>
        <w:rPr>
          <w:rFonts w:ascii="Arial" w:cs="Arial" w:eastAsia="Arial" w:hAnsi="Arial"/>
          <w:sz w:val="22"/>
          <w:szCs w:val="22"/>
          <w:color w:val="auto"/>
        </w:rPr>
      </w:pPr>
    </w:p>
    <w:p>
      <w:pPr>
        <w:ind w:left="1300" w:right="20" w:hanging="644"/>
        <w:spacing w:after="0" w:line="269" w:lineRule="auto"/>
        <w:tabs>
          <w:tab w:leader="none" w:pos="1297" w:val="left"/>
        </w:tabs>
        <w:numPr>
          <w:ilvl w:val="1"/>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to Exercise</w:t>
      </w:r>
      <w:r>
        <w:rPr>
          <w:rFonts w:ascii="Arial" w:cs="Arial" w:eastAsia="Arial" w:hAnsi="Arial"/>
          <w:sz w:val="22"/>
          <w:szCs w:val="22"/>
          <w:color w:val="auto"/>
        </w:rPr>
        <w:t>. This Option may be exercised only before its Expiration Date and only under the Plan and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67" w:lineRule="exact"/>
        <w:rPr>
          <w:rFonts w:ascii="Arial" w:cs="Arial" w:eastAsia="Arial" w:hAnsi="Arial"/>
          <w:sz w:val="22"/>
          <w:szCs w:val="22"/>
          <w:color w:val="auto"/>
        </w:rPr>
      </w:pPr>
    </w:p>
    <w:p>
      <w:pPr>
        <w:ind w:left="1300" w:hanging="644"/>
        <w:spacing w:after="0" w:line="343" w:lineRule="auto"/>
        <w:tabs>
          <w:tab w:leader="none" w:pos="1295"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this Option, the Participant must deliver and the Administrator must receive an exercise notice according to procedures determined by the Administrator. The exercise notice must:</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2"/>
          <w:numId w:val="125"/>
        </w:numPr>
        <w:rPr>
          <w:rFonts w:ascii="Arial" w:cs="Arial" w:eastAsia="Arial" w:hAnsi="Arial"/>
          <w:sz w:val="22"/>
          <w:szCs w:val="22"/>
          <w:color w:val="auto"/>
        </w:rPr>
      </w:pPr>
      <w:r>
        <w:rPr>
          <w:rFonts w:ascii="Arial" w:cs="Arial" w:eastAsia="Arial" w:hAnsi="Arial"/>
          <w:sz w:val="22"/>
          <w:szCs w:val="22"/>
          <w:color w:val="auto"/>
        </w:rPr>
        <w:t>state the number of Shares as to which this Option is being exercised (“</w:t>
      </w:r>
      <w:r>
        <w:rPr>
          <w:rFonts w:ascii="Arial" w:cs="Arial" w:eastAsia="Arial" w:hAnsi="Arial"/>
          <w:sz w:val="22"/>
          <w:szCs w:val="22"/>
          <w:u w:val="single" w:color="auto"/>
          <w:color w:val="auto"/>
        </w:rPr>
        <w:t>Exercised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2"/>
          <w:numId w:val="125"/>
        </w:numPr>
        <w:rPr>
          <w:rFonts w:ascii="Arial" w:cs="Arial" w:eastAsia="Arial" w:hAnsi="Arial"/>
          <w:sz w:val="22"/>
          <w:szCs w:val="22"/>
          <w:color w:val="auto"/>
        </w:rPr>
      </w:pPr>
      <w:r>
        <w:rPr>
          <w:rFonts w:ascii="Arial" w:cs="Arial" w:eastAsia="Arial" w:hAnsi="Arial"/>
          <w:sz w:val="22"/>
          <w:szCs w:val="22"/>
          <w:color w:val="auto"/>
        </w:rPr>
        <w:t>make any representations or agreements required by the Company,</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2"/>
          <w:numId w:val="125"/>
        </w:numPr>
        <w:rPr>
          <w:rFonts w:ascii="Arial" w:cs="Arial" w:eastAsia="Arial" w:hAnsi="Arial"/>
          <w:sz w:val="22"/>
          <w:szCs w:val="22"/>
          <w:color w:val="auto"/>
        </w:rPr>
      </w:pPr>
      <w:r>
        <w:rPr>
          <w:rFonts w:ascii="Arial" w:cs="Arial" w:eastAsia="Arial" w:hAnsi="Arial"/>
          <w:sz w:val="22"/>
          <w:szCs w:val="22"/>
          <w:color w:val="auto"/>
        </w:rPr>
        <w:t>be accompanied by a payment of the total exercise price for all Exercised Shares, and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2"/>
          <w:numId w:val="125"/>
        </w:numPr>
        <w:rPr>
          <w:rFonts w:ascii="Arial" w:cs="Arial" w:eastAsia="Arial" w:hAnsi="Arial"/>
          <w:sz w:val="22"/>
          <w:szCs w:val="22"/>
          <w:color w:val="auto"/>
        </w:rPr>
      </w:pPr>
      <w:r>
        <w:rPr>
          <w:rFonts w:ascii="Arial" w:cs="Arial" w:eastAsia="Arial" w:hAnsi="Arial"/>
          <w:sz w:val="22"/>
          <w:szCs w:val="22"/>
          <w:color w:val="auto"/>
        </w:rPr>
        <w:t>be accompanied by a payment of all required Tax Withholdings for all Exercised Shares.</w:t>
      </w:r>
    </w:p>
    <w:p>
      <w:pPr>
        <w:spacing w:after="0" w:line="220"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 xml:space="preserve">This Option is exercised when both the exercise notice and payments due under Sections 6(b)(iii) and 6(b)(iv) have been received by the Company for all Exercised Shares. The Administrator may designate a particular exercise notice to be used, but until a designation is made, the exercise notice attached to this Agreement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may be used.</w:t>
      </w:r>
    </w:p>
    <w:p>
      <w:pPr>
        <w:spacing w:after="0" w:line="133" w:lineRule="exact"/>
        <w:rPr>
          <w:sz w:val="20"/>
          <w:szCs w:val="20"/>
          <w:color w:val="auto"/>
        </w:rPr>
      </w:pPr>
    </w:p>
    <w:p>
      <w:pPr>
        <w:ind w:left="660" w:hanging="652"/>
        <w:spacing w:after="0" w:line="263" w:lineRule="auto"/>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Method of Payment. The Participant may pay the total exercise price for Exercised Shares by any of the following methods or a combination of methods: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cash;</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check;</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wire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366"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consideration received by the Company under a formal cashless exercise program adopted by the Company; or</w:t>
      </w:r>
    </w:p>
    <w:p>
      <w:pPr>
        <w:spacing w:after="0" w:line="254" w:lineRule="exact"/>
        <w:rPr>
          <w:rFonts w:ascii="Arial" w:cs="Arial" w:eastAsia="Arial" w:hAnsi="Arial"/>
          <w:sz w:val="19"/>
          <w:szCs w:val="19"/>
          <w:color w:val="auto"/>
        </w:rPr>
      </w:pPr>
    </w:p>
    <w:p>
      <w:pPr>
        <w:jc w:val="both"/>
        <w:ind w:left="1300" w:right="20" w:hanging="644"/>
        <w:spacing w:after="0" w:line="253" w:lineRule="auto"/>
        <w:tabs>
          <w:tab w:leader="none" w:pos="129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surrender of other Shares, as long as the Company determines that accepting such Shares does not result in any adverse accounting consequences to the Company. If Shares are surrendered, the value of those Shares will be the fair market value for those Shares on the date they are surrendered.</w:t>
      </w:r>
    </w:p>
    <w:p>
      <w:pPr>
        <w:spacing w:after="0" w:line="185" w:lineRule="exact"/>
        <w:rPr>
          <w:sz w:val="20"/>
          <w:szCs w:val="20"/>
          <w:color w:val="auto"/>
        </w:rPr>
      </w:pPr>
    </w:p>
    <w:p>
      <w:pPr>
        <w:ind w:right="1000" w:firstLine="648"/>
        <w:spacing w:after="0" w:line="263" w:lineRule="auto"/>
        <w:rPr>
          <w:sz w:val="20"/>
          <w:szCs w:val="20"/>
          <w:color w:val="auto"/>
        </w:rPr>
      </w:pPr>
      <w:r>
        <w:rPr>
          <w:rFonts w:ascii="Arial" w:cs="Arial" w:eastAsia="Arial" w:hAnsi="Arial"/>
          <w:sz w:val="22"/>
          <w:szCs w:val="22"/>
          <w:color w:val="auto"/>
        </w:rPr>
        <w:t>A non-U.S. resident’s methods of exercise may be restricted by the terms and condition of any appendix to this Agreement for the Participant’s country (the “</w:t>
      </w:r>
      <w:r>
        <w:rPr>
          <w:rFonts w:ascii="Arial" w:cs="Arial" w:eastAsia="Arial" w:hAnsi="Arial"/>
          <w:sz w:val="22"/>
          <w:szCs w:val="22"/>
          <w:u w:val="single" w:color="auto"/>
          <w:color w:val="auto"/>
        </w:rPr>
        <w:t>Appendix</w:t>
      </w:r>
      <w:r>
        <w:rPr>
          <w:rFonts w:ascii="Arial" w:cs="Arial" w:eastAsia="Arial" w:hAnsi="Arial"/>
          <w:sz w:val="22"/>
          <w:szCs w:val="22"/>
          <w:color w:val="auto"/>
        </w:rPr>
        <w:t>”).</w:t>
      </w:r>
    </w:p>
    <w:p>
      <w:pPr>
        <w:spacing w:after="0" w:line="175"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Tax Obligations.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960" w:hanging="656"/>
        <w:spacing w:after="0" w:line="261" w:lineRule="auto"/>
        <w:tabs>
          <w:tab w:leader="none" w:pos="1948" w:val="left"/>
        </w:tabs>
        <w:numPr>
          <w:ilvl w:val="2"/>
          <w:numId w:val="128"/>
        </w:numPr>
        <w:rPr>
          <w:rFonts w:ascii="Arial" w:cs="Arial" w:eastAsia="Arial" w:hAnsi="Arial"/>
          <w:sz w:val="21"/>
          <w:szCs w:val="21"/>
          <w:color w:val="auto"/>
        </w:rPr>
      </w:pPr>
      <w:r>
        <w:rPr>
          <w:rFonts w:ascii="Arial" w:cs="Arial" w:eastAsia="Arial" w:hAnsi="Arial"/>
          <w:sz w:val="21"/>
          <w:szCs w:val="21"/>
          <w:color w:val="auto"/>
        </w:rPr>
        <w:t>No Shares will be issued to the Participant until he or she makes satisfactory arrangements (as determined by the Administrator) for the payment of Tax Withholdings. If the Participant is a non-U.S. employee, the method of payment of Tax Withholdings may be restricted by any Appendix. If the Participant fails to make satisfactory arrangements for the payment of any Tax Withholdings under this Agreement at the time of an attempted Option exercise, the Company may refuse to honor the exercise and refuse to deliver the Shares, to the extent permitted by Applicable Laws.</w:t>
      </w:r>
    </w:p>
    <w:p>
      <w:pPr>
        <w:spacing w:after="0" w:line="179" w:lineRule="exact"/>
        <w:rPr>
          <w:rFonts w:ascii="Arial" w:cs="Arial" w:eastAsia="Arial" w:hAnsi="Arial"/>
          <w:sz w:val="21"/>
          <w:szCs w:val="21"/>
          <w:color w:val="auto"/>
        </w:rPr>
      </w:pPr>
    </w:p>
    <w:p>
      <w:pPr>
        <w:jc w:val="both"/>
        <w:ind w:left="1960" w:hanging="656"/>
        <w:spacing w:after="0" w:line="261" w:lineRule="auto"/>
        <w:tabs>
          <w:tab w:leader="none" w:pos="1954" w:val="left"/>
        </w:tabs>
        <w:numPr>
          <w:ilvl w:val="2"/>
          <w:numId w:val="128"/>
        </w:numPr>
        <w:rPr>
          <w:rFonts w:ascii="Arial" w:cs="Arial" w:eastAsia="Arial" w:hAnsi="Arial"/>
          <w:sz w:val="21"/>
          <w:szCs w:val="21"/>
          <w:color w:val="auto"/>
        </w:rPr>
      </w:pPr>
      <w:r>
        <w:rPr>
          <w:rFonts w:ascii="Arial" w:cs="Arial" w:eastAsia="Arial" w:hAnsi="Arial"/>
          <w:sz w:val="21"/>
          <w:szCs w:val="21"/>
          <w:color w:val="auto"/>
        </w:rPr>
        <w:t>The Company also has the right (but not the obligation) to satisfy any Tax Withholdings: (a) by reducing the number of Shares otherwise deliverable to the Participant; (b) by requiring payment by cash or check made payable to the Company and/or any Service Recipient with respect to which the withholding obligation arises; (c) by deduction of such amount from salary, wages or other compensation payable to the Participant; or (d) in any combination of the foregoing, or any other method determined by the Administrator to be compliance with Applicable Laws.</w:t>
      </w:r>
    </w:p>
    <w:p>
      <w:pPr>
        <w:spacing w:after="0" w:line="179" w:lineRule="exact"/>
        <w:rPr>
          <w:rFonts w:ascii="Arial" w:cs="Arial" w:eastAsia="Arial" w:hAnsi="Arial"/>
          <w:sz w:val="21"/>
          <w:szCs w:val="21"/>
          <w:color w:val="auto"/>
        </w:rPr>
      </w:pPr>
    </w:p>
    <w:p>
      <w:pPr>
        <w:jc w:val="both"/>
        <w:ind w:left="1960" w:hanging="656"/>
        <w:spacing w:after="0" w:line="289" w:lineRule="auto"/>
        <w:tabs>
          <w:tab w:leader="none" w:pos="1960" w:val="left"/>
        </w:tabs>
        <w:numPr>
          <w:ilvl w:val="2"/>
          <w:numId w:val="128"/>
        </w:numPr>
        <w:rPr>
          <w:rFonts w:ascii="Arial" w:cs="Arial" w:eastAsia="Arial" w:hAnsi="Arial"/>
          <w:sz w:val="19"/>
          <w:szCs w:val="19"/>
          <w:color w:val="auto"/>
        </w:rPr>
      </w:pPr>
      <w:r>
        <w:rPr>
          <w:rFonts w:ascii="Arial" w:cs="Arial" w:eastAsia="Arial" w:hAnsi="Arial"/>
          <w:sz w:val="19"/>
          <w:szCs w:val="19"/>
          <w:color w:val="auto"/>
        </w:rPr>
        <w:t>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Employer(s). If the obligation for Tax Withholdings is satisfied by withholding in Shares, for tax purposes, the Participant will be deemed to have been issued the full number of Shares exercised, notwithstanding that a number of the Shares is held back solely for the purpose of paying the Tax Withholdings.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366" w:lineRule="exact"/>
        <w:rPr>
          <w:sz w:val="20"/>
          <w:szCs w:val="20"/>
          <w:color w:val="auto"/>
        </w:rPr>
      </w:pPr>
    </w:p>
    <w:p>
      <w:pPr>
        <w:jc w:val="both"/>
        <w:ind w:left="1304" w:hanging="656"/>
        <w:spacing w:after="0" w:line="271" w:lineRule="auto"/>
        <w:tabs>
          <w:tab w:leader="none" w:pos="1292" w:val="left"/>
        </w:tabs>
        <w:numPr>
          <w:ilvl w:val="1"/>
          <w:numId w:val="129"/>
        </w:numPr>
        <w:rPr>
          <w:rFonts w:ascii="Arial" w:cs="Arial" w:eastAsia="Arial" w:hAnsi="Arial"/>
          <w:sz w:val="21"/>
          <w:szCs w:val="21"/>
          <w:color w:val="auto"/>
        </w:rPr>
      </w:pPr>
      <w:r>
        <w:rPr>
          <w:rFonts w:ascii="Arial" w:cs="Arial" w:eastAsia="Arial" w:hAnsi="Arial"/>
          <w:sz w:val="21"/>
          <w:szCs w:val="21"/>
          <w:color w:val="auto"/>
        </w:rPr>
        <w:t>Further, if the Participant is subject to taxation in more than one jurisdiction between the Grant Date and the date of any relevant taxable or tax withholding event, the Company or the Employer(s) or former Employer(s) may withhold or account for tax in more than one jurisdiction.</w:t>
      </w:r>
    </w:p>
    <w:p>
      <w:pPr>
        <w:spacing w:after="0" w:line="167" w:lineRule="exact"/>
        <w:rPr>
          <w:rFonts w:ascii="Arial" w:cs="Arial" w:eastAsia="Arial" w:hAnsi="Arial"/>
          <w:sz w:val="21"/>
          <w:szCs w:val="21"/>
          <w:color w:val="auto"/>
        </w:rPr>
      </w:pPr>
    </w:p>
    <w:p>
      <w:pPr>
        <w:jc w:val="both"/>
        <w:ind w:left="1304" w:hanging="656"/>
        <w:spacing w:after="0" w:line="259" w:lineRule="auto"/>
        <w:tabs>
          <w:tab w:leader="none" w:pos="1299" w:val="left"/>
        </w:tabs>
        <w:numPr>
          <w:ilvl w:val="1"/>
          <w:numId w:val="129"/>
        </w:numPr>
        <w:rPr>
          <w:rFonts w:ascii="Arial" w:cs="Arial" w:eastAsia="Arial" w:hAnsi="Arial"/>
          <w:sz w:val="21"/>
          <w:szCs w:val="21"/>
          <w:color w:val="auto"/>
        </w:rPr>
      </w:pPr>
      <w:r>
        <w:rPr>
          <w:rFonts w:ascii="Arial" w:cs="Arial" w:eastAsia="Arial" w:hAnsi="Arial"/>
          <w:sz w:val="21"/>
          <w:szCs w:val="21"/>
          <w:color w:val="auto"/>
        </w:rPr>
        <w:t>Regardless of any action of the Company or the Employer(s), the Participant acknowledges that the ultimate liability for all Tax Withholdings and any and all additional taxes related to the Option, the Shares or other amounts or property delivered under the Option and the Participant’s participation in the Plan is and remains his or her responsibility and may exceed the amount actually withheld by the Company or the Employer(s). The Participant further acknowledges that the Company and the Employer(s) (1) make no representations or undertakings regarding the treatment of any Tax Withholdings in connection with any aspect of this Option; and (2) do not commit to and are under no obligation to structure the terms of the grant or any aspect of this Option to reduce or eliminate his or her liability for Tax Withholdings or achieve any particular tax result.</w:t>
      </w:r>
    </w:p>
    <w:p>
      <w:pPr>
        <w:spacing w:after="0" w:line="179" w:lineRule="exact"/>
        <w:rPr>
          <w:rFonts w:ascii="Arial" w:cs="Arial" w:eastAsia="Arial" w:hAnsi="Arial"/>
          <w:sz w:val="21"/>
          <w:szCs w:val="21"/>
          <w:color w:val="auto"/>
        </w:rPr>
      </w:pPr>
    </w:p>
    <w:p>
      <w:pPr>
        <w:jc w:val="both"/>
        <w:ind w:left="1304" w:hanging="656"/>
        <w:spacing w:after="0" w:line="286" w:lineRule="auto"/>
        <w:tabs>
          <w:tab w:leader="none" w:pos="129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For U.S. taxpayers, under Code Section 409A, a stock right (such as this Option) that vests after December 31, 2004 (or that vested on or prior to such date but which was materially modified after October 3, 2004) that was granted with a per share exercise price that is determined by the U.S. Internal Revenue Service (the “</w:t>
      </w:r>
      <w:r>
        <w:rPr>
          <w:rFonts w:ascii="Arial" w:cs="Arial" w:eastAsia="Arial" w:hAnsi="Arial"/>
          <w:sz w:val="19"/>
          <w:szCs w:val="19"/>
          <w:u w:val="single" w:color="auto"/>
          <w:color w:val="auto"/>
        </w:rPr>
        <w:t>IRS</w:t>
      </w:r>
      <w:r>
        <w:rPr>
          <w:rFonts w:ascii="Arial" w:cs="Arial" w:eastAsia="Arial" w:hAnsi="Arial"/>
          <w:sz w:val="19"/>
          <w:szCs w:val="19"/>
          <w:color w:val="auto"/>
        </w:rPr>
        <w:t>”) to be less than the fair market value of an underlying share on the date of grant (a “</w:t>
      </w:r>
      <w:r>
        <w:rPr>
          <w:rFonts w:ascii="Arial" w:cs="Arial" w:eastAsia="Arial" w:hAnsi="Arial"/>
          <w:sz w:val="19"/>
          <w:szCs w:val="19"/>
          <w:u w:val="single" w:color="auto"/>
          <w:color w:val="auto"/>
        </w:rPr>
        <w:t>discount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w:t>
      </w:r>
      <w:r>
        <w:rPr>
          <w:rFonts w:ascii="Arial" w:cs="Arial" w:eastAsia="Arial" w:hAnsi="Arial"/>
          <w:sz w:val="19"/>
          <w:szCs w:val="19"/>
          <w:color w:val="auto"/>
        </w:rPr>
        <w:t>”) may be considered “deferred compensation.” A stock right that is a “discount option” may result in (1) income recognition by the recipient of the stock right prior to the exercise of the stock right, (2) an additional 20% U.S. federal income tax, and (3) potential penalty and interest charges. The “discount option” may also result in additional U.S. state income, penalty and interest tax to the recipient of the stock right. Participant is hereby notified that the Company cannot and has not guaranteed that the IRS and/or applicable state tax enforcement agencies will agree that the per Share exercise price of this Option equals or exceeds the fair market value of a Share on the Grant Date in a later examination. Participant is hereby notified that if the IRS and/or applicable state tax enforcement agencies determine that this Option was granted with a per Share exercise price that was less than the fair market value of a Share on the Grant Date, Participant shall be solely responsible for Participant’s costs related to such a determination.</w:t>
      </w:r>
    </w:p>
    <w:p>
      <w:pPr>
        <w:spacing w:after="0" w:line="161" w:lineRule="exact"/>
        <w:rPr>
          <w:rFonts w:ascii="Arial" w:cs="Arial" w:eastAsia="Arial" w:hAnsi="Arial"/>
          <w:sz w:val="19"/>
          <w:szCs w:val="19"/>
          <w:color w:val="auto"/>
        </w:rPr>
      </w:pPr>
    </w:p>
    <w:p>
      <w:pPr>
        <w:jc w:val="both"/>
        <w:ind w:left="644" w:hanging="644"/>
        <w:spacing w:after="0" w:line="247" w:lineRule="auto"/>
        <w:tabs>
          <w:tab w:leader="none" w:pos="639"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Tax Reporting</w:t>
      </w:r>
      <w:r>
        <w:rPr>
          <w:rFonts w:ascii="Arial" w:cs="Arial" w:eastAsia="Arial" w:hAnsi="Arial"/>
          <w:sz w:val="22"/>
          <w:szCs w:val="22"/>
          <w:color w:val="auto"/>
        </w:rPr>
        <w:t>. This Section 8(b) applies if the Participant is a U.S. income taxpayer. If this Option is partially or wholly an ISO, and if the Participant sells or otherwise disposes of any the Shares acquired by exercising the ISO portion on or before the later of (i) the date two (2) years after the Grant Date, or (ii) the date one (1) year after the date of exercise, he or she may be subject to withholding of Tax Withholdings by the Company on the compensation income recognized by him or her and must immediately notify the Company in writing of the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84"/>
          </w:cols>
          <w:pgMar w:left="976" w:top="1440" w:right="339" w:bottom="1440" w:gutter="0" w:footer="0" w:header="0"/>
        </w:sectPr>
      </w:pPr>
    </w:p>
    <w:bookmarkStart w:id="180" w:name="page181"/>
    <w:bookmarkEnd w:id="180"/>
    <w:p>
      <w:pPr>
        <w:spacing w:after="0" w:line="366" w:lineRule="exact"/>
        <w:rPr>
          <w:sz w:val="20"/>
          <w:szCs w:val="20"/>
          <w:color w:val="auto"/>
        </w:rPr>
      </w:pPr>
    </w:p>
    <w:p>
      <w:pPr>
        <w:jc w:val="both"/>
        <w:ind w:left="660" w:hanging="652"/>
        <w:spacing w:after="0" w:line="253"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Rights as Stockholder. The Participant’s or any other person’s rights as a stockholder of the Company (including the right to vote and to receive dividends and distributions) will not begin until Shares have been issued and recorded on the records of the Company or its transfer agents or registrars.</w:t>
      </w:r>
    </w:p>
    <w:p>
      <w:pPr>
        <w:spacing w:after="0" w:line="18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Acknowledgements and Agreements. The Participant’s signature on the Notice of Grant accepting this Option indicates that:</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97" w:val="left"/>
        </w:tabs>
        <w:numPr>
          <w:ilvl w:val="1"/>
          <w:numId w:val="131"/>
        </w:numPr>
        <w:rPr>
          <w:rFonts w:ascii="Arial" w:cs="Arial" w:eastAsia="Arial" w:hAnsi="Arial"/>
          <w:sz w:val="22"/>
          <w:szCs w:val="22"/>
          <w:color w:val="auto"/>
        </w:rPr>
      </w:pPr>
      <w:r>
        <w:rPr>
          <w:rFonts w:ascii="Arial" w:cs="Arial" w:eastAsia="Arial" w:hAnsi="Arial"/>
          <w:sz w:val="22"/>
          <w:szCs w:val="22"/>
          <w:color w:val="auto"/>
        </w:rPr>
        <w:t>HE OR SHE ACKNOWLEDGES AND AGREES THAT THE VESTING OF THIS OPTION IS EARNED ONLY BY CONTINUING AS A SERVICE PROVIDER AND THAT BEING HIRED, GRANTED THIS OPTION, AND EXERCISING THIS OPTION WILL NOT RESULT IN VESTING.</w:t>
      </w:r>
    </w:p>
    <w:p>
      <w:pPr>
        <w:spacing w:after="0" w:line="185" w:lineRule="exact"/>
        <w:rPr>
          <w:rFonts w:ascii="Arial" w:cs="Arial" w:eastAsia="Arial" w:hAnsi="Arial"/>
          <w:sz w:val="22"/>
          <w:szCs w:val="22"/>
          <w:color w:val="auto"/>
        </w:rPr>
      </w:pPr>
    </w:p>
    <w:p>
      <w:pPr>
        <w:jc w:val="both"/>
        <w:ind w:left="1300" w:hanging="644"/>
        <w:spacing w:after="0" w:line="247" w:lineRule="auto"/>
        <w:tabs>
          <w:tab w:leader="none" w:pos="1295" w:val="left"/>
        </w:tabs>
        <w:numPr>
          <w:ilvl w:val="1"/>
          <w:numId w:val="131"/>
        </w:numPr>
        <w:rPr>
          <w:rFonts w:ascii="Arial" w:cs="Arial" w:eastAsia="Arial" w:hAnsi="Arial"/>
          <w:sz w:val="22"/>
          <w:szCs w:val="22"/>
          <w:color w:val="auto"/>
        </w:rPr>
      </w:pPr>
      <w:r>
        <w:rPr>
          <w:rFonts w:ascii="Arial" w:cs="Arial" w:eastAsia="Arial" w:hAnsi="Arial"/>
          <w:sz w:val="22"/>
          <w:szCs w:val="22"/>
          <w:color w:val="auto"/>
        </w:rPr>
        <w:t>HE OR SHE FURTHER ACKNOWLEDGES AND AGREES THAT THIS OPTION AND AGREEMENT DO NOT CREATE AN EXPRESS OR IMPLIED PROMISE OF CONTINUED ENGAGEMENT AS A SERVICE PROVIDER FOR THE VESTING PERIOD, FOR ANY PERIOD, OR AT ALL, AND WILL NOT INTERFERE IN ANY WAY WITH HIS OR HER RIGHT OR THE RIGHT OF THE EMPLOYER(S) TO TERMINATE HIS OR HER RELATIONSHIP AS A SERVICE PROVIDER AT ANY TIME, WITH OR WITHOUT CAUSE, SUBJECT TO APPLICABLE LAWS.</w:t>
      </w:r>
    </w:p>
    <w:p>
      <w:pPr>
        <w:spacing w:after="0" w:line="192" w:lineRule="exact"/>
        <w:rPr>
          <w:rFonts w:ascii="Arial" w:cs="Arial" w:eastAsia="Arial" w:hAnsi="Arial"/>
          <w:sz w:val="22"/>
          <w:szCs w:val="22"/>
          <w:color w:val="auto"/>
        </w:rPr>
      </w:pPr>
    </w:p>
    <w:p>
      <w:pPr>
        <w:jc w:val="both"/>
        <w:ind w:left="1300" w:hanging="644"/>
        <w:spacing w:after="0" w:line="253" w:lineRule="auto"/>
        <w:tabs>
          <w:tab w:leader="none" w:pos="1297"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The Participant agrees that this Agreement and its incorporated documents reflect all agreements on its subject matters and that he or she is not accepting this Agreement based on any promises, representations, or inducements other than those reflected in the Agreement.</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295"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The Participant understands that exercise of this Option is governed strictly by Sections 6, 7, and 8 of this Agreement and that failure to comply with those Sections could result in the expiration of this Option, even if an attempt was made to exercise.</w:t>
      </w:r>
    </w:p>
    <w:p>
      <w:pPr>
        <w:spacing w:after="0" w:line="185" w:lineRule="exact"/>
        <w:rPr>
          <w:rFonts w:ascii="Arial" w:cs="Arial" w:eastAsia="Arial" w:hAnsi="Arial"/>
          <w:sz w:val="22"/>
          <w:szCs w:val="22"/>
          <w:color w:val="auto"/>
        </w:rPr>
      </w:pPr>
    </w:p>
    <w:p>
      <w:pPr>
        <w:jc w:val="both"/>
        <w:ind w:left="1300" w:hanging="644"/>
        <w:spacing w:after="0" w:line="287" w:lineRule="auto"/>
        <w:tabs>
          <w:tab w:leader="none" w:pos="1297"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Participant agrees that the Company’s delivery of any documents related to the Plan or this Option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6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Participant understands that he or she is not required to consent to electronic delivery of documents.</w:t>
      </w:r>
    </w:p>
    <w:p>
      <w:pPr>
        <w:spacing w:after="0" w:line="220" w:lineRule="exact"/>
        <w:rPr>
          <w:sz w:val="20"/>
          <w:szCs w:val="20"/>
          <w:color w:val="auto"/>
        </w:rPr>
      </w:pPr>
    </w:p>
    <w:p>
      <w:pPr>
        <w:jc w:val="both"/>
        <w:ind w:left="644" w:hanging="644"/>
        <w:spacing w:after="0" w:line="250" w:lineRule="auto"/>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may deliver any documents related to the Plan or this Option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w:t>
      </w:r>
    </w:p>
    <w:p>
      <w:pPr>
        <w:spacing w:after="0" w:line="187" w:lineRule="exact"/>
        <w:rPr>
          <w:rFonts w:ascii="Arial" w:cs="Arial" w:eastAsia="Arial" w:hAnsi="Arial"/>
          <w:sz w:val="22"/>
          <w:szCs w:val="22"/>
          <w:color w:val="auto"/>
        </w:rPr>
      </w:pPr>
    </w:p>
    <w:p>
      <w:pPr>
        <w:jc w:val="both"/>
        <w:ind w:left="644" w:hanging="644"/>
        <w:spacing w:after="0" w:line="253" w:lineRule="auto"/>
        <w:tabs>
          <w:tab w:leader="none" w:pos="63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accepts that all good faith decisions or interpretations of the Administrator regarding the Plan and Awards under the Plan are binding, conclusive, and final. No member of the Administrator will be personally liable for any such decisions or interpretations.</w:t>
      </w:r>
    </w:p>
    <w:p>
      <w:pPr>
        <w:spacing w:after="0" w:line="185" w:lineRule="exact"/>
        <w:rPr>
          <w:rFonts w:ascii="Arial" w:cs="Arial" w:eastAsia="Arial" w:hAnsi="Arial"/>
          <w:sz w:val="22"/>
          <w:szCs w:val="22"/>
          <w:color w:val="auto"/>
        </w:rPr>
      </w:pPr>
    </w:p>
    <w:p>
      <w:pPr>
        <w:ind w:left="644" w:hanging="644"/>
        <w:spacing w:after="0" w:line="343" w:lineRule="auto"/>
        <w:tabs>
          <w:tab w:leader="none" w:pos="63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Participant agrees that the Plan is established voluntarily by the Company, is discretionary in nature, and may be amended, suspended, or terminated by the Company at any time, to the extent permitted by the Plan.</w:t>
      </w:r>
    </w:p>
    <w:p>
      <w:pPr>
        <w:spacing w:after="0" w:line="104" w:lineRule="exact"/>
        <w:rPr>
          <w:rFonts w:ascii="Arial" w:cs="Arial" w:eastAsia="Arial" w:hAnsi="Arial"/>
          <w:sz w:val="19"/>
          <w:szCs w:val="19"/>
          <w:color w:val="auto"/>
        </w:rPr>
      </w:pPr>
    </w:p>
    <w:p>
      <w:pPr>
        <w:jc w:val="both"/>
        <w:ind w:left="644" w:hanging="644"/>
        <w:spacing w:after="0" w:line="253" w:lineRule="auto"/>
        <w:tabs>
          <w:tab w:leader="none" w:pos="63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agrees that the grant of this Option is exceptional, voluntary and occasional and does not create any contractual or other right to receive future grants of options, or benefits in lieu of options, even if options have been granted in the past.</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Participant agrees that any decisions regarding future Awards will be in the Company’s sole discretion.</w:t>
      </w:r>
    </w:p>
    <w:p>
      <w:pPr>
        <w:spacing w:after="0" w:line="231" w:lineRule="exact"/>
        <w:rPr>
          <w:rFonts w:ascii="Arial" w:cs="Arial" w:eastAsia="Arial" w:hAnsi="Arial"/>
          <w:sz w:val="21"/>
          <w:szCs w:val="21"/>
          <w:color w:val="auto"/>
        </w:rPr>
      </w:pPr>
    </w:p>
    <w:p>
      <w:pPr>
        <w:ind w:left="644" w:hanging="644"/>
        <w:spacing w:after="0"/>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agrees that he or she is voluntarily participating in the Plan.</w:t>
      </w:r>
    </w:p>
    <w:p>
      <w:pPr>
        <w:spacing w:after="0" w:line="219" w:lineRule="exact"/>
        <w:rPr>
          <w:rFonts w:ascii="Arial" w:cs="Arial" w:eastAsia="Arial" w:hAnsi="Arial"/>
          <w:sz w:val="22"/>
          <w:szCs w:val="22"/>
          <w:color w:val="auto"/>
        </w:rPr>
      </w:pPr>
    </w:p>
    <w:p>
      <w:pPr>
        <w:ind w:left="644" w:hanging="644"/>
        <w:spacing w:after="0" w:line="263" w:lineRule="auto"/>
        <w:tabs>
          <w:tab w:leader="none" w:pos="63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agrees that this Option and any Shares acquired under the Plan are not intended to replace any pension rights or compensation.</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3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agrees that this Option, any Shares acquired under the Plan, and their income and value are not part of normal or expected compensation for any purpose, including for calculating any severance, resignation, termination, redundancy, dismissal, end-of-service payments, bonuses, holiday pay, long-service awards, pension or retirement or welfare benefits, or similar payments.</w:t>
      </w:r>
    </w:p>
    <w:p>
      <w:pPr>
        <w:spacing w:after="0" w:line="187" w:lineRule="exact"/>
        <w:rPr>
          <w:rFonts w:ascii="Arial" w:cs="Arial" w:eastAsia="Arial" w:hAnsi="Arial"/>
          <w:sz w:val="22"/>
          <w:szCs w:val="22"/>
          <w:color w:val="auto"/>
        </w:rPr>
      </w:pPr>
    </w:p>
    <w:p>
      <w:pPr>
        <w:ind w:left="644" w:hanging="644"/>
        <w:spacing w:after="0" w:line="263" w:lineRule="auto"/>
        <w:tabs>
          <w:tab w:leader="none" w:pos="63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agrees that the future value of the Shares underlying this Option is unknown, indeterminable, and cannot be predicted with certainty.</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3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understands that if the underlying Shares do not increase in value, this Option will have no intrinsic monetary value.</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3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understands that if this Option is exercised, the value of each Share received on exercise may increase or decrease in value, even below the Exercise Price.</w:t>
      </w:r>
    </w:p>
    <w:p>
      <w:pPr>
        <w:spacing w:after="0" w:line="174" w:lineRule="exact"/>
        <w:rPr>
          <w:rFonts w:ascii="Arial" w:cs="Arial" w:eastAsia="Arial" w:hAnsi="Arial"/>
          <w:sz w:val="22"/>
          <w:szCs w:val="22"/>
          <w:color w:val="auto"/>
        </w:rPr>
      </w:pPr>
    </w:p>
    <w:p>
      <w:pPr>
        <w:ind w:left="644" w:hanging="644"/>
        <w:spacing w:after="0" w:line="263" w:lineRule="auto"/>
        <w:tabs>
          <w:tab w:leader="none" w:pos="63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Participant agrees that no member of the Company Group is liable for any foreign exchange rate fluctuation between the Participant’s local currency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84"/>
          </w:cols>
          <w:pgMar w:left="976" w:top="1440" w:right="339" w:bottom="1440" w:gutter="0" w:footer="0" w:header="0"/>
        </w:sectPr>
      </w:pPr>
    </w:p>
    <w:bookmarkStart w:id="182" w:name="page183"/>
    <w:bookmarkEnd w:id="182"/>
    <w:p>
      <w:pPr>
        <w:spacing w:after="0" w:line="366"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Dollar that may affect the value of this Option or of any amounts due to him or her from the exercise of this Option or the subsequent sale of any Shares acquired upon exercise.</w:t>
      </w:r>
    </w:p>
    <w:p>
      <w:pPr>
        <w:spacing w:after="0" w:line="175" w:lineRule="exact"/>
        <w:rPr>
          <w:sz w:val="20"/>
          <w:szCs w:val="20"/>
          <w:color w:val="auto"/>
        </w:rPr>
      </w:pPr>
    </w:p>
    <w:p>
      <w:pPr>
        <w:jc w:val="both"/>
        <w:ind w:left="1300" w:hanging="644"/>
        <w:spacing w:after="0" w:line="250" w:lineRule="auto"/>
        <w:tabs>
          <w:tab w:leader="none" w:pos="130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Unless otherwise provided in the Plan or by the Administrator in its discretion, this Option and the benefits evidenced in this Agreement do not create any entitlement to have this Option or any such benefits transferred to, or assumed by, another company, nor to be exchanged, cashed out or substituted for, in connection with any corporate transaction affecting the Shares.</w:t>
      </w:r>
    </w:p>
    <w:p>
      <w:pPr>
        <w:spacing w:after="0" w:line="187" w:lineRule="exact"/>
        <w:rPr>
          <w:rFonts w:ascii="Arial" w:cs="Arial" w:eastAsia="Arial" w:hAnsi="Arial"/>
          <w:sz w:val="22"/>
          <w:szCs w:val="22"/>
          <w:color w:val="auto"/>
        </w:rPr>
      </w:pPr>
    </w:p>
    <w:p>
      <w:pPr>
        <w:jc w:val="both"/>
        <w:ind w:left="1300" w:hanging="644"/>
        <w:spacing w:after="0" w:line="265" w:lineRule="auto"/>
        <w:tabs>
          <w:tab w:leader="none" w:pos="1298"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Participant agrees that he or she has no claim or entitlement to compensation or damages from any forfeiture of this Option resulting from the termination of his or her status as a Service Provider (for any reason whatsoever, whether or not later found to be invalid or in breach of employment laws in the jurisdiction where he or she is a Service Provider or the terms of his or her service agreement, if any).</w:t>
      </w:r>
    </w:p>
    <w:p>
      <w:pPr>
        <w:spacing w:after="0" w:line="169" w:lineRule="exact"/>
        <w:rPr>
          <w:rFonts w:ascii="Arial" w:cs="Arial" w:eastAsia="Arial" w:hAnsi="Arial"/>
          <w:sz w:val="21"/>
          <w:szCs w:val="21"/>
          <w:color w:val="auto"/>
        </w:rPr>
      </w:pPr>
    </w:p>
    <w:p>
      <w:pPr>
        <w:ind w:left="660" w:hanging="652"/>
        <w:spacing w:after="0"/>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b w:val="1"/>
          <w:bCs w:val="1"/>
          <w:u w:val="single" w:color="auto"/>
          <w:color w:val="auto"/>
        </w:rPr>
        <w:t>.</w:t>
      </w:r>
    </w:p>
    <w:p>
      <w:pPr>
        <w:spacing w:after="0" w:line="225" w:lineRule="exact"/>
        <w:rPr>
          <w:rFonts w:ascii="Arial" w:cs="Arial" w:eastAsia="Arial" w:hAnsi="Arial"/>
          <w:sz w:val="22"/>
          <w:szCs w:val="22"/>
          <w:color w:val="auto"/>
        </w:rPr>
      </w:pPr>
    </w:p>
    <w:p>
      <w:pPr>
        <w:jc w:val="both"/>
        <w:ind w:firstLine="1304"/>
        <w:spacing w:after="0" w:line="250" w:lineRule="auto"/>
        <w:tabs>
          <w:tab w:leader="none" w:pos="1939" w:val="left"/>
        </w:tabs>
        <w:numPr>
          <w:ilvl w:val="2"/>
          <w:numId w:val="134"/>
        </w:numPr>
        <w:rPr>
          <w:rFonts w:ascii="Arial" w:cs="Arial" w:eastAsia="Arial" w:hAnsi="Arial"/>
          <w:sz w:val="22"/>
          <w:szCs w:val="22"/>
          <w:i w:val="1"/>
          <w:iCs w:val="1"/>
          <w:color w:val="auto"/>
        </w:rPr>
      </w:pPr>
      <w:r>
        <w:rPr>
          <w:rFonts w:ascii="Arial" w:cs="Arial" w:eastAsia="Arial" w:hAnsi="Arial"/>
          <w:sz w:val="22"/>
          <w:szCs w:val="22"/>
          <w:i w:val="1"/>
          <w:iCs w:val="1"/>
          <w:color w:val="auto"/>
        </w:rPr>
        <w:t>The Participant voluntarily consents to the collection, use and transfer, in electronic or other form, of his or her personal data as described in this Agreement and any other Award materials (“</w:t>
      </w:r>
      <w:r>
        <w:rPr>
          <w:rFonts w:ascii="Arial" w:cs="Arial" w:eastAsia="Arial" w:hAnsi="Arial"/>
          <w:sz w:val="22"/>
          <w:szCs w:val="22"/>
          <w:u w:val="single" w:color="auto"/>
          <w:color w:val="auto"/>
        </w:rPr>
        <w:t>Data</w:t>
      </w:r>
      <w:r>
        <w:rPr>
          <w:rFonts w:ascii="Arial" w:cs="Arial" w:eastAsia="Arial" w:hAnsi="Arial"/>
          <w:sz w:val="22"/>
          <w:szCs w:val="22"/>
          <w:i w:val="1"/>
          <w:iCs w:val="1"/>
          <w:color w:val="auto"/>
        </w:rPr>
        <w:t>”) by and among, as applicable, the Employer(s), the Company and any member of the Company Group for the exclusive purpose of implementing, administering, and managing his or her participation in the Plan.</w:t>
      </w:r>
    </w:p>
    <w:p>
      <w:pPr>
        <w:spacing w:after="0" w:line="187" w:lineRule="exact"/>
        <w:rPr>
          <w:rFonts w:ascii="Arial" w:cs="Arial" w:eastAsia="Arial" w:hAnsi="Arial"/>
          <w:sz w:val="22"/>
          <w:szCs w:val="22"/>
          <w:i w:val="1"/>
          <w:iCs w:val="1"/>
          <w:color w:val="auto"/>
        </w:rPr>
      </w:pPr>
    </w:p>
    <w:p>
      <w:pPr>
        <w:jc w:val="both"/>
        <w:ind w:firstLine="1304"/>
        <w:spacing w:after="0" w:line="297" w:lineRule="auto"/>
        <w:tabs>
          <w:tab w:leader="none" w:pos="1939" w:val="left"/>
        </w:tabs>
        <w:numPr>
          <w:ilvl w:val="2"/>
          <w:numId w:val="134"/>
        </w:numPr>
        <w:rPr>
          <w:rFonts w:ascii="Arial" w:cs="Arial" w:eastAsia="Arial" w:hAnsi="Arial"/>
          <w:sz w:val="19"/>
          <w:szCs w:val="19"/>
          <w:i w:val="1"/>
          <w:iCs w:val="1"/>
          <w:color w:val="auto"/>
        </w:rPr>
      </w:pPr>
      <w:r>
        <w:rPr>
          <w:rFonts w:ascii="Arial" w:cs="Arial" w:eastAsia="Arial" w:hAnsi="Arial"/>
          <w:sz w:val="19"/>
          <w:szCs w:val="19"/>
          <w:i w:val="1"/>
          <w:iCs w:val="1"/>
          <w:color w:val="auto"/>
        </w:rPr>
        <w:t>The Participant understands that the Company and the Employer(s) may hold certain personal information about him or her, including, but not limited to, his or her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his or her favor, for the exclusive purpose of implementing, administering, and managing the Plan.</w:t>
      </w:r>
    </w:p>
    <w:p>
      <w:pPr>
        <w:spacing w:after="0" w:line="146" w:lineRule="exact"/>
        <w:rPr>
          <w:rFonts w:ascii="Arial" w:cs="Arial" w:eastAsia="Arial" w:hAnsi="Arial"/>
          <w:sz w:val="19"/>
          <w:szCs w:val="19"/>
          <w:i w:val="1"/>
          <w:iCs w:val="1"/>
          <w:color w:val="auto"/>
        </w:rPr>
      </w:pPr>
    </w:p>
    <w:p>
      <w:pPr>
        <w:jc w:val="both"/>
        <w:ind w:firstLine="1304"/>
        <w:spacing w:after="0" w:line="289" w:lineRule="auto"/>
        <w:tabs>
          <w:tab w:leader="none" w:pos="1941" w:val="left"/>
        </w:tabs>
        <w:numPr>
          <w:ilvl w:val="2"/>
          <w:numId w:val="134"/>
        </w:numPr>
        <w:rPr>
          <w:rFonts w:ascii="Arial" w:cs="Arial" w:eastAsia="Arial" w:hAnsi="Arial"/>
          <w:sz w:val="19"/>
          <w:szCs w:val="19"/>
          <w:i w:val="1"/>
          <w:iCs w:val="1"/>
          <w:color w:val="auto"/>
        </w:rPr>
      </w:pPr>
      <w:r>
        <w:rPr>
          <w:rFonts w:ascii="Arial" w:cs="Arial" w:eastAsia="Arial" w:hAnsi="Arial"/>
          <w:sz w:val="19"/>
          <w:szCs w:val="19"/>
          <w:i w:val="1"/>
          <w:iCs w:val="1"/>
          <w:color w:val="auto"/>
        </w:rPr>
        <w:t>The Participant understands that Data will be transferred to one or more a stock plan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his or her participation in the Plan.</w:t>
      </w:r>
    </w:p>
    <w:p>
      <w:pPr>
        <w:spacing w:after="0" w:line="156" w:lineRule="exact"/>
        <w:rPr>
          <w:rFonts w:ascii="Arial" w:cs="Arial" w:eastAsia="Arial" w:hAnsi="Arial"/>
          <w:sz w:val="19"/>
          <w:szCs w:val="19"/>
          <w:i w:val="1"/>
          <w:iCs w:val="1"/>
          <w:color w:val="auto"/>
        </w:rPr>
      </w:pPr>
    </w:p>
    <w:p>
      <w:pPr>
        <w:jc w:val="both"/>
        <w:ind w:firstLine="1304"/>
        <w:spacing w:after="0" w:line="253" w:lineRule="auto"/>
        <w:tabs>
          <w:tab w:leader="none" w:pos="1939" w:val="left"/>
        </w:tabs>
        <w:numPr>
          <w:ilvl w:val="2"/>
          <w:numId w:val="134"/>
        </w:numPr>
        <w:rPr>
          <w:rFonts w:ascii="Arial" w:cs="Arial" w:eastAsia="Arial" w:hAnsi="Arial"/>
          <w:sz w:val="22"/>
          <w:szCs w:val="22"/>
          <w:i w:val="1"/>
          <w:iCs w:val="1"/>
          <w:color w:val="auto"/>
        </w:rPr>
      </w:pPr>
      <w:r>
        <w:rPr>
          <w:rFonts w:ascii="Arial" w:cs="Arial" w:eastAsia="Arial" w:hAnsi="Arial"/>
          <w:sz w:val="22"/>
          <w:szCs w:val="22"/>
          <w:i w:val="1"/>
          <w:iCs w:val="1"/>
          <w:color w:val="auto"/>
        </w:rPr>
        <w:t>The Participant understands that Data will be held only as long as is necessary to implement, administer and manage his or her participation in the Plan. The Participant understands that if he or she resides in certain jurisdictions outside the United States, to the extent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3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i w:val="1"/>
          <w:iCs w:val="1"/>
          <w:color w:val="auto"/>
        </w:rPr>
        <w:t>Applicable Laws, he or she may, at any time, request access to Data, request additional information about the storage and processing of Data, require any necessary amendments to Data or refuse or withdraw the consents given by accepting this Option,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Employer(s) will not be adversely affected; the only consequence of refusing or withdrawing his or her consent is that the Company will not be able to grant him or her awards under the Plan or administer or maintain awards. Therefore, the Participant understands that refusing or withdrawing his or her consent may affect his or her ability to participate in the Plan (including the right to retain this Option). The Participant understands that he or she may contact his or her local human resources representative for more information on the consequences of his or her refusal to consent or withdrawal of consent.</w:t>
      </w:r>
    </w:p>
    <w:p>
      <w:pPr>
        <w:spacing w:after="0" w:line="159" w:lineRule="exact"/>
        <w:rPr>
          <w:sz w:val="20"/>
          <w:szCs w:val="20"/>
          <w:color w:val="auto"/>
        </w:rPr>
      </w:pPr>
    </w:p>
    <w:p>
      <w:pPr>
        <w:jc w:val="both"/>
        <w:ind w:left="660" w:hanging="652"/>
        <w:spacing w:after="0" w:line="257" w:lineRule="auto"/>
        <w:tabs>
          <w:tab w:leader="none" w:pos="660"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Insider Trading Restrictions/Market Abuse Laws. The Participant acknowledges that he or she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this Option)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w:t>
      </w:r>
    </w:p>
    <w:p>
      <w:pPr>
        <w:spacing w:after="0" w:line="190" w:lineRule="exact"/>
        <w:rPr>
          <w:rFonts w:ascii="Arial" w:cs="Arial" w:eastAsia="Arial" w:hAnsi="Arial"/>
          <w:sz w:val="21"/>
          <w:szCs w:val="21"/>
          <w:color w:val="auto"/>
        </w:rPr>
      </w:pPr>
    </w:p>
    <w:p>
      <w:pPr>
        <w:jc w:val="both"/>
        <w:ind w:left="660" w:hanging="652"/>
        <w:spacing w:after="0" w:line="288" w:lineRule="auto"/>
        <w:tabs>
          <w:tab w:leader="none" w:pos="66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Foreign Asset/Account Reporting Requirements. Depending on the Participant’s country, the Participant may be subject to foreign asset/account, exchange control and/or tax reporting requirements as a result of the vesting or exercise of this Option,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sale proceeds or other funds received as a result of his or her participation in the Plan to his or her country 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66"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13" w:lineRule="exact"/>
        <w:rPr>
          <w:rFonts w:ascii="Arial" w:cs="Arial" w:eastAsia="Arial" w:hAnsi="Arial"/>
          <w:sz w:val="22"/>
          <w:szCs w:val="22"/>
          <w:color w:val="auto"/>
        </w:rPr>
      </w:pPr>
    </w:p>
    <w:p>
      <w:pPr>
        <w:jc w:val="both"/>
        <w:ind w:left="1300" w:hanging="644"/>
        <w:spacing w:after="0" w:line="304" w:lineRule="auto"/>
        <w:tabs>
          <w:tab w:leader="none" w:pos="1297" w:val="left"/>
        </w:tabs>
        <w:numPr>
          <w:ilvl w:val="1"/>
          <w:numId w:val="136"/>
        </w:numPr>
        <w:rPr>
          <w:rFonts w:ascii="Arial" w:cs="Arial" w:eastAsia="Arial" w:hAnsi="Arial"/>
          <w:sz w:val="19"/>
          <w:szCs w:val="19"/>
          <w:color w:val="auto"/>
        </w:rPr>
      </w:pPr>
      <w:r>
        <w:rPr>
          <w:rFonts w:ascii="Arial" w:cs="Arial" w:eastAsia="Arial" w:hAnsi="Arial"/>
          <w:sz w:val="19"/>
          <w:szCs w:val="19"/>
          <w:b w:val="1"/>
          <w:bCs w:val="1"/>
          <w:u w:val="single" w:color="auto"/>
          <w:color w:val="auto"/>
        </w:rPr>
        <w:t>Address for Notices</w:t>
      </w:r>
      <w:r>
        <w:rPr>
          <w:rFonts w:ascii="Arial" w:cs="Arial" w:eastAsia="Arial" w:hAnsi="Arial"/>
          <w:sz w:val="19"/>
          <w:szCs w:val="19"/>
          <w:b w:val="1"/>
          <w:bCs w:val="1"/>
          <w:color w:val="auto"/>
        </w:rPr>
        <w:t>. Any notice to be given to the Company under the terms of this Agreement must be addressed to the Company at Upstart Holdings, Inc., 2950 S. Delaware Street, Suite 300, San Mateo CA 94403, USA, and a copy of such notice must be delivered to the Company through electronic mail addressed to notice@upstart.com, until the Company designates another address in writing.</w:t>
      </w:r>
    </w:p>
    <w:p>
      <w:pPr>
        <w:spacing w:after="0" w:line="135" w:lineRule="exact"/>
        <w:rPr>
          <w:rFonts w:ascii="Arial" w:cs="Arial" w:eastAsia="Arial" w:hAnsi="Arial"/>
          <w:sz w:val="19"/>
          <w:szCs w:val="19"/>
          <w:color w:val="auto"/>
        </w:rPr>
      </w:pPr>
    </w:p>
    <w:p>
      <w:pPr>
        <w:jc w:val="both"/>
        <w:ind w:left="1300" w:hanging="644"/>
        <w:spacing w:after="0" w:line="256" w:lineRule="auto"/>
        <w:tabs>
          <w:tab w:leader="none" w:pos="1295" w:val="left"/>
        </w:tabs>
        <w:numPr>
          <w:ilvl w:val="1"/>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Option</w:t>
      </w:r>
      <w:r>
        <w:rPr>
          <w:rFonts w:ascii="Arial" w:cs="Arial" w:eastAsia="Arial" w:hAnsi="Arial"/>
          <w:sz w:val="22"/>
          <w:szCs w:val="22"/>
          <w:color w:val="auto"/>
        </w:rPr>
        <w:t>. This Option may not be transferred other than by will or the applicable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descent or distribution and may be exercised during the lifetime of the Participant only by him or her or his or her representative following a Disability.</w:t>
      </w:r>
    </w:p>
    <w:p>
      <w:pPr>
        <w:spacing w:after="0" w:line="176" w:lineRule="exact"/>
        <w:rPr>
          <w:rFonts w:ascii="Arial" w:cs="Arial" w:eastAsia="Arial" w:hAnsi="Arial"/>
          <w:sz w:val="22"/>
          <w:szCs w:val="22"/>
          <w:color w:val="auto"/>
        </w:rPr>
      </w:pPr>
    </w:p>
    <w:p>
      <w:pPr>
        <w:ind w:left="1300" w:right="20" w:hanging="644"/>
        <w:spacing w:after="0" w:line="349" w:lineRule="auto"/>
        <w:tabs>
          <w:tab w:leader="none" w:pos="1297" w:val="left"/>
        </w:tabs>
        <w:numPr>
          <w:ilvl w:val="1"/>
          <w:numId w:val="136"/>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Agreement</w:t>
      </w:r>
      <w:r>
        <w:rPr>
          <w:rFonts w:ascii="Arial" w:cs="Arial" w:eastAsia="Arial" w:hAnsi="Arial"/>
          <w:sz w:val="19"/>
          <w:szCs w:val="19"/>
          <w:color w:val="auto"/>
        </w:rPr>
        <w:t>. If this Option is transferred, this Agreement will be binding upon and inure to the benefit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heirs, legatees, legal representatives, successors, and assigns of the parties to this Agreement.</w:t>
      </w:r>
    </w:p>
    <w:p>
      <w:pPr>
        <w:spacing w:after="0" w:line="93" w:lineRule="exact"/>
        <w:rPr>
          <w:rFonts w:ascii="Arial" w:cs="Arial" w:eastAsia="Arial" w:hAnsi="Arial"/>
          <w:sz w:val="19"/>
          <w:szCs w:val="19"/>
          <w:color w:val="auto"/>
        </w:rPr>
      </w:pPr>
    </w:p>
    <w:p>
      <w:pPr>
        <w:jc w:val="both"/>
        <w:ind w:left="1300" w:hanging="644"/>
        <w:spacing w:after="0" w:line="259" w:lineRule="auto"/>
        <w:tabs>
          <w:tab w:leader="none" w:pos="1295" w:val="left"/>
        </w:tabs>
        <w:numPr>
          <w:ilvl w:val="1"/>
          <w:numId w:val="136"/>
        </w:numPr>
        <w:rPr>
          <w:rFonts w:ascii="Arial" w:cs="Arial" w:eastAsia="Arial" w:hAnsi="Arial"/>
          <w:sz w:val="21"/>
          <w:szCs w:val="21"/>
          <w:color w:val="auto"/>
        </w:rPr>
      </w:pPr>
      <w:r>
        <w:rPr>
          <w:rFonts w:ascii="Arial" w:cs="Arial" w:eastAsia="Arial" w:hAnsi="Arial"/>
          <w:sz w:val="21"/>
          <w:szCs w:val="21"/>
          <w:b w:val="1"/>
          <w:bCs w:val="1"/>
          <w:u w:val="single" w:color="auto"/>
          <w:color w:val="auto"/>
        </w:rPr>
        <w:t>Additional Conditions to Issuance of Stock</w:t>
      </w:r>
      <w:r>
        <w:rPr>
          <w:rFonts w:ascii="Arial" w:cs="Arial" w:eastAsia="Arial" w:hAnsi="Arial"/>
          <w:sz w:val="21"/>
          <w:szCs w:val="21"/>
          <w:color w:val="auto"/>
        </w:rPr>
        <w:t>. If at any time the Company determines, in its discretion,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w:t>
      </w:r>
    </w:p>
    <w:p>
      <w:pPr>
        <w:spacing w:after="0" w:line="179" w:lineRule="exact"/>
        <w:rPr>
          <w:rFonts w:ascii="Arial" w:cs="Arial" w:eastAsia="Arial" w:hAnsi="Arial"/>
          <w:sz w:val="21"/>
          <w:szCs w:val="21"/>
          <w:color w:val="auto"/>
        </w:rPr>
      </w:pPr>
    </w:p>
    <w:p>
      <w:pPr>
        <w:ind w:left="1300" w:hanging="644"/>
        <w:spacing w:after="0" w:line="269" w:lineRule="auto"/>
        <w:tabs>
          <w:tab w:leader="none" w:pos="1297" w:val="left"/>
        </w:tabs>
        <w:numPr>
          <w:ilvl w:val="1"/>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Captions</w:t>
      </w:r>
      <w:r>
        <w:rPr>
          <w:rFonts w:ascii="Arial" w:cs="Arial" w:eastAsia="Arial" w:hAnsi="Arial"/>
          <w:sz w:val="22"/>
          <w:szCs w:val="22"/>
          <w:color w:val="auto"/>
        </w:rPr>
        <w:t>. Captions provided in this Agreement are for convenience only and are not to serve as a basis for</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interpretation or construction of this Agreement.</w:t>
      </w:r>
    </w:p>
    <w:p>
      <w:pPr>
        <w:spacing w:after="0" w:line="161" w:lineRule="exact"/>
        <w:rPr>
          <w:rFonts w:ascii="Arial" w:cs="Arial" w:eastAsia="Arial" w:hAnsi="Arial"/>
          <w:sz w:val="22"/>
          <w:szCs w:val="22"/>
          <w:color w:val="auto"/>
        </w:rPr>
      </w:pPr>
    </w:p>
    <w:p>
      <w:pPr>
        <w:jc w:val="both"/>
        <w:ind w:left="1300" w:hanging="644"/>
        <w:spacing w:after="0" w:line="256" w:lineRule="auto"/>
        <w:tabs>
          <w:tab w:leader="none" w:pos="1300" w:val="left"/>
        </w:tabs>
        <w:numPr>
          <w:ilvl w:val="1"/>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 Severable</w:t>
      </w:r>
      <w:r>
        <w:rPr>
          <w:rFonts w:ascii="Arial" w:cs="Arial" w:eastAsia="Arial" w:hAnsi="Arial"/>
          <w:sz w:val="22"/>
          <w:szCs w:val="22"/>
          <w:color w:val="auto"/>
        </w:rPr>
        <w:t>. If any provision of this Agreement is held invalid or unenforceable, that provision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severed from the remaining provisions of this Agreement and the invalidity or unenforceability will have no effect on the remainder of the Agreement.</w:t>
      </w:r>
    </w:p>
    <w:p>
      <w:pPr>
        <w:spacing w:after="0" w:line="176" w:lineRule="exact"/>
        <w:rPr>
          <w:rFonts w:ascii="Arial" w:cs="Arial" w:eastAsia="Arial" w:hAnsi="Arial"/>
          <w:sz w:val="22"/>
          <w:szCs w:val="22"/>
          <w:color w:val="auto"/>
        </w:rPr>
      </w:pPr>
    </w:p>
    <w:p>
      <w:pPr>
        <w:jc w:val="both"/>
        <w:ind w:left="1300" w:hanging="644"/>
        <w:spacing w:after="0" w:line="252" w:lineRule="auto"/>
        <w:tabs>
          <w:tab w:leader="none" w:pos="1295" w:val="left"/>
        </w:tabs>
        <w:numPr>
          <w:ilvl w:val="1"/>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Non-U.S. Appendix</w:t>
      </w:r>
      <w:r>
        <w:rPr>
          <w:rFonts w:ascii="Arial" w:cs="Arial" w:eastAsia="Arial" w:hAnsi="Arial"/>
          <w:sz w:val="22"/>
          <w:szCs w:val="22"/>
          <w:color w:val="auto"/>
        </w:rPr>
        <w:t>. This Option is subject to any special terms and conditions set forth in any Appendix. If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relocates to a country included in such Appendix, the special terms and conditions for that country will apply to him or her to the extent the Company determines that applying such terms and conditions is necessary or advisable for legal or administrative reasons.</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295"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this Option and the Shares subject to this Option, to the extent the Company determines it is necessary or advisable for legal or administrative reasons,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366" w:lineRule="exact"/>
        <w:rPr>
          <w:sz w:val="20"/>
          <w:szCs w:val="20"/>
          <w:color w:val="auto"/>
        </w:rPr>
      </w:pPr>
    </w:p>
    <w:p>
      <w:pPr>
        <w:ind w:left="644"/>
        <w:spacing w:after="0" w:line="263" w:lineRule="auto"/>
        <w:rPr>
          <w:sz w:val="20"/>
          <w:szCs w:val="20"/>
          <w:color w:val="auto"/>
        </w:rPr>
      </w:pPr>
      <w:r>
        <w:rPr>
          <w:rFonts w:ascii="Arial" w:cs="Arial" w:eastAsia="Arial" w:hAnsi="Arial"/>
          <w:sz w:val="22"/>
          <w:szCs w:val="22"/>
          <w:color w:val="auto"/>
        </w:rPr>
        <w:t>to require Participant to sign any additional agreements or undertakings that may be necessary to accomplish the foregoing.</w:t>
      </w:r>
    </w:p>
    <w:p>
      <w:pPr>
        <w:spacing w:after="0" w:line="169" w:lineRule="exact"/>
        <w:rPr>
          <w:sz w:val="20"/>
          <w:szCs w:val="20"/>
          <w:color w:val="auto"/>
        </w:rPr>
      </w:pPr>
    </w:p>
    <w:p>
      <w:pPr>
        <w:jc w:val="both"/>
        <w:ind w:left="644" w:hanging="644"/>
        <w:spacing w:after="0" w:line="261" w:lineRule="auto"/>
        <w:tabs>
          <w:tab w:leader="none" w:pos="632" w:val="left"/>
        </w:tabs>
        <w:numPr>
          <w:ilvl w:val="0"/>
          <w:numId w:val="137"/>
        </w:numPr>
        <w:rPr>
          <w:rFonts w:ascii="Arial" w:cs="Arial" w:eastAsia="Arial" w:hAnsi="Arial"/>
          <w:sz w:val="21"/>
          <w:szCs w:val="21"/>
          <w:color w:val="auto"/>
        </w:rPr>
      </w:pPr>
      <w:r>
        <w:rPr>
          <w:rFonts w:ascii="Arial" w:cs="Arial" w:eastAsia="Arial" w:hAnsi="Arial"/>
          <w:sz w:val="21"/>
          <w:szCs w:val="21"/>
          <w:b w:val="1"/>
          <w:bCs w:val="1"/>
          <w:u w:val="single" w:color="auto"/>
          <w:color w:val="auto"/>
        </w:rPr>
        <w:t>Choice of Law; Choice of Forum</w:t>
      </w:r>
      <w:r>
        <w:rPr>
          <w:rFonts w:ascii="Arial" w:cs="Arial" w:eastAsia="Arial" w:hAnsi="Arial"/>
          <w:sz w:val="21"/>
          <w:szCs w:val="21"/>
          <w:color w:val="auto"/>
        </w:rPr>
        <w:t>. The Plan, this Agreement, this Option, and all determinations made and</w:t>
      </w:r>
      <w:r>
        <w:rPr>
          <w:rFonts w:ascii="Arial" w:cs="Arial" w:eastAsia="Arial" w:hAnsi="Arial"/>
          <w:sz w:val="21"/>
          <w:szCs w:val="21"/>
          <w:b w:val="1"/>
          <w:bCs w:val="1"/>
          <w:color w:val="auto"/>
        </w:rPr>
        <w:t xml:space="preserve"> </w:t>
      </w:r>
      <w:r>
        <w:rPr>
          <w:rFonts w:ascii="Arial" w:cs="Arial" w:eastAsia="Arial" w:hAnsi="Arial"/>
          <w:sz w:val="21"/>
          <w:szCs w:val="21"/>
          <w:color w:val="auto"/>
        </w:rPr>
        <w:t>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this Option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w:t>
      </w:r>
    </w:p>
    <w:p>
      <w:pPr>
        <w:spacing w:after="0" w:line="179" w:lineRule="exact"/>
        <w:rPr>
          <w:rFonts w:ascii="Arial" w:cs="Arial" w:eastAsia="Arial" w:hAnsi="Arial"/>
          <w:sz w:val="21"/>
          <w:szCs w:val="21"/>
          <w:color w:val="auto"/>
        </w:rPr>
      </w:pPr>
    </w:p>
    <w:p>
      <w:pPr>
        <w:jc w:val="both"/>
        <w:ind w:left="644" w:hanging="644"/>
        <w:spacing w:after="0" w:line="290" w:lineRule="auto"/>
        <w:tabs>
          <w:tab w:leader="none" w:pos="63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Modifications to the Agreement</w:t>
      </w:r>
      <w:r>
        <w:rPr>
          <w:rFonts w:ascii="Arial" w:cs="Arial" w:eastAsia="Arial" w:hAnsi="Arial"/>
          <w:sz w:val="19"/>
          <w:szCs w:val="19"/>
          <w:color w:val="auto"/>
        </w:rPr>
        <w:t>. The Plan and this Agreement constitute the entire understanding of the parties on the subjects covered. The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The Company reserves the right to revise the Agreement as it deems necessary or advisable, in its sole discretion and without the consent of the Participant, to comply with Code Section 409A, to otherwise avoid imposition of any additional tax or income recognition under Code Section 409A in connection with this Option, or to comply with other Applicable Laws.</w:t>
      </w:r>
    </w:p>
    <w:p>
      <w:pPr>
        <w:spacing w:after="0" w:line="155" w:lineRule="exact"/>
        <w:rPr>
          <w:rFonts w:ascii="Arial" w:cs="Arial" w:eastAsia="Arial" w:hAnsi="Arial"/>
          <w:sz w:val="19"/>
          <w:szCs w:val="19"/>
          <w:color w:val="auto"/>
        </w:rPr>
      </w:pPr>
    </w:p>
    <w:p>
      <w:pPr>
        <w:jc w:val="both"/>
        <w:ind w:left="644" w:right="20" w:hanging="644"/>
        <w:spacing w:after="0" w:line="253" w:lineRule="auto"/>
        <w:tabs>
          <w:tab w:leader="none" w:pos="639"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Participant acknowledges that a waiver by the Company of a breach of any provision of this Agreement will not operate or be construed as a waiver of any other provision of this Agreement or of any subsequent breach of this Agreement by him or her.</w:t>
      </w:r>
    </w:p>
    <w:p>
      <w:pPr>
        <w:spacing w:after="0" w:line="185" w:lineRule="exact"/>
        <w:rPr>
          <w:rFonts w:ascii="Arial" w:cs="Arial" w:eastAsia="Arial" w:hAnsi="Arial"/>
          <w:sz w:val="22"/>
          <w:szCs w:val="22"/>
          <w:color w:val="auto"/>
        </w:rPr>
      </w:pPr>
    </w:p>
    <w:p>
      <w:pPr>
        <w:jc w:val="both"/>
        <w:ind w:left="644" w:hanging="644"/>
        <w:spacing w:after="0" w:line="253" w:lineRule="auto"/>
        <w:tabs>
          <w:tab w:leader="none" w:pos="632"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Participant has received this Agreement, or any other document related to this Option and/or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84"/>
          </w:cols>
          <w:pgMar w:left="976" w:top="1440" w:right="339" w:bottom="1440" w:gutter="0" w:footer="0" w:header="0"/>
        </w:sectPr>
      </w:pPr>
    </w:p>
    <w:bookmarkStart w:id="186" w:name="page187"/>
    <w:bookmarkEnd w:id="186"/>
    <w:p>
      <w:pPr>
        <w:spacing w:after="0" w:line="351"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UPSTART HOLDINGS, INC.</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EXERCISE NOTICE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Upstart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2950 S. Delaware Street,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Mateo CA 94403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notice@upstart.com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Attention: Stock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178435</wp:posOffset>
            </wp:positionV>
            <wp:extent cx="6275070" cy="18605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275070" cy="1860550"/>
                    </a:xfrm>
                    <a:prstGeom prst="rect">
                      <a:avLst/>
                    </a:prstGeom>
                    <a:noFill/>
                  </pic:spPr>
                </pic:pic>
              </a:graphicData>
            </a:graphic>
          </wp:anchor>
        </w:drawing>
      </w: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Purchaser Name:</w:t>
      </w:r>
    </w:p>
    <w:p>
      <w:pPr>
        <w:spacing w:after="0" w:line="6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Grant Date of Stock Option (the “</w:t>
      </w:r>
      <w:r>
        <w:rPr>
          <w:rFonts w:ascii="Arial" w:cs="Arial" w:eastAsia="Arial" w:hAnsi="Arial"/>
          <w:sz w:val="22"/>
          <w:szCs w:val="22"/>
          <w:b w:val="1"/>
          <w:bCs w:val="1"/>
          <w:color w:val="auto"/>
        </w:rPr>
        <w:t>Option</w:t>
      </w:r>
      <w:r>
        <w:rPr>
          <w:rFonts w:ascii="Arial" w:cs="Arial" w:eastAsia="Arial" w:hAnsi="Arial"/>
          <w:sz w:val="22"/>
          <w:szCs w:val="22"/>
          <w:color w:val="auto"/>
        </w:rPr>
        <w:t>”):</w:t>
      </w:r>
    </w:p>
    <w:p>
      <w:pPr>
        <w:spacing w:after="0" w:line="7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Grant Number:</w:t>
      </w:r>
    </w:p>
    <w:p>
      <w:pPr>
        <w:spacing w:after="0" w:line="7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Exercise Date:</w:t>
      </w:r>
    </w:p>
    <w:p>
      <w:pPr>
        <w:spacing w:after="0" w:line="7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Number of Shares Exercised:</w:t>
      </w:r>
    </w:p>
    <w:p>
      <w:pPr>
        <w:spacing w:after="0" w:line="7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Per Share Exercise Price:</w:t>
      </w:r>
    </w:p>
    <w:p>
      <w:pPr>
        <w:spacing w:after="0" w:line="7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Total Exercise Price:</w:t>
      </w:r>
    </w:p>
    <w:p>
      <w:pPr>
        <w:spacing w:after="0" w:line="7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Exercise Price Payment Method:</w:t>
      </w:r>
    </w:p>
    <w:p>
      <w:pPr>
        <w:spacing w:after="0" w:line="7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Tax Withholdings Payment Method: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in the table above is incorporated in this Exercise Notice.</w:t>
      </w:r>
    </w:p>
    <w:p>
      <w:pPr>
        <w:spacing w:after="0" w:line="214" w:lineRule="exact"/>
        <w:rPr>
          <w:sz w:val="20"/>
          <w:szCs w:val="20"/>
          <w:color w:val="auto"/>
        </w:rPr>
      </w:pPr>
    </w:p>
    <w:p>
      <w:pPr>
        <w:jc w:val="both"/>
        <w:ind w:left="660" w:hanging="652"/>
        <w:spacing w:after="0" w:line="252" w:lineRule="auto"/>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u w:val="single" w:color="auto"/>
          <w:color w:val="auto"/>
        </w:rPr>
        <w:t>. Effective as of the Exercise Date, I elect to purchase the Number of Shares Exercised (“</w:t>
      </w:r>
      <w:r>
        <w:rPr>
          <w:rFonts w:ascii="Arial" w:cs="Arial" w:eastAsia="Arial" w:hAnsi="Arial"/>
          <w:sz w:val="22"/>
          <w:szCs w:val="22"/>
          <w:b w:val="1"/>
          <w:bCs w:val="1"/>
          <w:u w:val="single" w:color="auto"/>
          <w:color w:val="auto"/>
        </w:rPr>
        <w:t>Exercised Shares</w:t>
      </w:r>
      <w:r>
        <w:rPr>
          <w:rFonts w:ascii="Arial" w:cs="Arial" w:eastAsia="Arial" w:hAnsi="Arial"/>
          <w:sz w:val="22"/>
          <w:szCs w:val="22"/>
          <w:u w:val="single" w:color="auto"/>
          <w:color w:val="auto"/>
        </w:rPr>
        <w:t>”) under the Stock Option Agreement for this Option (the “</w:t>
      </w:r>
      <w:r>
        <w:rPr>
          <w:rFonts w:ascii="Arial" w:cs="Arial" w:eastAsia="Arial" w:hAnsi="Arial"/>
          <w:sz w:val="22"/>
          <w:szCs w:val="22"/>
          <w:b w:val="1"/>
          <w:bCs w:val="1"/>
          <w:u w:val="single" w:color="auto"/>
          <w:color w:val="auto"/>
        </w:rPr>
        <w:t>Agreement</w:t>
      </w:r>
      <w:r>
        <w:rPr>
          <w:rFonts w:ascii="Arial" w:cs="Arial" w:eastAsia="Arial" w:hAnsi="Arial"/>
          <w:sz w:val="22"/>
          <w:szCs w:val="22"/>
          <w:u w:val="single" w:color="auto"/>
          <w:color w:val="auto"/>
        </w:rPr>
        <w:t>”) for the Total Exercise Price. Capitalized</w:t>
      </w:r>
      <w:r>
        <w:rPr>
          <w:rFonts w:ascii="Arial" w:cs="Arial" w:eastAsia="Arial" w:hAnsi="Arial"/>
          <w:sz w:val="22"/>
          <w:szCs w:val="22"/>
          <w:b w:val="1"/>
          <w:bCs w:val="1"/>
          <w:u w:val="single" w:color="auto"/>
          <w:color w:val="auto"/>
        </w:rPr>
        <w:t xml:space="preserve"> </w:t>
      </w:r>
      <w:r>
        <w:rPr>
          <w:rFonts w:ascii="Arial" w:cs="Arial" w:eastAsia="Arial" w:hAnsi="Arial"/>
          <w:sz w:val="22"/>
          <w:szCs w:val="22"/>
          <w:u w:val="single" w:color="auto"/>
          <w:color w:val="auto"/>
        </w:rPr>
        <w:t>terms used but not defined in this Exercise Notice have the meanings given to them in the 2020 Equity Incentive Plan (the “</w:t>
      </w:r>
      <w:r>
        <w:rPr>
          <w:rFonts w:ascii="Arial" w:cs="Arial" w:eastAsia="Arial" w:hAnsi="Arial"/>
          <w:sz w:val="22"/>
          <w:szCs w:val="22"/>
          <w:b w:val="1"/>
          <w:bCs w:val="1"/>
          <w:u w:val="single" w:color="auto"/>
          <w:color w:val="auto"/>
        </w:rPr>
        <w:t>Plan</w:t>
      </w:r>
      <w:r>
        <w:rPr>
          <w:rFonts w:ascii="Arial" w:cs="Arial" w:eastAsia="Arial" w:hAnsi="Arial"/>
          <w:sz w:val="22"/>
          <w:szCs w:val="22"/>
          <w:u w:val="single" w:color="auto"/>
          <w:color w:val="auto"/>
        </w:rPr>
        <w:t>”) and/or the Agreement.</w:t>
      </w:r>
    </w:p>
    <w:p>
      <w:pPr>
        <w:spacing w:after="0" w:line="179" w:lineRule="exact"/>
        <w:rPr>
          <w:rFonts w:ascii="Arial" w:cs="Arial" w:eastAsia="Arial" w:hAnsi="Arial"/>
          <w:sz w:val="22"/>
          <w:szCs w:val="22"/>
          <w:color w:val="auto"/>
        </w:rPr>
      </w:pPr>
    </w:p>
    <w:p>
      <w:pPr>
        <w:jc w:val="both"/>
        <w:ind w:left="660" w:hanging="652"/>
        <w:spacing w:after="0" w:line="274" w:lineRule="auto"/>
        <w:tabs>
          <w:tab w:leader="none" w:pos="660" w:val="left"/>
        </w:tabs>
        <w:numPr>
          <w:ilvl w:val="0"/>
          <w:numId w:val="138"/>
        </w:numPr>
        <w:rPr>
          <w:rFonts w:ascii="Arial" w:cs="Arial" w:eastAsia="Arial" w:hAnsi="Arial"/>
          <w:sz w:val="21"/>
          <w:szCs w:val="21"/>
          <w:color w:val="auto"/>
        </w:rPr>
      </w:pPr>
      <w:r>
        <w:rPr>
          <w:rFonts w:ascii="Arial" w:cs="Arial" w:eastAsia="Arial" w:hAnsi="Arial"/>
          <w:sz w:val="21"/>
          <w:szCs w:val="21"/>
          <w:b w:val="1"/>
          <w:bCs w:val="1"/>
          <w:u w:val="single" w:color="auto"/>
          <w:color w:val="auto"/>
        </w:rPr>
        <w:t>Delivery of Payment</w:t>
      </w:r>
      <w:r>
        <w:rPr>
          <w:rFonts w:ascii="Arial" w:cs="Arial" w:eastAsia="Arial" w:hAnsi="Arial"/>
          <w:sz w:val="21"/>
          <w:szCs w:val="21"/>
          <w:u w:val="single" w:color="auto"/>
          <w:color w:val="auto"/>
        </w:rPr>
        <w:t>. With this Exercise Notice, I am delivering the Total Exercise Price and any required Tax</w:t>
      </w:r>
      <w:r>
        <w:rPr>
          <w:rFonts w:ascii="Arial" w:cs="Arial" w:eastAsia="Arial" w:hAnsi="Arial"/>
          <w:sz w:val="21"/>
          <w:szCs w:val="21"/>
          <w:b w:val="1"/>
          <w:bCs w:val="1"/>
          <w:u w:val="single" w:color="auto"/>
          <w:color w:val="auto"/>
        </w:rPr>
        <w:t xml:space="preserve"> </w:t>
      </w:r>
      <w:r>
        <w:rPr>
          <w:rFonts w:ascii="Arial" w:cs="Arial" w:eastAsia="Arial" w:hAnsi="Arial"/>
          <w:sz w:val="21"/>
          <w:szCs w:val="21"/>
          <w:u w:val="single" w:color="auto"/>
          <w:color w:val="auto"/>
        </w:rPr>
        <w:t>Withholdings to be paid in connection with the purchase of the Exercised Shares. I am paying my total purchase price by the Exercise Price Payment Method and the Tax Withholdings by the Tax Withholdings Payment Method.</w:t>
      </w:r>
    </w:p>
    <w:p>
      <w:pPr>
        <w:spacing w:after="0" w:line="158" w:lineRule="exact"/>
        <w:rPr>
          <w:rFonts w:ascii="Arial" w:cs="Arial" w:eastAsia="Arial" w:hAnsi="Arial"/>
          <w:sz w:val="21"/>
          <w:szCs w:val="21"/>
          <w:color w:val="auto"/>
        </w:rPr>
      </w:pPr>
    </w:p>
    <w:p>
      <w:pPr>
        <w:ind w:left="660" w:hanging="652"/>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of Purchaser</w:t>
      </w:r>
      <w:r>
        <w:rPr>
          <w:rFonts w:ascii="Arial" w:cs="Arial" w:eastAsia="Arial" w:hAnsi="Arial"/>
          <w:sz w:val="22"/>
          <w:szCs w:val="22"/>
          <w:u w:val="single" w:color="auto"/>
          <w:color w:val="auto"/>
        </w:rPr>
        <w:t>. I acknowledge that:</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366" w:lineRule="exact"/>
        <w:rPr>
          <w:sz w:val="20"/>
          <w:szCs w:val="20"/>
          <w:color w:val="auto"/>
        </w:rPr>
      </w:pPr>
    </w:p>
    <w:p>
      <w:pPr>
        <w:ind w:left="1300" w:right="20" w:hanging="644"/>
        <w:spacing w:after="0" w:line="263" w:lineRule="auto"/>
        <w:tabs>
          <w:tab w:leader="none" w:pos="129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I have received, read, and understood the Plan and the Agreement and agree to be bound by their terms and conditions.</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295"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exercise will not be completed until this Exercise Notice, Total Exercise Price, and all Tax-Related Payments are received by the Company.</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9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I have no rights as a stockholder of the Company (including the right to vote and receive dividends and distributions) on the Exercised Shares until the Exercised Shares have been issued and recorded on the records of the Company or its transfer agents or registrars.</w:t>
      </w:r>
    </w:p>
    <w:p>
      <w:pPr>
        <w:spacing w:after="0" w:line="185" w:lineRule="exact"/>
        <w:rPr>
          <w:rFonts w:ascii="Arial" w:cs="Arial" w:eastAsia="Arial" w:hAnsi="Arial"/>
          <w:sz w:val="22"/>
          <w:szCs w:val="22"/>
          <w:color w:val="auto"/>
        </w:rPr>
      </w:pPr>
    </w:p>
    <w:p>
      <w:pPr>
        <w:ind w:left="1300" w:hanging="644"/>
        <w:spacing w:after="0" w:line="263" w:lineRule="auto"/>
        <w:tabs>
          <w:tab w:leader="none" w:pos="1295" w:val="left"/>
        </w:tabs>
        <w:numPr>
          <w:ilvl w:val="1"/>
          <w:numId w:val="139"/>
        </w:numPr>
        <w:rPr>
          <w:rFonts w:ascii="Arial" w:cs="Arial" w:eastAsia="Arial" w:hAnsi="Arial"/>
          <w:sz w:val="22"/>
          <w:szCs w:val="22"/>
          <w:color w:val="auto"/>
        </w:rPr>
      </w:pPr>
      <w:r>
        <w:rPr>
          <w:rFonts w:ascii="Arial" w:cs="Arial" w:eastAsia="Arial" w:hAnsi="Arial"/>
          <w:sz w:val="22"/>
          <w:szCs w:val="22"/>
          <w:color w:val="auto"/>
        </w:rPr>
        <w:t>No adjustment will be made for a dividend or other right for which the record date is before the date of issuance, except for adjustments under Section 13 of the Plan.</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9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There may be adverse tax consequences to exercising this Option, and I am not relying on the Company for tax advice and have had an opportunity to obtain the advice of personal tax, legal, and financial advisors prior to exercising.</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modification and choice of law provisions of the Agreement also govern this Exercise Notice.</w:t>
      </w:r>
    </w:p>
    <w:p>
      <w:pPr>
        <w:spacing w:after="0" w:line="213" w:lineRule="exact"/>
        <w:rPr>
          <w:rFonts w:ascii="Arial" w:cs="Arial" w:eastAsia="Arial" w:hAnsi="Arial"/>
          <w:sz w:val="22"/>
          <w:szCs w:val="22"/>
          <w:color w:val="auto"/>
        </w:rPr>
      </w:pPr>
    </w:p>
    <w:p>
      <w:pPr>
        <w:jc w:val="both"/>
        <w:ind w:left="660" w:hanging="652"/>
        <w:spacing w:after="0" w:line="290" w:lineRule="auto"/>
        <w:tabs>
          <w:tab w:leader="none" w:pos="660"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Choice of Law; Choice of Forum</w:t>
      </w:r>
      <w:r>
        <w:rPr>
          <w:rFonts w:ascii="Arial" w:cs="Arial" w:eastAsia="Arial" w:hAnsi="Arial"/>
          <w:sz w:val="19"/>
          <w:szCs w:val="19"/>
          <w:u w:val="single" w:color="auto"/>
          <w:color w:val="auto"/>
        </w:rPr>
        <w:t>. The Plan and the Agreement are incorporated by reference. This</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Exercise Notice, the Plan, and the Agreement are the entire agreement of the parties with respect to this Options and this exercise and supersede in their entirety all prior undertakings and agreements of the Company and Purchaser with respect to their subject matter. The Plan, the Agreement, and this Exercise Notice, to the extent not otherwise governed by the laws of the United States, will be governed by the laws of the State of Delaware without giving effect to principles of conflicts of law. For purposes of litigating any dispute that arises under the Plan (including without limitation under this Exercise Notice), the Participant consents to the jurisdiction of the State of Delaware and any such litigation being conducted in the Delaware Court of Chancery or the federal courts for the United States for the District of Delaware and no other courts, regardless of where he or she is performing services.</w:t>
      </w:r>
    </w:p>
    <w:p>
      <w:pPr>
        <w:spacing w:after="0" w:line="154"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Submitted by:</w:t>
      </w:r>
    </w:p>
    <w:p>
      <w:pPr>
        <w:spacing w:after="0" w:line="219" w:lineRule="exact"/>
        <w:rPr>
          <w:rFonts w:ascii="Arial" w:cs="Arial" w:eastAsia="Arial" w:hAnsi="Arial"/>
          <w:sz w:val="19"/>
          <w:szCs w:val="19"/>
          <w:color w:val="auto"/>
        </w:rPr>
      </w:pPr>
    </w:p>
    <w:p>
      <w:pPr>
        <w:ind w:left="660" w:right="9320"/>
        <w:spacing w:after="0" w:line="831" w:lineRule="auto"/>
        <w:rPr>
          <w:rFonts w:ascii="Arial" w:cs="Arial" w:eastAsia="Arial" w:hAnsi="Arial"/>
          <w:sz w:val="19"/>
          <w:szCs w:val="19"/>
          <w:color w:val="auto"/>
        </w:rPr>
      </w:pPr>
      <w:r>
        <w:rPr>
          <w:rFonts w:ascii="Arial" w:cs="Arial" w:eastAsia="Arial" w:hAnsi="Arial"/>
          <w:sz w:val="19"/>
          <w:szCs w:val="19"/>
          <w:color w:val="auto"/>
        </w:rPr>
        <w:t>PURCHASER Signature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-998220</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904240</wp:posOffset>
            </wp:positionH>
            <wp:positionV relativeFrom="paragraph">
              <wp:posOffset>-372745</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-72390</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226695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SUBLEASE</w:t>
      </w:r>
    </w:p>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SUBLEASE</w:t>
      </w:r>
      <w:r>
        <w:rPr>
          <w:rFonts w:ascii="Arial" w:cs="Arial" w:eastAsia="Arial" w:hAnsi="Arial"/>
          <w:sz w:val="20"/>
          <w:szCs w:val="20"/>
          <w:color w:val="auto"/>
        </w:rPr>
        <w:t xml:space="preserve"> (this “</w:t>
      </w:r>
      <w:r>
        <w:rPr>
          <w:rFonts w:ascii="Arial" w:cs="Arial" w:eastAsia="Arial" w:hAnsi="Arial"/>
          <w:sz w:val="20"/>
          <w:szCs w:val="20"/>
          <w:b w:val="1"/>
          <w:bCs w:val="1"/>
          <w:color w:val="auto"/>
        </w:rPr>
        <w:t>Sublease</w:t>
      </w:r>
      <w:r>
        <w:rPr>
          <w:rFonts w:ascii="Arial" w:cs="Arial" w:eastAsia="Arial" w:hAnsi="Arial"/>
          <w:sz w:val="20"/>
          <w:szCs w:val="20"/>
          <w:color w:val="auto"/>
        </w:rPr>
        <w:t>”) is entered into as of September 13, 2021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OPEN TEXT</w:t>
      </w:r>
      <w:r>
        <w:rPr>
          <w:rFonts w:ascii="Arial" w:cs="Arial" w:eastAsia="Arial" w:hAnsi="Arial"/>
          <w:sz w:val="20"/>
          <w:szCs w:val="20"/>
          <w:color w:val="auto"/>
        </w:rPr>
        <w:t xml:space="preserve"> </w:t>
      </w:r>
      <w:r>
        <w:rPr>
          <w:rFonts w:ascii="Arial" w:cs="Arial" w:eastAsia="Arial" w:hAnsi="Arial"/>
          <w:sz w:val="20"/>
          <w:szCs w:val="20"/>
          <w:b w:val="1"/>
          <w:bCs w:val="1"/>
          <w:color w:val="auto"/>
        </w:rPr>
        <w:t>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Sublandlord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UPSTART NETWORK,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Subtenant</w:t>
      </w:r>
      <w:r>
        <w:rPr>
          <w:rFonts w:ascii="Arial" w:cs="Arial" w:eastAsia="Arial" w:hAnsi="Arial"/>
          <w:sz w:val="20"/>
          <w:szCs w:val="20"/>
          <w:color w:val="auto"/>
        </w:rPr>
        <w:t>”), with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following facts:</w:t>
      </w:r>
    </w:p>
    <w:p>
      <w:pPr>
        <w:spacing w:after="0" w:line="190" w:lineRule="exact"/>
        <w:rPr>
          <w:sz w:val="20"/>
          <w:szCs w:val="20"/>
          <w:color w:val="auto"/>
        </w:rPr>
      </w:pPr>
    </w:p>
    <w:p>
      <w:pPr>
        <w:jc w:val="both"/>
        <w:ind w:firstLine="656"/>
        <w:spacing w:after="0" w:line="246" w:lineRule="auto"/>
        <w:tabs>
          <w:tab w:leader="none" w:pos="113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Per the terms and conditions of that certain Lease dated October 7, 2016 (as may be amended, the “</w:t>
      </w:r>
      <w:r>
        <w:rPr>
          <w:rFonts w:ascii="Arial" w:cs="Arial" w:eastAsia="Arial" w:hAnsi="Arial"/>
          <w:sz w:val="20"/>
          <w:szCs w:val="20"/>
          <w:b w:val="1"/>
          <w:bCs w:val="1"/>
          <w:color w:val="auto"/>
        </w:rPr>
        <w:t>Master Lease</w:t>
      </w:r>
      <w:r>
        <w:rPr>
          <w:rFonts w:ascii="Arial" w:cs="Arial" w:eastAsia="Arial" w:hAnsi="Arial"/>
          <w:sz w:val="20"/>
          <w:szCs w:val="20"/>
          <w:color w:val="auto"/>
        </w:rPr>
        <w:t>”), Bay Meadows Station 3 Investors, LLC,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as “Landlord,” leases to Sublandlord, as “Tenant,” certain space consisting of approximately One Hundred Eight Thousand Fifteen (108,015) rentable square feet (the “</w:t>
      </w:r>
      <w:r>
        <w:rPr>
          <w:rFonts w:ascii="Arial" w:cs="Arial" w:eastAsia="Arial" w:hAnsi="Arial"/>
          <w:sz w:val="20"/>
          <w:szCs w:val="20"/>
          <w:b w:val="1"/>
          <w:bCs w:val="1"/>
          <w:color w:val="auto"/>
        </w:rPr>
        <w:t>Master Lease</w:t>
      </w:r>
      <w:r>
        <w:rPr>
          <w:rFonts w:ascii="Arial" w:cs="Arial" w:eastAsia="Arial" w:hAnsi="Arial"/>
          <w:sz w:val="20"/>
          <w:szCs w:val="20"/>
          <w:color w:val="auto"/>
        </w:rPr>
        <w:t xml:space="preserve"> </w:t>
      </w:r>
      <w:r>
        <w:rPr>
          <w:rFonts w:ascii="Arial" w:cs="Arial" w:eastAsia="Arial" w:hAnsi="Arial"/>
          <w:sz w:val="20"/>
          <w:szCs w:val="20"/>
          <w:b w:val="1"/>
          <w:bCs w:val="1"/>
          <w:color w:val="auto"/>
        </w:rPr>
        <w:t>Premises</w:t>
      </w:r>
      <w:r>
        <w:rPr>
          <w:rFonts w:ascii="Arial" w:cs="Arial" w:eastAsia="Arial" w:hAnsi="Arial"/>
          <w:sz w:val="20"/>
          <w:szCs w:val="20"/>
          <w:color w:val="auto"/>
        </w:rPr>
        <w:t>”) on the third and fourth floors of the office building located at 2950 South Delaware Street, San Mateo, California 94403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Building</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firstLine="656"/>
        <w:spacing w:after="0" w:line="260" w:lineRule="auto"/>
        <w:tabs>
          <w:tab w:leader="none" w:pos="106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Snowflake, Inc., a Delaware corporation (“</w:t>
      </w:r>
      <w:r>
        <w:rPr>
          <w:rFonts w:ascii="Arial" w:cs="Arial" w:eastAsia="Arial" w:hAnsi="Arial"/>
          <w:sz w:val="19"/>
          <w:szCs w:val="19"/>
          <w:b w:val="1"/>
          <w:bCs w:val="1"/>
          <w:color w:val="auto"/>
        </w:rPr>
        <w:t>Snowflake</w:t>
      </w:r>
      <w:r>
        <w:rPr>
          <w:rFonts w:ascii="Arial" w:cs="Arial" w:eastAsia="Arial" w:hAnsi="Arial"/>
          <w:sz w:val="19"/>
          <w:szCs w:val="19"/>
          <w:color w:val="auto"/>
        </w:rPr>
        <w:t>”), and Sublandlord are parties to that certain Sublease dated August 28, 2018 (as amended, the “</w:t>
      </w:r>
      <w:r>
        <w:rPr>
          <w:rFonts w:ascii="Arial" w:cs="Arial" w:eastAsia="Arial" w:hAnsi="Arial"/>
          <w:sz w:val="19"/>
          <w:szCs w:val="19"/>
          <w:b w:val="1"/>
          <w:bCs w:val="1"/>
          <w:color w:val="auto"/>
        </w:rPr>
        <w:t>Snowflake Sublease</w:t>
      </w:r>
      <w:r>
        <w:rPr>
          <w:rFonts w:ascii="Arial" w:cs="Arial" w:eastAsia="Arial" w:hAnsi="Arial"/>
          <w:sz w:val="19"/>
          <w:szCs w:val="19"/>
          <w:color w:val="auto"/>
        </w:rPr>
        <w:t>”), pursuant to which Sublandlord currently subleases to Snowflake a portion of the Master Lease Premises consisting of approximately Forty-Eight Thousand Two Hundred Forty-Four (48,244) rentable square feet located on the third (3rd) floor of the Building as more particularly described in the Snowflake Sublease (the “</w:t>
      </w:r>
      <w:r>
        <w:rPr>
          <w:rFonts w:ascii="Arial" w:cs="Arial" w:eastAsia="Arial" w:hAnsi="Arial"/>
          <w:sz w:val="19"/>
          <w:szCs w:val="19"/>
          <w:b w:val="1"/>
          <w:bCs w:val="1"/>
          <w:color w:val="auto"/>
        </w:rPr>
        <w:t>Snowflake Premises</w:t>
      </w:r>
      <w:r>
        <w:rPr>
          <w:rFonts w:ascii="Arial" w:cs="Arial" w:eastAsia="Arial" w:hAnsi="Arial"/>
          <w:sz w:val="19"/>
          <w:szCs w:val="19"/>
          <w:color w:val="auto"/>
        </w:rPr>
        <w:t xml:space="preserve">”). A true, correct and complete copy of the Snowflake Sublease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incorporated herein by reference. The term of the Snowflake Sublease is set to expire at 11:59 p.m. (Pacific Time) on March 31, 2024.</w:t>
      </w:r>
    </w:p>
    <w:p>
      <w:pPr>
        <w:spacing w:after="0" w:line="178" w:lineRule="exact"/>
        <w:rPr>
          <w:rFonts w:ascii="Arial" w:cs="Arial" w:eastAsia="Arial" w:hAnsi="Arial"/>
          <w:sz w:val="19"/>
          <w:szCs w:val="19"/>
          <w:color w:val="auto"/>
        </w:rPr>
      </w:pPr>
    </w:p>
    <w:p>
      <w:pPr>
        <w:jc w:val="both"/>
        <w:ind w:firstLine="656"/>
        <w:spacing w:after="0" w:line="263" w:lineRule="auto"/>
        <w:tabs>
          <w:tab w:leader="none" w:pos="114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Snowflake currently sub-subleases the Snowflake Premises to Subtenant per the terms and conditions of that certain Sub-Sublease dated April 1, 2019, by and between Snowflake and Upstart Holdings, Inc., a Delaware corporation, Subtenant’s affiliate (the “</w:t>
      </w:r>
      <w:r>
        <w:rPr>
          <w:rFonts w:ascii="Arial" w:cs="Arial" w:eastAsia="Arial" w:hAnsi="Arial"/>
          <w:sz w:val="19"/>
          <w:szCs w:val="19"/>
          <w:b w:val="1"/>
          <w:bCs w:val="1"/>
          <w:color w:val="auto"/>
        </w:rPr>
        <w:t>Sub-Sublease</w:t>
      </w:r>
      <w:r>
        <w:rPr>
          <w:rFonts w:ascii="Arial" w:cs="Arial" w:eastAsia="Arial" w:hAnsi="Arial"/>
          <w:sz w:val="19"/>
          <w:szCs w:val="19"/>
          <w:color w:val="auto"/>
        </w:rPr>
        <w:t>”). A true, correct and complete copy of the Sub-Sublease is attached hereto as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B</w:t>
      </w:r>
      <w:r>
        <w:rPr>
          <w:rFonts w:ascii="Arial" w:cs="Arial" w:eastAsia="Arial" w:hAnsi="Arial"/>
          <w:sz w:val="19"/>
          <w:szCs w:val="19"/>
          <w:b w:val="1"/>
          <w:bCs w:val="1"/>
          <w:color w:val="auto"/>
        </w:rPr>
        <w:t xml:space="preserve"> </w:t>
      </w:r>
      <w:r>
        <w:rPr>
          <w:rFonts w:ascii="Arial" w:cs="Arial" w:eastAsia="Arial" w:hAnsi="Arial"/>
          <w:sz w:val="19"/>
          <w:szCs w:val="19"/>
          <w:color w:val="auto"/>
        </w:rPr>
        <w:t>and incorporated herein by reference.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of the Sub-Sublease is set to expire at 11:59 p.m. (Pacific Time) on March 31, 2024.</w:t>
      </w:r>
    </w:p>
    <w:p>
      <w:pPr>
        <w:spacing w:after="0" w:line="176" w:lineRule="exact"/>
        <w:rPr>
          <w:rFonts w:ascii="Arial" w:cs="Arial" w:eastAsia="Arial" w:hAnsi="Arial"/>
          <w:sz w:val="19"/>
          <w:szCs w:val="19"/>
          <w:color w:val="auto"/>
        </w:rPr>
      </w:pPr>
    </w:p>
    <w:p>
      <w:pPr>
        <w:jc w:val="both"/>
        <w:ind w:firstLine="656"/>
        <w:spacing w:after="0" w:line="247" w:lineRule="auto"/>
        <w:tabs>
          <w:tab w:leader="none" w:pos="104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Subject to the terms and conditions of this Sublease, Subtenant wishes to sublease from Sublandlord, and Sublandlord wishes to sublease to Subtenant, (i) a portion of the Master Lease Premises containing approximately Fifty-Nine Thousand Seven Hundred Seventy-One (59,771) rentable square feet located on the third (3rd) and fourth (4</w:t>
      </w:r>
      <w:r>
        <w:rPr>
          <w:rFonts w:ascii="Arial" w:cs="Arial" w:eastAsia="Arial" w:hAnsi="Arial"/>
          <w:sz w:val="24"/>
          <w:szCs w:val="24"/>
          <w:color w:val="auto"/>
          <w:vertAlign w:val="superscript"/>
        </w:rPr>
        <w:t>th</w:t>
      </w:r>
      <w:r>
        <w:rPr>
          <w:rFonts w:ascii="Arial" w:cs="Arial" w:eastAsia="Arial" w:hAnsi="Arial"/>
          <w:sz w:val="19"/>
          <w:szCs w:val="19"/>
          <w:color w:val="auto"/>
        </w:rPr>
        <w:t>) floors of the Building (the “</w:t>
      </w:r>
      <w:r>
        <w:rPr>
          <w:rFonts w:ascii="Arial" w:cs="Arial" w:eastAsia="Arial" w:hAnsi="Arial"/>
          <w:sz w:val="19"/>
          <w:szCs w:val="19"/>
          <w:b w:val="1"/>
          <w:bCs w:val="1"/>
          <w:color w:val="auto"/>
        </w:rPr>
        <w:t>Existing Premises</w:t>
      </w:r>
      <w:r>
        <w:rPr>
          <w:rFonts w:ascii="Arial" w:cs="Arial" w:eastAsia="Arial" w:hAnsi="Arial"/>
          <w:sz w:val="19"/>
          <w:szCs w:val="19"/>
          <w:color w:val="auto"/>
        </w:rPr>
        <w:t>”), and (ii) beginning at 12:00 a.m. (Pacific Time) on April 1, 2024 or any earlier termination of the Snowflake Sublease (the “</w:t>
      </w:r>
      <w:r>
        <w:rPr>
          <w:rFonts w:ascii="Arial" w:cs="Arial" w:eastAsia="Arial" w:hAnsi="Arial"/>
          <w:sz w:val="19"/>
          <w:szCs w:val="19"/>
          <w:b w:val="1"/>
          <w:bCs w:val="1"/>
          <w:color w:val="auto"/>
        </w:rPr>
        <w:t>2024 Commencement</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the entirety of the Snowflake Premises. Prior to the 2024 Commencement Date, all references herein to the “</w:t>
      </w:r>
      <w:r>
        <w:rPr>
          <w:rFonts w:ascii="Arial" w:cs="Arial" w:eastAsia="Arial" w:hAnsi="Arial"/>
          <w:sz w:val="19"/>
          <w:szCs w:val="19"/>
          <w:b w:val="1"/>
          <w:bCs w:val="1"/>
          <w:color w:val="auto"/>
        </w:rPr>
        <w:t>Subleased Premises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and refer to the Existing Premises. Beginning on the 2024 Commencement Date, all references herein to the Subleased Premises shall collectively mean and refer to the Existing Premises and the Snowflake Premises, which together constitute the entirety of the Master Lease Premises.</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and for other good and valuable consideration, the receipt and adequacy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hereby acknowledged by the parties, Sublandlord and Subtenant hereby agree as follows:</w:t>
      </w:r>
    </w:p>
    <w:p>
      <w:pPr>
        <w:spacing w:after="0" w:line="169" w:lineRule="exact"/>
        <w:rPr>
          <w:sz w:val="20"/>
          <w:szCs w:val="20"/>
          <w:color w:val="auto"/>
        </w:rPr>
      </w:pPr>
    </w:p>
    <w:p>
      <w:pPr>
        <w:jc w:val="both"/>
        <w:ind w:firstLine="656"/>
        <w:spacing w:after="0" w:line="263" w:lineRule="auto"/>
        <w:tabs>
          <w:tab w:leader="none" w:pos="1296"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Sublease; Snowflake Sublease; Defined Terms</w:t>
      </w:r>
      <w:r>
        <w:rPr>
          <w:rFonts w:ascii="Arial" w:cs="Arial" w:eastAsia="Arial" w:hAnsi="Arial"/>
          <w:sz w:val="19"/>
          <w:szCs w:val="19"/>
          <w:color w:val="auto"/>
        </w:rPr>
        <w:t>. Sublandlord hereby subleases to Subtenant and Subtenant hereby subleases from Sublandlord for the Term (as hereinafter defined), at the rental and upon all of the conditions set forth herein, the Existing Premises and, beginning on the 2024 Commencement Date, the Snowflake Premises. Unless otherwise specified herein, all capitalized terms used herein without definition shall have the meanings ascribed to such terms in the Master Lease.</w:t>
      </w:r>
    </w:p>
    <w:p>
      <w:pPr>
        <w:sectPr>
          <w:pgSz w:w="11900" w:h="16838" w:orient="portrait"/>
          <w:cols w:equalWidth="0" w:num="1">
            <w:col w:w="11240"/>
          </w:cols>
          <w:pgMar w:left="320" w:top="1417" w:right="339" w:bottom="1440" w:gutter="0" w:footer="0" w:header="0"/>
        </w:sectPr>
      </w:pPr>
    </w:p>
    <w:bookmarkStart w:id="189" w:name="page190"/>
    <w:bookmarkEnd w:id="189"/>
    <w:p>
      <w:pPr>
        <w:ind w:left="1300" w:hanging="644"/>
        <w:spacing w:after="0"/>
        <w:tabs>
          <w:tab w:leader="none" w:pos="1300"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1304"/>
        <w:spacing w:after="0" w:line="256" w:lineRule="auto"/>
        <w:tabs>
          <w:tab w:leader="none" w:pos="1934"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term of this Sublease (the “</w:t>
      </w:r>
      <w:r>
        <w:rPr>
          <w:rFonts w:ascii="Arial" w:cs="Arial" w:eastAsia="Arial" w:hAnsi="Arial"/>
          <w:sz w:val="19"/>
          <w:szCs w:val="19"/>
          <w:b w:val="1"/>
          <w:bCs w:val="1"/>
          <w:color w:val="auto"/>
        </w:rPr>
        <w:t>Term</w:t>
      </w:r>
      <w:r>
        <w:rPr>
          <w:rFonts w:ascii="Arial" w:cs="Arial" w:eastAsia="Arial" w:hAnsi="Arial"/>
          <w:sz w:val="19"/>
          <w:szCs w:val="19"/>
          <w:color w:val="auto"/>
        </w:rPr>
        <w:t>”) shall commence on the date that is (i) January 1, 2022 with respect to the Existing Premises (the “</w:t>
      </w:r>
      <w:r>
        <w:rPr>
          <w:rFonts w:ascii="Arial" w:cs="Arial" w:eastAsia="Arial" w:hAnsi="Arial"/>
          <w:sz w:val="19"/>
          <w:szCs w:val="19"/>
          <w:b w:val="1"/>
          <w:bCs w:val="1"/>
          <w:color w:val="auto"/>
        </w:rPr>
        <w:t>Existing Premises Commencement Date</w:t>
      </w:r>
      <w:r>
        <w:rPr>
          <w:rFonts w:ascii="Arial" w:cs="Arial" w:eastAsia="Arial" w:hAnsi="Arial"/>
          <w:sz w:val="19"/>
          <w:szCs w:val="19"/>
          <w:color w:val="auto"/>
        </w:rPr>
        <w:t>”) and (ii) the 2024 Commencement Date with respect to the Snowflake Premises; provided, however, that Sublandlord will not deliver possession of the Existing Premises to Subtenant and the Term shall not commence unless and until Sublandlord has procured Landlord’s consent to this Sublease in form reasonably satisfactory to Subtenant (the “</w:t>
      </w:r>
      <w:r>
        <w:rPr>
          <w:rFonts w:ascii="Arial" w:cs="Arial" w:eastAsia="Arial" w:hAnsi="Arial"/>
          <w:sz w:val="19"/>
          <w:szCs w:val="19"/>
          <w:b w:val="1"/>
          <w:bCs w:val="1"/>
          <w:color w:val="auto"/>
        </w:rPr>
        <w:t>Consent</w:t>
      </w:r>
      <w:r>
        <w:rPr>
          <w:rFonts w:ascii="Arial" w:cs="Arial" w:eastAsia="Arial" w:hAnsi="Arial"/>
          <w:sz w:val="19"/>
          <w:szCs w:val="19"/>
          <w:color w:val="auto"/>
        </w:rPr>
        <w:t>”). The Term shall end on February 29, 2028, unless sooner terminated pursuant to any provision hereof (the “</w:t>
      </w:r>
      <w:r>
        <w:rPr>
          <w:rFonts w:ascii="Arial" w:cs="Arial" w:eastAsia="Arial" w:hAnsi="Arial"/>
          <w:sz w:val="19"/>
          <w:szCs w:val="19"/>
          <w:b w:val="1"/>
          <w:bCs w:val="1"/>
          <w:color w:val="auto"/>
        </w:rPr>
        <w:t>Expiration Date</w:t>
      </w:r>
      <w:r>
        <w:rPr>
          <w:rFonts w:ascii="Arial" w:cs="Arial" w:eastAsia="Arial" w:hAnsi="Arial"/>
          <w:sz w:val="19"/>
          <w:szCs w:val="19"/>
          <w:color w:val="auto"/>
        </w:rPr>
        <w:t>”). Subtenant acknowledges and agrees that it has no rights or options to extend the Term. Sublandlord and Subtenant hereby agree to use commercially reasonable efforts to secure the Consent, and Sublandlord hereby covenants and agrees to pay all costs charged by Landlord in connection with Landlord’s review of this Sublease and issuance of the Consent, including, without limitation, any Transfer Premium (as defined in Section 22.3 of the Master Lease). If Sublandlord fails to obtain the Consent within sixty (60) days after full execution of this Sublease by Subtenant, then Subtenant may terminate this Sublease by giving Sublandlord written notice thereof prior to receipt of the Consent.</w:t>
      </w:r>
    </w:p>
    <w:p>
      <w:pPr>
        <w:spacing w:after="0" w:line="182" w:lineRule="exact"/>
        <w:rPr>
          <w:rFonts w:ascii="Arial" w:cs="Arial" w:eastAsia="Arial" w:hAnsi="Arial"/>
          <w:sz w:val="19"/>
          <w:szCs w:val="19"/>
          <w:color w:val="auto"/>
        </w:rPr>
      </w:pPr>
    </w:p>
    <w:p>
      <w:pPr>
        <w:jc w:val="both"/>
        <w:ind w:firstLine="1304"/>
        <w:spacing w:after="0" w:line="269" w:lineRule="auto"/>
        <w:tabs>
          <w:tab w:leader="none" w:pos="193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Early Access</w:t>
      </w:r>
      <w:r>
        <w:rPr>
          <w:rFonts w:ascii="Arial" w:cs="Arial" w:eastAsia="Arial" w:hAnsi="Arial"/>
          <w:sz w:val="18"/>
          <w:szCs w:val="18"/>
          <w:color w:val="auto"/>
        </w:rPr>
        <w:t>. Notwithstanding anything herein to the contrary, Sublandlord shall deliver possession of the Existing Premises to Subtenant in the required condition and permit Subtenant and Subtenant’s employees and agents to enter the Existing Premises commencing on December 1, 2021 or such later date as the conditions described in subparts (i)-(iii) below are satisfied (the “</w:t>
      </w:r>
      <w:r>
        <w:rPr>
          <w:rFonts w:ascii="Arial" w:cs="Arial" w:eastAsia="Arial" w:hAnsi="Arial"/>
          <w:sz w:val="18"/>
          <w:szCs w:val="18"/>
          <w:b w:val="1"/>
          <w:bCs w:val="1"/>
          <w:color w:val="auto"/>
        </w:rPr>
        <w:t>Early</w:t>
      </w:r>
      <w:r>
        <w:rPr>
          <w:rFonts w:ascii="Arial" w:cs="Arial" w:eastAsia="Arial" w:hAnsi="Arial"/>
          <w:sz w:val="18"/>
          <w:szCs w:val="18"/>
          <w:color w:val="auto"/>
        </w:rPr>
        <w:t xml:space="preserve"> </w:t>
      </w:r>
      <w:r>
        <w:rPr>
          <w:rFonts w:ascii="Arial" w:cs="Arial" w:eastAsia="Arial" w:hAnsi="Arial"/>
          <w:sz w:val="18"/>
          <w:szCs w:val="18"/>
          <w:b w:val="1"/>
          <w:bCs w:val="1"/>
          <w:color w:val="auto"/>
        </w:rPr>
        <w:t>Occupancy Date</w:t>
      </w:r>
      <w:r>
        <w:rPr>
          <w:rFonts w:ascii="Arial" w:cs="Arial" w:eastAsia="Arial" w:hAnsi="Arial"/>
          <w:sz w:val="18"/>
          <w:szCs w:val="18"/>
          <w:color w:val="auto"/>
        </w:rPr>
        <w:t>”), to prepare the Existing Premises for Subtenant’s use and occupancy, provided, however, such early occupancy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Premises shall be permitted by Sublandlord only if: (i) this Sublease is fully executed by both Sublandlord and Subtenant prior to the Early Occupancy Date; (ii) Subtenant has delivered to Sublandlord the Base Rent (as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 for the first month of the Term and evidence of insurance as required under this Sublease; and (iii) Sublandlord and Subtenant have received the Consent prior to the Early Occupancy Date. Any period prior to the Existing Premises Commencement Date during which Subtenant is in possession of the Existing Premises shall be referred to herein as the “</w:t>
      </w:r>
      <w:r>
        <w:rPr>
          <w:rFonts w:ascii="Arial" w:cs="Arial" w:eastAsia="Arial" w:hAnsi="Arial"/>
          <w:sz w:val="18"/>
          <w:szCs w:val="18"/>
          <w:b w:val="1"/>
          <w:bCs w:val="1"/>
          <w:color w:val="auto"/>
        </w:rPr>
        <w:t>Pre-Possession Term</w:t>
      </w:r>
      <w:r>
        <w:rPr>
          <w:rFonts w:ascii="Arial" w:cs="Arial" w:eastAsia="Arial" w:hAnsi="Arial"/>
          <w:sz w:val="18"/>
          <w:szCs w:val="18"/>
          <w:color w:val="auto"/>
        </w:rPr>
        <w:t>.” Subtenant agrees that Subtenant’s occupancy of the Existing Premises during the Pre-Possession Term shall be subject to all the terms, covenants, and conditions of this Sublease and the Master Lease, except, however, Subtenant shall not be obligated to pay Rent (except Subtenant shall be obligated to pay for requested services) from the Early Occupancy Date to the Existing Premises Commencement Date and any Subtenant’s obligations relating to indemnification or insurance shall not be applicable to any acts, negligence or willful misconduct of Sublandlord or its agents or contractors during such Pre-Possession Term. Notwithstanding anything to the contrary herein, (A) if Sublandlord fails to deliver possession of the Existing Premises as required above on or before December 15, 2021 for any reason other than the failure of the conditions described in subparts (i)-(iii) above to be satisfied, the date Subtenant is obligated to commence paying Rent shall be delayed by one (1) day for each such day of delay and (B) Subtenant shall have no liability under this Sublease with respect to the Existing Premises until such delivery occurs.</w:t>
      </w:r>
    </w:p>
    <w:p>
      <w:pPr>
        <w:spacing w:after="0" w:line="173" w:lineRule="exact"/>
        <w:rPr>
          <w:rFonts w:ascii="Arial" w:cs="Arial" w:eastAsia="Arial" w:hAnsi="Arial"/>
          <w:sz w:val="18"/>
          <w:szCs w:val="18"/>
          <w:color w:val="auto"/>
        </w:rPr>
      </w:pPr>
    </w:p>
    <w:p>
      <w:pPr>
        <w:jc w:val="both"/>
        <w:ind w:firstLine="1304"/>
        <w:spacing w:after="0" w:line="243" w:lineRule="auto"/>
        <w:tabs>
          <w:tab w:leader="none" w:pos="1934"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xml:space="preserve">. Notwithstanding the provisions of </w:t>
      </w:r>
      <w:r>
        <w:rPr>
          <w:rFonts w:ascii="Arial" w:cs="Arial" w:eastAsia="Arial" w:hAnsi="Arial"/>
          <w:sz w:val="20"/>
          <w:szCs w:val="20"/>
          <w:u w:val="single" w:color="auto"/>
          <w:color w:val="auto"/>
        </w:rPr>
        <w:t>Section 2(a)</w:t>
      </w:r>
      <w:r>
        <w:rPr>
          <w:rFonts w:ascii="Arial" w:cs="Arial" w:eastAsia="Arial" w:hAnsi="Arial"/>
          <w:sz w:val="20"/>
          <w:szCs w:val="20"/>
          <w:color w:val="auto"/>
        </w:rPr>
        <w:t xml:space="preserve"> above, if, as of the Existing Premises Commencement Date, Subtenant has not delivered to Sublandlord (x) Base Rent for the first month of the Term pursuant to the provisions of </w:t>
      </w:r>
      <w:r>
        <w:rPr>
          <w:rFonts w:ascii="Arial" w:cs="Arial" w:eastAsia="Arial" w:hAnsi="Arial"/>
          <w:sz w:val="20"/>
          <w:szCs w:val="20"/>
          <w:u w:val="single" w:color="auto"/>
          <w:color w:val="auto"/>
        </w:rPr>
        <w:t>Section 3(a)</w:t>
      </w:r>
      <w:r>
        <w:rPr>
          <w:rFonts w:ascii="Arial" w:cs="Arial" w:eastAsia="Arial" w:hAnsi="Arial"/>
          <w:sz w:val="20"/>
          <w:szCs w:val="20"/>
          <w:color w:val="auto"/>
        </w:rPr>
        <w:t xml:space="preserve"> below, and (y) evidence of Subtenant’s procurement of all insurance coverage required hereunder, then Sublandlord will have no obligation to deliver possession of the Existing Premises to Subtenant, but the failure on the part of Sublandlord to so deliver possession of the Existing Premises to Subtenant in such event will not serve to delay the commencement of Subtenant’s obligations to pay Rent (defined below) hereunder.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190" w:name="page191"/>
    <w:bookmarkEnd w:id="190"/>
    <w:p>
      <w:pPr>
        <w:ind w:left="1300" w:hanging="644"/>
        <w:spacing w:after="0"/>
        <w:tabs>
          <w:tab w:leader="none" w:pos="130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Rent</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firstLine="1304"/>
        <w:spacing w:after="0" w:line="267" w:lineRule="auto"/>
        <w:tabs>
          <w:tab w:leader="none" w:pos="1934"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Rent Payments</w:t>
      </w:r>
      <w:r>
        <w:rPr>
          <w:rFonts w:ascii="Arial" w:cs="Arial" w:eastAsia="Arial" w:hAnsi="Arial"/>
          <w:sz w:val="20"/>
          <w:szCs w:val="20"/>
          <w:color w:val="auto"/>
        </w:rPr>
        <w:t>. Subtenant shall pay to Sublandlord as base rent (“</w:t>
      </w:r>
      <w:r>
        <w:rPr>
          <w:rFonts w:ascii="Arial" w:cs="Arial" w:eastAsia="Arial" w:hAnsi="Arial"/>
          <w:sz w:val="20"/>
          <w:szCs w:val="20"/>
          <w:b w:val="1"/>
          <w:bCs w:val="1"/>
          <w:color w:val="auto"/>
        </w:rPr>
        <w:t>Base Rent</w:t>
      </w:r>
      <w:r>
        <w:rPr>
          <w:rFonts w:ascii="Arial" w:cs="Arial" w:eastAsia="Arial" w:hAnsi="Arial"/>
          <w:sz w:val="20"/>
          <w:szCs w:val="20"/>
          <w:color w:val="auto"/>
        </w:rPr>
        <w:t>”) for the Existing Premises (59,771 rentable square feet) as follows:</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2380" w:type="dxa"/>
            <w:vAlign w:val="bottom"/>
          </w:tcPr>
          <w:p>
            <w:pPr>
              <w:jc w:val="center"/>
              <w:spacing w:after="0"/>
              <w:rPr>
                <w:sz w:val="20"/>
                <w:szCs w:val="20"/>
                <w:color w:val="auto"/>
              </w:rPr>
            </w:pPr>
            <w:r>
              <w:rPr>
                <w:rFonts w:ascii="Arial" w:cs="Arial" w:eastAsia="Arial" w:hAnsi="Arial"/>
                <w:sz w:val="20"/>
                <w:szCs w:val="20"/>
                <w:b w:val="1"/>
                <w:bCs w:val="1"/>
                <w:color w:val="auto"/>
                <w:w w:val="91"/>
              </w:rPr>
              <w:t>Period/</w:t>
            </w:r>
          </w:p>
        </w:tc>
        <w:tc>
          <w:tcPr>
            <w:tcW w:w="3080" w:type="dxa"/>
            <w:vAlign w:val="bottom"/>
          </w:tcPr>
          <w:p>
            <w:pPr>
              <w:jc w:val="center"/>
              <w:spacing w:after="0"/>
              <w:rPr>
                <w:sz w:val="20"/>
                <w:szCs w:val="20"/>
                <w:color w:val="auto"/>
              </w:rPr>
            </w:pPr>
            <w:r>
              <w:rPr>
                <w:rFonts w:ascii="Arial" w:cs="Arial" w:eastAsia="Arial" w:hAnsi="Arial"/>
                <w:sz w:val="20"/>
                <w:szCs w:val="20"/>
                <w:b w:val="1"/>
                <w:bCs w:val="1"/>
                <w:color w:val="auto"/>
                <w:w w:val="91"/>
              </w:rPr>
              <w:t>Rental Rate per Rentable</w:t>
            </w:r>
          </w:p>
        </w:tc>
        <w:tc>
          <w:tcPr>
            <w:tcW w:w="2580" w:type="dxa"/>
            <w:vAlign w:val="bottom"/>
          </w:tcPr>
          <w:p>
            <w:pPr>
              <w:spacing w:after="0"/>
              <w:rPr>
                <w:sz w:val="19"/>
                <w:szCs w:val="19"/>
                <w:color w:val="auto"/>
              </w:rPr>
            </w:pPr>
          </w:p>
        </w:tc>
      </w:tr>
      <w:tr>
        <w:trPr>
          <w:trHeight w:val="256"/>
        </w:trPr>
        <w:tc>
          <w:tcPr>
            <w:tcW w:w="2380" w:type="dxa"/>
            <w:vAlign w:val="bottom"/>
          </w:tcPr>
          <w:p>
            <w:pPr>
              <w:jc w:val="center"/>
              <w:spacing w:after="0"/>
              <w:rPr>
                <w:sz w:val="20"/>
                <w:szCs w:val="20"/>
                <w:color w:val="auto"/>
              </w:rPr>
            </w:pPr>
            <w:r>
              <w:rPr>
                <w:rFonts w:ascii="Arial" w:cs="Arial" w:eastAsia="Arial" w:hAnsi="Arial"/>
                <w:sz w:val="20"/>
                <w:szCs w:val="20"/>
                <w:b w:val="1"/>
                <w:bCs w:val="1"/>
                <w:color w:val="auto"/>
                <w:w w:val="91"/>
              </w:rPr>
              <w:t>Months of Term</w:t>
            </w:r>
          </w:p>
        </w:tc>
        <w:tc>
          <w:tcPr>
            <w:tcW w:w="3080" w:type="dxa"/>
            <w:vAlign w:val="bottom"/>
          </w:tcPr>
          <w:p>
            <w:pPr>
              <w:jc w:val="center"/>
              <w:spacing w:after="0"/>
              <w:rPr>
                <w:sz w:val="20"/>
                <w:szCs w:val="20"/>
                <w:color w:val="auto"/>
              </w:rPr>
            </w:pPr>
            <w:r>
              <w:rPr>
                <w:rFonts w:ascii="Arial" w:cs="Arial" w:eastAsia="Arial" w:hAnsi="Arial"/>
                <w:sz w:val="20"/>
                <w:szCs w:val="20"/>
                <w:b w:val="1"/>
                <w:bCs w:val="1"/>
                <w:color w:val="auto"/>
                <w:w w:val="91"/>
              </w:rPr>
              <w:t>Square Foot per Month</w:t>
            </w:r>
          </w:p>
        </w:tc>
        <w:tc>
          <w:tcPr>
            <w:tcW w:w="2580" w:type="dxa"/>
            <w:vAlign w:val="bottom"/>
          </w:tcPr>
          <w:p>
            <w:pPr>
              <w:jc w:val="center"/>
              <w:spacing w:after="0"/>
              <w:rPr>
                <w:sz w:val="20"/>
                <w:szCs w:val="20"/>
                <w:color w:val="auto"/>
              </w:rPr>
            </w:pPr>
            <w:r>
              <w:rPr>
                <w:rFonts w:ascii="Arial" w:cs="Arial" w:eastAsia="Arial" w:hAnsi="Arial"/>
                <w:sz w:val="20"/>
                <w:szCs w:val="20"/>
                <w:b w:val="1"/>
                <w:bCs w:val="1"/>
                <w:color w:val="auto"/>
                <w:w w:val="89"/>
              </w:rPr>
              <w:t>Monthly Base Rent</w:t>
            </w:r>
          </w:p>
        </w:tc>
      </w:tr>
      <w:tr>
        <w:trPr>
          <w:trHeight w:val="131"/>
        </w:trPr>
        <w:tc>
          <w:tcPr>
            <w:tcW w:w="238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r>
      <w:tr>
        <w:trPr>
          <w:trHeight w:val="233"/>
        </w:trPr>
        <w:tc>
          <w:tcPr>
            <w:tcW w:w="2380" w:type="dxa"/>
            <w:vAlign w:val="bottom"/>
          </w:tcPr>
          <w:p>
            <w:pPr>
              <w:jc w:val="center"/>
              <w:spacing w:after="0"/>
              <w:rPr>
                <w:sz w:val="20"/>
                <w:szCs w:val="20"/>
                <w:color w:val="auto"/>
              </w:rPr>
            </w:pPr>
            <w:r>
              <w:rPr>
                <w:rFonts w:ascii="Arial" w:cs="Arial" w:eastAsia="Arial" w:hAnsi="Arial"/>
                <w:sz w:val="20"/>
                <w:szCs w:val="20"/>
                <w:color w:val="auto"/>
                <w:w w:val="85"/>
              </w:rPr>
              <w:t>1–12</w:t>
            </w:r>
          </w:p>
        </w:tc>
        <w:tc>
          <w:tcPr>
            <w:tcW w:w="3080" w:type="dxa"/>
            <w:vAlign w:val="bottom"/>
          </w:tcPr>
          <w:p>
            <w:pPr>
              <w:jc w:val="center"/>
              <w:spacing w:after="0"/>
              <w:rPr>
                <w:sz w:val="20"/>
                <w:szCs w:val="20"/>
                <w:color w:val="auto"/>
              </w:rPr>
            </w:pPr>
            <w:r>
              <w:rPr>
                <w:rFonts w:ascii="Arial" w:cs="Arial" w:eastAsia="Arial" w:hAnsi="Arial"/>
                <w:sz w:val="20"/>
                <w:szCs w:val="20"/>
                <w:color w:val="auto"/>
                <w:w w:val="92"/>
              </w:rPr>
              <w:t>$6.60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$394,488.60</w:t>
            </w:r>
          </w:p>
        </w:tc>
      </w:tr>
      <w:tr>
        <w:trPr>
          <w:trHeight w:val="250"/>
        </w:trPr>
        <w:tc>
          <w:tcPr>
            <w:tcW w:w="2380" w:type="dxa"/>
            <w:vAlign w:val="bottom"/>
          </w:tcPr>
          <w:p>
            <w:pPr>
              <w:jc w:val="center"/>
              <w:spacing w:after="0"/>
              <w:rPr>
                <w:sz w:val="20"/>
                <w:szCs w:val="20"/>
                <w:color w:val="auto"/>
              </w:rPr>
            </w:pPr>
            <w:r>
              <w:rPr>
                <w:rFonts w:ascii="Arial" w:cs="Arial" w:eastAsia="Arial" w:hAnsi="Arial"/>
                <w:sz w:val="20"/>
                <w:szCs w:val="20"/>
                <w:color w:val="auto"/>
                <w:w w:val="92"/>
              </w:rPr>
              <w:t>(1/1/22-12/31/22)</w:t>
            </w:r>
          </w:p>
        </w:tc>
        <w:tc>
          <w:tcPr>
            <w:tcW w:w="30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63"/>
        </w:trPr>
        <w:tc>
          <w:tcPr>
            <w:tcW w:w="2380" w:type="dxa"/>
            <w:vAlign w:val="bottom"/>
          </w:tcPr>
          <w:p>
            <w:pPr>
              <w:jc w:val="center"/>
              <w:spacing w:after="0"/>
              <w:rPr>
                <w:sz w:val="20"/>
                <w:szCs w:val="20"/>
                <w:color w:val="auto"/>
              </w:rPr>
            </w:pPr>
            <w:r>
              <w:rPr>
                <w:rFonts w:ascii="Arial" w:cs="Arial" w:eastAsia="Arial" w:hAnsi="Arial"/>
                <w:sz w:val="20"/>
                <w:szCs w:val="20"/>
                <w:color w:val="auto"/>
                <w:w w:val="89"/>
              </w:rPr>
              <w:t>13-24</w:t>
            </w:r>
          </w:p>
        </w:tc>
        <w:tc>
          <w:tcPr>
            <w:tcW w:w="3080" w:type="dxa"/>
            <w:vAlign w:val="bottom"/>
          </w:tcPr>
          <w:p>
            <w:pPr>
              <w:jc w:val="center"/>
              <w:spacing w:after="0"/>
              <w:rPr>
                <w:sz w:val="20"/>
                <w:szCs w:val="20"/>
                <w:color w:val="auto"/>
              </w:rPr>
            </w:pPr>
            <w:r>
              <w:rPr>
                <w:rFonts w:ascii="Arial" w:cs="Arial" w:eastAsia="Arial" w:hAnsi="Arial"/>
                <w:sz w:val="20"/>
                <w:szCs w:val="20"/>
                <w:color w:val="auto"/>
                <w:w w:val="92"/>
              </w:rPr>
              <w:t>$6.80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$406,442.80</w:t>
            </w:r>
          </w:p>
        </w:tc>
      </w:tr>
      <w:tr>
        <w:trPr>
          <w:trHeight w:val="250"/>
        </w:trPr>
        <w:tc>
          <w:tcPr>
            <w:tcW w:w="2380" w:type="dxa"/>
            <w:vAlign w:val="bottom"/>
          </w:tcPr>
          <w:p>
            <w:pPr>
              <w:jc w:val="center"/>
              <w:spacing w:after="0"/>
              <w:rPr>
                <w:sz w:val="20"/>
                <w:szCs w:val="20"/>
                <w:color w:val="auto"/>
              </w:rPr>
            </w:pPr>
            <w:r>
              <w:rPr>
                <w:rFonts w:ascii="Arial" w:cs="Arial" w:eastAsia="Arial" w:hAnsi="Arial"/>
                <w:sz w:val="20"/>
                <w:szCs w:val="20"/>
                <w:color w:val="auto"/>
                <w:w w:val="92"/>
              </w:rPr>
              <w:t>(1/1/23-12/31/23)</w:t>
            </w:r>
          </w:p>
        </w:tc>
        <w:tc>
          <w:tcPr>
            <w:tcW w:w="30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63"/>
        </w:trPr>
        <w:tc>
          <w:tcPr>
            <w:tcW w:w="2380" w:type="dxa"/>
            <w:vAlign w:val="bottom"/>
          </w:tcPr>
          <w:p>
            <w:pPr>
              <w:jc w:val="center"/>
              <w:spacing w:after="0"/>
              <w:rPr>
                <w:sz w:val="20"/>
                <w:szCs w:val="20"/>
                <w:color w:val="auto"/>
              </w:rPr>
            </w:pPr>
            <w:r>
              <w:rPr>
                <w:rFonts w:ascii="Arial" w:cs="Arial" w:eastAsia="Arial" w:hAnsi="Arial"/>
                <w:sz w:val="20"/>
                <w:szCs w:val="20"/>
                <w:color w:val="auto"/>
                <w:w w:val="89"/>
              </w:rPr>
              <w:t>25–36</w:t>
            </w:r>
          </w:p>
        </w:tc>
        <w:tc>
          <w:tcPr>
            <w:tcW w:w="3080" w:type="dxa"/>
            <w:vAlign w:val="bottom"/>
          </w:tcPr>
          <w:p>
            <w:pPr>
              <w:jc w:val="center"/>
              <w:spacing w:after="0"/>
              <w:rPr>
                <w:sz w:val="20"/>
                <w:szCs w:val="20"/>
                <w:color w:val="auto"/>
              </w:rPr>
            </w:pPr>
            <w:r>
              <w:rPr>
                <w:rFonts w:ascii="Arial" w:cs="Arial" w:eastAsia="Arial" w:hAnsi="Arial"/>
                <w:sz w:val="20"/>
                <w:szCs w:val="20"/>
                <w:color w:val="auto"/>
                <w:w w:val="92"/>
              </w:rPr>
              <w:t>$7.00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$418,397.00</w:t>
            </w:r>
          </w:p>
        </w:tc>
      </w:tr>
      <w:tr>
        <w:trPr>
          <w:trHeight w:val="250"/>
        </w:trPr>
        <w:tc>
          <w:tcPr>
            <w:tcW w:w="2380" w:type="dxa"/>
            <w:vAlign w:val="bottom"/>
          </w:tcPr>
          <w:p>
            <w:pPr>
              <w:jc w:val="center"/>
              <w:spacing w:after="0"/>
              <w:rPr>
                <w:sz w:val="20"/>
                <w:szCs w:val="20"/>
                <w:color w:val="auto"/>
              </w:rPr>
            </w:pPr>
            <w:r>
              <w:rPr>
                <w:rFonts w:ascii="Arial" w:cs="Arial" w:eastAsia="Arial" w:hAnsi="Arial"/>
                <w:sz w:val="20"/>
                <w:szCs w:val="20"/>
                <w:color w:val="auto"/>
                <w:w w:val="92"/>
              </w:rPr>
              <w:t>(1/1/24-12/31/24)</w:t>
            </w:r>
          </w:p>
        </w:tc>
        <w:tc>
          <w:tcPr>
            <w:tcW w:w="30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63"/>
        </w:trPr>
        <w:tc>
          <w:tcPr>
            <w:tcW w:w="2380" w:type="dxa"/>
            <w:vAlign w:val="bottom"/>
          </w:tcPr>
          <w:p>
            <w:pPr>
              <w:jc w:val="center"/>
              <w:spacing w:after="0"/>
              <w:rPr>
                <w:sz w:val="20"/>
                <w:szCs w:val="20"/>
                <w:color w:val="auto"/>
              </w:rPr>
            </w:pPr>
            <w:r>
              <w:rPr>
                <w:rFonts w:ascii="Arial" w:cs="Arial" w:eastAsia="Arial" w:hAnsi="Arial"/>
                <w:sz w:val="20"/>
                <w:szCs w:val="20"/>
                <w:color w:val="auto"/>
                <w:w w:val="89"/>
              </w:rPr>
              <w:t>37–48</w:t>
            </w:r>
          </w:p>
        </w:tc>
        <w:tc>
          <w:tcPr>
            <w:tcW w:w="3080" w:type="dxa"/>
            <w:vAlign w:val="bottom"/>
          </w:tcPr>
          <w:p>
            <w:pPr>
              <w:jc w:val="center"/>
              <w:spacing w:after="0"/>
              <w:rPr>
                <w:sz w:val="20"/>
                <w:szCs w:val="20"/>
                <w:color w:val="auto"/>
              </w:rPr>
            </w:pPr>
            <w:r>
              <w:rPr>
                <w:rFonts w:ascii="Arial" w:cs="Arial" w:eastAsia="Arial" w:hAnsi="Arial"/>
                <w:sz w:val="20"/>
                <w:szCs w:val="20"/>
                <w:color w:val="auto"/>
                <w:w w:val="92"/>
              </w:rPr>
              <w:t>$7.21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$430,948.91</w:t>
            </w:r>
          </w:p>
        </w:tc>
      </w:tr>
      <w:tr>
        <w:trPr>
          <w:trHeight w:val="250"/>
        </w:trPr>
        <w:tc>
          <w:tcPr>
            <w:tcW w:w="2380" w:type="dxa"/>
            <w:vAlign w:val="bottom"/>
          </w:tcPr>
          <w:p>
            <w:pPr>
              <w:jc w:val="center"/>
              <w:spacing w:after="0"/>
              <w:rPr>
                <w:sz w:val="20"/>
                <w:szCs w:val="20"/>
                <w:color w:val="auto"/>
              </w:rPr>
            </w:pPr>
            <w:r>
              <w:rPr>
                <w:rFonts w:ascii="Arial" w:cs="Arial" w:eastAsia="Arial" w:hAnsi="Arial"/>
                <w:sz w:val="20"/>
                <w:szCs w:val="20"/>
                <w:color w:val="auto"/>
                <w:w w:val="92"/>
              </w:rPr>
              <w:t>(1/1/25-12/31/25)</w:t>
            </w:r>
          </w:p>
        </w:tc>
        <w:tc>
          <w:tcPr>
            <w:tcW w:w="30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63"/>
        </w:trPr>
        <w:tc>
          <w:tcPr>
            <w:tcW w:w="2380" w:type="dxa"/>
            <w:vAlign w:val="bottom"/>
          </w:tcPr>
          <w:p>
            <w:pPr>
              <w:jc w:val="center"/>
              <w:spacing w:after="0"/>
              <w:rPr>
                <w:sz w:val="20"/>
                <w:szCs w:val="20"/>
                <w:color w:val="auto"/>
              </w:rPr>
            </w:pPr>
            <w:r>
              <w:rPr>
                <w:rFonts w:ascii="Arial" w:cs="Arial" w:eastAsia="Arial" w:hAnsi="Arial"/>
                <w:sz w:val="20"/>
                <w:szCs w:val="20"/>
                <w:color w:val="auto"/>
                <w:w w:val="89"/>
              </w:rPr>
              <w:t>49–60</w:t>
            </w:r>
          </w:p>
        </w:tc>
        <w:tc>
          <w:tcPr>
            <w:tcW w:w="3080" w:type="dxa"/>
            <w:vAlign w:val="bottom"/>
          </w:tcPr>
          <w:p>
            <w:pPr>
              <w:jc w:val="center"/>
              <w:spacing w:after="0"/>
              <w:rPr>
                <w:sz w:val="20"/>
                <w:szCs w:val="20"/>
                <w:color w:val="auto"/>
              </w:rPr>
            </w:pPr>
            <w:r>
              <w:rPr>
                <w:rFonts w:ascii="Arial" w:cs="Arial" w:eastAsia="Arial" w:hAnsi="Arial"/>
                <w:sz w:val="20"/>
                <w:szCs w:val="20"/>
                <w:color w:val="auto"/>
                <w:w w:val="92"/>
              </w:rPr>
              <w:t>$7.43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$444,098.53</w:t>
            </w:r>
          </w:p>
        </w:tc>
      </w:tr>
      <w:tr>
        <w:trPr>
          <w:trHeight w:val="250"/>
        </w:trPr>
        <w:tc>
          <w:tcPr>
            <w:tcW w:w="2380" w:type="dxa"/>
            <w:vAlign w:val="bottom"/>
          </w:tcPr>
          <w:p>
            <w:pPr>
              <w:jc w:val="center"/>
              <w:spacing w:after="0"/>
              <w:rPr>
                <w:sz w:val="20"/>
                <w:szCs w:val="20"/>
                <w:color w:val="auto"/>
              </w:rPr>
            </w:pPr>
            <w:r>
              <w:rPr>
                <w:rFonts w:ascii="Arial" w:cs="Arial" w:eastAsia="Arial" w:hAnsi="Arial"/>
                <w:sz w:val="20"/>
                <w:szCs w:val="20"/>
                <w:color w:val="auto"/>
                <w:w w:val="92"/>
              </w:rPr>
              <w:t>(1/1/26-12/31/26)</w:t>
            </w:r>
          </w:p>
        </w:tc>
        <w:tc>
          <w:tcPr>
            <w:tcW w:w="30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63"/>
        </w:trPr>
        <w:tc>
          <w:tcPr>
            <w:tcW w:w="2380" w:type="dxa"/>
            <w:vAlign w:val="bottom"/>
          </w:tcPr>
          <w:p>
            <w:pPr>
              <w:jc w:val="center"/>
              <w:spacing w:after="0"/>
              <w:rPr>
                <w:sz w:val="20"/>
                <w:szCs w:val="20"/>
                <w:color w:val="auto"/>
              </w:rPr>
            </w:pPr>
            <w:r>
              <w:rPr>
                <w:rFonts w:ascii="Arial" w:cs="Arial" w:eastAsia="Arial" w:hAnsi="Arial"/>
                <w:sz w:val="20"/>
                <w:szCs w:val="20"/>
                <w:color w:val="auto"/>
                <w:w w:val="89"/>
              </w:rPr>
              <w:t>61-72</w:t>
            </w:r>
          </w:p>
        </w:tc>
        <w:tc>
          <w:tcPr>
            <w:tcW w:w="3080" w:type="dxa"/>
            <w:vAlign w:val="bottom"/>
          </w:tcPr>
          <w:p>
            <w:pPr>
              <w:jc w:val="center"/>
              <w:spacing w:after="0"/>
              <w:rPr>
                <w:sz w:val="20"/>
                <w:szCs w:val="20"/>
                <w:color w:val="auto"/>
              </w:rPr>
            </w:pPr>
            <w:r>
              <w:rPr>
                <w:rFonts w:ascii="Arial" w:cs="Arial" w:eastAsia="Arial" w:hAnsi="Arial"/>
                <w:sz w:val="20"/>
                <w:szCs w:val="20"/>
                <w:color w:val="auto"/>
                <w:w w:val="92"/>
              </w:rPr>
              <w:t>$7.65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$457,248.15</w:t>
            </w:r>
          </w:p>
        </w:tc>
      </w:tr>
      <w:tr>
        <w:trPr>
          <w:trHeight w:val="250"/>
        </w:trPr>
        <w:tc>
          <w:tcPr>
            <w:tcW w:w="2380" w:type="dxa"/>
            <w:vAlign w:val="bottom"/>
          </w:tcPr>
          <w:p>
            <w:pPr>
              <w:jc w:val="center"/>
              <w:spacing w:after="0"/>
              <w:rPr>
                <w:sz w:val="20"/>
                <w:szCs w:val="20"/>
                <w:color w:val="auto"/>
              </w:rPr>
            </w:pPr>
            <w:r>
              <w:rPr>
                <w:rFonts w:ascii="Arial" w:cs="Arial" w:eastAsia="Arial" w:hAnsi="Arial"/>
                <w:sz w:val="20"/>
                <w:szCs w:val="20"/>
                <w:color w:val="auto"/>
                <w:w w:val="92"/>
              </w:rPr>
              <w:t>(1/1/27-12/31/27)</w:t>
            </w:r>
          </w:p>
        </w:tc>
        <w:tc>
          <w:tcPr>
            <w:tcW w:w="30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63"/>
        </w:trPr>
        <w:tc>
          <w:tcPr>
            <w:tcW w:w="2380" w:type="dxa"/>
            <w:vAlign w:val="bottom"/>
          </w:tcPr>
          <w:p>
            <w:pPr>
              <w:jc w:val="center"/>
              <w:spacing w:after="0"/>
              <w:rPr>
                <w:sz w:val="20"/>
                <w:szCs w:val="20"/>
                <w:color w:val="auto"/>
              </w:rPr>
            </w:pPr>
            <w:r>
              <w:rPr>
                <w:rFonts w:ascii="Arial" w:cs="Arial" w:eastAsia="Arial" w:hAnsi="Arial"/>
                <w:sz w:val="20"/>
                <w:szCs w:val="20"/>
                <w:color w:val="auto"/>
                <w:w w:val="89"/>
              </w:rPr>
              <w:t>73-74</w:t>
            </w:r>
          </w:p>
        </w:tc>
        <w:tc>
          <w:tcPr>
            <w:tcW w:w="3080" w:type="dxa"/>
            <w:vAlign w:val="bottom"/>
          </w:tcPr>
          <w:p>
            <w:pPr>
              <w:jc w:val="center"/>
              <w:spacing w:after="0"/>
              <w:rPr>
                <w:sz w:val="20"/>
                <w:szCs w:val="20"/>
                <w:color w:val="auto"/>
              </w:rPr>
            </w:pPr>
            <w:r>
              <w:rPr>
                <w:rFonts w:ascii="Arial" w:cs="Arial" w:eastAsia="Arial" w:hAnsi="Arial"/>
                <w:sz w:val="20"/>
                <w:szCs w:val="20"/>
                <w:color w:val="auto"/>
                <w:w w:val="92"/>
              </w:rPr>
              <w:t>$7.88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$470,995.48</w:t>
            </w:r>
          </w:p>
        </w:tc>
      </w:tr>
      <w:tr>
        <w:trPr>
          <w:trHeight w:val="250"/>
        </w:trPr>
        <w:tc>
          <w:tcPr>
            <w:tcW w:w="2380" w:type="dxa"/>
            <w:vAlign w:val="bottom"/>
          </w:tcPr>
          <w:p>
            <w:pPr>
              <w:jc w:val="center"/>
              <w:spacing w:after="0"/>
              <w:rPr>
                <w:sz w:val="20"/>
                <w:szCs w:val="20"/>
                <w:color w:val="auto"/>
              </w:rPr>
            </w:pPr>
            <w:r>
              <w:rPr>
                <w:rFonts w:ascii="Arial" w:cs="Arial" w:eastAsia="Arial" w:hAnsi="Arial"/>
                <w:sz w:val="20"/>
                <w:szCs w:val="20"/>
                <w:color w:val="auto"/>
                <w:w w:val="91"/>
              </w:rPr>
              <w:t>(1/1/28-2/29/28)</w:t>
            </w:r>
          </w:p>
        </w:tc>
        <w:tc>
          <w:tcPr>
            <w:tcW w:w="3080" w:type="dxa"/>
            <w:vAlign w:val="bottom"/>
          </w:tcPr>
          <w:p>
            <w:pPr>
              <w:spacing w:after="0"/>
              <w:rPr>
                <w:sz w:val="21"/>
                <w:szCs w:val="21"/>
                <w:color w:val="auto"/>
              </w:rPr>
            </w:pPr>
          </w:p>
        </w:tc>
        <w:tc>
          <w:tcPr>
            <w:tcW w:w="2580" w:type="dxa"/>
            <w:vAlign w:val="bottom"/>
          </w:tcPr>
          <w:p>
            <w:pPr>
              <w:spacing w:after="0"/>
              <w:rPr>
                <w:sz w:val="21"/>
                <w:szCs w:val="2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Prior to the 2024 Commencement Date, Subtenant shall be responsible to continue paying Rent (as such term is defined in the Sub-Sublease) as required and set forth in the Sub-Sublease. Beginning on the 2024 Commencement Date and for the remainder of the Term, and in addition to the Base Rent that Subtenant must pay in connection with the Existing Premises, Subtenant will pay Sublandlord Base Rent for the Snowflake Premises (48,244 rentable square feet) as follows:</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2580" w:type="dxa"/>
            <w:vAlign w:val="bottom"/>
          </w:tcPr>
          <w:p>
            <w:pPr>
              <w:jc w:val="center"/>
              <w:ind w:right="61"/>
              <w:spacing w:after="0"/>
              <w:rPr>
                <w:sz w:val="20"/>
                <w:szCs w:val="20"/>
                <w:color w:val="auto"/>
              </w:rPr>
            </w:pPr>
            <w:r>
              <w:rPr>
                <w:rFonts w:ascii="Arial" w:cs="Arial" w:eastAsia="Arial" w:hAnsi="Arial"/>
                <w:sz w:val="20"/>
                <w:szCs w:val="20"/>
                <w:b w:val="1"/>
                <w:bCs w:val="1"/>
                <w:color w:val="auto"/>
                <w:w w:val="91"/>
              </w:rPr>
              <w:t>Period/</w:t>
            </w:r>
          </w:p>
        </w:tc>
        <w:tc>
          <w:tcPr>
            <w:tcW w:w="2880" w:type="dxa"/>
            <w:vAlign w:val="bottom"/>
          </w:tcPr>
          <w:p>
            <w:pPr>
              <w:jc w:val="center"/>
              <w:ind w:right="101"/>
              <w:spacing w:after="0"/>
              <w:rPr>
                <w:sz w:val="20"/>
                <w:szCs w:val="20"/>
                <w:color w:val="auto"/>
              </w:rPr>
            </w:pPr>
            <w:r>
              <w:rPr>
                <w:rFonts w:ascii="Arial" w:cs="Arial" w:eastAsia="Arial" w:hAnsi="Arial"/>
                <w:sz w:val="20"/>
                <w:szCs w:val="20"/>
                <w:b w:val="1"/>
                <w:bCs w:val="1"/>
                <w:color w:val="auto"/>
                <w:w w:val="91"/>
              </w:rPr>
              <w:t>Rental Rate per Rentable</w:t>
            </w:r>
          </w:p>
        </w:tc>
        <w:tc>
          <w:tcPr>
            <w:tcW w:w="2580" w:type="dxa"/>
            <w:vAlign w:val="bottom"/>
          </w:tcPr>
          <w:p>
            <w:pPr>
              <w:spacing w:after="0"/>
              <w:rPr>
                <w:sz w:val="19"/>
                <w:szCs w:val="19"/>
                <w:color w:val="auto"/>
              </w:rPr>
            </w:pPr>
          </w:p>
        </w:tc>
      </w:tr>
      <w:tr>
        <w:trPr>
          <w:trHeight w:val="256"/>
        </w:trPr>
        <w:tc>
          <w:tcPr>
            <w:tcW w:w="2580" w:type="dxa"/>
            <w:vAlign w:val="bottom"/>
          </w:tcPr>
          <w:p>
            <w:pPr>
              <w:jc w:val="center"/>
              <w:ind w:right="61"/>
              <w:spacing w:after="0"/>
              <w:rPr>
                <w:sz w:val="20"/>
                <w:szCs w:val="20"/>
                <w:color w:val="auto"/>
              </w:rPr>
            </w:pPr>
            <w:r>
              <w:rPr>
                <w:rFonts w:ascii="Arial" w:cs="Arial" w:eastAsia="Arial" w:hAnsi="Arial"/>
                <w:sz w:val="20"/>
                <w:szCs w:val="20"/>
                <w:b w:val="1"/>
                <w:bCs w:val="1"/>
                <w:color w:val="auto"/>
                <w:w w:val="91"/>
              </w:rPr>
              <w:t>Months of Term</w:t>
            </w:r>
          </w:p>
        </w:tc>
        <w:tc>
          <w:tcPr>
            <w:tcW w:w="2880" w:type="dxa"/>
            <w:vAlign w:val="bottom"/>
          </w:tcPr>
          <w:p>
            <w:pPr>
              <w:jc w:val="center"/>
              <w:ind w:right="101"/>
              <w:spacing w:after="0"/>
              <w:rPr>
                <w:sz w:val="20"/>
                <w:szCs w:val="20"/>
                <w:color w:val="auto"/>
              </w:rPr>
            </w:pPr>
            <w:r>
              <w:rPr>
                <w:rFonts w:ascii="Arial" w:cs="Arial" w:eastAsia="Arial" w:hAnsi="Arial"/>
                <w:sz w:val="20"/>
                <w:szCs w:val="20"/>
                <w:b w:val="1"/>
                <w:bCs w:val="1"/>
                <w:color w:val="auto"/>
                <w:w w:val="91"/>
              </w:rPr>
              <w:t>Square Foot per Month</w:t>
            </w:r>
          </w:p>
        </w:tc>
        <w:tc>
          <w:tcPr>
            <w:tcW w:w="2580" w:type="dxa"/>
            <w:vAlign w:val="bottom"/>
          </w:tcPr>
          <w:p>
            <w:pPr>
              <w:jc w:val="center"/>
              <w:spacing w:after="0"/>
              <w:rPr>
                <w:sz w:val="20"/>
                <w:szCs w:val="20"/>
                <w:color w:val="auto"/>
              </w:rPr>
            </w:pPr>
            <w:r>
              <w:rPr>
                <w:rFonts w:ascii="Arial" w:cs="Arial" w:eastAsia="Arial" w:hAnsi="Arial"/>
                <w:sz w:val="20"/>
                <w:szCs w:val="20"/>
                <w:b w:val="1"/>
                <w:bCs w:val="1"/>
                <w:color w:val="auto"/>
                <w:w w:val="89"/>
              </w:rPr>
              <w:t>Monthly Base Rent</w:t>
            </w:r>
          </w:p>
        </w:tc>
      </w:tr>
      <w:tr>
        <w:trPr>
          <w:trHeight w:val="131"/>
        </w:trPr>
        <w:tc>
          <w:tcPr>
            <w:tcW w:w="258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r>
      <w:tr>
        <w:trPr>
          <w:trHeight w:val="233"/>
        </w:trPr>
        <w:tc>
          <w:tcPr>
            <w:tcW w:w="2580" w:type="dxa"/>
            <w:vAlign w:val="bottom"/>
          </w:tcPr>
          <w:p>
            <w:pPr>
              <w:jc w:val="center"/>
              <w:ind w:right="61"/>
              <w:spacing w:after="0"/>
              <w:rPr>
                <w:sz w:val="20"/>
                <w:szCs w:val="20"/>
                <w:color w:val="auto"/>
              </w:rPr>
            </w:pPr>
            <w:r>
              <w:rPr>
                <w:rFonts w:ascii="Arial" w:cs="Arial" w:eastAsia="Arial" w:hAnsi="Arial"/>
                <w:sz w:val="20"/>
                <w:szCs w:val="20"/>
                <w:color w:val="auto"/>
                <w:w w:val="88"/>
              </w:rPr>
              <w:t>2024 Commencement Date-</w:t>
            </w:r>
          </w:p>
        </w:tc>
        <w:tc>
          <w:tcPr>
            <w:tcW w:w="2880" w:type="dxa"/>
            <w:vAlign w:val="bottom"/>
          </w:tcPr>
          <w:p>
            <w:pPr>
              <w:jc w:val="center"/>
              <w:ind w:right="101"/>
              <w:spacing w:after="0"/>
              <w:rPr>
                <w:sz w:val="20"/>
                <w:szCs w:val="20"/>
                <w:color w:val="auto"/>
              </w:rPr>
            </w:pPr>
            <w:r>
              <w:rPr>
                <w:rFonts w:ascii="Arial" w:cs="Arial" w:eastAsia="Arial" w:hAnsi="Arial"/>
                <w:sz w:val="20"/>
                <w:szCs w:val="20"/>
                <w:color w:val="auto"/>
                <w:w w:val="92"/>
              </w:rPr>
              <w:t>$7.00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$337,708.00</w:t>
            </w:r>
          </w:p>
        </w:tc>
      </w:tr>
      <w:tr>
        <w:trPr>
          <w:trHeight w:val="250"/>
        </w:trPr>
        <w:tc>
          <w:tcPr>
            <w:tcW w:w="2580" w:type="dxa"/>
            <w:vAlign w:val="bottom"/>
          </w:tcPr>
          <w:p>
            <w:pPr>
              <w:jc w:val="center"/>
              <w:ind w:right="61"/>
              <w:spacing w:after="0"/>
              <w:rPr>
                <w:sz w:val="20"/>
                <w:szCs w:val="20"/>
                <w:color w:val="auto"/>
              </w:rPr>
            </w:pPr>
            <w:r>
              <w:rPr>
                <w:rFonts w:ascii="Arial" w:cs="Arial" w:eastAsia="Arial" w:hAnsi="Arial"/>
                <w:sz w:val="20"/>
                <w:szCs w:val="20"/>
                <w:color w:val="auto"/>
                <w:w w:val="89"/>
              </w:rPr>
              <w:t>12/31/24</w:t>
            </w:r>
          </w:p>
        </w:tc>
        <w:tc>
          <w:tcPr>
            <w:tcW w:w="28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83"/>
        </w:trPr>
        <w:tc>
          <w:tcPr>
            <w:tcW w:w="2580" w:type="dxa"/>
            <w:vAlign w:val="bottom"/>
          </w:tcPr>
          <w:p>
            <w:pPr>
              <w:jc w:val="center"/>
              <w:ind w:right="41"/>
              <w:spacing w:after="0"/>
              <w:rPr>
                <w:sz w:val="20"/>
                <w:szCs w:val="20"/>
                <w:color w:val="auto"/>
              </w:rPr>
            </w:pPr>
            <w:r>
              <w:rPr>
                <w:rFonts w:ascii="Arial" w:cs="Arial" w:eastAsia="Arial" w:hAnsi="Arial"/>
                <w:sz w:val="20"/>
                <w:szCs w:val="20"/>
                <w:color w:val="auto"/>
                <w:w w:val="91"/>
              </w:rPr>
              <w:t>1/1/25-12/31/25</w:t>
            </w:r>
          </w:p>
        </w:tc>
        <w:tc>
          <w:tcPr>
            <w:tcW w:w="2880" w:type="dxa"/>
            <w:vAlign w:val="bottom"/>
          </w:tcPr>
          <w:p>
            <w:pPr>
              <w:jc w:val="center"/>
              <w:ind w:right="101"/>
              <w:spacing w:after="0"/>
              <w:rPr>
                <w:sz w:val="20"/>
                <w:szCs w:val="20"/>
                <w:color w:val="auto"/>
              </w:rPr>
            </w:pPr>
            <w:r>
              <w:rPr>
                <w:rFonts w:ascii="Arial" w:cs="Arial" w:eastAsia="Arial" w:hAnsi="Arial"/>
                <w:sz w:val="20"/>
                <w:szCs w:val="20"/>
                <w:color w:val="auto"/>
                <w:w w:val="92"/>
              </w:rPr>
              <w:t>$7.21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$347,839.24</w:t>
            </w:r>
          </w:p>
        </w:tc>
      </w:tr>
      <w:tr>
        <w:trPr>
          <w:trHeight w:val="283"/>
        </w:trPr>
        <w:tc>
          <w:tcPr>
            <w:tcW w:w="2580" w:type="dxa"/>
            <w:vAlign w:val="bottom"/>
          </w:tcPr>
          <w:p>
            <w:pPr>
              <w:jc w:val="center"/>
              <w:ind w:right="41"/>
              <w:spacing w:after="0"/>
              <w:rPr>
                <w:sz w:val="20"/>
                <w:szCs w:val="20"/>
                <w:color w:val="auto"/>
              </w:rPr>
            </w:pPr>
            <w:r>
              <w:rPr>
                <w:rFonts w:ascii="Arial" w:cs="Arial" w:eastAsia="Arial" w:hAnsi="Arial"/>
                <w:sz w:val="20"/>
                <w:szCs w:val="20"/>
                <w:color w:val="auto"/>
                <w:w w:val="91"/>
              </w:rPr>
              <w:t>1/1/26-12/31/26</w:t>
            </w:r>
          </w:p>
        </w:tc>
        <w:tc>
          <w:tcPr>
            <w:tcW w:w="2880" w:type="dxa"/>
            <w:vAlign w:val="bottom"/>
          </w:tcPr>
          <w:p>
            <w:pPr>
              <w:jc w:val="center"/>
              <w:ind w:right="101"/>
              <w:spacing w:after="0"/>
              <w:rPr>
                <w:sz w:val="20"/>
                <w:szCs w:val="20"/>
                <w:color w:val="auto"/>
              </w:rPr>
            </w:pPr>
            <w:r>
              <w:rPr>
                <w:rFonts w:ascii="Arial" w:cs="Arial" w:eastAsia="Arial" w:hAnsi="Arial"/>
                <w:sz w:val="20"/>
                <w:szCs w:val="20"/>
                <w:color w:val="auto"/>
                <w:w w:val="92"/>
              </w:rPr>
              <w:t>$7.43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$358,452.92</w:t>
            </w:r>
          </w:p>
        </w:tc>
      </w:tr>
      <w:tr>
        <w:trPr>
          <w:trHeight w:val="284"/>
        </w:trPr>
        <w:tc>
          <w:tcPr>
            <w:tcW w:w="2580" w:type="dxa"/>
            <w:vAlign w:val="bottom"/>
          </w:tcPr>
          <w:p>
            <w:pPr>
              <w:jc w:val="center"/>
              <w:ind w:right="41"/>
              <w:spacing w:after="0"/>
              <w:rPr>
                <w:sz w:val="20"/>
                <w:szCs w:val="20"/>
                <w:color w:val="auto"/>
              </w:rPr>
            </w:pPr>
            <w:r>
              <w:rPr>
                <w:rFonts w:ascii="Arial" w:cs="Arial" w:eastAsia="Arial" w:hAnsi="Arial"/>
                <w:sz w:val="20"/>
                <w:szCs w:val="20"/>
                <w:color w:val="auto"/>
                <w:w w:val="91"/>
              </w:rPr>
              <w:t>1/1/27-12/31/27</w:t>
            </w:r>
          </w:p>
        </w:tc>
        <w:tc>
          <w:tcPr>
            <w:tcW w:w="2880" w:type="dxa"/>
            <w:vAlign w:val="bottom"/>
          </w:tcPr>
          <w:p>
            <w:pPr>
              <w:jc w:val="center"/>
              <w:ind w:right="101"/>
              <w:spacing w:after="0"/>
              <w:rPr>
                <w:sz w:val="20"/>
                <w:szCs w:val="20"/>
                <w:color w:val="auto"/>
              </w:rPr>
            </w:pPr>
            <w:r>
              <w:rPr>
                <w:rFonts w:ascii="Arial" w:cs="Arial" w:eastAsia="Arial" w:hAnsi="Arial"/>
                <w:sz w:val="20"/>
                <w:szCs w:val="20"/>
                <w:color w:val="auto"/>
                <w:w w:val="92"/>
              </w:rPr>
              <w:t>$7.65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$369,066.60</w:t>
            </w:r>
          </w:p>
        </w:tc>
      </w:tr>
      <w:tr>
        <w:trPr>
          <w:trHeight w:val="283"/>
        </w:trPr>
        <w:tc>
          <w:tcPr>
            <w:tcW w:w="2580" w:type="dxa"/>
            <w:vAlign w:val="bottom"/>
          </w:tcPr>
          <w:p>
            <w:pPr>
              <w:jc w:val="center"/>
              <w:ind w:right="61"/>
              <w:spacing w:after="0"/>
              <w:rPr>
                <w:sz w:val="20"/>
                <w:szCs w:val="20"/>
                <w:color w:val="auto"/>
              </w:rPr>
            </w:pPr>
            <w:r>
              <w:rPr>
                <w:rFonts w:ascii="Arial" w:cs="Arial" w:eastAsia="Arial" w:hAnsi="Arial"/>
                <w:sz w:val="20"/>
                <w:szCs w:val="20"/>
                <w:color w:val="auto"/>
                <w:w w:val="91"/>
              </w:rPr>
              <w:t>1/1/28-2/29/28</w:t>
            </w:r>
          </w:p>
        </w:tc>
        <w:tc>
          <w:tcPr>
            <w:tcW w:w="2880" w:type="dxa"/>
            <w:vAlign w:val="bottom"/>
          </w:tcPr>
          <w:p>
            <w:pPr>
              <w:jc w:val="center"/>
              <w:ind w:right="101"/>
              <w:spacing w:after="0"/>
              <w:rPr>
                <w:sz w:val="20"/>
                <w:szCs w:val="20"/>
                <w:color w:val="auto"/>
              </w:rPr>
            </w:pPr>
            <w:r>
              <w:rPr>
                <w:rFonts w:ascii="Arial" w:cs="Arial" w:eastAsia="Arial" w:hAnsi="Arial"/>
                <w:sz w:val="20"/>
                <w:szCs w:val="20"/>
                <w:color w:val="auto"/>
                <w:w w:val="92"/>
              </w:rPr>
              <w:t>$7.88 NNN</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$380,162.72</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Base Rent shall be paid in advance on the first day of each month of the Term, except that Subtenant shall pay one (1) month’s Base Rent for the Existing Premises (i.e., $394,488.60) to Sublandlord on or prior to the Early Occupancy Date; and said installment Base Rent will be applied to the first (1st) month’s Base Rent due and payable hereunder. If the Term does not begin on the first day of a calendar month or end on the last day of a month, the Base Rent for any partial month shall be prorated by multiplying the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191" w:name="page192"/>
    <w:bookmarkEnd w:id="191"/>
    <w:p>
      <w:pPr>
        <w:jc w:val="both"/>
        <w:spacing w:after="0" w:line="250" w:lineRule="auto"/>
        <w:rPr>
          <w:sz w:val="20"/>
          <w:szCs w:val="20"/>
          <w:color w:val="auto"/>
        </w:rPr>
      </w:pPr>
      <w:r>
        <w:rPr>
          <w:rFonts w:ascii="Arial" w:cs="Arial" w:eastAsia="Arial" w:hAnsi="Arial"/>
          <w:sz w:val="20"/>
          <w:szCs w:val="20"/>
          <w:color w:val="auto"/>
        </w:rPr>
        <w:t xml:space="preserve">monthly Base Rent by a fraction, the numerator of which is the number of days of the partial month included in the Term and the denominator of which is the total number of days in the full calendar month. All Base Rent shall be payable in lawful money of the United States to Sublandlord to Sublandlord’s address set forth in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below.</w:t>
      </w:r>
    </w:p>
    <w:p>
      <w:pPr>
        <w:spacing w:after="0" w:line="186" w:lineRule="exact"/>
        <w:rPr>
          <w:sz w:val="20"/>
          <w:szCs w:val="20"/>
          <w:color w:val="auto"/>
        </w:rPr>
      </w:pPr>
    </w:p>
    <w:p>
      <w:pPr>
        <w:jc w:val="both"/>
        <w:ind w:firstLine="1304"/>
        <w:spacing w:after="0" w:line="268" w:lineRule="auto"/>
        <w:tabs>
          <w:tab w:leader="none" w:pos="193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 In addition to the Base Rent payable by Subtenant as provided above, Subtenant shall pay to Sublandlord the following: (i) prior to the 2024 Commencement Date, Fifty-Five and Thirty-Three Hundredths percent (55.33%) (“</w:t>
      </w:r>
      <w:r>
        <w:rPr>
          <w:rFonts w:ascii="Arial" w:cs="Arial" w:eastAsia="Arial" w:hAnsi="Arial"/>
          <w:sz w:val="18"/>
          <w:szCs w:val="18"/>
          <w:b w:val="1"/>
          <w:bCs w:val="1"/>
          <w:color w:val="auto"/>
        </w:rPr>
        <w:t>Subtenant’s Proportionate Share</w:t>
      </w:r>
      <w:r>
        <w:rPr>
          <w:rFonts w:ascii="Arial" w:cs="Arial" w:eastAsia="Arial" w:hAnsi="Arial"/>
          <w:sz w:val="18"/>
          <w:szCs w:val="18"/>
          <w:color w:val="auto"/>
        </w:rPr>
        <w:t xml:space="preserve">”) of all Operating Expenses due and payable by Sublandlord to Landlord under the Master Lease, including, but not limited to, all Real Property Taxes, insurance premiums, costs of repairs, and utilities; (ii) from and after the 2024 Commencement Date, Subtenant’s Proportionate Share shall equal one hundred percent (100%) and all references herein to Subtenant’s Proportionate Share shall mean and equal one hundred percent (100%); (iii) one hundred percent (100%) of the charges for any services and utilities provided solely to the Subleased Premises due under the Master Lease with respect to the Term to the extent payable to Landlord under the Master Lease and otherwise not included as Base Rent, including such service and utility charges pursuant to Sections 15 and 16 of the Master Lease; and/or (iv) any costs and expenses related or attributable to Subtenant, or the use and occupancy of the Subleased Premises by Subtenant or any permitted assignee or Subtenant (e.g. personal property taxes, overuse of utilities or requested overtime HVAC services). All amounts payable by Subtenant under this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are referred to in this Sublease as “</w:t>
      </w:r>
      <w:r>
        <w:rPr>
          <w:rFonts w:ascii="Arial" w:cs="Arial" w:eastAsia="Arial" w:hAnsi="Arial"/>
          <w:sz w:val="18"/>
          <w:szCs w:val="18"/>
          <w:b w:val="1"/>
          <w:bCs w:val="1"/>
          <w:color w:val="auto"/>
        </w:rPr>
        <w:t>Additional Rent</w:t>
      </w:r>
      <w:r>
        <w:rPr>
          <w:rFonts w:ascii="Arial" w:cs="Arial" w:eastAsia="Arial" w:hAnsi="Arial"/>
          <w:sz w:val="18"/>
          <w:szCs w:val="18"/>
          <w:color w:val="auto"/>
        </w:rPr>
        <w:t>.” The term “</w:t>
      </w:r>
      <w:r>
        <w:rPr>
          <w:rFonts w:ascii="Arial" w:cs="Arial" w:eastAsia="Arial" w:hAnsi="Arial"/>
          <w:sz w:val="18"/>
          <w:szCs w:val="18"/>
          <w:b w:val="1"/>
          <w:bCs w:val="1"/>
          <w:color w:val="auto"/>
        </w:rPr>
        <w:t>Rent</w:t>
      </w:r>
      <w:r>
        <w:rPr>
          <w:rFonts w:ascii="Arial" w:cs="Arial" w:eastAsia="Arial" w:hAnsi="Arial"/>
          <w:sz w:val="18"/>
          <w:szCs w:val="18"/>
          <w:color w:val="auto"/>
        </w:rPr>
        <w:t xml:space="preserve">” as used herein shall mean all Base Rent and Additional Rent. Each amount due to pursuant to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above and each other amount payable by Subtenant hereunder, unless a date for payment of such amount is provided for elsewhere in this Sublease, shall be due and payable to the Sublandlord at the same time and in the same manner as Base Rent, but in no event later than the date on which any such amount is due and payable under the Master Lease. Sublandlord shall deliver to Subtenant all Annual Statements immediately following receipt. Subtenant shall have the right to cause an Independent Review of Landlord’s books and records as provided in Section 7.7 of the Master Lease provided that Subtenant has requested Sublandlord to perform such Independent Review at least ten (10) business days prior to the expiration of the period to elect an Independent Review and Sublandlord shall notify Landlord prior to the expiration of such period. Following Subtenant’s request, Sublandlord shall timely notify Landlord in the time period set forth in Section 7.7 of the Master Lease and perform such Independent Review on Subtenant’s behalf, but at Subtenant’s sole cost and expense (subject to reimbursement pursuant to Section 7.7 of the Master Lease). Upon completion of such Independent Review, the parties shall reconcile the Operating Expense in the same manner as set forth in Section 7.7 of the Master Lease.</w:t>
      </w:r>
    </w:p>
    <w:p>
      <w:pPr>
        <w:spacing w:after="0" w:line="180" w:lineRule="exact"/>
        <w:rPr>
          <w:rFonts w:ascii="Arial" w:cs="Arial" w:eastAsia="Arial" w:hAnsi="Arial"/>
          <w:sz w:val="18"/>
          <w:szCs w:val="18"/>
          <w:color w:val="auto"/>
        </w:rPr>
      </w:pPr>
    </w:p>
    <w:p>
      <w:pPr>
        <w:jc w:val="both"/>
        <w:ind w:firstLine="1304"/>
        <w:spacing w:after="0" w:line="246" w:lineRule="auto"/>
        <w:tabs>
          <w:tab w:leader="none" w:pos="1934" w:val="left"/>
        </w:tabs>
        <w:numPr>
          <w:ilvl w:val="1"/>
          <w:numId w:val="145"/>
        </w:numPr>
        <w:rPr>
          <w:rFonts w:ascii="Arial" w:cs="Arial" w:eastAsia="Arial" w:hAnsi="Arial"/>
          <w:sz w:val="20"/>
          <w:szCs w:val="20"/>
          <w:color w:val="auto"/>
        </w:rPr>
      </w:pPr>
      <w:r>
        <w:rPr>
          <w:rFonts w:ascii="Arial" w:cs="Arial" w:eastAsia="Arial" w:hAnsi="Arial"/>
          <w:sz w:val="20"/>
          <w:szCs w:val="20"/>
          <w:u w:val="single" w:color="auto"/>
          <w:color w:val="auto"/>
        </w:rPr>
        <w:t>Utilities</w:t>
      </w:r>
      <w:r>
        <w:rPr>
          <w:rFonts w:ascii="Arial" w:cs="Arial" w:eastAsia="Arial" w:hAnsi="Arial"/>
          <w:sz w:val="20"/>
          <w:szCs w:val="20"/>
          <w:color w:val="auto"/>
        </w:rPr>
        <w:t>. Subtenant shall be responsible for the cost of any electricity and other utilities supplied to the Subleased Premises during the Term, and Subtenant shall timely and fully pay all such utility costs when due and payable. Subtenant acknowledges and agrees that Subtenant is directly and solely responsible for the timely and full payment of such utilities during the Term as set forth in the Master Lease.</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Use and Occupancy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4"/>
        <w:spacing w:after="0" w:line="260" w:lineRule="auto"/>
        <w:tabs>
          <w:tab w:leader="none" w:pos="1934"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Use</w:t>
      </w:r>
      <w:r>
        <w:rPr>
          <w:rFonts w:ascii="Arial" w:cs="Arial" w:eastAsia="Arial" w:hAnsi="Arial"/>
          <w:sz w:val="20"/>
          <w:szCs w:val="20"/>
          <w:color w:val="auto"/>
        </w:rPr>
        <w:t>. The Subleased Premises shall be used and occupied only for general office use and any Permitted Use as provided under Section 4.1 of the Master Lease, and for no other use or purpose.</w:t>
      </w:r>
    </w:p>
    <w:p>
      <w:pPr>
        <w:spacing w:after="0" w:line="176" w:lineRule="exact"/>
        <w:rPr>
          <w:rFonts w:ascii="Arial" w:cs="Arial" w:eastAsia="Arial" w:hAnsi="Arial"/>
          <w:sz w:val="20"/>
          <w:szCs w:val="20"/>
          <w:color w:val="auto"/>
        </w:rPr>
      </w:pPr>
    </w:p>
    <w:p>
      <w:pPr>
        <w:ind w:right="20" w:firstLine="1304"/>
        <w:spacing w:after="0" w:line="260" w:lineRule="auto"/>
        <w:tabs>
          <w:tab w:leader="none" w:pos="1932"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Compliance with Master Lease</w:t>
      </w:r>
      <w:r>
        <w:rPr>
          <w:rFonts w:ascii="Arial" w:cs="Arial" w:eastAsia="Arial" w:hAnsi="Arial"/>
          <w:sz w:val="20"/>
          <w:szCs w:val="20"/>
          <w:color w:val="auto"/>
        </w:rPr>
        <w:t>. Subtenant will occupy the Subleased Premises in accordance with the terms of the Master Lease and will not suffer to be done, or omit to do, any act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192" w:name="page193"/>
    <w:bookmarkEnd w:id="192"/>
    <w:p>
      <w:pPr>
        <w:jc w:val="both"/>
        <w:spacing w:after="0" w:line="256" w:lineRule="auto"/>
        <w:rPr>
          <w:sz w:val="20"/>
          <w:szCs w:val="20"/>
          <w:color w:val="auto"/>
        </w:rPr>
      </w:pPr>
      <w:r>
        <w:rPr>
          <w:rFonts w:ascii="Arial" w:cs="Arial" w:eastAsia="Arial" w:hAnsi="Arial"/>
          <w:sz w:val="19"/>
          <w:szCs w:val="19"/>
          <w:color w:val="auto"/>
        </w:rPr>
        <w:t>which may result in a violation of or a default under the Master Lease, or render Sublandlord liable for any damage, charge or expense thereunder. Subtenant will indemnify, defend protect and hold Sublandlord harmless from and against any actual, out-of-pocket loss, cost, damage or liability (including reasonable attorneys’ fees) of any kind or nature arising out of, by reason of, or resulting from, Subtenant’s failure to perform or observe any of the terms and conditions of the Master Lease with respect to the Subleased Premises or this Sublease which are Subtenant’s obligation to perform as provided herein. Any other provision in this Sublease to the contrary notwithstanding, Subtenant shall pay to Sublandlord as Additional Rent hereunder any and all sums which Sublandlord may be required to pay Landlord arising out of a request by Subtenant for, or the use by Subtenant of, additional or over-standard Building services from Landlord (for example, but not by way of limitation, charges associated with after-hours HVAC usage and over-standard electrical charges) in connection with Subtenant’s use and occupancy of the Subleased Premises.</w:t>
      </w:r>
    </w:p>
    <w:p>
      <w:pPr>
        <w:spacing w:after="0" w:line="184" w:lineRule="exact"/>
        <w:rPr>
          <w:sz w:val="20"/>
          <w:szCs w:val="20"/>
          <w:color w:val="auto"/>
        </w:rPr>
      </w:pPr>
    </w:p>
    <w:p>
      <w:pPr>
        <w:ind w:left="1940" w:hanging="636"/>
        <w:spacing w:after="0"/>
        <w:tabs>
          <w:tab w:leader="none" w:pos="194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Sublandlord’s and Landlord’s Obligations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2"/>
        <w:spacing w:after="0" w:line="269" w:lineRule="auto"/>
        <w:tabs>
          <w:tab w:leader="none" w:pos="260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Subtenant agrees that Sublandlord shall not be required to perform any of the covenants, agreements and/or obligations of Landlord under the Master Lease without ownership or control of the Building, the Subleased Premises and/or common areas, including, without limitation, the services provided in Articles 15 and 16 of the Master Lease, and, insofar as any of the covenants, agreements and obligations of Sublandlord hereunder are required to be performed under the Master Lease by Landlord thereunder, Subtenant acknowledges and agrees that Sublandlord shall be entitled to look to Landlord for such performance. In addition, Sublandlord shall have no obligation to perform any repairs or any other obligation of Landlord under the Master Lease which generally relate to the Building, the Subleased Premises and/or common areas, nor shall any representations or warranties made by Landlord under the Master Lease be deemed to have been made by Sublandlord. Sublandlord shall not be responsible for any failure or interruption, for any reason whatsoever, of the services or facilities that may be appurtenant to or supplied at the Building by Landlord or otherwise, including, without limitation, heat, air conditioning, ventilation, life-safety, water, electricity, elevator service and cleaning service, if any; and no failure to furnish, or interruption of, any such services or facilities shall give rise to any (i) abatement, diminution or reduction of Subtenant’s obligations under this Sublease (unless Sublandlord is entitled to and actually receives such an abatement, diminution or reduction under the Master Lease with respect to the Subleased Premises), or (ii) liability on the part of Sublandlord, except to the extent caused by Sublandlord.</w:t>
      </w:r>
    </w:p>
    <w:p>
      <w:pPr>
        <w:spacing w:after="0" w:line="181" w:lineRule="exact"/>
        <w:rPr>
          <w:rFonts w:ascii="Arial" w:cs="Arial" w:eastAsia="Arial" w:hAnsi="Arial"/>
          <w:sz w:val="18"/>
          <w:szCs w:val="18"/>
          <w:color w:val="auto"/>
        </w:rPr>
      </w:pPr>
    </w:p>
    <w:p>
      <w:pPr>
        <w:jc w:val="both"/>
        <w:ind w:left="660" w:firstLine="1292"/>
        <w:spacing w:after="0" w:line="255" w:lineRule="auto"/>
        <w:tabs>
          <w:tab w:leader="none" w:pos="2603" w:val="left"/>
        </w:tabs>
        <w:numPr>
          <w:ilvl w:val="1"/>
          <w:numId w:val="147"/>
        </w:numPr>
        <w:rPr>
          <w:rFonts w:ascii="Arial" w:cs="Arial" w:eastAsia="Arial" w:hAnsi="Arial"/>
          <w:sz w:val="19"/>
          <w:szCs w:val="19"/>
          <w:color w:val="auto"/>
        </w:rPr>
      </w:pPr>
      <w:r>
        <w:rPr>
          <w:rFonts w:ascii="Arial" w:cs="Arial" w:eastAsia="Arial" w:hAnsi="Arial"/>
          <w:sz w:val="19"/>
          <w:szCs w:val="19"/>
          <w:color w:val="auto"/>
        </w:rPr>
        <w:t>Sublandlord, upon Subtenant’s written request, shall make commercially reasonable efforts to cause Landlord under the Master Lease to perform any of Landlord’s obligations under the Master Lease, including, without limitation, the performance of any maintenance or service obligations that directly impact Subtenant’s use and occupancy of the Subleased Premises or the obligations of the Landlord which Sublandlord has not assumed (collectively, “</w:t>
      </w:r>
      <w:r>
        <w:rPr>
          <w:rFonts w:ascii="Arial" w:cs="Arial" w:eastAsia="Arial" w:hAnsi="Arial"/>
          <w:sz w:val="19"/>
          <w:szCs w:val="19"/>
          <w:b w:val="1"/>
          <w:bCs w:val="1"/>
          <w:color w:val="auto"/>
        </w:rPr>
        <w:t>Landlord’s Obligations</w:t>
      </w:r>
      <w:r>
        <w:rPr>
          <w:rFonts w:ascii="Arial" w:cs="Arial" w:eastAsia="Arial" w:hAnsi="Arial"/>
          <w:sz w:val="19"/>
          <w:szCs w:val="19"/>
          <w:color w:val="auto"/>
        </w:rPr>
        <w:t>”); provided, however, that Sublandlord shall not be liable to Subtenant for any liability, loss or damage whatsoever in the event that Landlord fails to perform Landlord’s Obligations unless such failure is the sole and direct result of a default by Sublandlord under the Master Lease. Sublandlord shall, upon written request of Subtenant from time to time, send written notice to Landlord in accordance with the Master Lease of any material default by Landlord under the Master Lease promptly following Subtenant’s written requests therefor, including, without limitation, a notice of default, provided that Subtenant provides evidence of such default reasonably satisfactory to Sublandlord. Notwithstanding the foregoing, if Sublandlord is unable to obtain Landlord’s required performance of Landlord’s Obligations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193" w:name="page194"/>
    <w:bookmarkEnd w:id="193"/>
    <w:p>
      <w:pPr>
        <w:jc w:val="both"/>
        <w:ind w:left="660"/>
        <w:spacing w:after="0" w:line="255" w:lineRule="auto"/>
        <w:rPr>
          <w:sz w:val="20"/>
          <w:szCs w:val="20"/>
          <w:color w:val="auto"/>
        </w:rPr>
      </w:pPr>
      <w:r>
        <w:rPr>
          <w:rFonts w:ascii="Arial" w:cs="Arial" w:eastAsia="Arial" w:hAnsi="Arial"/>
          <w:sz w:val="19"/>
          <w:szCs w:val="19"/>
          <w:color w:val="auto"/>
        </w:rPr>
        <w:t>despite such reasonable efforts, and Landlord and failed to perform the Landlord’s Obligations under the Master Lease following all applicable notice, grace or cure periods thereunder, then and only then, upon written request by Subtenant, Sublandlord shall commence any such litigation or similar proceedings against Landlord, at Subtenant’s sole cost and expense (subject to reimbursement through settlement or judgment against Landlord, including, reimbursement for attorneys’ fees). Prior to commencing any such litigation or similar proceedings against the Landlord, Subtenant shall pay Sublandlord the estimate of any actual, reasonable fees related to such litigation or similar proceedings as reasonably determined by Sublandlord, such that Sublandlord shall not incur any out-of-pocket costs and expenses with respect to such proceedings and upon the completion of such litigation, whether by judgment, settlement, arbitration, or otherwise, the parties shall reconcile the actual out-of-pocket costs and expenses with such pre-payment by Subtenant (subject to reimbursement through settlement or judgment against Landlord, including, reimbursement for attorneys’ fees).</w:t>
      </w:r>
    </w:p>
    <w:p>
      <w:pPr>
        <w:spacing w:after="0" w:line="190" w:lineRule="exact"/>
        <w:rPr>
          <w:sz w:val="20"/>
          <w:szCs w:val="20"/>
          <w:color w:val="auto"/>
        </w:rPr>
      </w:pPr>
    </w:p>
    <w:p>
      <w:pPr>
        <w:jc w:val="both"/>
        <w:ind w:firstLine="1304"/>
        <w:spacing w:after="0" w:line="256" w:lineRule="auto"/>
        <w:tabs>
          <w:tab w:leader="none" w:pos="1932"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Subtenant Rights</w:t>
      </w:r>
      <w:r>
        <w:rPr>
          <w:rFonts w:ascii="Arial" w:cs="Arial" w:eastAsia="Arial" w:hAnsi="Arial"/>
          <w:sz w:val="19"/>
          <w:szCs w:val="19"/>
          <w:color w:val="auto"/>
        </w:rPr>
        <w:t>. Sublandlord hereby grants to Subtenant Sublandlord’s rights under the Master Lease to receive from Landlord repairs and services (including, without limitation, the services described in Article 10 of the Master Lease) with respect to the Subleased Premises to the extent that Sublandlord is entitled to receive same under the Master Lease. Subtenant shall be entitled to receive all repairs and services to be rendered by Landlord under the Master Lease with respect to the Subleased Premises. In the event Sublandlord is entitled to and actually receives an abatement of Rent under the Master Lease that is the result of a disruption or failure to provide any repairs and services under the Master Lease (“</w:t>
      </w:r>
      <w:r>
        <w:rPr>
          <w:rFonts w:ascii="Arial" w:cs="Arial" w:eastAsia="Arial" w:hAnsi="Arial"/>
          <w:sz w:val="19"/>
          <w:szCs w:val="19"/>
          <w:b w:val="1"/>
          <w:bCs w:val="1"/>
          <w:color w:val="auto"/>
        </w:rPr>
        <w:t>Disruption</w:t>
      </w:r>
      <w:r>
        <w:rPr>
          <w:rFonts w:ascii="Arial" w:cs="Arial" w:eastAsia="Arial" w:hAnsi="Arial"/>
          <w:sz w:val="19"/>
          <w:szCs w:val="19"/>
          <w:color w:val="auto"/>
        </w:rPr>
        <w:t>”), then so long as and to the extent that Sublandlord receives an abatement of Rent under the Master Lease from Landlord, Rent shall be abated proportionately under this Sublease. Subtenant hereby waives any and all rights under and benefits of subsection 1 of Section 1932 and Sections 1941 and 1942 of the California Civil Code or under any similar law, statute, or ordinance now or hereafter in effect.</w:t>
      </w:r>
    </w:p>
    <w:p>
      <w:pPr>
        <w:spacing w:after="0" w:line="184" w:lineRule="exact"/>
        <w:rPr>
          <w:rFonts w:ascii="Arial" w:cs="Arial" w:eastAsia="Arial" w:hAnsi="Arial"/>
          <w:sz w:val="19"/>
          <w:szCs w:val="19"/>
          <w:color w:val="auto"/>
        </w:rPr>
      </w:pPr>
    </w:p>
    <w:p>
      <w:pPr>
        <w:ind w:left="1300" w:hanging="644"/>
        <w:spacing w:after="0"/>
        <w:tabs>
          <w:tab w:leader="none" w:pos="130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Master Lease and Sublease Terms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7" w:lineRule="auto"/>
        <w:tabs>
          <w:tab w:leader="none" w:pos="1934"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Subject to Master Lease</w:t>
      </w:r>
      <w:r>
        <w:rPr>
          <w:rFonts w:ascii="Arial" w:cs="Arial" w:eastAsia="Arial" w:hAnsi="Arial"/>
          <w:sz w:val="19"/>
          <w:szCs w:val="19"/>
          <w:color w:val="auto"/>
        </w:rPr>
        <w:t>. This Sublease is and shall be at all times subject and subordinate to the Master Lease. Subtenant acknowledges that Subtenant has reviewed and is familiar with all of the terms, agreements, covenants and conditions of the Master Lease. During the Term and for all periods subsequent thereto with respect to obligations which have arisen prior to the termination of this Sublease, Subtenant agrees to perform and comply with, for the benefit of Sublandlord and Landlord, the obligations of Sublandlord under the Master Lease, as incorporated herein, which pertain to the Subleased Premises and/or this Sublease, except for those provisions of the Master Lease which are directly contradicted by this Sublease or which are not expressly incorporated herein, in which event the terms of this Sublease document shall control over the Master Lease.</w:t>
      </w:r>
    </w:p>
    <w:p>
      <w:pPr>
        <w:spacing w:after="0" w:line="184" w:lineRule="exact"/>
        <w:rPr>
          <w:rFonts w:ascii="Arial" w:cs="Arial" w:eastAsia="Arial" w:hAnsi="Arial"/>
          <w:sz w:val="19"/>
          <w:szCs w:val="19"/>
          <w:color w:val="auto"/>
        </w:rPr>
      </w:pPr>
    </w:p>
    <w:p>
      <w:pPr>
        <w:jc w:val="both"/>
        <w:ind w:firstLine="1304"/>
        <w:spacing w:after="0" w:line="257" w:lineRule="auto"/>
        <w:tabs>
          <w:tab w:leader="none" w:pos="1932"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Incorporation of Terms of Master Lease</w:t>
      </w:r>
      <w:r>
        <w:rPr>
          <w:rFonts w:ascii="Arial" w:cs="Arial" w:eastAsia="Arial" w:hAnsi="Arial"/>
          <w:sz w:val="19"/>
          <w:szCs w:val="19"/>
          <w:color w:val="auto"/>
        </w:rPr>
        <w:t>. The terms, conditions and respective obligations of Sublandlord and Subtenant to each other under this Sublease shall be the terms and conditions of the Master Lease with respect to the Subleased Premises, except for those provisions of the Master Lease which are directly contradicted by this Sublease or which are not expressly incorporated herein, in which event the terms of this Sublease shall control over the Master Lease. Therefore, for the purposes of this Sublease, wherever in the Master Lease the word “Landlord” is used it shall be deemed to mean Sublandlord and wherever in the Master Lease the word “Tenant” is used it shall be deemed to mean Subtenant. Additionally, wherever in the Master Lease the word “Premises”, “Lease” or “Rent” is used it shall be deemed to mean the Subleased Premises, this Sublease or the Rent under this Sublease, respectively, references to the “Term” and “Term Commencement Date” shall mean the Term of this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194" w:name="page195"/>
    <w:bookmarkEnd w:id="194"/>
    <w:p>
      <w:pPr>
        <w:jc w:val="both"/>
        <w:spacing w:after="0" w:line="269" w:lineRule="auto"/>
        <w:rPr>
          <w:sz w:val="20"/>
          <w:szCs w:val="20"/>
          <w:color w:val="auto"/>
        </w:rPr>
      </w:pPr>
      <w:r>
        <w:rPr>
          <w:rFonts w:ascii="Arial" w:cs="Arial" w:eastAsia="Arial" w:hAnsi="Arial"/>
          <w:sz w:val="18"/>
          <w:szCs w:val="18"/>
          <w:color w:val="auto"/>
        </w:rPr>
        <w:t>Sublease and the Existing Premises Commencement Date or 2024 Commencement Date, as applicable, respectively, references in the following provisions to "Landlord" shall mean Landlord rather than Sublandlord: Sections 7, 12.1 (the penultimate sentence), 16.1, 25 and 37-40, references in Section 8.5 to “Landlord” shall mean both Landlord and Sublandlord, and references to “either party” in Section 24.1 shall mean Landlord and Subtenant. Any non-liability, release, indemnity or hold harmless provision in the Master Lease for the benefit of Landlord that is incorporated herein by reference, shall be deemed to inure to the benefit of Sublandlord, Landlord, and any other person intended to be benefited by said provision, for the purpose of incorporation by reference in this Sublease. Any right of Landlord under the Master Lease (i) of access or inspection, (ii) to do work in the Master Lease Premises or in the Building, and (iii) in respect of rules and regulations, which is incorporated herein by reference, shall be deemed to inure to the benefit of Sublandlord, Landlord, and any other person intended to be benefited by said provision, for the purpose of incorporation by reference in this Sublease. Notwithstanding anything in the Master Lease to the contrary, Sublandlord will provide Subtenant, at all times during the Term with at least twenty-four (24) hours’ prior written notice before Sublandlord may access or inspect the Subleased Premises (except in the case of an actual or imminent emergency, in which case such prior notice will not be required). Subtenant shall be entitled to all credits, if any, given by Landlord to Sublandlord for Sublandlord’s overpayment of any Operating Expenses or other amounts to the extent paid by Subtenant and, if rent abates under the Master Lease as to the Subleased Premises, rent shall correspondingly abate under this Sublease.</w:t>
      </w:r>
    </w:p>
    <w:p>
      <w:pPr>
        <w:spacing w:after="0" w:line="181" w:lineRule="exact"/>
        <w:rPr>
          <w:sz w:val="20"/>
          <w:szCs w:val="20"/>
          <w:color w:val="auto"/>
        </w:rPr>
      </w:pPr>
    </w:p>
    <w:p>
      <w:pPr>
        <w:ind w:firstLine="1304"/>
        <w:spacing w:after="0" w:line="260" w:lineRule="auto"/>
        <w:tabs>
          <w:tab w:leader="none" w:pos="1934"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Modifications</w:t>
      </w:r>
      <w:r>
        <w:rPr>
          <w:rFonts w:ascii="Arial" w:cs="Arial" w:eastAsia="Arial" w:hAnsi="Arial"/>
          <w:sz w:val="20"/>
          <w:szCs w:val="20"/>
          <w:color w:val="auto"/>
        </w:rPr>
        <w:t>. For the purposes of incorporation herein, the terms of the Master Lease are subject to the following additional modifications:</w:t>
      </w:r>
    </w:p>
    <w:p>
      <w:pPr>
        <w:spacing w:after="0" w:line="176" w:lineRule="exact"/>
        <w:rPr>
          <w:rFonts w:ascii="Arial" w:cs="Arial" w:eastAsia="Arial" w:hAnsi="Arial"/>
          <w:sz w:val="20"/>
          <w:szCs w:val="20"/>
          <w:color w:val="auto"/>
        </w:rPr>
      </w:pPr>
    </w:p>
    <w:p>
      <w:pPr>
        <w:jc w:val="both"/>
        <w:ind w:left="660" w:firstLine="1292"/>
        <w:spacing w:after="0" w:line="250" w:lineRule="auto"/>
        <w:tabs>
          <w:tab w:leader="none" w:pos="2602" w:val="left"/>
        </w:tabs>
        <w:numPr>
          <w:ilvl w:val="1"/>
          <w:numId w:val="150"/>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In all provisions of the Master Lease (under the terms thereof and without regard to modifications thereof for purposes of incorporation into this Sublease) requiring the approval or consent of Landlord, Subtenant shall be required to obtain the approval or consent of both Sublandlord and Landlord.</w:t>
      </w:r>
    </w:p>
    <w:p>
      <w:pPr>
        <w:spacing w:after="0" w:line="185" w:lineRule="exact"/>
        <w:rPr>
          <w:rFonts w:ascii="Arial" w:cs="Arial" w:eastAsia="Arial" w:hAnsi="Arial"/>
          <w:sz w:val="20"/>
          <w:szCs w:val="20"/>
          <w:color w:val="auto"/>
        </w:rPr>
      </w:pPr>
    </w:p>
    <w:p>
      <w:pPr>
        <w:jc w:val="both"/>
        <w:ind w:left="660" w:firstLine="1292"/>
        <w:spacing w:after="0" w:line="250" w:lineRule="auto"/>
        <w:tabs>
          <w:tab w:leader="none" w:pos="2603" w:val="left"/>
        </w:tabs>
        <w:numPr>
          <w:ilvl w:val="1"/>
          <w:numId w:val="150"/>
        </w:numPr>
        <w:rPr>
          <w:rFonts w:ascii="Arial" w:cs="Arial" w:eastAsia="Arial" w:hAnsi="Arial"/>
          <w:sz w:val="20"/>
          <w:szCs w:val="20"/>
          <w:color w:val="auto"/>
        </w:rPr>
      </w:pPr>
      <w:r>
        <w:rPr>
          <w:rFonts w:ascii="Arial" w:cs="Arial" w:eastAsia="Arial" w:hAnsi="Arial"/>
          <w:sz w:val="20"/>
          <w:szCs w:val="20"/>
          <w:u w:val="single" w:color="auto"/>
          <w:color w:val="auto"/>
        </w:rPr>
        <w:t>Deliveries</w:t>
      </w:r>
      <w:r>
        <w:rPr>
          <w:rFonts w:ascii="Arial" w:cs="Arial" w:eastAsia="Arial" w:hAnsi="Arial"/>
          <w:sz w:val="20"/>
          <w:szCs w:val="20"/>
          <w:color w:val="auto"/>
        </w:rPr>
        <w:t>. In all provisions of the Master Lease requiring Subtenant to submit, exhibit to, supply or provide Landlord with evidence, certificates, or any other matter or thing, Subtenant shall be required to submit, exhibit to, supply or provide, as the case may be, the same to both Landlord and Sublandlord.</w:t>
      </w:r>
    </w:p>
    <w:p>
      <w:pPr>
        <w:spacing w:after="0" w:line="185" w:lineRule="exact"/>
        <w:rPr>
          <w:rFonts w:ascii="Arial" w:cs="Arial" w:eastAsia="Arial" w:hAnsi="Arial"/>
          <w:sz w:val="20"/>
          <w:szCs w:val="20"/>
          <w:color w:val="auto"/>
        </w:rPr>
      </w:pPr>
    </w:p>
    <w:p>
      <w:pPr>
        <w:jc w:val="both"/>
        <w:ind w:left="660" w:firstLine="1292"/>
        <w:spacing w:after="0" w:line="269" w:lineRule="auto"/>
        <w:tabs>
          <w:tab w:leader="none" w:pos="2604"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Damage; Condemnation</w:t>
      </w:r>
      <w:r>
        <w:rPr>
          <w:rFonts w:ascii="Arial" w:cs="Arial" w:eastAsia="Arial" w:hAnsi="Arial"/>
          <w:sz w:val="19"/>
          <w:szCs w:val="19"/>
          <w:color w:val="auto"/>
        </w:rPr>
        <w:t>. Sublandlord shall have no obligation to restore or rebuild any portion of the Subleased Premises after any destruction or taking by eminent domain. Any rights of Subtenant to abatement of Base Rent shall be conditioned upon Sublandlord’s ability to abate rent for the Subleased Premises under the terms of the Master Lease.</w:t>
      </w:r>
    </w:p>
    <w:p>
      <w:pPr>
        <w:spacing w:after="0" w:line="169" w:lineRule="exact"/>
        <w:rPr>
          <w:rFonts w:ascii="Arial" w:cs="Arial" w:eastAsia="Arial" w:hAnsi="Arial"/>
          <w:sz w:val="19"/>
          <w:szCs w:val="19"/>
          <w:color w:val="auto"/>
        </w:rPr>
      </w:pPr>
    </w:p>
    <w:p>
      <w:pPr>
        <w:jc w:val="both"/>
        <w:ind w:left="660" w:firstLine="1292"/>
        <w:spacing w:after="0" w:line="257" w:lineRule="auto"/>
        <w:tabs>
          <w:tab w:leader="none" w:pos="2593"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In all provisions of the Master Lease requiring Subtenant to designate Landlord as an additional or named insured on its insurance policy, Subtenant shall be required to so designate Landlord and Sublandlord on its insurance policy. Sublandlord shall have no obligation to maintain the insurance to be maintained by Landlord under the Master Lease. The parties expressly acknowledge that Article 9 of the Master Lease, which contains a mutual waiver of subrogation provision is, pursuant to the provisions of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above, incorporated herein by reference and will apply between Sublandlord and Subtenant in the same manner that said Article 9 of the Master Lease applies as between Landlord and Sublandlord. Sublandlord will reasonably cooperate with Subtenant in attempting to obtain Landlord’s agreement, in the Consent, that the waiver of subrogation on the part of Landlord pursuant to the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95" w:name="page196"/>
    <w:bookmarkEnd w:id="195"/>
    <w:p>
      <w:pPr>
        <w:ind w:left="660"/>
        <w:spacing w:after="0" w:line="260" w:lineRule="auto"/>
        <w:rPr>
          <w:sz w:val="20"/>
          <w:szCs w:val="20"/>
          <w:color w:val="auto"/>
        </w:rPr>
      </w:pPr>
      <w:r>
        <w:rPr>
          <w:rFonts w:ascii="Arial" w:cs="Arial" w:eastAsia="Arial" w:hAnsi="Arial"/>
          <w:sz w:val="20"/>
          <w:szCs w:val="20"/>
          <w:color w:val="auto"/>
        </w:rPr>
        <w:t>Master Lease shall be deemed to extend to rights it may have against either Sublandlord or Subtenant; however, Landlord’s unwillingness to extend such rights shall not be grounds for Subtenant’s refusal to execute the Consent.</w:t>
      </w:r>
    </w:p>
    <w:p>
      <w:pPr>
        <w:spacing w:after="0" w:line="177" w:lineRule="exact"/>
        <w:rPr>
          <w:sz w:val="20"/>
          <w:szCs w:val="20"/>
          <w:color w:val="auto"/>
        </w:rPr>
      </w:pPr>
    </w:p>
    <w:p>
      <w:pPr>
        <w:jc w:val="both"/>
        <w:ind w:firstLine="1304"/>
        <w:spacing w:after="0" w:line="264" w:lineRule="auto"/>
        <w:tabs>
          <w:tab w:leader="none" w:pos="1932"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Notwithstanding the terms of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above, neither Sublandlord nor Subtenant shall have rights or obligations under the following parts which shall not be incorporated into this Sublease: Sections and Exhibits of the Master Lease: the redacted portions of the Basic Lease Information, the definitions TI Commencement Date, Term Commencement Date, Term, Expiration Date, Base Rent Commencement Date, Guarantor, Tenant’s Proportionate Share (except as it relates to Subtenant’s Proportionate Share of Operating Expenses) and Landlord’s Broker from the Basic Lease Information, any remeasurement right by Sublandlord to Subtenant in Section 1, Section 2.1, Section 2.2, Sections 3.2-3.3, Article 6, the sixth sentence of Section 7.4, Section 7.7 (except as provided above), Section 8.1, Section 10.2, Section 12.2, Article 13 (other than Section 13.3), Article 21, Section 22.6, Section 22.7, Article 26 (with respect to the first and second grammatical sentences only), Article 29, the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sentences of Article 36, Article 38, Section 39.2, Article 40, Article 41, Article 42, Article 43, and Exhibits A, A-1, B, C, D, F, and G.</w:t>
      </w:r>
    </w:p>
    <w:p>
      <w:pPr>
        <w:spacing w:after="0" w:line="169" w:lineRule="exact"/>
        <w:rPr>
          <w:rFonts w:ascii="Arial" w:cs="Arial" w:eastAsia="Arial" w:hAnsi="Arial"/>
          <w:sz w:val="18"/>
          <w:szCs w:val="18"/>
          <w:color w:val="auto"/>
        </w:rPr>
      </w:pPr>
    </w:p>
    <w:p>
      <w:pPr>
        <w:jc w:val="both"/>
        <w:ind w:firstLine="656"/>
        <w:spacing w:after="0" w:line="269" w:lineRule="auto"/>
        <w:tabs>
          <w:tab w:leader="none" w:pos="129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Assignment and Subletting</w:t>
      </w:r>
      <w:r>
        <w:rPr>
          <w:rFonts w:ascii="Arial" w:cs="Arial" w:eastAsia="Arial" w:hAnsi="Arial"/>
          <w:sz w:val="18"/>
          <w:szCs w:val="18"/>
          <w:color w:val="auto"/>
        </w:rPr>
        <w:t xml:space="preserve">. Subtenant shall not assign this Sublease or further sublet all or any part of the Subleased Premises except subject to and in compliance with all of the terms and conditions of the Master Lease, as incorporated herein, and Sublandlord (in addition to Landlord) shall have the same rights with respect to assignment and subleasing as Landlord has under the Master Lease, including without limitation, Subtenant’s right to assign this Sublease or sublet the Subleased Premises to a Permitted Transferee pursuant to a Permitted Transfer without Sublandlord’s consent as set forth in Section 22.6 of the Master Lease, including, without limitation, notice and Net Worth requirements (which requirements shall apply to both assignments of this Sublease and subleases of the Subleased Premises); and, provided, however, any Transfer premium shall be due Sublandlord thirty (30) days from receipt of the Transfer Premium from such Transferee (as defined in the Master Lease). Notwithstanding anything herein to the contrary, a Transfer pursuant to Section 22.5 of the Master Lease shall also be deemed a Permitted Transfer subject to the conditions of Section 22.6, except that the transferee shall remain Subtenant. Subtenant shall pay all fees and costs payable to Landlord pursuant to the Master Lease in connection with all of Sublandlord’s and Landlord’s reasonable out-of-pocket costs relating to any proposed assignment, sublease or transfer of the Subleased Premises regardless of whether any required consent is granted, and the effectiveness of any such consent shall be conditioned upon Landlord’s and Sublandlord’s receipt of all such fees and costs. The provisions of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of the Master Lease, as incorporated herein (excluding, however, </w:t>
      </w:r>
      <w:r>
        <w:rPr>
          <w:rFonts w:ascii="Arial" w:cs="Arial" w:eastAsia="Arial" w:hAnsi="Arial"/>
          <w:sz w:val="18"/>
          <w:szCs w:val="18"/>
          <w:u w:val="single" w:color="auto"/>
          <w:color w:val="auto"/>
        </w:rPr>
        <w:t>Sections 22.6-22.7</w:t>
      </w:r>
      <w:r>
        <w:rPr>
          <w:rFonts w:ascii="Arial" w:cs="Arial" w:eastAsia="Arial" w:hAnsi="Arial"/>
          <w:sz w:val="18"/>
          <w:szCs w:val="18"/>
          <w:color w:val="auto"/>
        </w:rPr>
        <w:t xml:space="preserve"> of the Master Lease) shall be applicable to any such assignment, sublease or transfer of the Subleased Premises; provided, however, in no event shall Sublandlord’s consent be unreasonably withheld, conditioned or delayed.</w:t>
      </w:r>
    </w:p>
    <w:p>
      <w:pPr>
        <w:spacing w:after="0" w:line="172"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Default</w:t>
      </w:r>
      <w:r>
        <w:rPr>
          <w:rFonts w:ascii="Arial" w:cs="Arial" w:eastAsia="Arial" w:hAnsi="Arial"/>
          <w:sz w:val="19"/>
          <w:szCs w:val="19"/>
          <w:color w:val="auto"/>
        </w:rPr>
        <w:t>. It shall constitute a “</w:t>
      </w:r>
      <w:r>
        <w:rPr>
          <w:rFonts w:ascii="Arial" w:cs="Arial" w:eastAsia="Arial" w:hAnsi="Arial"/>
          <w:sz w:val="19"/>
          <w:szCs w:val="19"/>
          <w:b w:val="1"/>
          <w:bCs w:val="1"/>
          <w:color w:val="auto"/>
        </w:rPr>
        <w:t>Default</w:t>
      </w:r>
      <w:r>
        <w:rPr>
          <w:rFonts w:ascii="Arial" w:cs="Arial" w:eastAsia="Arial" w:hAnsi="Arial"/>
          <w:sz w:val="19"/>
          <w:szCs w:val="19"/>
          <w:color w:val="auto"/>
        </w:rPr>
        <w:t>” hereunder if Subtenant fails to perform any obligation hereunder (including, without limitation, the obligation to pay Base Rent or Additional Rent), or any obligation under the Master Lease which has been incorporated herein by reference, and, in each instance, Subtenant has not remedied such failure (a) in the case of any monetary Default five (5) days after delivery of written notice, and (b) in the case of any other Default, twenty (20) calendar days after Subtenant’s receipt of written notice thereof, provided, however, that if the Default is incapable of cure within ten (10) calendar days, then for so long as Sublandlord has not received notice from Landlord stating that Landlord will treat such Default as an “Event of Default” under the Master Lease, Subtenant shall not be in Default hereunder if Subtenant commences the cure within the ten (10) calendar day period and thereafter diligently proceeds to rectify and cure such a Default; however, if at any time Sublandlord receives notice from Landlord that the Default will be treated as a “Event of Default” under the Master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96" w:name="page197"/>
    <w:bookmarkEnd w:id="196"/>
    <w:p>
      <w:pPr>
        <w:ind w:right="20"/>
        <w:spacing w:after="0" w:line="260" w:lineRule="auto"/>
        <w:rPr>
          <w:sz w:val="20"/>
          <w:szCs w:val="20"/>
          <w:color w:val="auto"/>
        </w:rPr>
      </w:pPr>
      <w:r>
        <w:rPr>
          <w:rFonts w:ascii="Arial" w:cs="Arial" w:eastAsia="Arial" w:hAnsi="Arial"/>
          <w:sz w:val="20"/>
          <w:szCs w:val="20"/>
          <w:color w:val="auto"/>
        </w:rPr>
        <w:t>Lease, Subtenant’s cure period will immediately be deemed to expire ten (10) days before the date of expiration of Sublandlord’s cure period as set forth in Landlord’s notice of default to Sublandlord.</w:t>
      </w:r>
    </w:p>
    <w:p>
      <w:pPr>
        <w:spacing w:after="0" w:line="177" w:lineRule="exact"/>
        <w:rPr>
          <w:sz w:val="20"/>
          <w:szCs w:val="20"/>
          <w:color w:val="auto"/>
        </w:rPr>
      </w:pPr>
    </w:p>
    <w:p>
      <w:pPr>
        <w:jc w:val="both"/>
        <w:ind w:firstLine="656"/>
        <w:spacing w:after="0" w:line="250" w:lineRule="auto"/>
        <w:tabs>
          <w:tab w:leader="none" w:pos="1296" w:val="left"/>
        </w:tabs>
        <w:numPr>
          <w:ilvl w:val="1"/>
          <w:numId w:val="153"/>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In the event of any Default hereunder by Subtenant, Sublandlord shall have all remedies provided to the “Landlord” in the Master Lease as if a default had occurred thereunder and all other rights and remedies otherwise available at law and in equity. Sublandlord may resort to its remedies cumulatively or in the alternative.</w:t>
      </w:r>
    </w:p>
    <w:p>
      <w:pPr>
        <w:spacing w:after="0" w:line="185" w:lineRule="exact"/>
        <w:rPr>
          <w:rFonts w:ascii="Arial" w:cs="Arial" w:eastAsia="Arial" w:hAnsi="Arial"/>
          <w:sz w:val="20"/>
          <w:szCs w:val="20"/>
          <w:color w:val="auto"/>
        </w:rPr>
      </w:pPr>
    </w:p>
    <w:p>
      <w:pPr>
        <w:jc w:val="both"/>
        <w:ind w:firstLine="656"/>
        <w:spacing w:after="0" w:line="270" w:lineRule="auto"/>
        <w:tabs>
          <w:tab w:leader="none" w:pos="1296"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Right to Cure Defaults</w:t>
      </w:r>
      <w:r>
        <w:rPr>
          <w:rFonts w:ascii="Arial" w:cs="Arial" w:eastAsia="Arial" w:hAnsi="Arial"/>
          <w:sz w:val="18"/>
          <w:szCs w:val="18"/>
          <w:color w:val="auto"/>
        </w:rPr>
        <w:t>. If Subtenant fails to perform any of its obligations under this Sublease after expiration of applicable notice, grace or cure periods, then Sublandlord may, but shall not be obligated to, perform any such obligations for Subtenant’s account. All costs and expenses incurred by Sublandlord in performing any such act for the account of Subtenant shall be deemed Additional Rent payable by Subtenant to Sublandlord upon demand, together with interest thereon at the lesser of (a) twelve percent (12%) per annum or</w:t>
      </w:r>
    </w:p>
    <w:p>
      <w:pPr>
        <w:spacing w:after="0" w:line="2" w:lineRule="exact"/>
        <w:rPr>
          <w:rFonts w:ascii="Arial" w:cs="Arial" w:eastAsia="Arial" w:hAnsi="Arial"/>
          <w:sz w:val="18"/>
          <w:szCs w:val="18"/>
          <w:color w:val="auto"/>
        </w:rPr>
      </w:pPr>
    </w:p>
    <w:p>
      <w:pPr>
        <w:jc w:val="both"/>
        <w:ind w:firstLine="8"/>
        <w:spacing w:after="0" w:line="281" w:lineRule="auto"/>
        <w:tabs>
          <w:tab w:leader="none" w:pos="31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maximum rate allowable under law from the date of the expenditure until repaid. If Sublandlord undertakes to perform any of Subtenant’s obligations for the account of Subtenant pursuant hereto, the taking of such action shall not constitute a waiver of any of Sublandlord’s remedies. Subtenant hereby expressly waives its rights under any statute to make repairs at the expense of Sublandlord.</w:t>
      </w:r>
    </w:p>
    <w:p>
      <w:pPr>
        <w:spacing w:after="0" w:line="161" w:lineRule="exact"/>
        <w:rPr>
          <w:rFonts w:ascii="Arial" w:cs="Arial" w:eastAsia="Arial" w:hAnsi="Arial"/>
          <w:sz w:val="18"/>
          <w:szCs w:val="18"/>
          <w:color w:val="auto"/>
        </w:rPr>
      </w:pPr>
    </w:p>
    <w:p>
      <w:pPr>
        <w:jc w:val="both"/>
        <w:ind w:firstLine="656"/>
        <w:spacing w:after="0" w:line="278" w:lineRule="auto"/>
        <w:tabs>
          <w:tab w:leader="none" w:pos="1287"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In any instance when Sublandlord’s consent or approval is required under this Sublease, Sublandlord’s refusal to consent to or approve any matter or thing shall be deemed reasonable if, among other matters, such consent or approval is required under the provisions of the Master Lease incorporated herein by reference but has not been obtained from Landlord. Except as otherwise provided herein, Sublandlord shall not unreasonably withhold, condition or delay its consent to or approval of a matter if such consent or approval is required under the provisions of the Master Lease and Landlord has consented to or approved of such matter.</w:t>
      </w:r>
    </w:p>
    <w:p>
      <w:pPr>
        <w:spacing w:after="0" w:line="164" w:lineRule="exact"/>
        <w:rPr>
          <w:rFonts w:ascii="Arial" w:cs="Arial" w:eastAsia="Arial" w:hAnsi="Arial"/>
          <w:sz w:val="18"/>
          <w:szCs w:val="18"/>
          <w:color w:val="auto"/>
        </w:rPr>
      </w:pPr>
    </w:p>
    <w:p>
      <w:pPr>
        <w:ind w:left="1280" w:hanging="624"/>
        <w:spacing w:after="0"/>
        <w:tabs>
          <w:tab w:leader="none" w:pos="1280" w:val="left"/>
        </w:tabs>
        <w:numPr>
          <w:ilvl w:val="1"/>
          <w:numId w:val="154"/>
        </w:numPr>
        <w:rPr>
          <w:rFonts w:ascii="Arial" w:cs="Arial" w:eastAsia="Arial" w:hAnsi="Arial"/>
          <w:sz w:val="20"/>
          <w:szCs w:val="20"/>
          <w:color w:val="auto"/>
        </w:rPr>
      </w:pPr>
      <w:r>
        <w:rPr>
          <w:rFonts w:ascii="Arial" w:cs="Arial" w:eastAsia="Arial" w:hAnsi="Arial"/>
          <w:sz w:val="20"/>
          <w:szCs w:val="20"/>
          <w:u w:val="single" w:color="auto"/>
          <w:color w:val="auto"/>
        </w:rPr>
        <w:t>Liability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934" w:val="left"/>
        </w:tabs>
        <w:numPr>
          <w:ilvl w:val="2"/>
          <w:numId w:val="15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Notwithstanding any other term or provision of this Sublease, the liability of Sublandlord to Subtenant for any default in Sublandlord’s obligations under this Sublease shall be limited to actual, direct damages, and under no circumstances shall Subtenant or its partners, members, shareholders, directors, agents, officers, employees, contractors, sublessees, successors and/or assigns be entitled to recover from Sublandlord (or otherwise be indemnified by Sublandlord for) (i) any losses, costs, claims, causes of action, damages or other liability incurred in connection with a failure of Landlord or its partners, members, shareholders, directors, agents, officers, employees, contractors, successors and/or assigns to perform or cause to be performed Landlord’s Obligations under the Master Lease except to the extent as a result of a Sublandlord default under the Master Lease or this Sublease beyond all applicable notice, grace or cure periods thereunder or hereunder, (ii) lost revenues, lost profit or other consequential, special or punitive damages arising in connection with this Sublease for any reason (collectively, “</w:t>
      </w:r>
      <w:r>
        <w:rPr>
          <w:rFonts w:ascii="Arial" w:cs="Arial" w:eastAsia="Arial" w:hAnsi="Arial"/>
          <w:sz w:val="18"/>
          <w:szCs w:val="18"/>
          <w:b w:val="1"/>
          <w:bCs w:val="1"/>
          <w:color w:val="auto"/>
        </w:rPr>
        <w:t>Consequential Damages</w:t>
      </w:r>
      <w:r>
        <w:rPr>
          <w:rFonts w:ascii="Arial" w:cs="Arial" w:eastAsia="Arial" w:hAnsi="Arial"/>
          <w:sz w:val="18"/>
          <w:szCs w:val="18"/>
          <w:color w:val="auto"/>
        </w:rPr>
        <w:t>”), or (iii) any damages or other liability arising from or incurred in connection with condition of the Subleased Premises or the suitability of the Subleased Premises for Subtenant’s intended uses. Subtenant shall, however, have the right to seek any injunctive or other equitable remedies as may be available to Subtenant under Applicable Laws. Notwithstanding any other term or provision of this Sublease, no personal liability shall at any time be asserted or enforceable against Sublandlord’s or Subtenant’s respective shareholders, directors, officers, members, managers, or partners on account of any of Sublandlord’s or Subtenant’s obligations or actions under this Sublease. In the event of any assignment or transfer of the Sublandlord’s interest under this Sublease, which assignment or transfer may occur at any time during the Term in Sublandlord’s sole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97" w:name="page198"/>
    <w:bookmarkEnd w:id="197"/>
    <w:p>
      <w:pPr>
        <w:jc w:val="both"/>
        <w:spacing w:after="0" w:line="276" w:lineRule="auto"/>
        <w:rPr>
          <w:sz w:val="20"/>
          <w:szCs w:val="20"/>
          <w:color w:val="auto"/>
        </w:rPr>
      </w:pPr>
      <w:r>
        <w:rPr>
          <w:rFonts w:ascii="Arial" w:cs="Arial" w:eastAsia="Arial" w:hAnsi="Arial"/>
          <w:sz w:val="18"/>
          <w:szCs w:val="18"/>
          <w:color w:val="auto"/>
        </w:rPr>
        <w:t>discretion, Sublandlord shall be and hereby is entirely relieved of all covenants and obligations of Sublandlord hereunder accruing subsequent to the date of the transfer and it shall be deemed and construed, without further agreement between the parties hereto, that any transferee has assumed and shall carry out all covenants and obligations thereafter to be performed by Sublandlord hereunder. Subtenant shall not be liable to Sublandlord (or otherwise indemnify Sublandlord) for Consequential Damages except in connection with (x) any holdover in which event such damages may include loss of rent, or (y) the violation of any of the provisions of this Sublease relating to Subtenant use of any Hazardous Materials (as defined in Section 4.4.4 of the Master Lease) in violation of Applicable Laws.</w:t>
      </w:r>
    </w:p>
    <w:p>
      <w:pPr>
        <w:spacing w:after="0" w:line="165" w:lineRule="exact"/>
        <w:rPr>
          <w:sz w:val="20"/>
          <w:szCs w:val="20"/>
          <w:color w:val="auto"/>
        </w:rPr>
      </w:pPr>
    </w:p>
    <w:p>
      <w:pPr>
        <w:jc w:val="both"/>
        <w:ind w:firstLine="1304"/>
        <w:spacing w:after="0" w:line="273" w:lineRule="auto"/>
        <w:tabs>
          <w:tab w:leader="none" w:pos="193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Sublandlord Covenants</w:t>
      </w:r>
      <w:r>
        <w:rPr>
          <w:rFonts w:ascii="Arial" w:cs="Arial" w:eastAsia="Arial" w:hAnsi="Arial"/>
          <w:sz w:val="18"/>
          <w:szCs w:val="18"/>
          <w:color w:val="auto"/>
        </w:rPr>
        <w:t>. Except with respect to the exercise of any right expressly set forth in the Master Lease, Sublandlord covenants to Subtenant that Sublandlord shall not do any act, matter or thing that would result in or constitute a violation or breach of or material default under the Master Lease or that would cause the Master Lease, or the rights of Sublandlord as “Tenant” under the Master Lease, to be endangered, canceled, terminated, forfeited or surrendered with respect to the Subleased Premises. Sublandlord shall not amend or modify the Master Lease in any manner which modifies Subtenant’s rights under this Sublease or causes Subtenant to incur additional obligations under this Sublease. Sublandlord covenants and agrees to timely and fully pay Rent (as defined in the Master Lease) as and when due under the Master Lease and otherwise comply with its obligations under the Master Lease that are not the obligation of Subtenant hereunder or the obligation of Snowflake under the Snowflake Sublease.</w:t>
      </w:r>
    </w:p>
    <w:p>
      <w:pPr>
        <w:spacing w:after="0" w:line="168" w:lineRule="exact"/>
        <w:rPr>
          <w:rFonts w:ascii="Arial" w:cs="Arial" w:eastAsia="Arial" w:hAnsi="Arial"/>
          <w:sz w:val="18"/>
          <w:szCs w:val="18"/>
          <w:color w:val="auto"/>
        </w:rPr>
      </w:pPr>
    </w:p>
    <w:p>
      <w:pPr>
        <w:jc w:val="both"/>
        <w:ind w:firstLine="656"/>
        <w:spacing w:after="0" w:line="242" w:lineRule="auto"/>
        <w:tabs>
          <w:tab w:leader="none" w:pos="1287"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If Sublandlord or Subtenant brings an action to enforce the terms hereof or to declare rights hereunder (including any action in bankruptcy court), the prevailing party who recovers substantially all of the damages, equitable relief or other remedy sought in any such action on trial and appeal shall be entitled to receive from the other party its costs associated therewith, including, without limitation, reasonable attorneys’ fees and costs from the other party. Without limiting the generality of the foregoing, if Sublandlord utilizes the services of an attorney for the purpose of collecting any Rent due and unpaid by Subtenant or in connection with any threatened or actual breach of this Sublease by Subtenant, Subtenant agrees to pay Sublandlord reasonable actual attorneys’ fees as determined by Sublandlord for such services, irrespective of whether any legal action may be commenced or filed by Sublandlord. If any such work is performed by in-house counsel for Sublandlord, the value of such work shall be determined at a reasonable hourly rate for comparable outside counsel.</w:t>
      </w:r>
    </w:p>
    <w:p>
      <w:pPr>
        <w:spacing w:after="0" w:line="194" w:lineRule="exact"/>
        <w:rPr>
          <w:rFonts w:ascii="Arial" w:cs="Arial" w:eastAsia="Arial" w:hAnsi="Arial"/>
          <w:sz w:val="20"/>
          <w:szCs w:val="20"/>
          <w:color w:val="auto"/>
        </w:rPr>
      </w:pPr>
    </w:p>
    <w:p>
      <w:pPr>
        <w:ind w:left="1300" w:hanging="644"/>
        <w:spacing w:after="0"/>
        <w:tabs>
          <w:tab w:leader="none" w:pos="130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Delivery of Possession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71" w:lineRule="auto"/>
        <w:tabs>
          <w:tab w:leader="none" w:pos="1934"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Sublandlord shall deliver, and Subtenant shall accept, possession of the Subleased Premises in their “AS IS” condition as the Subleased Premises exists on the Effective Date; provided, however, Sublandlord agrees to deliver possession of the Existing Premises to Subtenant on the Early Occupancy Date in broom-clean condition with all debris and furnishings (other than the Furniture) removed and otherwise in substantially the same condition as of the date hereof. Sublandlord shall have no obligation to furnish, render or supply any work, labor, services, materials, furniture, fixtures, equipment, decorations or other items to make the Subleased Premises ready or suitable for Subtenant’s occupancy. In entering into this Sublease, Subtenant has relied solely on such investigations, examinations and inspections as Subtenant has chosen to make or has made and has not relied on any representation or warranty concerning the Subleased Premises or the Building, except as otherwise expressly set forth in this Sublease. Subtenant acknowledges that Sublandlord has afforded Subtenant the opportunity for full and complete investigations, examinations and inspections of the Subleased Premises and the common areas of the Building. Subtenant acknowledges that it is not authorized to make or do any alterations or improvements in or to the Subleased Premises except as permitted by the provisions 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198" w:name="page199"/>
    <w:bookmarkEnd w:id="198"/>
    <w:p>
      <w:pPr>
        <w:jc w:val="both"/>
        <w:spacing w:after="0" w:line="269" w:lineRule="auto"/>
        <w:rPr>
          <w:sz w:val="20"/>
          <w:szCs w:val="20"/>
          <w:color w:val="auto"/>
        </w:rPr>
      </w:pPr>
      <w:r>
        <w:rPr>
          <w:rFonts w:ascii="Arial" w:cs="Arial" w:eastAsia="Arial" w:hAnsi="Arial"/>
          <w:sz w:val="18"/>
          <w:szCs w:val="18"/>
          <w:color w:val="auto"/>
        </w:rPr>
        <w:t xml:space="preserve">this Sublease and the Master Lease and that, upon termination of this Sublease, Subtenant shall deliver the Subleased Premises to Sublandlord in the same condition as the Subleased Premises were at the commencement of the Term (as to the Existing Premises and on the 2024 Commencement Date as to the Snowflake Premises), reasonable wear and tear and damage caused by casualty and condemnation excepted. Subtenant acknowledges and agrees that Subtenant shall, at either Sublandlord’s or Landlord’s (pursuant to the Master Lease) election, remove from the Subleased Premises, at Subtenant’s sole cost and expense, some or all of the Subtenant Improvements (defined in </w:t>
      </w:r>
      <w:r>
        <w:rPr>
          <w:rFonts w:ascii="Arial" w:cs="Arial" w:eastAsia="Arial" w:hAnsi="Arial"/>
          <w:sz w:val="18"/>
          <w:szCs w:val="18"/>
          <w:u w:val="single" w:color="auto"/>
          <w:color w:val="auto"/>
        </w:rPr>
        <w:t>Section 13(b)(i)</w:t>
      </w:r>
      <w:r>
        <w:rPr>
          <w:rFonts w:ascii="Arial" w:cs="Arial" w:eastAsia="Arial" w:hAnsi="Arial"/>
          <w:sz w:val="18"/>
          <w:szCs w:val="18"/>
          <w:color w:val="auto"/>
        </w:rPr>
        <w:t xml:space="preserve"> below) constructed therein by Subtenant, and all telecommunications and data cabling installed by or for the benefit of Subtenant . Notwithstanding the foregoing, if Sublandlord does not elect that any such Subtenant Improvements must be removed at the expiration or earlier termination of this Sublease at the time Sublandlord consents to such Subtenant Improvements, Sublandlord shall be deemed to have elected that Subtenant must remove such Subtenant Improvements; provided, however, if Landlord does not require, pursuant to the Master Lease, that either Sublandlord or Subtenant remove such Subtenant Improvements from the Subleased Premises, then Subtenant shall not have to remove such Subtenant Improvements from the Subleased Premises at the end of the Term. Sublandlord represents and warrants that, as of the date Sublandlord delivers possession of the Existing Premises to Subtenant, (a) Sublandlord has performed all maintenance, repairs and replacements required to be performed by Sublandlord under the Master Lease, if any, and, to Sublandlord’s actual knowledge, all alterations, improvements and additions constructed by or on behalf of Sublandlord in the Subleased Premises have been constructed pursuant to all Applicable Laws, and (b) Sublandlord has not received any written notice and has no actual knowledge of any violations of Applicable Laws existing in the Subleased Premises</w:t>
      </w:r>
    </w:p>
    <w:p>
      <w:pPr>
        <w:spacing w:after="0" w:line="176" w:lineRule="exact"/>
        <w:rPr>
          <w:sz w:val="20"/>
          <w:szCs w:val="20"/>
          <w:color w:val="auto"/>
        </w:rPr>
      </w:pPr>
    </w:p>
    <w:p>
      <w:pPr>
        <w:ind w:left="1940" w:hanging="636"/>
        <w:spacing w:after="0"/>
        <w:tabs>
          <w:tab w:leader="none" w:pos="194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Subtenant Improvements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left="660" w:firstLine="1292"/>
        <w:spacing w:after="0" w:line="257" w:lineRule="auto"/>
        <w:tabs>
          <w:tab w:leader="none" w:pos="2602" w:val="left"/>
        </w:tabs>
        <w:numPr>
          <w:ilvl w:val="1"/>
          <w:numId w:val="157"/>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If Subtenant desires to construct improvements within the Subleased Premises (“</w:t>
      </w:r>
      <w:r>
        <w:rPr>
          <w:rFonts w:ascii="Arial" w:cs="Arial" w:eastAsia="Arial" w:hAnsi="Arial"/>
          <w:sz w:val="19"/>
          <w:szCs w:val="19"/>
          <w:b w:val="1"/>
          <w:bCs w:val="1"/>
          <w:color w:val="auto"/>
        </w:rPr>
        <w:t>Subtenant</w:t>
      </w:r>
      <w:r>
        <w:rPr>
          <w:rFonts w:ascii="Arial" w:cs="Arial" w:eastAsia="Arial" w:hAnsi="Arial"/>
          <w:sz w:val="19"/>
          <w:szCs w:val="19"/>
          <w:color w:val="auto"/>
        </w:rPr>
        <w:t xml:space="preserve"> </w:t>
      </w:r>
      <w:r>
        <w:rPr>
          <w:rFonts w:ascii="Arial" w:cs="Arial" w:eastAsia="Arial" w:hAnsi="Arial"/>
          <w:sz w:val="19"/>
          <w:szCs w:val="19"/>
          <w:b w:val="1"/>
          <w:bCs w:val="1"/>
          <w:color w:val="auto"/>
        </w:rPr>
        <w:t>Improvements</w:t>
      </w:r>
      <w:r>
        <w:rPr>
          <w:rFonts w:ascii="Arial" w:cs="Arial" w:eastAsia="Arial" w:hAnsi="Arial"/>
          <w:sz w:val="19"/>
          <w:szCs w:val="19"/>
          <w:color w:val="auto"/>
        </w:rPr>
        <w:t>”), all Subtenant Improvements shall be carried out in accordance with the applicable provisions of the Master Lease.</w:t>
      </w:r>
      <w:r>
        <w:rPr>
          <w:rFonts w:ascii="Arial" w:cs="Arial" w:eastAsia="Arial" w:hAnsi="Arial"/>
          <w:sz w:val="19"/>
          <w:szCs w:val="19"/>
          <w:b w:val="1"/>
          <w:bCs w:val="1"/>
          <w:color w:val="auto"/>
        </w:rPr>
        <w:t xml:space="preserve"> </w:t>
      </w:r>
      <w:r>
        <w:rPr>
          <w:rFonts w:ascii="Arial" w:cs="Arial" w:eastAsia="Arial" w:hAnsi="Arial"/>
          <w:sz w:val="19"/>
          <w:szCs w:val="19"/>
          <w:color w:val="auto"/>
        </w:rPr>
        <w:t>Sublandlord will have the right to approve the plans and specifications for any proposed Subtenant Improvements, as well as any contractors whom Subtenant proposes to retain to perform such work, which approval shall not be unreasonably withheld, conditioned or delayed. Subtenant will submit all such information for Sublandlord’s review and written approval prior to commencement of any such work; Sublandlord will similarly submit such plans to Landlord for review and approval. Promptly following the completion of any Subtenant Improvements or subsequent alterations or additions by or on behalf of Subtenant, Subtenant will deliver to Sublandlord a reproducible copy of “as built” drawings of such work together with a CAD file of the “as-built” drawings in the then-current version of AutoCad.</w:t>
      </w:r>
    </w:p>
    <w:p>
      <w:pPr>
        <w:spacing w:after="0" w:line="181" w:lineRule="exact"/>
        <w:rPr>
          <w:rFonts w:ascii="Arial" w:cs="Arial" w:eastAsia="Arial" w:hAnsi="Arial"/>
          <w:sz w:val="19"/>
          <w:szCs w:val="19"/>
          <w:color w:val="auto"/>
        </w:rPr>
      </w:pPr>
    </w:p>
    <w:p>
      <w:pPr>
        <w:jc w:val="both"/>
        <w:ind w:left="660" w:firstLine="1292"/>
        <w:spacing w:after="0" w:line="244" w:lineRule="auto"/>
        <w:tabs>
          <w:tab w:leader="none" w:pos="2603" w:val="left"/>
        </w:tabs>
        <w:numPr>
          <w:ilvl w:val="1"/>
          <w:numId w:val="157"/>
        </w:numPr>
        <w:rPr>
          <w:rFonts w:ascii="Arial" w:cs="Arial" w:eastAsia="Arial" w:hAnsi="Arial"/>
          <w:sz w:val="20"/>
          <w:szCs w:val="20"/>
          <w:color w:val="auto"/>
        </w:rPr>
      </w:pPr>
      <w:r>
        <w:rPr>
          <w:rFonts w:ascii="Arial" w:cs="Arial" w:eastAsia="Arial" w:hAnsi="Arial"/>
          <w:sz w:val="20"/>
          <w:szCs w:val="20"/>
          <w:u w:val="single" w:color="auto"/>
          <w:color w:val="auto"/>
        </w:rPr>
        <w:t>Code-Required Work</w:t>
      </w:r>
      <w:r>
        <w:rPr>
          <w:rFonts w:ascii="Arial" w:cs="Arial" w:eastAsia="Arial" w:hAnsi="Arial"/>
          <w:sz w:val="20"/>
          <w:szCs w:val="20"/>
          <w:color w:val="auto"/>
        </w:rPr>
        <w:t>. If the performance of any Subtenant Improvements or other work by Subtenant within the Subleased Premises “triggers” a requirement for code-related upgrades to or improvements of any portion of the Building (including any portion of the Subleased Premises), Subtenant shall be responsible for the cost of such code-required upgrade or improvements. For the purpose of this Sublease, the mere discovery of existing violations of law shall not be deemed “triggered” for the purposes herein.</w:t>
      </w:r>
    </w:p>
    <w:p>
      <w:pPr>
        <w:spacing w:after="0" w:line="194" w:lineRule="exact"/>
        <w:rPr>
          <w:rFonts w:ascii="Arial" w:cs="Arial" w:eastAsia="Arial" w:hAnsi="Arial"/>
          <w:sz w:val="20"/>
          <w:szCs w:val="20"/>
          <w:color w:val="auto"/>
        </w:rPr>
      </w:pPr>
    </w:p>
    <w:p>
      <w:pPr>
        <w:jc w:val="both"/>
        <w:ind w:left="660" w:firstLine="1292"/>
        <w:spacing w:after="0" w:line="246" w:lineRule="auto"/>
        <w:tabs>
          <w:tab w:leader="none" w:pos="2604" w:val="left"/>
        </w:tabs>
        <w:numPr>
          <w:ilvl w:val="1"/>
          <w:numId w:val="157"/>
        </w:numPr>
        <w:rPr>
          <w:rFonts w:ascii="Arial" w:cs="Arial" w:eastAsia="Arial" w:hAnsi="Arial"/>
          <w:sz w:val="20"/>
          <w:szCs w:val="20"/>
          <w:color w:val="auto"/>
        </w:rPr>
      </w:pPr>
      <w:r>
        <w:rPr>
          <w:rFonts w:ascii="Arial" w:cs="Arial" w:eastAsia="Arial" w:hAnsi="Arial"/>
          <w:sz w:val="20"/>
          <w:szCs w:val="20"/>
          <w:u w:val="single" w:color="auto"/>
          <w:color w:val="auto"/>
        </w:rPr>
        <w:t>Additional Maintenance</w:t>
      </w:r>
      <w:r>
        <w:rPr>
          <w:rFonts w:ascii="Arial" w:cs="Arial" w:eastAsia="Arial" w:hAnsi="Arial"/>
          <w:sz w:val="20"/>
          <w:szCs w:val="20"/>
          <w:color w:val="auto"/>
        </w:rPr>
        <w:t>. Subtenant hereby acknowledges that the Subleased Premises will be benefitted with a server room that contains a functioning supplemental A/C unit installed therein. Subtenant shall, at no cost or expense to Sublandlord, maintain said A/C unit and all related equipment located in said server room in good repair and operating condition throughout the Term; provided however, Subtenant shall have no obligation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199" w:name="page200"/>
    <w:bookmarkEnd w:id="199"/>
    <w:p>
      <w:pPr>
        <w:jc w:val="both"/>
        <w:ind w:left="660"/>
        <w:spacing w:after="0" w:line="263" w:lineRule="auto"/>
        <w:rPr>
          <w:sz w:val="20"/>
          <w:szCs w:val="20"/>
          <w:color w:val="auto"/>
        </w:rPr>
      </w:pPr>
      <w:r>
        <w:rPr>
          <w:rFonts w:ascii="Arial" w:cs="Arial" w:eastAsia="Arial" w:hAnsi="Arial"/>
          <w:sz w:val="19"/>
          <w:szCs w:val="19"/>
          <w:color w:val="auto"/>
        </w:rPr>
        <w:t>to replace such A/C unit unless the need to replace the A/C unit is the result of the negligence or willful misconduct of Subtenant or any of Subtenant’s employees, agents, contractors, licensees, invitees, consultants, and/or representatives. Subtenant agrees to maintain a service contract with a licensed contractor to render the A/C unit and all related equipment in as good condition and repair as received during the Term and furnish evidence of same to Landlord and Sublandlord.</w:t>
      </w:r>
    </w:p>
    <w:p>
      <w:pPr>
        <w:spacing w:after="0" w:line="176"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Surrender; Holding Over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7" w:lineRule="auto"/>
        <w:tabs>
          <w:tab w:leader="none" w:pos="1934" w:val="left"/>
        </w:tabs>
        <w:numPr>
          <w:ilvl w:val="1"/>
          <w:numId w:val="158"/>
        </w:numPr>
        <w:rPr>
          <w:rFonts w:ascii="Arial" w:cs="Arial" w:eastAsia="Arial" w:hAnsi="Arial"/>
          <w:sz w:val="19"/>
          <w:szCs w:val="19"/>
          <w:color w:val="auto"/>
        </w:rPr>
      </w:pPr>
      <w:r>
        <w:rPr>
          <w:rFonts w:ascii="Arial" w:cs="Arial" w:eastAsia="Arial" w:hAnsi="Arial"/>
          <w:sz w:val="19"/>
          <w:szCs w:val="19"/>
          <w:color w:val="auto"/>
        </w:rPr>
        <w:t>Subtenant will surrender the Subleased Premises to Sublandlord upon the expiration or sooner termination of this Sublease in accordance with the conditions required under the Master Lease, as incorporated herein, with all removal obligations relating to the Subtenant Improvements, if any, satisfied and in broom-clean condition, free of Subtenant’s personal property, furniture, fixtures or improvements with any damage caused by Subtenant’s removal of such items repaired to Sublandlord’s reasonable satisfaction and at Subtenant’s sole cost and expense, and Subtenant shall clean and repair all holes in all interior walls of the Subleased Premises made by Subtenant, clean and wax all floors and carpets located in the Subleased Premises, and remove all debris arising from the Subleased Premises from the Building, but in no event shall Subtenant be required to surrender the Subleased Premises in a condition better than received, reasonable wear and tear, casualty and condemnation excepted.</w:t>
      </w:r>
    </w:p>
    <w:p>
      <w:pPr>
        <w:spacing w:after="0" w:line="180" w:lineRule="exact"/>
        <w:rPr>
          <w:rFonts w:ascii="Arial" w:cs="Arial" w:eastAsia="Arial" w:hAnsi="Arial"/>
          <w:sz w:val="19"/>
          <w:szCs w:val="19"/>
          <w:color w:val="auto"/>
        </w:rPr>
      </w:pPr>
    </w:p>
    <w:p>
      <w:pPr>
        <w:jc w:val="both"/>
        <w:ind w:firstLine="1304"/>
        <w:spacing w:after="0" w:line="270" w:lineRule="auto"/>
        <w:tabs>
          <w:tab w:leader="none" w:pos="193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Subtenant fails to surrender the Subleased Premises at the expiration or earlier termination of this Sublease, occupancy of the Subleased Premises after the termination or expiration shall be that of a tenancy at sufferance. Subtenant’s occupancy of the Subleased Premises during the holdover shall be subject to all the terms and provisions of this Sublease and Subtenant shall pay an amount (on a permonth basis without reduction for partial months during the holdover) equal to one hundred fifty percent (150%) of the sum of the Base Rent due for the period immediately preceding the holdover. No holdover by Subtenant or payment by Subtenant after the expiration or early termination of this Sublease shall be construed to extend the Term or prevent Sublandlord from immediate recovery of possession of the Subleased Premises by summary proceedings or otherwise. In addition to the payment of the amounts provided above, if Sublandlord is unable to deliver possession of the Subleased Premises to a new subtenant or to Landlord, as the case may be, or to perform improvements for a new subtenant, as a result of Subtenant’s holdover, Subtenant shall be liable to Sublandlord for all damages to the extent in excess of the holdover rent set forth above, including, without limitation, any Consequential Damages that Sublandlord suffers from the holdover. Subtenant expressly acknowledges that such damages may include all of the holdover rent charged by Landlord under the Master Lease as a result of Subtenant’s holdover, which Master Lease holdover rent may apply to the entire Master Lease Premises.</w:t>
      </w:r>
    </w:p>
    <w:p>
      <w:pPr>
        <w:spacing w:after="0" w:line="175" w:lineRule="exact"/>
        <w:rPr>
          <w:rFonts w:ascii="Arial" w:cs="Arial" w:eastAsia="Arial" w:hAnsi="Arial"/>
          <w:sz w:val="18"/>
          <w:szCs w:val="18"/>
          <w:color w:val="auto"/>
        </w:rPr>
      </w:pPr>
    </w:p>
    <w:p>
      <w:pPr>
        <w:jc w:val="both"/>
        <w:ind w:firstLine="656"/>
        <w:spacing w:after="0" w:line="278" w:lineRule="auto"/>
        <w:tabs>
          <w:tab w:leader="none" w:pos="1287"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Subject to Landlord’s consent, Subtenant shall be permitted to use parking spaces in accordance with the ratio(s) set forth in Article 37 of the Master Lease (based on the rentable square footage of the Existing Premises prior to the 2024 Commencement Date and, thereafter, based on the total rentable square footage of the Subleased Premises consisting of both the Existing Premises and the Snowflake Premises), including the exclusive use of two (2) parking stalls serviced by charging stations as of the Existing Premises Commencement Date and four (4) parking stalls serviced by charging stations as of the 2024 Commencement Date.</w:t>
      </w:r>
    </w:p>
    <w:p>
      <w:pPr>
        <w:spacing w:after="0" w:line="164" w:lineRule="exact"/>
        <w:rPr>
          <w:rFonts w:ascii="Arial" w:cs="Arial" w:eastAsia="Arial" w:hAnsi="Arial"/>
          <w:sz w:val="18"/>
          <w:szCs w:val="18"/>
          <w:color w:val="auto"/>
        </w:rPr>
      </w:pPr>
    </w:p>
    <w:p>
      <w:pPr>
        <w:ind w:left="1300" w:hanging="644"/>
        <w:spacing w:after="0"/>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Security Deposit</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firstLine="1304"/>
        <w:spacing w:after="0" w:line="267" w:lineRule="auto"/>
        <w:tabs>
          <w:tab w:leader="none" w:pos="1934" w:val="left"/>
        </w:tabs>
        <w:numPr>
          <w:ilvl w:val="1"/>
          <w:numId w:val="158"/>
        </w:numPr>
        <w:rPr>
          <w:rFonts w:ascii="Arial" w:cs="Arial" w:eastAsia="Arial" w:hAnsi="Arial"/>
          <w:sz w:val="20"/>
          <w:szCs w:val="20"/>
          <w:color w:val="auto"/>
        </w:rPr>
      </w:pPr>
      <w:r>
        <w:rPr>
          <w:rFonts w:ascii="Arial" w:cs="Arial" w:eastAsia="Arial" w:hAnsi="Arial"/>
          <w:sz w:val="20"/>
          <w:szCs w:val="20"/>
          <w:color w:val="auto"/>
        </w:rPr>
        <w:t>Within two (2) business days of the date Sublandlord and Subtenant receive the fully executed Consent (the “</w:t>
      </w:r>
      <w:r>
        <w:rPr>
          <w:rFonts w:ascii="Arial" w:cs="Arial" w:eastAsia="Arial" w:hAnsi="Arial"/>
          <w:sz w:val="20"/>
          <w:szCs w:val="20"/>
          <w:b w:val="1"/>
          <w:bCs w:val="1"/>
          <w:color w:val="auto"/>
        </w:rPr>
        <w:t>LC</w:t>
      </w:r>
      <w:r>
        <w:rPr>
          <w:rFonts w:ascii="Arial" w:cs="Arial" w:eastAsia="Arial" w:hAnsi="Arial"/>
          <w:sz w:val="20"/>
          <w:szCs w:val="20"/>
          <w:color w:val="auto"/>
        </w:rPr>
        <w:t xml:space="preserve"> </w:t>
      </w:r>
      <w:r>
        <w:rPr>
          <w:rFonts w:ascii="Arial" w:cs="Arial" w:eastAsia="Arial" w:hAnsi="Arial"/>
          <w:sz w:val="20"/>
          <w:szCs w:val="20"/>
          <w:b w:val="1"/>
          <w:bCs w:val="1"/>
          <w:color w:val="auto"/>
        </w:rPr>
        <w:t>Delivery Date</w:t>
      </w:r>
      <w:r>
        <w:rPr>
          <w:rFonts w:ascii="Arial" w:cs="Arial" w:eastAsia="Arial" w:hAnsi="Arial"/>
          <w:sz w:val="20"/>
          <w:szCs w:val="20"/>
          <w:color w:val="auto"/>
        </w:rPr>
        <w:t>”) Subtenant shall deliver to Sublandlord, as protection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200" w:name="page201"/>
    <w:bookmarkEnd w:id="200"/>
    <w:p>
      <w:pPr>
        <w:jc w:val="both"/>
        <w:spacing w:after="0" w:line="271" w:lineRule="auto"/>
        <w:rPr>
          <w:sz w:val="20"/>
          <w:szCs w:val="20"/>
          <w:color w:val="auto"/>
        </w:rPr>
      </w:pPr>
      <w:r>
        <w:rPr>
          <w:rFonts w:ascii="Arial" w:cs="Arial" w:eastAsia="Arial" w:hAnsi="Arial"/>
          <w:sz w:val="18"/>
          <w:szCs w:val="18"/>
          <w:color w:val="auto"/>
        </w:rPr>
        <w:t>for the full and faithful performance by Subtenant of all of its obligations under this Sublease and for all losses and damages Sublandlord may suffer as a result of a default by Subtenant under the Sublease, an irrevocable and unconditional negotiable standby letter of credit reasonably acceptable to Sublandlord (the “</w:t>
      </w:r>
      <w:r>
        <w:rPr>
          <w:rFonts w:ascii="Arial" w:cs="Arial" w:eastAsia="Arial" w:hAnsi="Arial"/>
          <w:sz w:val="18"/>
          <w:szCs w:val="18"/>
          <w:b w:val="1"/>
          <w:bCs w:val="1"/>
          <w:color w:val="auto"/>
        </w:rPr>
        <w:t>Letter of Credit</w:t>
      </w:r>
      <w:r>
        <w:rPr>
          <w:rFonts w:ascii="Arial" w:cs="Arial" w:eastAsia="Arial" w:hAnsi="Arial"/>
          <w:sz w:val="18"/>
          <w:szCs w:val="18"/>
          <w:color w:val="auto"/>
        </w:rPr>
        <w:t>”). The Letter of Credit shall (i) be maintained in effect, whether through renewal or extension, for the period from the date of this Sublease and continuing until the date that is sixty (60) days after the expiration of the Term (the “</w:t>
      </w:r>
      <w:r>
        <w:rPr>
          <w:rFonts w:ascii="Arial" w:cs="Arial" w:eastAsia="Arial" w:hAnsi="Arial"/>
          <w:sz w:val="18"/>
          <w:szCs w:val="18"/>
          <w:b w:val="1"/>
          <w:bCs w:val="1"/>
          <w:color w:val="auto"/>
        </w:rPr>
        <w:t>LC Expiration Date</w:t>
      </w:r>
      <w:r>
        <w:rPr>
          <w:rFonts w:ascii="Arial" w:cs="Arial" w:eastAsia="Arial" w:hAnsi="Arial"/>
          <w:sz w:val="18"/>
          <w:szCs w:val="18"/>
          <w:color w:val="auto"/>
        </w:rPr>
        <w:t>”), (ii) be fully assignable by Sublandlord, its successors and assigns, (iii) permit partial draws and multiple presentations and drawings, and (iv) be deemed automatically renewed, without amendment, for consecutive periods of one (1) year each thereafter during the Term through the LC Expiration Date unless the bank issuing the Letter of Credit (“</w:t>
      </w:r>
      <w:r>
        <w:rPr>
          <w:rFonts w:ascii="Arial" w:cs="Arial" w:eastAsia="Arial" w:hAnsi="Arial"/>
          <w:sz w:val="18"/>
          <w:szCs w:val="18"/>
          <w:b w:val="1"/>
          <w:bCs w:val="1"/>
          <w:color w:val="auto"/>
        </w:rPr>
        <w:t>Bank</w:t>
      </w:r>
      <w:r>
        <w:rPr>
          <w:rFonts w:ascii="Arial" w:cs="Arial" w:eastAsia="Arial" w:hAnsi="Arial"/>
          <w:sz w:val="18"/>
          <w:szCs w:val="18"/>
          <w:color w:val="auto"/>
        </w:rPr>
        <w:t>”) sends a notice (the “</w:t>
      </w:r>
      <w:r>
        <w:rPr>
          <w:rFonts w:ascii="Arial" w:cs="Arial" w:eastAsia="Arial" w:hAnsi="Arial"/>
          <w:sz w:val="18"/>
          <w:szCs w:val="18"/>
          <w:b w:val="1"/>
          <w:bCs w:val="1"/>
          <w:color w:val="auto"/>
        </w:rPr>
        <w:t>Non-Renewal Notice</w:t>
      </w:r>
      <w:r>
        <w:rPr>
          <w:rFonts w:ascii="Arial" w:cs="Arial" w:eastAsia="Arial" w:hAnsi="Arial"/>
          <w:sz w:val="18"/>
          <w:szCs w:val="18"/>
          <w:color w:val="auto"/>
        </w:rPr>
        <w:t xml:space="preserve">”) to Sublandlord by certified mail, return receipt requested, not less than sixty (60) days prior to the then-current LC Expiration Date, stating that the Bank has elected not to renew the Letter of Credit, in which case, pursuant to the remainder of this paragraph, Sublandlord shall have the right, upon receipt of a Non-Renewal Notice, to draw the full amount of the Letter of Credit, by sight draft on the Bank, and shall thereafter hold or apply the cash proceeds of the Letter of Credit pursuant to the terms of this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257" w:lineRule="auto"/>
        <w:tabs>
          <w:tab w:leader="none" w:pos="193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initial face amount of the Letter of Credit shall be One Million Four Hundred Twelve Thousand Nine Hundred Eighty Six and 44/100 Dollars ($1,412,986.44) (“</w:t>
      </w:r>
      <w:r>
        <w:rPr>
          <w:rFonts w:ascii="Arial" w:cs="Arial" w:eastAsia="Arial" w:hAnsi="Arial"/>
          <w:sz w:val="19"/>
          <w:szCs w:val="19"/>
          <w:b w:val="1"/>
          <w:bCs w:val="1"/>
          <w:color w:val="auto"/>
        </w:rPr>
        <w:t>Initial Letter of Credit Amount</w:t>
      </w:r>
      <w:r>
        <w:rPr>
          <w:rFonts w:ascii="Arial" w:cs="Arial" w:eastAsia="Arial" w:hAnsi="Arial"/>
          <w:sz w:val="19"/>
          <w:szCs w:val="19"/>
          <w:color w:val="auto"/>
        </w:rPr>
        <w:t>.”) as the LC Delivery Date. On or before the 2024 Commencement Date, Subtenant covenants and agrees to increase the Initial Letter of Credit Amount to a total aggregate amount of Two Million Five Hundred Fifty-Three Thousand Four Hundred Seventy-Four and 60/00 Dollars ($2,553,474.60) (“</w:t>
      </w:r>
      <w:r>
        <w:rPr>
          <w:rFonts w:ascii="Arial" w:cs="Arial" w:eastAsia="Arial" w:hAnsi="Arial"/>
          <w:sz w:val="19"/>
          <w:szCs w:val="19"/>
          <w:b w:val="1"/>
          <w:bCs w:val="1"/>
          <w:color w:val="auto"/>
        </w:rPr>
        <w:t>Letter of Credit Amount</w:t>
      </w:r>
      <w:r>
        <w:rPr>
          <w:rFonts w:ascii="Arial" w:cs="Arial" w:eastAsia="Arial" w:hAnsi="Arial"/>
          <w:sz w:val="19"/>
          <w:szCs w:val="19"/>
          <w:color w:val="auto"/>
        </w:rPr>
        <w:t xml:space="preserve">”). Prior to the 2024 Commencement Date, references in this Sublease to the Letter of Credit Amount shall refer to the Initial Letter of Credit Amount. From and after 2024 Commencement Date, references in this Sublease to the Letter of Credit Amount shall refer to the Letter of Credit Amount, as may be reduced subject to the terms and conditions set forth in </w:t>
      </w:r>
      <w:r>
        <w:rPr>
          <w:rFonts w:ascii="Arial" w:cs="Arial" w:eastAsia="Arial" w:hAnsi="Arial"/>
          <w:sz w:val="19"/>
          <w:szCs w:val="19"/>
          <w:u w:val="single" w:color="auto"/>
          <w:color w:val="auto"/>
        </w:rPr>
        <w:t>Section 16(g)</w:t>
      </w:r>
      <w:r>
        <w:rPr>
          <w:rFonts w:ascii="Arial" w:cs="Arial" w:eastAsia="Arial" w:hAnsi="Arial"/>
          <w:sz w:val="19"/>
          <w:szCs w:val="19"/>
          <w:color w:val="auto"/>
        </w:rPr>
        <w:t xml:space="preserve"> below.</w:t>
      </w:r>
    </w:p>
    <w:p>
      <w:pPr>
        <w:spacing w:after="0" w:line="184" w:lineRule="exact"/>
        <w:rPr>
          <w:rFonts w:ascii="Arial" w:cs="Arial" w:eastAsia="Arial" w:hAnsi="Arial"/>
          <w:sz w:val="19"/>
          <w:szCs w:val="19"/>
          <w:color w:val="auto"/>
        </w:rPr>
      </w:pPr>
    </w:p>
    <w:p>
      <w:pPr>
        <w:jc w:val="both"/>
        <w:ind w:firstLine="1304"/>
        <w:spacing w:after="0" w:line="255" w:lineRule="auto"/>
        <w:tabs>
          <w:tab w:leader="none" w:pos="193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Sublandlord shall have the right to draw down an amount up to Letter of Credit Amount without notice to Subtenant if any of the following shall have occurred or be applicable, consistent with applicable law: (1) a Default by Subtenant has occurred and is continuing; or (2) Subtenant has filed a voluntary petition under the U. S. Bankruptcy Code or any state bankruptcy code (collectively, “</w:t>
      </w:r>
      <w:r>
        <w:rPr>
          <w:rFonts w:ascii="Arial" w:cs="Arial" w:eastAsia="Arial" w:hAnsi="Arial"/>
          <w:sz w:val="19"/>
          <w:szCs w:val="19"/>
          <w:b w:val="1"/>
          <w:bCs w:val="1"/>
          <w:color w:val="auto"/>
        </w:rPr>
        <w:t>Bankruptcy Code</w:t>
      </w:r>
      <w:r>
        <w:rPr>
          <w:rFonts w:ascii="Arial" w:cs="Arial" w:eastAsia="Arial" w:hAnsi="Arial"/>
          <w:sz w:val="19"/>
          <w:szCs w:val="19"/>
          <w:color w:val="auto"/>
        </w:rPr>
        <w:t xml:space="preserve">”); or (3) an involuntary petition has been filed against Subtenant under the Bankruptcy Code; or (4) the Bank has notified Sublandlord that the Letter of Credit will not be renewed or extended through the LC Expiration Date and Subtenant fails to deliver to Sublandlord a replacement Letter of Credit meeting the requirements of this </w:t>
      </w:r>
      <w:r>
        <w:rPr>
          <w:rFonts w:ascii="Arial" w:cs="Arial" w:eastAsia="Arial" w:hAnsi="Arial"/>
          <w:sz w:val="19"/>
          <w:szCs w:val="19"/>
          <w:u w:val="single" w:color="auto"/>
          <w:color w:val="auto"/>
        </w:rPr>
        <w:t>Section 16(c)</w:t>
      </w:r>
      <w:r>
        <w:rPr>
          <w:rFonts w:ascii="Arial" w:cs="Arial" w:eastAsia="Arial" w:hAnsi="Arial"/>
          <w:sz w:val="19"/>
          <w:szCs w:val="19"/>
          <w:color w:val="auto"/>
        </w:rPr>
        <w:t xml:space="preserve"> at least thirty (30) days prior to the expiration of the existing Letter of Credit; or (5) the long term rating of the Bank has been downgraded to BBB or lower (by Standard &amp; Poor’s) or Baa2 or lower (by Moody’s) and Subtenant has failed to deliver a new Letter of Credit from a bank with a long term rating of A or higher (by Standard &amp; Poor’s) or A2 or higher (by Moody’s) and otherwise meeting the requirements set forth in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within thirty (30) days following notice from Sublandlord. The Letter of Credit will be honored by the Bank regardless of whether Subtenant disputes Sublandlord’s right to draw upon the Letter of Credit.</w:t>
      </w:r>
    </w:p>
    <w:p>
      <w:pPr>
        <w:spacing w:after="0" w:line="186" w:lineRule="exact"/>
        <w:rPr>
          <w:rFonts w:ascii="Arial" w:cs="Arial" w:eastAsia="Arial" w:hAnsi="Arial"/>
          <w:sz w:val="19"/>
          <w:szCs w:val="19"/>
          <w:color w:val="auto"/>
        </w:rPr>
      </w:pPr>
    </w:p>
    <w:p>
      <w:pPr>
        <w:jc w:val="both"/>
        <w:ind w:firstLine="1304"/>
        <w:spacing w:after="0" w:line="243" w:lineRule="auto"/>
        <w:tabs>
          <w:tab w:leader="none" w:pos="193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Letter of Credit shall also provide that Sublandlord, its successors and assigns, may, at any time and without prior notice to Subtenant and without first obtaining Subtenant’s consent thereto, transfer (one or more times) all of its interest in and to the Letter of Credit to any permitted successor to Sublandlord’s interest in the Sublease, as a part of the assignment by Sublandlord of its rights and interests in and to the Sublease. Sublandlord shall notify Subtenant in writing of any transfer of the Letter of Credit within ten (10) days after such transfer. In connection with any such transfer of the Letter of Credit by Sublandlord, Subtenant shall, at Sublandlord’s sole cost and expense,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201" w:name="page202"/>
    <w:bookmarkEnd w:id="201"/>
    <w:p>
      <w:pPr>
        <w:spacing w:after="0" w:line="260" w:lineRule="auto"/>
        <w:rPr>
          <w:sz w:val="20"/>
          <w:szCs w:val="20"/>
          <w:color w:val="auto"/>
        </w:rPr>
      </w:pPr>
      <w:r>
        <w:rPr>
          <w:rFonts w:ascii="Arial" w:cs="Arial" w:eastAsia="Arial" w:hAnsi="Arial"/>
          <w:sz w:val="20"/>
          <w:szCs w:val="20"/>
          <w:color w:val="auto"/>
        </w:rPr>
        <w:t>execute and submit to the Bank such applications, documents and instruments as may be necessary to effectuate such transfer, and Subtenant shall be responsible for paying the Bank’s transfer and processing fees in connection therewith.</w:t>
      </w:r>
    </w:p>
    <w:p>
      <w:pPr>
        <w:spacing w:after="0" w:line="177" w:lineRule="exact"/>
        <w:rPr>
          <w:sz w:val="20"/>
          <w:szCs w:val="20"/>
          <w:color w:val="auto"/>
        </w:rPr>
      </w:pPr>
    </w:p>
    <w:p>
      <w:pPr>
        <w:jc w:val="both"/>
        <w:ind w:firstLine="1304"/>
        <w:spacing w:after="0" w:line="269" w:lineRule="auto"/>
        <w:tabs>
          <w:tab w:leader="none" w:pos="193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If, as a result of any drawing by Sublandlord on the Letter of Credit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the amount of the Letter of Credit shall be less than the Letter of Credit Amount, Subtenant shall, within five (5) business days after written notice from Sublandlord, provide Sublandlord with additional letter(s) of credit in an amount equal to the deficiency, and any such additional letter(s) of credit shall comply with all of the provisions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if Subtenant fails to comply with the foregoing, the same shall constitute an immediate event of default by Subtenant. If Sublandlord draws on the Letter of Credit in accordance with the terms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Sublandlord may apply the proceeds of the Letter of Credit against any rent payable by Subtenant under this Sublease that is not paid when due and/or to pay for all direct losses and damages that Sublandlord has suffered as a result of any default by Subtenant under the Sublease. Subject to Subtenant’s right under the following sentence, any unused proceeds shall constitute the property of Sublandlord and need not be segregated from Sublandlord’s other assets. Sublandlord will pay such unused proceeds to Subtenant (i) if Subtenant delivers to Sublandlord the additional letter(s) of credit described in this </w:t>
      </w:r>
      <w:r>
        <w:rPr>
          <w:rFonts w:ascii="Arial" w:cs="Arial" w:eastAsia="Arial" w:hAnsi="Arial"/>
          <w:sz w:val="18"/>
          <w:szCs w:val="18"/>
          <w:u w:val="single" w:color="auto"/>
          <w:color w:val="auto"/>
        </w:rPr>
        <w:t>Section 16</w:t>
      </w:r>
      <w:r>
        <w:rPr>
          <w:rFonts w:ascii="Arial" w:cs="Arial" w:eastAsia="Arial" w:hAnsi="Arial"/>
          <w:sz w:val="18"/>
          <w:szCs w:val="18"/>
          <w:color w:val="auto"/>
        </w:rPr>
        <w:t>, and (ii) within thirty (30) days after the LC Expiration Date, if Subtenant surrenders the Subleased Premises to Sublandlord and no default by Subtenant has occurred and is then continuing; provided, however, that if prior to the LC Expiration Date a voluntary petition is filed by Subtenant, or an involuntary petition is filed against Subtenant by any of Subtenant’s creditors, as applicable, under the Bankruptcy Code, then Sublandlord shall not be obligated to make such payment in the amount of the unused Letter of Credit proceeds until either all preference issues relating to payments under the Sublease have been resolved in such bankruptcy or reorganization case or such bankruptcy or reorganization case has been dismissed.</w:t>
      </w:r>
    </w:p>
    <w:p>
      <w:pPr>
        <w:spacing w:after="0" w:line="178" w:lineRule="exact"/>
        <w:rPr>
          <w:rFonts w:ascii="Arial" w:cs="Arial" w:eastAsia="Arial" w:hAnsi="Arial"/>
          <w:sz w:val="18"/>
          <w:szCs w:val="18"/>
          <w:color w:val="auto"/>
        </w:rPr>
      </w:pPr>
    </w:p>
    <w:p>
      <w:pPr>
        <w:jc w:val="both"/>
        <w:ind w:firstLine="1304"/>
        <w:spacing w:after="0" w:line="255" w:lineRule="auto"/>
        <w:tabs>
          <w:tab w:leader="none" w:pos="193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use, application or retention of the Letter of Credit, or any portion thereof or any draw thereon, by Sublandlord shall not prevent Sublandlord from exercising any other right or remedy provided by this Sublease or by any applicable laws, it being intended that Sublandlord shall not first be required to proceed against the Letter of Credit. No condition or term of this Sublease shall be deemed to render the Letter of Credit conditional to justify the issuer of the Letter of Credit in failing to honor a drawing upon such Letter of Credit in a timely manner. Subtenant agrees and acknowledges that (i) the Letter of Credit constitutes a separate and independent contract between Sublandlord and Bank, (ii) Subtenant is not a third party beneficiary of such contract, (iii) Subtenant has no property interest whatsoever in the Letter of Credit or the proceeds thereof, and (iv) to the extent permitted by law, in the event Subtenant becomes a debtor under any chapter of the Bankruptcy Code, Subtenant, shall not have any right to restrict or limit Sublandlord’s claim and/or rights to the Letter of Credit and/or the proceeds thereof by application of Section 502(b)(6) of the U. S. Bankruptcy Code or otherwise. At the expiration of the Term or following the assignment of this Sublease by Sublandlord, and provided Subtenant is not in default beyond all applicable notice or cure periods at such time, Sublandlord shall promptly surrender the Letter of Credit or cooperate with Subtenant to cancel the Letter of Credit.</w:t>
      </w:r>
    </w:p>
    <w:p>
      <w:pPr>
        <w:spacing w:after="0" w:line="184" w:lineRule="exact"/>
        <w:rPr>
          <w:rFonts w:ascii="Arial" w:cs="Arial" w:eastAsia="Arial" w:hAnsi="Arial"/>
          <w:sz w:val="19"/>
          <w:szCs w:val="19"/>
          <w:color w:val="auto"/>
        </w:rPr>
      </w:pPr>
    </w:p>
    <w:p>
      <w:pPr>
        <w:jc w:val="both"/>
        <w:ind w:firstLine="1304"/>
        <w:spacing w:after="0" w:line="276" w:lineRule="auto"/>
        <w:tabs>
          <w:tab w:leader="none" w:pos="193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by December 31, 2024: (i) no Default has occurred under this Sublease (nor is any event then occurring that with notice or the passage of time would become a Default hereunder), (ii) Subtenant sends Sublandlord a written request to reduce the Letter of Credit Amount (the “</w:t>
      </w:r>
      <w:r>
        <w:rPr>
          <w:rFonts w:ascii="Arial" w:cs="Arial" w:eastAsia="Arial" w:hAnsi="Arial"/>
          <w:sz w:val="18"/>
          <w:szCs w:val="18"/>
          <w:b w:val="1"/>
          <w:bCs w:val="1"/>
          <w:color w:val="auto"/>
        </w:rPr>
        <w:t>Reduction Request</w:t>
      </w:r>
      <w:r>
        <w:rPr>
          <w:rFonts w:ascii="Arial" w:cs="Arial" w:eastAsia="Arial" w:hAnsi="Arial"/>
          <w:sz w:val="18"/>
          <w:szCs w:val="18"/>
          <w:color w:val="auto"/>
        </w:rPr>
        <w:t>”), which Reduction Request may not be sent to Sublandlord prior to January 1, 2025, and (iii) at the time Sublandlord receives the Reduction Request, Subtenant’s credit is, in Subtenant’s opinion as evidenced to Sublandlord’s reasonable satisfaction, as good or better than Subtenant’s credit as of the Effective Date (items (i)-(iii) are, collectively, the “</w:t>
      </w:r>
      <w:r>
        <w:rPr>
          <w:rFonts w:ascii="Arial" w:cs="Arial" w:eastAsia="Arial" w:hAnsi="Arial"/>
          <w:sz w:val="18"/>
          <w:szCs w:val="18"/>
          <w:b w:val="1"/>
          <w:bCs w:val="1"/>
          <w:color w:val="auto"/>
        </w:rPr>
        <w:t>LC Reduction</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 then, if all of the LC Reduction Conditions are met, Subtenant may reduce the Letter of Credit Amount by the amount of Eight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202" w:name="page203"/>
    <w:bookmarkEnd w:id="202"/>
    <w:p>
      <w:pPr>
        <w:jc w:val="both"/>
        <w:spacing w:after="0" w:line="241" w:lineRule="auto"/>
        <w:rPr>
          <w:sz w:val="20"/>
          <w:szCs w:val="20"/>
          <w:color w:val="auto"/>
        </w:rPr>
      </w:pPr>
      <w:r>
        <w:rPr>
          <w:rFonts w:ascii="Arial" w:cs="Arial" w:eastAsia="Arial" w:hAnsi="Arial"/>
          <w:sz w:val="20"/>
          <w:szCs w:val="20"/>
          <w:color w:val="auto"/>
        </w:rPr>
        <w:t>Hundred Fifty-One Thousand One Hundred Fifty-Eight and 20/100 Dollars ($851,158.20), to a total amount of One Million Seven Hundred Two Thousand Three Hundred Sixteen and 40/100 Dollars ($1,702,316.40) (the “</w:t>
      </w:r>
      <w:r>
        <w:rPr>
          <w:rFonts w:ascii="Arial" w:cs="Arial" w:eastAsia="Arial" w:hAnsi="Arial"/>
          <w:sz w:val="20"/>
          <w:szCs w:val="20"/>
          <w:b w:val="1"/>
          <w:bCs w:val="1"/>
          <w:color w:val="auto"/>
        </w:rPr>
        <w:t>Reduced LC Amount</w:t>
      </w:r>
      <w:r>
        <w:rPr>
          <w:rFonts w:ascii="Arial" w:cs="Arial" w:eastAsia="Arial" w:hAnsi="Arial"/>
          <w:sz w:val="20"/>
          <w:szCs w:val="20"/>
          <w:color w:val="auto"/>
        </w:rPr>
        <w:t xml:space="preserve">”), as evidenced by a substitute or replacement Letter of Credit in the Reduced LC Amount (or an amendment to the existing Letter of Credit reflecting the Reduced LC Amount) and that otherwise satisfies the requirements of this </w:t>
      </w:r>
      <w:r>
        <w:rPr>
          <w:rFonts w:ascii="Arial" w:cs="Arial" w:eastAsia="Arial" w:hAnsi="Arial"/>
          <w:sz w:val="20"/>
          <w:szCs w:val="20"/>
          <w:u w:val="single" w:color="auto"/>
          <w:color w:val="auto"/>
        </w:rPr>
        <w:t>Article 16</w:t>
      </w:r>
      <w:r>
        <w:rPr>
          <w:rFonts w:ascii="Arial" w:cs="Arial" w:eastAsia="Arial" w:hAnsi="Arial"/>
          <w:sz w:val="20"/>
          <w:szCs w:val="20"/>
          <w:color w:val="auto"/>
        </w:rPr>
        <w:t>. Any costs incurred in connection with any replacement or issuance of, or an amendment to, the Letter of Credit, will be paid by Subtenant. Upon satisfaction of all the LC Reduction Conditions and Sublandlord’s receipt of the replacement Letter of Credit (or an amendment thereto) in compliance with the terms and conditions hereof, Sublandlord shall not have the right to draw upon the prior Letter of Credit and shall promptly return such prior Letter of Credit to Subtenant or Subtenant’s Bank. Notwithstanding anything to the contrary contained herein, if an Event of Default has occurred under this Sublease at any time prior to the effective date of the Letter of Credit Amount, then Subtenant shall have no right to reduce the Letter of Credit Amount as described herein.</w:t>
      </w:r>
    </w:p>
    <w:p>
      <w:pPr>
        <w:spacing w:after="0" w:line="202" w:lineRule="exact"/>
        <w:rPr>
          <w:sz w:val="20"/>
          <w:szCs w:val="20"/>
          <w:color w:val="auto"/>
        </w:rPr>
      </w:pPr>
    </w:p>
    <w:p>
      <w:pPr>
        <w:jc w:val="both"/>
        <w:ind w:firstLine="656"/>
        <w:spacing w:after="0" w:line="282" w:lineRule="auto"/>
        <w:tabs>
          <w:tab w:leader="none" w:pos="128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Signage; Roof Rights</w:t>
      </w:r>
      <w:r>
        <w:rPr>
          <w:rFonts w:ascii="Arial" w:cs="Arial" w:eastAsia="Arial" w:hAnsi="Arial"/>
          <w:sz w:val="18"/>
          <w:szCs w:val="18"/>
          <w:color w:val="auto"/>
        </w:rPr>
        <w:t>. To the extent transferable or otherwise permitted under the Master Lease or by Landlord, Subtenant shall have the same rights as Sublandlord under the Master Lease as they relate to signage and shall be subject to Landlord’s consent and approval to the extent required under the Master Lease (including, without limitation, the Rules and Regulations attached as Exhibit E to the Master Lease) and rights to use the roof of the Building, including, if permitted by Landlord, to install and use a deck thereon.</w:t>
      </w:r>
    </w:p>
    <w:p>
      <w:pPr>
        <w:spacing w:after="0" w:line="161" w:lineRule="exact"/>
        <w:rPr>
          <w:rFonts w:ascii="Arial" w:cs="Arial" w:eastAsia="Arial" w:hAnsi="Arial"/>
          <w:sz w:val="18"/>
          <w:szCs w:val="18"/>
          <w:color w:val="auto"/>
        </w:rPr>
      </w:pPr>
    </w:p>
    <w:p>
      <w:pPr>
        <w:jc w:val="both"/>
        <w:ind w:firstLine="656"/>
        <w:spacing w:after="0" w:line="263" w:lineRule="auto"/>
        <w:tabs>
          <w:tab w:leader="none" w:pos="1287"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by either party to the other required, permitted or provided for herein shall be valid only if in writing and shall be deemed to be duly given only if (a) delivered personally, or (b) sent by means of FedEx, UPS Next Day Air or another reputable express mail delivery service guaranteeing next day delivery, or (c) sent by United States certified or registered mail, return receipt requested, and for notices to Subtenant, also by email, addressed (i) if to Sublandlord, at the following addresses:</w:t>
      </w:r>
    </w:p>
    <w:p>
      <w:pPr>
        <w:spacing w:after="0" w:line="17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Open Text Inc.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c/o Open Text Corporation</w:t>
      </w:r>
    </w:p>
    <w:p>
      <w:pPr>
        <w:ind w:left="3240"/>
        <w:spacing w:after="0"/>
        <w:rPr>
          <w:sz w:val="20"/>
          <w:szCs w:val="20"/>
          <w:color w:val="auto"/>
        </w:rPr>
      </w:pPr>
      <w:r>
        <w:rPr>
          <w:rFonts w:ascii="Arial" w:cs="Arial" w:eastAsia="Arial" w:hAnsi="Arial"/>
          <w:sz w:val="20"/>
          <w:szCs w:val="20"/>
          <w:color w:val="auto"/>
        </w:rPr>
        <w:t>38 Leek Crescent</w:t>
      </w:r>
    </w:p>
    <w:p>
      <w:pPr>
        <w:ind w:left="3240"/>
        <w:spacing w:after="0"/>
        <w:rPr>
          <w:sz w:val="20"/>
          <w:szCs w:val="20"/>
          <w:color w:val="auto"/>
        </w:rPr>
      </w:pPr>
      <w:r>
        <w:rPr>
          <w:rFonts w:ascii="Arial" w:cs="Arial" w:eastAsia="Arial" w:hAnsi="Arial"/>
          <w:sz w:val="20"/>
          <w:szCs w:val="20"/>
          <w:color w:val="auto"/>
        </w:rPr>
        <w:t>Richmond Hill, Ontario</w:t>
      </w:r>
    </w:p>
    <w:p>
      <w:pPr>
        <w:ind w:left="3240"/>
        <w:spacing w:after="0"/>
        <w:rPr>
          <w:sz w:val="20"/>
          <w:szCs w:val="20"/>
          <w:color w:val="auto"/>
        </w:rPr>
      </w:pPr>
      <w:r>
        <w:rPr>
          <w:rFonts w:ascii="Arial" w:cs="Arial" w:eastAsia="Arial" w:hAnsi="Arial"/>
          <w:sz w:val="20"/>
          <w:szCs w:val="20"/>
          <w:color w:val="auto"/>
        </w:rPr>
        <w:t>L4B 4N8 Canada</w:t>
      </w:r>
    </w:p>
    <w:p>
      <w:pPr>
        <w:ind w:left="3240"/>
        <w:spacing w:after="0"/>
        <w:rPr>
          <w:sz w:val="20"/>
          <w:szCs w:val="20"/>
          <w:color w:val="auto"/>
        </w:rPr>
      </w:pPr>
      <w:r>
        <w:rPr>
          <w:rFonts w:ascii="Arial" w:cs="Arial" w:eastAsia="Arial" w:hAnsi="Arial"/>
          <w:sz w:val="20"/>
          <w:szCs w:val="20"/>
          <w:color w:val="auto"/>
        </w:rPr>
        <w:t>Attn: VP, Global Real Estate and Facilities</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Vedder Price P.C.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222 North LaSalle Street, Suite 2500</w:t>
      </w:r>
    </w:p>
    <w:p>
      <w:pPr>
        <w:ind w:left="3240"/>
        <w:spacing w:after="0"/>
        <w:rPr>
          <w:sz w:val="20"/>
          <w:szCs w:val="20"/>
          <w:color w:val="auto"/>
        </w:rPr>
      </w:pPr>
      <w:r>
        <w:rPr>
          <w:rFonts w:ascii="Arial" w:cs="Arial" w:eastAsia="Arial" w:hAnsi="Arial"/>
          <w:sz w:val="20"/>
          <w:szCs w:val="20"/>
          <w:color w:val="auto"/>
        </w:rPr>
        <w:t>Chicago, Illinois 60601</w:t>
      </w:r>
    </w:p>
    <w:p>
      <w:pPr>
        <w:ind w:left="3240"/>
        <w:spacing w:after="0"/>
        <w:rPr>
          <w:sz w:val="20"/>
          <w:szCs w:val="20"/>
          <w:color w:val="auto"/>
        </w:rPr>
      </w:pPr>
      <w:r>
        <w:rPr>
          <w:rFonts w:ascii="Arial" w:cs="Arial" w:eastAsia="Arial" w:hAnsi="Arial"/>
          <w:sz w:val="20"/>
          <w:szCs w:val="20"/>
          <w:color w:val="auto"/>
        </w:rPr>
        <w:t>Attn: Andrew Torre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203" w:name="page204"/>
    <w:bookmarkEnd w:id="203"/>
    <w:p>
      <w:pPr>
        <w:ind w:left="1300"/>
        <w:spacing w:after="0"/>
        <w:rPr>
          <w:sz w:val="20"/>
          <w:szCs w:val="20"/>
          <w:color w:val="auto"/>
        </w:rPr>
      </w:pPr>
      <w:r>
        <w:rPr>
          <w:rFonts w:ascii="Arial" w:cs="Arial" w:eastAsia="Arial" w:hAnsi="Arial"/>
          <w:sz w:val="20"/>
          <w:szCs w:val="20"/>
          <w:color w:val="auto"/>
        </w:rPr>
        <w:t>Base Rent and Additional</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Rent to be remitted to:</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Open Text Corporation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275 Frank Tompa Drive</w:t>
      </w:r>
    </w:p>
    <w:p>
      <w:pPr>
        <w:ind w:left="3240"/>
        <w:spacing w:after="0"/>
        <w:rPr>
          <w:sz w:val="20"/>
          <w:szCs w:val="20"/>
          <w:color w:val="auto"/>
        </w:rPr>
      </w:pPr>
      <w:r>
        <w:rPr>
          <w:rFonts w:ascii="Arial" w:cs="Arial" w:eastAsia="Arial" w:hAnsi="Arial"/>
          <w:sz w:val="20"/>
          <w:szCs w:val="20"/>
          <w:color w:val="auto"/>
        </w:rPr>
        <w:t>Waterloo, Ontario</w:t>
      </w:r>
    </w:p>
    <w:p>
      <w:pPr>
        <w:ind w:left="3240"/>
        <w:spacing w:after="0"/>
        <w:rPr>
          <w:sz w:val="20"/>
          <w:szCs w:val="20"/>
          <w:color w:val="auto"/>
        </w:rPr>
      </w:pPr>
      <w:r>
        <w:rPr>
          <w:rFonts w:ascii="Arial" w:cs="Arial" w:eastAsia="Arial" w:hAnsi="Arial"/>
          <w:sz w:val="20"/>
          <w:szCs w:val="20"/>
          <w:color w:val="auto"/>
        </w:rPr>
        <w:t>N2L 0A1 Canada</w:t>
      </w:r>
    </w:p>
    <w:p>
      <w:pPr>
        <w:ind w:left="3240"/>
        <w:spacing w:after="0"/>
        <w:rPr>
          <w:sz w:val="20"/>
          <w:szCs w:val="20"/>
          <w:color w:val="auto"/>
        </w:rPr>
      </w:pPr>
      <w:r>
        <w:rPr>
          <w:rFonts w:ascii="Arial" w:cs="Arial" w:eastAsia="Arial" w:hAnsi="Arial"/>
          <w:sz w:val="20"/>
          <w:szCs w:val="20"/>
          <w:color w:val="auto"/>
        </w:rPr>
        <w:t>Attn: Accounts Receivables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and (ii) if to Subtenant, at the following address:</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Upstart Network, Inc.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2950 South Delaware Street</w:t>
      </w:r>
    </w:p>
    <w:p>
      <w:pPr>
        <w:ind w:left="3240"/>
        <w:spacing w:after="0"/>
        <w:rPr>
          <w:sz w:val="20"/>
          <w:szCs w:val="20"/>
          <w:color w:val="auto"/>
        </w:rPr>
      </w:pPr>
      <w:r>
        <w:rPr>
          <w:rFonts w:ascii="Arial" w:cs="Arial" w:eastAsia="Arial" w:hAnsi="Arial"/>
          <w:sz w:val="20"/>
          <w:szCs w:val="20"/>
          <w:color w:val="auto"/>
        </w:rPr>
        <w:t>San Mateo, CA 94403</w:t>
      </w:r>
    </w:p>
    <w:p>
      <w:pPr>
        <w:ind w:left="3240"/>
        <w:spacing w:after="0"/>
        <w:rPr>
          <w:sz w:val="20"/>
          <w:szCs w:val="20"/>
          <w:color w:val="auto"/>
        </w:rPr>
      </w:pPr>
      <w:r>
        <w:rPr>
          <w:rFonts w:ascii="Arial" w:cs="Arial" w:eastAsia="Arial" w:hAnsi="Arial"/>
          <w:sz w:val="20"/>
          <w:szCs w:val="20"/>
          <w:color w:val="auto"/>
        </w:rPr>
        <w:t>Attn: General Counsel</w:t>
      </w:r>
    </w:p>
    <w:p>
      <w:pPr>
        <w:ind w:left="3240"/>
        <w:spacing w:after="0"/>
        <w:rPr>
          <w:sz w:val="20"/>
          <w:szCs w:val="20"/>
          <w:color w:val="auto"/>
        </w:rPr>
      </w:pPr>
      <w:r>
        <w:rPr>
          <w:rFonts w:ascii="Arial" w:cs="Arial" w:eastAsia="Arial" w:hAnsi="Arial"/>
          <w:sz w:val="20"/>
          <w:szCs w:val="20"/>
          <w:color w:val="auto"/>
        </w:rPr>
        <w:t>Email: notice@upstart.com</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or at such other address for either party as that party may designate by notice to the other. A notice shall be deemed given and effective, if delivered personally, upon hand delivery thereof (unless such delivery takes place after hours or on a holiday or weekend, in which event the notice shall be deemed given on the next succeeding business day), if sent via overnight courier, on the business day next succeeding delivery to the courier, and if mailed by United States certified or registered mail, three (3) business days following such mailing in accordance with this Section.</w:t>
      </w:r>
    </w:p>
    <w:p>
      <w:pPr>
        <w:spacing w:after="0" w:line="194" w:lineRule="exact"/>
        <w:rPr>
          <w:sz w:val="20"/>
          <w:szCs w:val="20"/>
          <w:color w:val="auto"/>
        </w:rPr>
      </w:pPr>
    </w:p>
    <w:p>
      <w:pPr>
        <w:jc w:val="both"/>
        <w:ind w:firstLine="656"/>
        <w:spacing w:after="0" w:line="272" w:lineRule="auto"/>
        <w:tabs>
          <w:tab w:leader="none" w:pos="1287"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Subtenant warrants that it has had no dealings with any broker, agent or any other person in connection with the negotiation or execution of this Sublease other CBRE, Inc., on behalf of Sublandlord (“</w:t>
      </w:r>
      <w:r>
        <w:rPr>
          <w:rFonts w:ascii="Arial" w:cs="Arial" w:eastAsia="Arial" w:hAnsi="Arial"/>
          <w:sz w:val="18"/>
          <w:szCs w:val="18"/>
          <w:b w:val="1"/>
          <w:bCs w:val="1"/>
          <w:color w:val="auto"/>
        </w:rPr>
        <w:t>CBRE</w:t>
      </w:r>
      <w:r>
        <w:rPr>
          <w:rFonts w:ascii="Arial" w:cs="Arial" w:eastAsia="Arial" w:hAnsi="Arial"/>
          <w:sz w:val="18"/>
          <w:szCs w:val="18"/>
          <w:color w:val="auto"/>
        </w:rPr>
        <w:t>”), and Newmark Cornish &amp; Carey, on behalf of Subtenant (“</w:t>
      </w:r>
      <w:r>
        <w:rPr>
          <w:rFonts w:ascii="Arial" w:cs="Arial" w:eastAsia="Arial" w:hAnsi="Arial"/>
          <w:sz w:val="18"/>
          <w:szCs w:val="18"/>
          <w:b w:val="1"/>
          <w:bCs w:val="1"/>
          <w:color w:val="auto"/>
        </w:rPr>
        <w:t>Newmark</w:t>
      </w:r>
      <w:r>
        <w:rPr>
          <w:rFonts w:ascii="Arial" w:cs="Arial" w:eastAsia="Arial" w:hAnsi="Arial"/>
          <w:sz w:val="18"/>
          <w:szCs w:val="18"/>
          <w:color w:val="auto"/>
        </w:rPr>
        <w:t>;” CBRE and Newmark are, collectively, “</w:t>
      </w:r>
      <w:r>
        <w:rPr>
          <w:rFonts w:ascii="Arial" w:cs="Arial" w:eastAsia="Arial" w:hAnsi="Arial"/>
          <w:sz w:val="18"/>
          <w:szCs w:val="18"/>
          <w:b w:val="1"/>
          <w:bCs w:val="1"/>
          <w:color w:val="auto"/>
        </w:rPr>
        <w:t>Brokers</w:t>
      </w:r>
      <w:r>
        <w:rPr>
          <w:rFonts w:ascii="Arial" w:cs="Arial" w:eastAsia="Arial" w:hAnsi="Arial"/>
          <w:sz w:val="18"/>
          <w:szCs w:val="18"/>
          <w:color w:val="auto"/>
        </w:rPr>
        <w:t>”). Subtenant agrees to indemnify and hold harmless Sublandlord from and against any and all cost, expense or liability for commissions or other compensation and charges claimed by any broker or agent (other than Brokers) with respect to this Sublease on account of Subtenant’s acts or omissions. Sublandlord represents and warrants to Subtenant that, other than Brokers, Sublandlord has not dealt with any broker, finder, or the like in connection with this Sublease, and Sublandlord agrees to indemnify, defend and hold Subtenant harmless from all damages, liability and expense (including reasonable attorneys’ fees) arising from any claims or demands of any broker or brokers or finders (including Brokers) for any commission alleged to be due such broker or brokers or finders in connection with its participating in the negotiation with this Sublease.</w:t>
      </w:r>
    </w:p>
    <w:p>
      <w:pPr>
        <w:spacing w:after="0" w:line="170" w:lineRule="exact"/>
        <w:rPr>
          <w:rFonts w:ascii="Arial" w:cs="Arial" w:eastAsia="Arial" w:hAnsi="Arial"/>
          <w:sz w:val="18"/>
          <w:szCs w:val="18"/>
          <w:color w:val="auto"/>
        </w:rPr>
      </w:pPr>
    </w:p>
    <w:p>
      <w:pPr>
        <w:jc w:val="both"/>
        <w:ind w:firstLine="656"/>
        <w:spacing w:after="0" w:line="246" w:lineRule="auto"/>
        <w:tabs>
          <w:tab w:leader="none" w:pos="1287"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Complete Agreement</w:t>
      </w:r>
      <w:r>
        <w:rPr>
          <w:rFonts w:ascii="Arial" w:cs="Arial" w:eastAsia="Arial" w:hAnsi="Arial"/>
          <w:sz w:val="20"/>
          <w:szCs w:val="20"/>
          <w:color w:val="auto"/>
        </w:rPr>
        <w:t>. There are no representations, warranties, agreements, arrangements or understandings, oral or written, between the parties or their representatives relating to the subject matter of this Sublease which are not fully expressed in this Sublease. This Sublease cannot be changed or terminated nor may any of its provisions be waived orally or in any manner other than by a written agreement executed by both parties.</w:t>
      </w:r>
    </w:p>
    <w:p>
      <w:pPr>
        <w:spacing w:after="0" w:line="191" w:lineRule="exact"/>
        <w:rPr>
          <w:rFonts w:ascii="Arial" w:cs="Arial" w:eastAsia="Arial" w:hAnsi="Arial"/>
          <w:sz w:val="20"/>
          <w:szCs w:val="20"/>
          <w:color w:val="auto"/>
        </w:rPr>
      </w:pPr>
    </w:p>
    <w:p>
      <w:pPr>
        <w:jc w:val="both"/>
        <w:ind w:firstLine="656"/>
        <w:spacing w:after="0" w:line="244" w:lineRule="auto"/>
        <w:tabs>
          <w:tab w:leader="none" w:pos="1287"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Irrespective of the place of execution or performance, this Sublease shall be governed by and construed in accordance with the laws of the State of California. If any provision of this Sublease or the application thereof to any person or circumstance shall, for any reason and to any extent, be invalid or unenforceable, the remainder of this Sublease and the application of that provision to other persons or circumstances shall not be affected but rather shall be enforced to the extent permitted by law. The table of contents, captions, headings and titles, if any, in this Sublease are solely for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204" w:name="page205"/>
    <w:bookmarkEnd w:id="204"/>
    <w:p>
      <w:pPr>
        <w:jc w:val="both"/>
        <w:spacing w:after="0" w:line="271" w:lineRule="auto"/>
        <w:rPr>
          <w:sz w:val="20"/>
          <w:szCs w:val="20"/>
          <w:color w:val="auto"/>
        </w:rPr>
      </w:pPr>
      <w:r>
        <w:rPr>
          <w:rFonts w:ascii="Arial" w:cs="Arial" w:eastAsia="Arial" w:hAnsi="Arial"/>
          <w:sz w:val="18"/>
          <w:szCs w:val="18"/>
          <w:color w:val="auto"/>
        </w:rPr>
        <w:t>convenience of reference and shall not affect its interpretation. This Sublease shall be construed without regard to any presumption or other rule requiring construction against the party causing this Sublease or any part thereof to be drafted. If any words or phrases in this Sublease shall have been stricken out or otherwise eliminated, whether or not any other words or phrases have been added, this Sublease shall be construed as if the words or phrases so stricken out or otherwise eliminated were never included in this Sublease, and no implication or inference shall be drawn from the fact that said words or phrases were so stricken out or otherwise eliminated. Each covenant, agreement, obligation or other provision of this Sublease shall be deemed and construed as a separate and independent covenant of the party bound by, undertaking or making same, not dependent on any other provision of this Sublease unless otherwise expressly provided. All terms and words used in this Sublease, regardless of the number or gender in which they are used, shall be deemed to include any other number and any other gender as the context may require. The word “person” as used in this Sublease shall mean a natural person or persons, a partnership, a corporation or any other form of business or legal association or entity.</w:t>
      </w:r>
    </w:p>
    <w:p>
      <w:pPr>
        <w:spacing w:after="0" w:line="174" w:lineRule="exact"/>
        <w:rPr>
          <w:sz w:val="20"/>
          <w:szCs w:val="20"/>
          <w:color w:val="auto"/>
        </w:rPr>
      </w:pPr>
    </w:p>
    <w:p>
      <w:pPr>
        <w:jc w:val="both"/>
        <w:ind w:firstLine="656"/>
        <w:spacing w:after="0" w:line="244" w:lineRule="auto"/>
        <w:tabs>
          <w:tab w:leader="none" w:pos="1287"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USA Patriot Act Disclosures</w:t>
      </w:r>
      <w:r>
        <w:rPr>
          <w:rFonts w:ascii="Arial" w:cs="Arial" w:eastAsia="Arial" w:hAnsi="Arial"/>
          <w:sz w:val="20"/>
          <w:szCs w:val="20"/>
          <w:color w:val="auto"/>
        </w:rPr>
        <w:t>. Subtenant is currently in compliance with and shall at all times during the Term remain in compliance with the regulations of the Office of Foreign Asset Control (“</w:t>
      </w:r>
      <w:r>
        <w:rPr>
          <w:rFonts w:ascii="Arial" w:cs="Arial" w:eastAsia="Arial" w:hAnsi="Arial"/>
          <w:sz w:val="20"/>
          <w:szCs w:val="20"/>
          <w:b w:val="1"/>
          <w:bCs w:val="1"/>
          <w:color w:val="auto"/>
        </w:rPr>
        <w:t>OFAC</w:t>
      </w:r>
      <w:r>
        <w:rPr>
          <w:rFonts w:ascii="Arial" w:cs="Arial" w:eastAsia="Arial" w:hAnsi="Arial"/>
          <w:sz w:val="20"/>
          <w:szCs w:val="20"/>
          <w:color w:val="auto"/>
        </w:rPr>
        <w:t>”) of the Department of the Treasury (including those named on OFAC’s Specially Designated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spacing w:after="0" w:line="194" w:lineRule="exact"/>
        <w:rPr>
          <w:rFonts w:ascii="Arial" w:cs="Arial" w:eastAsia="Arial" w:hAnsi="Arial"/>
          <w:sz w:val="20"/>
          <w:szCs w:val="20"/>
          <w:color w:val="auto"/>
        </w:rPr>
      </w:pPr>
    </w:p>
    <w:p>
      <w:pPr>
        <w:jc w:val="both"/>
        <w:ind w:firstLine="656"/>
        <w:spacing w:after="0" w:line="260" w:lineRule="auto"/>
        <w:tabs>
          <w:tab w:leader="none" w:pos="1287"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Sublease may be executed in multiple counterparts, each of which is deemed an original but which together constitute one and the same instrument. This Sublease shall be fully executed when each party whose signature is required has signed and delivered to each of the parties at least one counterpart, even though no single counterpart contains the signatures of all of the parties hereto. This Sublease may be executed in PDF format and each party has the right to rely upon a PDF counterpart of this Sublease signed by the other party to the same extent as if such party had received an original counterpart.</w:t>
      </w:r>
    </w:p>
    <w:p>
      <w:pPr>
        <w:spacing w:after="0" w:line="180" w:lineRule="exact"/>
        <w:rPr>
          <w:rFonts w:ascii="Arial" w:cs="Arial" w:eastAsia="Arial" w:hAnsi="Arial"/>
          <w:sz w:val="19"/>
          <w:szCs w:val="19"/>
          <w:color w:val="auto"/>
        </w:rPr>
      </w:pPr>
    </w:p>
    <w:p>
      <w:pPr>
        <w:jc w:val="both"/>
        <w:ind w:firstLine="656"/>
        <w:spacing w:after="0" w:line="269" w:lineRule="auto"/>
        <w:tabs>
          <w:tab w:leader="none" w:pos="1287"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Furniture, Fixtures and Equipment</w:t>
      </w:r>
      <w:r>
        <w:rPr>
          <w:rFonts w:ascii="Arial" w:cs="Arial" w:eastAsia="Arial" w:hAnsi="Arial"/>
          <w:sz w:val="18"/>
          <w:szCs w:val="18"/>
          <w:color w:val="auto"/>
        </w:rPr>
        <w:t>. As of the Early Occupancy Date, Sublandlord hereby grants to Subtenant a license to use the existing furniture, fixtures, equipment located in or serving the Subleased Premises which has not been removed or retained by Sublandlord (collectively, “</w:t>
      </w:r>
      <w:r>
        <w:rPr>
          <w:rFonts w:ascii="Arial" w:cs="Arial" w:eastAsia="Arial" w:hAnsi="Arial"/>
          <w:sz w:val="18"/>
          <w:szCs w:val="18"/>
          <w:b w:val="1"/>
          <w:bCs w:val="1"/>
          <w:color w:val="auto"/>
        </w:rPr>
        <w:t>Furniture</w:t>
      </w:r>
      <w:r>
        <w:rPr>
          <w:rFonts w:ascii="Arial" w:cs="Arial" w:eastAsia="Arial" w:hAnsi="Arial"/>
          <w:sz w:val="18"/>
          <w:szCs w:val="18"/>
          <w:color w:val="auto"/>
        </w:rPr>
        <w:t xml:space="preserve">”), and except as otherwise provided herein, for no additional consideration so long as this Sublease is in full force and effect. Notwithstanding the foregoing, on or before September 30, 2021, Sublandlord will provide a list of furniture to Subtenant which Sublandlord will be removing from the Premises and which will not be included as “Furniture” hereunder; such list shall be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Subtenant shall not acquire any title or other ownership rights in or to the Furniture during the Term. Upon termination of this Sublease or, if this Sublease is not terminated, then thirty (30) days prior to the Expiration Date, Subtenant shall: (a) be deemed to have purchased the Furniture from Sublandlord for the amount of One and 00/100 Dollar ($1.00), effective as of the date that is thirty (30) days prior to the Expiration Date; (b) remove the Furniture from the Subleased Premises, including any wiring installed by Subtenant connecting the Furniture to the Subleased Premises; and (c) return the Subleased Premises to the condition required under this Sublease. During the Term, Subtenant shall, at Subtenant’s sole cost and expense, insure the Furniture for its full replacement value (with Sublandlord named as a loss payee). Any furniture purchased by Subtenant for use in the Subleased Premises shall be solely Subtenant’s property. At the end of the Term, Sublandlord shall provide Subtenant with a bill of sale for the Furniture in the form and substance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In furtherance of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of this Sublease, neither Sublandlord nor Sublandlord’s agents, employees, or contractors have made any representations, warranties, or promises with respect to the Furniture and/or any other equipment, furniture,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205" w:name="page206"/>
    <w:bookmarkEnd w:id="205"/>
    <w:p>
      <w:pPr>
        <w:jc w:val="both"/>
        <w:spacing w:after="0" w:line="250" w:lineRule="auto"/>
        <w:rPr>
          <w:sz w:val="20"/>
          <w:szCs w:val="20"/>
          <w:color w:val="auto"/>
        </w:rPr>
      </w:pPr>
      <w:r>
        <w:rPr>
          <w:rFonts w:ascii="Arial" w:cs="Arial" w:eastAsia="Arial" w:hAnsi="Arial"/>
          <w:sz w:val="20"/>
          <w:szCs w:val="20"/>
          <w:color w:val="auto"/>
        </w:rPr>
        <w:t>improvements therein situated, if any. Subtenant shall have the right to remove and reconfigure the Furniture during the Term. For the sake of clarity, Subtenant shall be responsible for removing the Furniture from the Subleased Premises at the expiration or early termination of the Term.</w:t>
      </w:r>
    </w:p>
    <w:p>
      <w:pPr>
        <w:spacing w:after="0" w:line="186" w:lineRule="exact"/>
        <w:rPr>
          <w:sz w:val="20"/>
          <w:szCs w:val="20"/>
          <w:color w:val="auto"/>
        </w:rPr>
      </w:pPr>
    </w:p>
    <w:p>
      <w:pPr>
        <w:ind w:left="1300" w:hanging="644"/>
        <w:spacing w:after="0"/>
        <w:tabs>
          <w:tab w:leader="none" w:pos="130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73" w:lineRule="auto"/>
        <w:tabs>
          <w:tab w:leader="none" w:pos="193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To the best of Sublandlord’s knowledge as of the Effective Date, Sublandlord represents and warrants to Subtenant that, as of the Effective Date: (i) Sublandlord has delivered to Subtenant a true, correct and redacted copy of the Master Lease, a copy of which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and that, other than the Snowflake Sublease, there are no other agreements with respect thereto that materially reduce Subtenant’s rights or materially increase Subtenant’s obligations under this Sublease or materially reduce Landlord’s obligations with respect to the Subleased Premises; (ii) Sublandlord has neither given nor received any notice of default under the Master Lease not heretofore cured or waived; (iii) there is no current litigation pending with Landlord; (iv) Sublandlord has not received written notice of any noncompliance with Applicable Laws; and (v) Sublandlord has not received written notice of any violations issued by the City of San Mateo or any other governmental agency or authority affecting the Subleased Premises.</w:t>
      </w:r>
    </w:p>
    <w:p>
      <w:pPr>
        <w:spacing w:after="0" w:line="168" w:lineRule="exact"/>
        <w:rPr>
          <w:rFonts w:ascii="Arial" w:cs="Arial" w:eastAsia="Arial" w:hAnsi="Arial"/>
          <w:sz w:val="18"/>
          <w:szCs w:val="18"/>
          <w:color w:val="auto"/>
        </w:rPr>
      </w:pPr>
    </w:p>
    <w:p>
      <w:pPr>
        <w:ind w:left="1940" w:hanging="636"/>
        <w:spacing w:after="0"/>
        <w:tabs>
          <w:tab w:leader="none" w:pos="19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Sublandlord covenants and agrees that (i) Sublandlord shall promptly send to Subtenant copies of all written notices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received or issued by Sublandlord with respect to a default by Sublandlord or Landlord, as applicable, under the Master Lease,</w:t>
      </w:r>
    </w:p>
    <w:p>
      <w:pPr>
        <w:jc w:val="both"/>
        <w:ind w:firstLine="8"/>
        <w:spacing w:after="0" w:line="299" w:lineRule="auto"/>
        <w:tabs>
          <w:tab w:leader="none" w:pos="29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Sublandlord shall deliver to Subtenant all applicable keys and card keys for the Subleased Premises, Building, restrooms and elevators in Sublandlord’s possession and control (the “</w:t>
      </w:r>
      <w:r>
        <w:rPr>
          <w:rFonts w:ascii="Arial" w:cs="Arial" w:eastAsia="Arial" w:hAnsi="Arial"/>
          <w:sz w:val="16"/>
          <w:szCs w:val="16"/>
          <w:b w:val="1"/>
          <w:bCs w:val="1"/>
          <w:color w:val="auto"/>
        </w:rPr>
        <w:t>Access Keys</w:t>
      </w:r>
      <w:r>
        <w:rPr>
          <w:rFonts w:ascii="Arial" w:cs="Arial" w:eastAsia="Arial" w:hAnsi="Arial"/>
          <w:sz w:val="16"/>
          <w:szCs w:val="16"/>
          <w:color w:val="auto"/>
        </w:rPr>
        <w:t>”), provided, however, Sublandlord may retain Access Keys to access the Subleased Premises during the Term, and (iii) upon written request of Subtenant from time to time, Sublandlord shall use commercially reasonable efforts to request (1) Landlord to approve any reasonable request of Subtenant requiring Landlord’s approval under the Master Lease, and/or</w:t>
      </w:r>
    </w:p>
    <w:p>
      <w:pPr>
        <w:spacing w:after="0" w:line="1" w:lineRule="exact"/>
        <w:rPr>
          <w:rFonts w:ascii="Arial" w:cs="Arial" w:eastAsia="Arial" w:hAnsi="Arial"/>
          <w:sz w:val="16"/>
          <w:szCs w:val="16"/>
          <w:color w:val="auto"/>
        </w:rPr>
      </w:pPr>
    </w:p>
    <w:p>
      <w:pPr>
        <w:jc w:val="both"/>
        <w:spacing w:after="0" w:line="241" w:lineRule="auto"/>
        <w:rPr>
          <w:rFonts w:ascii="Arial" w:cs="Arial" w:eastAsia="Arial" w:hAnsi="Arial"/>
          <w:sz w:val="16"/>
          <w:szCs w:val="16"/>
          <w:color w:val="auto"/>
        </w:rPr>
      </w:pPr>
      <w:r>
        <w:rPr>
          <w:rFonts w:ascii="Arial" w:cs="Arial" w:eastAsia="Arial" w:hAnsi="Arial"/>
          <w:sz w:val="20"/>
          <w:szCs w:val="20"/>
          <w:color w:val="auto"/>
        </w:rPr>
        <w:t>(2) Landlord to provide any other information reasonably required by Subtenant with respect to the Subleased Premises, the Building or Subtenant’s obligations under this Sublease. Subtenant shall promptly reimburse Sublandlord for the costs of the issuance of the Access Keys, including, without limitation, replacement of lost, stolen or damages Access Keys.</w:t>
      </w:r>
    </w:p>
    <w:p>
      <w:pPr>
        <w:spacing w:after="0" w:line="195" w:lineRule="exact"/>
        <w:rPr>
          <w:rFonts w:ascii="Arial" w:cs="Arial" w:eastAsia="Arial" w:hAnsi="Arial"/>
          <w:sz w:val="16"/>
          <w:szCs w:val="16"/>
          <w:color w:val="auto"/>
        </w:rPr>
      </w:pPr>
    </w:p>
    <w:p>
      <w:pPr>
        <w:jc w:val="both"/>
        <w:ind w:firstLine="1304"/>
        <w:spacing w:after="0" w:line="272" w:lineRule="auto"/>
        <w:tabs>
          <w:tab w:leader="none" w:pos="193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Landlord agrees to deal directly with Subtenant with respect to furnishing services to Subtenant and/or the Subleased Premises and/or operations of the Building as may be available to Sublandlord pursuant to the express provisions of the Master Lease in the ordinary course of Subtenant’s business within the Subleased Premises, such as freight elevators, janitorial, maintenance and repairs, plumbing, trash removal and other similar types of service/operations matters, and/or the performance of alterations (collectively, “</w:t>
      </w:r>
      <w:r>
        <w:rPr>
          <w:rFonts w:ascii="Arial" w:cs="Arial" w:eastAsia="Arial" w:hAnsi="Arial"/>
          <w:sz w:val="18"/>
          <w:szCs w:val="18"/>
          <w:b w:val="1"/>
          <w:bCs w:val="1"/>
          <w:color w:val="auto"/>
        </w:rPr>
        <w:t>Direct Subtenant Matters</w:t>
      </w:r>
      <w:r>
        <w:rPr>
          <w:rFonts w:ascii="Arial" w:cs="Arial" w:eastAsia="Arial" w:hAnsi="Arial"/>
          <w:sz w:val="18"/>
          <w:szCs w:val="18"/>
          <w:color w:val="auto"/>
        </w:rPr>
        <w:t>”), Sublandlord hereby approves Subtenant dealing directly with Landlord in connection with such Direct Subtenant Matters; provided, however, (i) Subtenant shall be solely responsible for payment of all Building charges charged by Landlord in connection therewith, and (ii) Subtenant will indemnify, defend (using counsel reasonably acceptable by Sublandlord), and hold Sublandlord harmless from and against any costs, expenses, reasonable attorneys’ fees, lawsuits, judgments, losses, and the like, relating to, or arising from such Direct Subtenant Matters, as well as any such action taken by Subtenant in connection with such Direct Subtenant Matters.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hereby execute this Sublease as of the Effective Date.</w:t>
      </w:r>
    </w:p>
    <w:p>
      <w:pPr>
        <w:spacing w:after="0" w:line="293" w:lineRule="exact"/>
        <w:rPr>
          <w:sz w:val="20"/>
          <w:szCs w:val="20"/>
          <w:color w:val="auto"/>
        </w:rPr>
      </w:pPr>
    </w:p>
    <w:p>
      <w:pPr>
        <w:ind w:left="5260"/>
        <w:spacing w:after="0"/>
        <w:rPr>
          <w:sz w:val="20"/>
          <w:szCs w:val="20"/>
          <w:color w:val="auto"/>
        </w:rPr>
      </w:pPr>
      <w:r>
        <w:rPr>
          <w:rFonts w:ascii="Arial" w:cs="Arial" w:eastAsia="Arial" w:hAnsi="Arial"/>
          <w:sz w:val="20"/>
          <w:szCs w:val="20"/>
          <w:b w:val="1"/>
          <w:bCs w:val="1"/>
          <w:u w:val="single" w:color="auto"/>
          <w:color w:val="auto"/>
        </w:rPr>
        <w:t>SUBLANDLORD</w:t>
      </w:r>
      <w:r>
        <w:rPr>
          <w:rFonts w:ascii="Arial" w:cs="Arial" w:eastAsia="Arial" w:hAnsi="Arial"/>
          <w:sz w:val="20"/>
          <w:szCs w:val="20"/>
          <w:color w:val="auto"/>
        </w:rPr>
        <w:t>:</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OPEN TEXT INC.</w:t>
      </w:r>
      <w:r>
        <w:rPr>
          <w:rFonts w:ascii="Arial" w:cs="Arial" w:eastAsia="Arial" w:hAnsi="Arial"/>
          <w:sz w:val="20"/>
          <w:szCs w:val="20"/>
          <w:color w:val="auto"/>
        </w:rPr>
        <w:t>,</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ind w:left="5260"/>
        <w:spacing w:after="0"/>
        <w:tabs>
          <w:tab w:leader="none" w:pos="5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Mike Cumming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12007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20"/>
          <w:szCs w:val="20"/>
          <w:color w:val="auto"/>
        </w:rPr>
        <w:t>Print Name: Mike Cumming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-24765</wp:posOffset>
            </wp:positionV>
            <wp:extent cx="9563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Title: Vice President,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-10160</wp:posOffset>
            </wp:positionV>
            <wp:extent cx="14859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20"/>
          <w:szCs w:val="20"/>
          <w:b w:val="1"/>
          <w:bCs w:val="1"/>
          <w:u w:val="single" w:color="auto"/>
          <w:color w:val="auto"/>
        </w:rPr>
        <w:t>SUBTENANT</w:t>
      </w:r>
      <w:r>
        <w:rPr>
          <w:rFonts w:ascii="Arial" w:cs="Arial" w:eastAsia="Arial" w:hAnsi="Arial"/>
          <w:sz w:val="20"/>
          <w:szCs w:val="20"/>
          <w:color w:val="auto"/>
        </w:rPr>
        <w:t>:</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UPSTART NETWORK, INC.</w:t>
      </w:r>
      <w:r>
        <w:rPr>
          <w:rFonts w:ascii="Arial" w:cs="Arial" w:eastAsia="Arial" w:hAnsi="Arial"/>
          <w:sz w:val="20"/>
          <w:szCs w:val="20"/>
          <w:color w:val="auto"/>
        </w:rPr>
        <w:t>,</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ind w:left="5260"/>
        <w:spacing w:after="0"/>
        <w:tabs>
          <w:tab w:leader="none" w:pos="5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10464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20"/>
          <w:szCs w:val="20"/>
          <w:color w:val="auto"/>
        </w:rPr>
        <w:t>Print Name: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-24765</wp:posOffset>
            </wp:positionV>
            <wp:extent cx="8026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-24765</wp:posOffset>
            </wp:positionV>
            <wp:extent cx="401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401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9479"/>
          </w:cols>
          <w:pgMar w:left="980" w:top="1413"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Snowflake Sublease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A</w:t>
      </w:r>
    </w:p>
    <w:p>
      <w:pPr>
        <w:sectPr>
          <w:pgSz w:w="11900" w:h="16838" w:orient="portrait"/>
          <w:cols w:equalWidth="0" w:num="1">
            <w:col w:w="9019"/>
          </w:cols>
          <w:pgMar w:left="1440" w:top="1413"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Sub-Sublease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B</w:t>
      </w:r>
    </w:p>
    <w:p>
      <w:pPr>
        <w:sectPr>
          <w:pgSz w:w="11900" w:h="16838" w:orient="portrait"/>
          <w:cols w:equalWidth="0" w:num="1">
            <w:col w:w="9019"/>
          </w:cols>
          <w:pgMar w:left="1440" w:top="1413" w:right="1440" w:bottom="1440" w:gutter="0" w:footer="0" w:header="0"/>
        </w:sectPr>
      </w:pPr>
    </w:p>
    <w:bookmarkStart w:id="209" w:name="page210"/>
    <w:bookmarkEnd w:id="209"/>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Master Lease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C</w:t>
      </w:r>
    </w:p>
    <w:p>
      <w:pPr>
        <w:sectPr>
          <w:pgSz w:w="11900" w:h="16838" w:orient="portrait"/>
          <w:cols w:equalWidth="0" w:num="1">
            <w:col w:w="9019"/>
          </w:cols>
          <w:pgMar w:left="1440" w:top="1413" w:right="1440"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Excluded Furniture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D</w:t>
      </w:r>
    </w:p>
    <w:p>
      <w:pPr>
        <w:sectPr>
          <w:pgSz w:w="11900" w:h="16838" w:orient="portrait"/>
          <w:cols w:equalWidth="0" w:num="1">
            <w:col w:w="9019"/>
          </w:cols>
          <w:pgMar w:left="1440" w:top="1413" w:right="1440" w:bottom="1440" w:gutter="0" w:footer="0" w:header="0"/>
        </w:sectPr>
      </w:pPr>
    </w:p>
    <w:bookmarkStart w:id="211" w:name="page212"/>
    <w:bookmarkEnd w:id="211"/>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Bill of Sale for Furniture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E – Page 1</w:t>
      </w:r>
    </w:p>
    <w:p>
      <w:pPr>
        <w:sectPr>
          <w:pgSz w:w="11900" w:h="16838" w:orient="portrait"/>
          <w:cols w:equalWidth="0" w:num="1">
            <w:col w:w="9019"/>
          </w:cols>
          <w:pgMar w:left="1440" w:top="1413" w:right="1440" w:bottom="1440" w:gutter="0" w:footer="0" w:header="0"/>
        </w:sectPr>
      </w:pPr>
    </w:p>
    <w:bookmarkStart w:id="212" w:name="page213"/>
    <w:bookmarkEnd w:id="212"/>
    <w:p>
      <w:pPr>
        <w:jc w:val="center"/>
        <w:spacing w:after="0"/>
        <w:rPr>
          <w:sz w:val="20"/>
          <w:szCs w:val="20"/>
          <w:color w:val="auto"/>
        </w:rPr>
      </w:pPr>
      <w:r>
        <w:rPr>
          <w:rFonts w:ascii="Arial" w:cs="Arial" w:eastAsia="Arial" w:hAnsi="Arial"/>
          <w:sz w:val="20"/>
          <w:szCs w:val="20"/>
          <w:b w:val="1"/>
          <w:bCs w:val="1"/>
          <w:u w:val="single" w:color="auto"/>
          <w:color w:val="auto"/>
        </w:rPr>
        <w:t>BILL OF SALE</w:t>
      </w:r>
    </w:p>
    <w:p>
      <w:pPr>
        <w:spacing w:after="0" w:line="216" w:lineRule="exact"/>
        <w:rPr>
          <w:sz w:val="20"/>
          <w:szCs w:val="20"/>
          <w:color w:val="auto"/>
        </w:rPr>
      </w:pPr>
    </w:p>
    <w:p>
      <w:pPr>
        <w:jc w:val="both"/>
        <w:ind w:firstLine="360"/>
        <w:spacing w:after="0" w:line="330" w:lineRule="auto"/>
        <w:rPr>
          <w:sz w:val="20"/>
          <w:szCs w:val="20"/>
          <w:color w:val="auto"/>
        </w:rPr>
      </w:pPr>
      <w:r>
        <w:rPr>
          <w:rFonts w:ascii="Arial" w:cs="Arial" w:eastAsia="Arial" w:hAnsi="Arial"/>
          <w:sz w:val="16"/>
          <w:szCs w:val="16"/>
          <w:color w:val="auto"/>
        </w:rPr>
        <w:t>OPEN TEXT INC. (“</w:t>
      </w:r>
      <w:r>
        <w:rPr>
          <w:rFonts w:ascii="Arial" w:cs="Arial" w:eastAsia="Arial" w:hAnsi="Arial"/>
          <w:sz w:val="16"/>
          <w:szCs w:val="16"/>
          <w:b w:val="1"/>
          <w:bCs w:val="1"/>
          <w:color w:val="auto"/>
        </w:rPr>
        <w:t>Seller</w:t>
      </w:r>
      <w:r>
        <w:rPr>
          <w:rFonts w:ascii="Arial" w:cs="Arial" w:eastAsia="Arial" w:hAnsi="Arial"/>
          <w:sz w:val="16"/>
          <w:szCs w:val="16"/>
          <w:color w:val="auto"/>
        </w:rPr>
        <w:t>”), in consideration of One and No/100 ($1.00) Dollar, the receipt ad sufficiency of which is hereby acknowledged, does hereby sell, assign, transfer, convey and set over to UPSTART NETWORK, INC. (“</w:t>
      </w:r>
      <w:r>
        <w:rPr>
          <w:rFonts w:ascii="Arial" w:cs="Arial" w:eastAsia="Arial" w:hAnsi="Arial"/>
          <w:sz w:val="16"/>
          <w:szCs w:val="16"/>
          <w:b w:val="1"/>
          <w:bCs w:val="1"/>
          <w:color w:val="auto"/>
        </w:rPr>
        <w:t>Buyer</w:t>
      </w:r>
      <w:r>
        <w:rPr>
          <w:rFonts w:ascii="Arial" w:cs="Arial" w:eastAsia="Arial" w:hAnsi="Arial"/>
          <w:sz w:val="16"/>
          <w:szCs w:val="16"/>
          <w:color w:val="auto"/>
        </w:rPr>
        <w:t>”), the Furniture, as defined in that certain Sublease dated August ___, 2021, by and between Seller, as “Sublandlord,” and Buyer, as “Subtenant” (the “</w:t>
      </w:r>
      <w:r>
        <w:rPr>
          <w:rFonts w:ascii="Arial" w:cs="Arial" w:eastAsia="Arial" w:hAnsi="Arial"/>
          <w:sz w:val="16"/>
          <w:szCs w:val="16"/>
          <w:b w:val="1"/>
          <w:bCs w:val="1"/>
          <w:color w:val="auto"/>
        </w:rPr>
        <w:t>Sublease</w:t>
      </w:r>
      <w:r>
        <w:rPr>
          <w:rFonts w:ascii="Arial" w:cs="Arial" w:eastAsia="Arial" w:hAnsi="Arial"/>
          <w:sz w:val="16"/>
          <w:szCs w:val="16"/>
          <w:color w:val="auto"/>
        </w:rPr>
        <w:t>”), and located at the premises subleased by Buyer as more particularly described in the Sublease. The Sublease is incorporated herein by reference.</w:t>
      </w:r>
    </w:p>
    <w:p>
      <w:pPr>
        <w:spacing w:after="0" w:line="155" w:lineRule="exact"/>
        <w:rPr>
          <w:sz w:val="20"/>
          <w:szCs w:val="20"/>
          <w:color w:val="auto"/>
        </w:rPr>
      </w:pPr>
    </w:p>
    <w:p>
      <w:pPr>
        <w:jc w:val="both"/>
        <w:ind w:firstLine="211"/>
        <w:spacing w:after="0" w:line="243" w:lineRule="auto"/>
        <w:rPr>
          <w:sz w:val="20"/>
          <w:szCs w:val="20"/>
          <w:color w:val="auto"/>
        </w:rPr>
      </w:pPr>
      <w:r>
        <w:rPr>
          <w:rFonts w:ascii="Arial" w:cs="Arial" w:eastAsia="Arial" w:hAnsi="Arial"/>
          <w:sz w:val="20"/>
          <w:szCs w:val="20"/>
          <w:color w:val="auto"/>
        </w:rPr>
        <w:t>Seller hereby represents and warrants to Buyer that Seller has full right, power and authority to enter into this Bill of Sale and convey said personal property to Buyer free and clear of all liens, charges, and encumbrance made by or through Seller. Except as expressly provided herein, SELLER MAKES NO OTHER REPRESENTATIONS OR WARRANTIES OF ANY KIND, NATURE, OR DESCRIPTION, AND HEREBY EXPRESSLY DISCLAIMS, ANY OTHER STATED OR IMPLIED REPRESENTATION OR WARRANTIES INCLUDING THOSE RELATED TO QUALITY, MERCHANTABILITY, OR FITNESS FOR A PARTICULAR PURPOSE, AND BUYER HEREBY ACCEPTS THE PERSONAL PROPERTY CONVEYED HEREIN IN ITS CURRENT AS-IS, WHERE-IS CONDITION, WITH ALL FAULTS.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signed this Bill of Sale on ___________ ____, 20___.</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260"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OPEN TEXT INC.</w:t>
      </w:r>
      <w:r>
        <w:rPr>
          <w:rFonts w:ascii="Arial" w:cs="Arial" w:eastAsia="Arial" w:hAnsi="Arial"/>
          <w:sz w:val="22"/>
          <w:szCs w:val="22"/>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99"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Print Name:</w:t>
      </w:r>
    </w:p>
    <w:p>
      <w:pPr>
        <w:spacing w:after="0" w:line="4" w:lineRule="exact"/>
        <w:rPr>
          <w:sz w:val="20"/>
          <w:szCs w:val="20"/>
          <w:color w:val="auto"/>
        </w:rPr>
      </w:pPr>
    </w:p>
    <w:p>
      <w:pPr>
        <w:jc w:val="center"/>
        <w:ind w:left="4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Exhibit E – Page 2</w:t>
      </w:r>
    </w:p>
    <w:p>
      <w:pPr>
        <w:sectPr>
          <w:pgSz w:w="11900" w:h="16838" w:orient="portrait"/>
          <w:cols w:equalWidth="0" w:num="1">
            <w:col w:w="11240"/>
          </w:cols>
          <w:pgMar w:left="320" w:top="1413"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2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4345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Dave Girouard</w:t>
      </w:r>
    </w:p>
    <w:p>
      <w:pPr>
        <w:spacing w:after="0" w:line="92" w:lineRule="exact"/>
        <w:rPr>
          <w:sz w:val="20"/>
          <w:szCs w:val="20"/>
          <w:color w:val="auto"/>
        </w:rPr>
      </w:pPr>
    </w:p>
    <w:p>
      <w:pPr>
        <w:sectPr>
          <w:pgSz w:w="11900" w:h="16838" w:orient="portrait"/>
          <w:cols w:equalWidth="0" w:num="2">
            <w:col w:w="660" w:space="280"/>
            <w:col w:w="10300"/>
          </w:cols>
          <w:pgMar w:left="320" w:top="1093" w:right="339" w:bottom="1440" w:gutter="0" w:footer="0" w:header="0"/>
          <w:type w:val="continuous"/>
        </w:sectPr>
      </w:pP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2">
            <w:col w:w="580" w:space="360"/>
            <w:col w:w="10300"/>
          </w:cols>
          <w:pgMar w:left="320" w:top="1093" w:right="339" w:bottom="144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4345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Sanjay Datta</w:t>
      </w:r>
    </w:p>
    <w:p>
      <w:pPr>
        <w:spacing w:after="0" w:line="115" w:lineRule="exact"/>
        <w:rPr>
          <w:sz w:val="20"/>
          <w:szCs w:val="20"/>
          <w:color w:val="auto"/>
        </w:rPr>
      </w:pPr>
    </w:p>
    <w:p>
      <w:pPr>
        <w:sectPr>
          <w:pgSz w:w="11900" w:h="16838" w:orient="portrait"/>
          <w:cols w:equalWidth="0" w:num="2">
            <w:col w:w="660" w:space="280"/>
            <w:col w:w="10300"/>
          </w:cols>
          <w:pgMar w:left="320" w:top="1093" w:right="339" w:bottom="1440" w:gutter="0" w:footer="0" w:header="0"/>
          <w:type w:val="continuous"/>
        </w:sectPr>
      </w:pP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2">
            <w:col w:w="580" w:space="360"/>
            <w:col w:w="10300"/>
          </w:cols>
          <w:pgMar w:left="320" w:top="1093" w:right="339" w:bottom="1440"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Dave Girouard, certify, pursuant to 18 U.S.C. Section 1350, as adopted pursuant to Section 906 of the Sarbanes-Oxley Act of 2002, that the Quarterly Report on Form 10-Q of Upstart Holdings, Inc. for the quarter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480" w:type="dxa"/>
            <w:vAlign w:val="bottom"/>
          </w:tcPr>
          <w:p>
            <w:pPr>
              <w:ind w:left="20"/>
              <w:spacing w:after="0"/>
              <w:rPr>
                <w:sz w:val="20"/>
                <w:szCs w:val="20"/>
                <w:color w:val="auto"/>
              </w:rPr>
            </w:pPr>
            <w:r>
              <w:rPr>
                <w:rFonts w:ascii="Arial" w:cs="Arial" w:eastAsia="Arial" w:hAnsi="Arial"/>
                <w:sz w:val="20"/>
                <w:szCs w:val="20"/>
                <w:color w:val="auto"/>
              </w:rPr>
              <w:t>Date: November 12, 2021</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Dave Girouard</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Dave Girouard</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 and President</w:t>
            </w:r>
          </w:p>
        </w:tc>
      </w:tr>
      <w:tr>
        <w:trPr>
          <w:trHeight w:val="297"/>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5480" w:type="dxa"/>
            <w:vAlign w:val="bottom"/>
            <w:shd w:val="clear" w:color="auto" w:fill="FEFEFE"/>
          </w:tcPr>
          <w:p>
            <w:pPr>
              <w:spacing w:after="0"/>
              <w:rPr>
                <w:sz w:val="23"/>
                <w:szCs w:val="23"/>
                <w:color w:val="auto"/>
              </w:rPr>
            </w:pPr>
          </w:p>
        </w:tc>
        <w:tc>
          <w:tcPr>
            <w:tcW w:w="760" w:type="dxa"/>
            <w:vAlign w:val="bottom"/>
            <w:shd w:val="clear" w:color="auto" w:fill="FEFEFE"/>
          </w:tcPr>
          <w:p>
            <w:pPr>
              <w:spacing w:after="0"/>
              <w:rPr>
                <w:sz w:val="23"/>
                <w:szCs w:val="23"/>
                <w:color w:val="auto"/>
              </w:rPr>
            </w:pPr>
          </w:p>
        </w:tc>
        <w:tc>
          <w:tcPr>
            <w:tcW w:w="4000" w:type="dxa"/>
            <w:vAlign w:val="bottom"/>
            <w:shd w:val="clear" w:color="auto" w:fill="FEFEFE"/>
          </w:tcPr>
          <w:p>
            <w:pPr>
              <w:spacing w:after="0"/>
              <w:rPr>
                <w:sz w:val="23"/>
                <w:szCs w:val="23"/>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Sanjay Datta, certify, pursuant to 18 U.S.C. Section 1350, as adopted pursuant to Section 906 of the Sarbanes-Oxley Act of 2002, that the Quarterly Report on Form 10-Q of Upstart Holdings, Inc. for the quarter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5480" w:type="dxa"/>
            <w:vAlign w:val="bottom"/>
          </w:tcPr>
          <w:p>
            <w:pPr>
              <w:ind w:left="20"/>
              <w:spacing w:after="0"/>
              <w:rPr>
                <w:sz w:val="20"/>
                <w:szCs w:val="20"/>
                <w:color w:val="auto"/>
              </w:rPr>
            </w:pPr>
            <w:r>
              <w:rPr>
                <w:rFonts w:ascii="Arial" w:cs="Arial" w:eastAsia="Arial" w:hAnsi="Arial"/>
                <w:sz w:val="20"/>
                <w:szCs w:val="20"/>
                <w:color w:val="auto"/>
              </w:rPr>
              <w:t>Date: November 12, 2021</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Sanjay Datta</w:t>
            </w:r>
          </w:p>
        </w:tc>
      </w:tr>
      <w:tr>
        <w:trPr>
          <w:trHeight w:val="267"/>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Sanjay Datta</w:t>
            </w:r>
          </w:p>
        </w:tc>
      </w:tr>
      <w:tr>
        <w:trPr>
          <w:trHeight w:val="311"/>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36"/>
        </w:trPr>
        <w:tc>
          <w:tcPr>
            <w:tcW w:w="5480" w:type="dxa"/>
            <w:vAlign w:val="bottom"/>
            <w:shd w:val="clear" w:color="auto" w:fill="FEFEFE"/>
          </w:tcPr>
          <w:p>
            <w:pPr>
              <w:spacing w:after="0"/>
              <w:rPr>
                <w:sz w:val="3"/>
                <w:szCs w:val="3"/>
                <w:color w:val="auto"/>
              </w:rPr>
            </w:pPr>
          </w:p>
        </w:tc>
        <w:tc>
          <w:tcPr>
            <w:tcW w:w="760" w:type="dxa"/>
            <w:vAlign w:val="bottom"/>
            <w:shd w:val="clear" w:color="auto" w:fill="FEFEFE"/>
          </w:tcPr>
          <w:p>
            <w:pPr>
              <w:spacing w:after="0"/>
              <w:rPr>
                <w:sz w:val="3"/>
                <w:szCs w:val="3"/>
                <w:color w:val="auto"/>
              </w:rPr>
            </w:pPr>
          </w:p>
        </w:tc>
        <w:tc>
          <w:tcPr>
            <w:tcW w:w="4000" w:type="dxa"/>
            <w:vAlign w:val="bottom"/>
            <w:shd w:val="clear" w:color="auto" w:fill="FEFEFE"/>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1)"/>
      <w:numFmt w:val="lowerLetter"/>
      <w:start w:val="1"/>
    </w:lvl>
  </w:abstractNum>
  <w:abstractNum w:abstractNumId="5">
    <w:nsid w:val="74DE0EE3"/>
    <w:multiLevelType w:val="hybridMultilevel"/>
    <w:lvl w:ilvl="0">
      <w:lvlJc w:val="left"/>
      <w:lvlText w:val="%1."/>
      <w:numFmt w:val="decimal"/>
      <w:start w:val="1"/>
    </w:lvl>
  </w:abstractNum>
  <w:abstractNum w:abstractNumId="6">
    <w:nsid w:val="68EBC550"/>
    <w:multiLevelType w:val="hybridMultilevel"/>
    <w:lvl w:ilvl="0">
      <w:lvlJc w:val="left"/>
      <w:lvlText w:val="%1."/>
      <w:numFmt w:val="decimal"/>
      <w:start w:val="2"/>
    </w:lvl>
  </w:abstractNum>
  <w:abstractNum w:abstractNumId="7">
    <w:nsid w:val="2DF6D648"/>
    <w:multiLevelType w:val="hybridMultilevel"/>
    <w:lvl w:ilvl="0">
      <w:lvlJc w:val="left"/>
      <w:lvlText w:val="%1."/>
      <w:numFmt w:val="decimal"/>
      <w:start w:val="3"/>
    </w:lvl>
  </w:abstractNum>
  <w:abstractNum w:abstractNumId="8">
    <w:nsid w:val="46B7D447"/>
    <w:multiLevelType w:val="hybridMultilevel"/>
    <w:lvl w:ilvl="0">
      <w:lvlJc w:val="left"/>
      <w:lvlText w:val="%1."/>
      <w:numFmt w:val="decimal"/>
      <w:start w:val="4"/>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1)"/>
      <w:numFmt w:val="decimal"/>
      <w:start w:val="1"/>
    </w:lvl>
  </w:abstractNum>
  <w:abstractNum w:abstractNumId="11">
    <w:nsid w:val="57FC4FBB"/>
    <w:multiLevelType w:val="hybridMultilevel"/>
    <w:lvl w:ilvl="0">
      <w:lvlJc w:val="left"/>
      <w:lvlText w:val="(%1)"/>
      <w:numFmt w:val="decimal"/>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1."/>
      <w:numFmt w:val="decimal"/>
      <w:start w:val="5"/>
    </w:lvl>
  </w:abstractNum>
  <w:abstractNum w:abstractNumId="19">
    <w:nsid w:val="5FB8370B"/>
    <w:multiLevelType w:val="hybridMultilevel"/>
    <w:lvl w:ilvl="0">
      <w:lvlJc w:val="left"/>
      <w:lvlText w:val="(%1)"/>
      <w:numFmt w:val="decimal"/>
      <w:start w:val="1"/>
    </w:lvl>
  </w:abstractNum>
  <w:abstractNum w:abstractNumId="20">
    <w:nsid w:val="50801EE1"/>
    <w:multiLevelType w:val="hybridMultilevel"/>
    <w:lvl w:ilvl="0">
      <w:lvlJc w:val="left"/>
      <w:lvlText w:val="%1."/>
      <w:numFmt w:val="decimal"/>
      <w:start w:val="6"/>
    </w:lvl>
  </w:abstractNum>
  <w:abstractNum w:abstractNumId="21">
    <w:nsid w:val="488AC1A"/>
    <w:multiLevelType w:val="hybridMultilevel"/>
    <w:lvl w:ilvl="0">
      <w:lvlJc w:val="left"/>
      <w:lvlText w:val="(%1)"/>
      <w:numFmt w:val="decimal"/>
      <w:start w:val="1"/>
    </w:lvl>
  </w:abstractNum>
  <w:abstractNum w:abstractNumId="22">
    <w:nsid w:val="5FB8011C"/>
    <w:multiLevelType w:val="hybridMultilevel"/>
    <w:lvl w:ilvl="0">
      <w:lvlJc w:val="left"/>
      <w:lvlText w:val="%1."/>
      <w:numFmt w:val="decimal"/>
      <w:start w:val="7"/>
    </w:lvl>
  </w:abstractNum>
  <w:abstractNum w:abstractNumId="23">
    <w:nsid w:val="6AA78F7F"/>
    <w:multiLevelType w:val="hybridMultilevel"/>
    <w:lvl w:ilvl="0">
      <w:lvlJc w:val="left"/>
      <w:lvlText w:val="%1."/>
      <w:numFmt w:val="decimal"/>
      <w:start w:val="9"/>
    </w:lvl>
  </w:abstractNum>
  <w:abstractNum w:abstractNumId="24">
    <w:nsid w:val="7672BD23"/>
    <w:multiLevelType w:val="hybridMultilevel"/>
    <w:lvl w:ilvl="0">
      <w:lvlJc w:val="left"/>
      <w:lvlText w:val="%1"/>
      <w:numFmt w:val="upperLetter"/>
      <w:start w:val="44"/>
    </w:lvl>
  </w:abstractNum>
  <w:abstractNum w:abstractNumId="25">
    <w:nsid w:val="6FC75AF8"/>
    <w:multiLevelType w:val="hybridMultilevel"/>
    <w:lvl w:ilvl="0">
      <w:lvlJc w:val="left"/>
      <w:lvlText w:val="(%1)"/>
      <w:numFmt w:val="decimal"/>
      <w:start w:val="1"/>
    </w:lvl>
  </w:abstractNum>
  <w:abstractNum w:abstractNumId="26">
    <w:nsid w:val="6A5F7029"/>
    <w:multiLevelType w:val="hybridMultilevel"/>
    <w:lvl w:ilvl="0">
      <w:lvlJc w:val="left"/>
      <w:lvlText w:val="%1."/>
      <w:numFmt w:val="decimal"/>
      <w:start w:val="10"/>
    </w:lvl>
  </w:abstractNum>
  <w:abstractNum w:abstractNumId="27">
    <w:nsid w:val="7D5E18F8"/>
    <w:multiLevelType w:val="hybridMultilevel"/>
    <w:lvl w:ilvl="0">
      <w:lvlJc w:val="left"/>
      <w:lvlText w:val="%1."/>
      <w:numFmt w:val="decimal"/>
      <w:start w:val="11"/>
    </w:lvl>
  </w:abstractNum>
  <w:abstractNum w:abstractNumId="28">
    <w:nsid w:val="5F3534A4"/>
    <w:multiLevelType w:val="hybridMultilevel"/>
    <w:lvl w:ilvl="0">
      <w:lvlJc w:val="left"/>
      <w:lvlText w:val="%1."/>
      <w:numFmt w:val="decimal"/>
      <w:start w:val="12"/>
    </w:lvl>
  </w:abstractNum>
  <w:abstractNum w:abstractNumId="29">
    <w:nsid w:val="73A1821B"/>
    <w:multiLevelType w:val="hybridMultilevel"/>
    <w:lvl w:ilvl="0">
      <w:lvlJc w:val="left"/>
      <w:lvlText w:val="%1."/>
      <w:numFmt w:val="decimal"/>
      <w:start w:val="14"/>
    </w:lvl>
  </w:abstractNum>
  <w:abstractNum w:abstractNumId="30">
    <w:nsid w:val="7DE67713"/>
    <w:multiLevelType w:val="hybridMultilevel"/>
    <w:lvl w:ilvl="0">
      <w:lvlJc w:val="left"/>
      <w:lvlText w:val="%1."/>
      <w:numFmt w:val="decimal"/>
      <w:start w:val="15"/>
    </w:lvl>
  </w:abstractNum>
  <w:abstractNum w:abstractNumId="31">
    <w:nsid w:val="555C55B5"/>
    <w:multiLevelType w:val="hybridMultilevel"/>
    <w:lvl w:ilvl="0">
      <w:lvlJc w:val="left"/>
      <w:lvlText w:val="%1."/>
      <w:numFmt w:val="decimal"/>
      <w:start w:val="16"/>
    </w:lvl>
  </w:abstractNum>
  <w:abstractNum w:abstractNumId="32">
    <w:nsid w:val="3FA62ACA"/>
    <w:multiLevelType w:val="hybridMultilevel"/>
    <w:lvl w:ilvl="0">
      <w:lvlJc w:val="left"/>
      <w:lvlText w:val="%1."/>
      <w:numFmt w:val="decimal"/>
      <w:start w:val="17"/>
    </w:lvl>
  </w:abstractNum>
  <w:abstractNum w:abstractNumId="33">
    <w:nsid w:val="14FCE74E"/>
    <w:multiLevelType w:val="hybridMultilevel"/>
    <w:lvl w:ilvl="0">
      <w:lvlJc w:val="left"/>
      <w:lvlText w:val="(%1)"/>
      <w:numFmt w:val="decimal"/>
      <w:start w:val="1"/>
    </w:lvl>
  </w:abstractNum>
  <w:abstractNum w:abstractNumId="34">
    <w:nsid w:val="6A3DD3E8"/>
    <w:multiLevelType w:val="hybridMultilevel"/>
    <w:lvl w:ilvl="0">
      <w:lvlJc w:val="left"/>
      <w:lvlText w:val="(%1)"/>
      <w:numFmt w:val="decimal"/>
      <w:start w:val="1"/>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1)"/>
      <w:numFmt w:val="decimal"/>
      <w:start w:val="1"/>
    </w:lvl>
  </w:abstractNum>
  <w:abstractNum w:abstractNumId="37">
    <w:nsid w:val="53299938"/>
    <w:multiLevelType w:val="hybridMultilevel"/>
    <w:lvl w:ilvl="0">
      <w:lvlJc w:val="left"/>
      <w:lvlText w:val="(%1)"/>
      <w:numFmt w:val="decimal"/>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1)"/>
      <w:numFmt w:val="decimal"/>
      <w:start w:val="1"/>
    </w:lvl>
  </w:abstractNum>
  <w:abstractNum w:abstractNumId="42">
    <w:nsid w:val="288F1A34"/>
    <w:multiLevelType w:val="hybridMultilevel"/>
    <w:lvl w:ilvl="0">
      <w:lvlJc w:val="left"/>
      <w:lvlText w:val="(%1)"/>
      <w:numFmt w:val="decimal"/>
      <w:start w:val="1"/>
    </w:lvl>
  </w:abstractNum>
  <w:abstractNum w:abstractNumId="43">
    <w:nsid w:val="2A155DBC"/>
    <w:multiLevelType w:val="hybridMultilevel"/>
    <w:lvl w:ilvl="0">
      <w:lvlJc w:val="left"/>
      <w:lvlText w:val="(%1)"/>
      <w:numFmt w:val="decimal"/>
      <w:start w:val="1"/>
    </w:lvl>
  </w:abstractNum>
  <w:abstractNum w:abstractNumId="44">
    <w:nsid w:val="1D9F6E5F"/>
    <w:multiLevelType w:val="hybridMultilevel"/>
    <w:lvl w:ilvl="0">
      <w:lvlJc w:val="left"/>
      <w:lvlText w:val="%1."/>
      <w:numFmt w:val="decimal"/>
      <w:start w:val="9"/>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1"/>
      <w:numFmt w:val="decimal"/>
      <w:start w:val="104"/>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4">
    <w:nsid w:val="4C9B0904"/>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65">
    <w:nsid w:val="6AA7B75C"/>
    <w:multiLevelType w:val="hybridMultilevel"/>
    <w:lvl w:ilvl="0">
      <w:lvlJc w:val="left"/>
      <w:lvlText w:val="%1"/>
      <w:numFmt w:val="decimal"/>
      <w:start w:val="1"/>
    </w:lvl>
    <w:lvl w:ilvl="1">
      <w:lvlJc w:val="left"/>
      <w:lvlText w:val="%2."/>
      <w:numFmt w:val="decimal"/>
      <w:start w:val="1"/>
    </w:lvl>
    <w:lvl w:ilvl="2">
      <w:lvlJc w:val="left"/>
      <w:lvlText w:val="(%3)"/>
      <w:numFmt w:val="lowerRoman"/>
      <w:start w:val="4"/>
    </w:lvl>
    <w:lvl w:ilvl="3">
      <w:lvlJc w:val="left"/>
      <w:lvlText w:val="(%4)"/>
      <w:numFmt w:val="decimal"/>
      <w:start w:val="1"/>
    </w:lvl>
  </w:abstractNum>
  <w:abstractNum w:abstractNumId="66">
    <w:nsid w:val="1DF029D3"/>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lvl w:ilvl="3">
      <w:lvlJc w:val="left"/>
      <w:lvlText w:val="%4"/>
      <w:numFmt w:val="decimal"/>
      <w:start w:val="1"/>
    </w:lvl>
  </w:abstractNum>
  <w:abstractNum w:abstractNumId="67">
    <w:nsid w:val="5675FF36"/>
    <w:multiLevelType w:val="hybridMultilevel"/>
    <w:lvl w:ilvl="0">
      <w:lvlJc w:val="left"/>
      <w:lvlText w:val="(%1)"/>
      <w:numFmt w:val="lowerLetter"/>
      <w:start w:val="7"/>
    </w:lvl>
  </w:abstractNum>
  <w:abstractNum w:abstractNumId="68">
    <w:nsid w:val="3DD15094"/>
    <w:multiLevelType w:val="hybridMultilevel"/>
    <w:lvl w:ilvl="0">
      <w:lvlJc w:val="left"/>
      <w:lvlText w:val="(%1)"/>
      <w:numFmt w:val="lowerLetter"/>
      <w:start w:val="13"/>
    </w:lvl>
    <w:lvl w:ilvl="1">
      <w:lvlJc w:val="left"/>
      <w:lvlText w:val="(%2)"/>
      <w:numFmt w:val="lowerRoman"/>
      <w:start w:val="1"/>
    </w:lvl>
  </w:abstractNum>
  <w:abstractNum w:abstractNumId="69">
    <w:nsid w:val="3DB012B3"/>
    <w:multiLevelType w:val="hybridMultilevel"/>
    <w:lvl w:ilvl="0">
      <w:lvlJc w:val="left"/>
      <w:lvlText w:val="(%1)"/>
      <w:numFmt w:val="lowerRoman"/>
      <w:start w:val="3"/>
    </w:lvl>
  </w:abstractNum>
  <w:abstractNum w:abstractNumId="70">
    <w:nsid w:val="2708C9AF"/>
    <w:multiLevelType w:val="hybridMultilevel"/>
    <w:lvl w:ilvl="0">
      <w:lvlJc w:val="left"/>
      <w:lvlText w:val="(%1)"/>
      <w:numFmt w:val="lowerLetter"/>
      <w:start w:val="21"/>
    </w:lvl>
  </w:abstractNum>
  <w:abstractNum w:abstractNumId="71">
    <w:nsid w:val="5B25ACE2"/>
    <w:multiLevelType w:val="hybridMultilevel"/>
    <w:lvl w:ilvl="0">
      <w:lvlJc w:val="left"/>
      <w:lvlText w:val="%1."/>
      <w:numFmt w:val="decimal"/>
      <w:start w:val="3"/>
    </w:lvl>
    <w:lvl w:ilvl="1">
      <w:lvlJc w:val="left"/>
      <w:lvlText w:val="(%2)"/>
      <w:numFmt w:val="lowerLetter"/>
      <w:start w:val="1"/>
    </w:lvl>
  </w:abstractNum>
  <w:abstractNum w:abstractNumId="72">
    <w:nsid w:val="175DFCF0"/>
    <w:multiLevelType w:val="hybridMultilevel"/>
    <w:lvl w:ilvl="0">
      <w:lvlJc w:val="left"/>
      <w:lvlText w:val="(%1)"/>
      <w:numFmt w:val="lowerRoman"/>
      <w:start w:val="1"/>
    </w:lvl>
  </w:abstractNum>
  <w:abstractNum w:abstractNumId="73">
    <w:nsid w:val="4F97E3E4"/>
    <w:multiLevelType w:val="hybridMultilevel"/>
    <w:lvl w:ilvl="0">
      <w:lvlJc w:val="left"/>
      <w:lvlText w:val="(%1)"/>
      <w:numFmt w:val="lowerLetter"/>
      <w:start w:val="2"/>
    </w:lvl>
    <w:lvl w:ilvl="1">
      <w:lvlJc w:val="left"/>
      <w:lvlText w:val="(%2)"/>
      <w:numFmt w:val="lowerRoman"/>
      <w:start w:val="1"/>
    </w:lvl>
  </w:abstractNum>
  <w:abstractNum w:abstractNumId="74">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5">
    <w:nsid w:val="34FD6B4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6">
    <w:nsid w:val="5915FF3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7">
    <w:nsid w:val="56438D15"/>
    <w:multiLevelType w:val="hybridMultilevel"/>
    <w:lvl w:ilvl="0">
      <w:lvlJc w:val="left"/>
      <w:lvlText w:val="(%1)"/>
      <w:numFmt w:val="lowerLetter"/>
      <w:start w:val="2"/>
    </w:lvl>
    <w:lvl w:ilvl="1">
      <w:lvlJc w:val="left"/>
      <w:lvlText w:val="(%2)"/>
      <w:numFmt w:val="lowerRoman"/>
      <w:start w:val="1"/>
    </w:lvl>
  </w:abstractNum>
  <w:abstractNum w:abstractNumId="78">
    <w:nsid w:val="519E3149"/>
    <w:multiLevelType w:val="hybridMultilevel"/>
    <w:lvl w:ilvl="0">
      <w:lvlJc w:val="left"/>
      <w:lvlText w:val="%1"/>
      <w:numFmt w:val="lowerLetter"/>
      <w:start w:val="1"/>
    </w:lvl>
    <w:lvl w:ilvl="1">
      <w:lvlJc w:val="left"/>
      <w:lvlText w:val="(%2)"/>
      <w:numFmt w:val="lowerRoman"/>
      <w:start w:val="12"/>
    </w:lvl>
  </w:abstractNum>
  <w:abstractNum w:abstractNumId="79">
    <w:nsid w:val="2C6E4AFD"/>
    <w:multiLevelType w:val="hybridMultilevel"/>
    <w:lvl w:ilvl="0">
      <w:lvlJc w:val="left"/>
      <w:lvlText w:val="(%1)"/>
      <w:numFmt w:val="lowerLetter"/>
      <w:start w:val="3"/>
    </w:lvl>
    <w:lvl w:ilvl="1">
      <w:lvlJc w:val="left"/>
      <w:lvlText w:val="%2"/>
      <w:numFmt w:val="lowerRoman"/>
      <w:start w:val="1"/>
    </w:lvl>
  </w:abstractNum>
  <w:abstractNum w:abstractNumId="80">
    <w:nsid w:val="17A1B5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1">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2">
    <w:nsid w:val="5046B5A9"/>
    <w:multiLevelType w:val="hybridMultilevel"/>
    <w:lvl w:ilvl="0">
      <w:lvlJc w:val="left"/>
      <w:lvlText w:val="%1."/>
      <w:numFmt w:val="decimal"/>
      <w:start w:val="2"/>
    </w:lvl>
    <w:lvl w:ilvl="1">
      <w:lvlJc w:val="left"/>
      <w:lvlText w:val="(%2)"/>
      <w:numFmt w:val="lowerLetter"/>
      <w:start w:val="4"/>
    </w:lvl>
    <w:lvl w:ilvl="2">
      <w:lvlJc w:val="left"/>
      <w:lvlText w:val="(%3)"/>
      <w:numFmt w:val="lowerRoman"/>
      <w:start w:val="1"/>
    </w:lvl>
  </w:abstractNum>
  <w:abstractNum w:abstractNumId="83">
    <w:nsid w:val="5D888A08"/>
    <w:multiLevelType w:val="hybridMultilevel"/>
    <w:lvl w:ilvl="0">
      <w:lvlJc w:val="left"/>
      <w:lvlText w:val="(%1)"/>
      <w:numFmt w:val="lowerRoman"/>
      <w:start w:val="1"/>
    </w:lvl>
  </w:abstractNum>
  <w:abstractNum w:abstractNumId="84">
    <w:nsid w:val="2A082C70"/>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85">
    <w:nsid w:val="5EC6AFD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6">
    <w:nsid w:val="19E21BB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7">
    <w:nsid w:val="75E0858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8">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9">
    <w:nsid w:val="5399C65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0">
    <w:nsid w:val="20EE13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91">
    <w:nsid w:val="4427069A"/>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92">
    <w:nsid w:val="B37E80A"/>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93">
    <w:nsid w:val="2157F6BC"/>
    <w:multiLevelType w:val="hybridMultilevel"/>
    <w:lvl w:ilvl="0">
      <w:lvlJc w:val="left"/>
      <w:lvlText w:val="%1."/>
      <w:numFmt w:val="decimal"/>
      <w:start w:val="12"/>
    </w:lvl>
    <w:lvl w:ilvl="1">
      <w:lvlJc w:val="left"/>
      <w:lvlText w:val="(%2)"/>
      <w:numFmt w:val="lowerLetter"/>
      <w:start w:val="1"/>
    </w:lvl>
  </w:abstractNum>
  <w:abstractNum w:abstractNumId="94">
    <w:nsid w:val="704E1DD5"/>
    <w:multiLevelType w:val="hybridMultilevel"/>
    <w:lvl w:ilvl="0">
      <w:lvlJc w:val="left"/>
      <w:lvlText w:val="%1"/>
      <w:numFmt w:val="lowerLetter"/>
      <w:start w:val="1"/>
    </w:lvl>
    <w:lvl w:ilvl="1">
      <w:lvlJc w:val="left"/>
      <w:lvlText w:val="(%2)"/>
      <w:numFmt w:val="lowerRoman"/>
      <w:start w:val="1"/>
    </w:lvl>
  </w:abstractNum>
  <w:abstractNum w:abstractNumId="95">
    <w:nsid w:val="57D2F10E"/>
    <w:multiLevelType w:val="hybridMultilevel"/>
    <w:lvl w:ilvl="0">
      <w:lvlJc w:val="left"/>
      <w:lvlText w:val="(%1)"/>
      <w:numFmt w:val="lowerLetter"/>
      <w:start w:val="4"/>
    </w:lvl>
    <w:lvl w:ilvl="1">
      <w:lvlJc w:val="left"/>
      <w:lvlText w:val="(%2)"/>
      <w:numFmt w:val="lowerRoman"/>
      <w:start w:val="1"/>
    </w:lvl>
  </w:abstractNum>
  <w:abstractNum w:abstractNumId="96">
    <w:nsid w:val="BFFAE18"/>
    <w:multiLevelType w:val="hybridMultilevel"/>
    <w:lvl w:ilvl="0">
      <w:lvlJc w:val="left"/>
      <w:lvlText w:val="%1"/>
      <w:numFmt w:val="lowerLetter"/>
      <w:start w:val="1"/>
    </w:lvl>
    <w:lvl w:ilvl="1">
      <w:lvlJc w:val="left"/>
      <w:lvlText w:val="(%2)"/>
      <w:numFmt w:val="lowerRoman"/>
      <w:start w:val="4"/>
    </w:lvl>
  </w:abstractNum>
  <w:abstractNum w:abstractNumId="97">
    <w:nsid w:val="E3E47A8"/>
    <w:multiLevelType w:val="hybridMultilevel"/>
    <w:lvl w:ilvl="0">
      <w:lvlJc w:val="left"/>
      <w:lvlText w:val="(%1)"/>
      <w:numFmt w:val="lowerLetter"/>
      <w:start w:val="5"/>
    </w:lvl>
    <w:lvl w:ilvl="1">
      <w:lvlJc w:val="left"/>
      <w:lvlText w:val="(%2)"/>
      <w:numFmt w:val="lowerRoman"/>
      <w:start w:val="1"/>
    </w:lvl>
  </w:abstractNum>
  <w:abstractNum w:abstractNumId="98">
    <w:nsid w:val="2E48F044"/>
    <w:multiLevelType w:val="hybridMultilevel"/>
    <w:lvl w:ilvl="0">
      <w:lvlJc w:val="left"/>
      <w:lvlText w:val="%1"/>
      <w:numFmt w:val="lowerRoman"/>
      <w:start w:val="1"/>
    </w:lvl>
    <w:lvl w:ilvl="1">
      <w:lvlJc w:val="left"/>
      <w:lvlText w:val="%2."/>
      <w:numFmt w:val="decimal"/>
      <w:start w:val="15"/>
    </w:lvl>
    <w:lvl w:ilvl="2">
      <w:lvlJc w:val="left"/>
      <w:lvlText w:val="(%3)"/>
      <w:numFmt w:val="lowerLetter"/>
      <w:start w:val="1"/>
    </w:lvl>
  </w:abstractNum>
  <w:abstractNum w:abstractNumId="99">
    <w:nsid w:val="49D0FEA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3"/>
    </w:lvl>
  </w:abstractNum>
  <w:abstractNum w:abstractNumId="100">
    <w:nsid w:val="4BEE5A5B"/>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101">
    <w:nsid w:val="5551B9F3"/>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02">
    <w:nsid w:val="24F6AB8E"/>
    <w:multiLevelType w:val="hybridMultilevel"/>
    <w:lvl w:ilvl="0">
      <w:lvlJc w:val="left"/>
      <w:lvlText w:val="%1"/>
      <w:numFmt w:val="decimal"/>
      <w:start w:val="1"/>
    </w:lvl>
    <w:lvl w:ilvl="1">
      <w:lvlJc w:val="left"/>
      <w:lvlText w:val="(%2)"/>
      <w:numFmt w:val="lowerLetter"/>
      <w:start w:val="1"/>
    </w:lvl>
  </w:abstractNum>
  <w:abstractNum w:abstractNumId="103">
    <w:nsid w:val="634C574C"/>
    <w:multiLevelType w:val="hybridMultilevel"/>
    <w:lvl w:ilvl="0">
      <w:lvlJc w:val="left"/>
      <w:lvlText w:val="%1."/>
      <w:numFmt w:val="decimal"/>
      <w:start w:val="20"/>
    </w:lvl>
    <w:lvl w:ilvl="1">
      <w:lvlJc w:val="left"/>
      <w:lvlText w:val="%2"/>
      <w:numFmt w:val="lowerLetter"/>
      <w:start w:val="1"/>
    </w:lvl>
  </w:abstractNum>
  <w:abstractNum w:abstractNumId="104">
    <w:nsid w:val="24E99DD7"/>
    <w:multiLevelType w:val="hybridMultilevel"/>
    <w:lvl w:ilvl="0">
      <w:lvlJc w:val="left"/>
      <w:lvlText w:val="(%1)"/>
      <w:numFmt w:val="lowerRoman"/>
      <w:start w:val="1"/>
    </w:lvl>
  </w:abstractNum>
  <w:abstractNum w:abstractNumId="105">
    <w:nsid w:val="2A31B62D"/>
    <w:multiLevelType w:val="hybridMultilevel"/>
    <w:lvl w:ilvl="0">
      <w:lvlJc w:val="left"/>
      <w:lvlText w:val="%1."/>
      <w:numFmt w:val="decimal"/>
      <w:start w:val="1"/>
    </w:lvl>
    <w:lvl w:ilvl="1">
      <w:lvlJc w:val="left"/>
      <w:lvlText w:val="(%2)"/>
      <w:numFmt w:val="lowerLetter"/>
      <w:start w:val="1"/>
    </w:lvl>
  </w:abstractNum>
  <w:abstractNum w:abstractNumId="106">
    <w:nsid w:val="1849C29B"/>
    <w:multiLevelType w:val="hybridMultilevel"/>
    <w:lvl w:ilvl="0">
      <w:lvlJc w:val="left"/>
      <w:lvlText w:val="(%1)"/>
      <w:numFmt w:val="lowerLetter"/>
      <w:start w:val="2"/>
    </w:lvl>
  </w:abstractNum>
  <w:abstractNum w:abstractNumId="107">
    <w:nsid w:val="7DFF9D0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8">
    <w:nsid w:val="754342"/>
    <w:multiLevelType w:val="hybridMultilevel"/>
    <w:lvl w:ilvl="0">
      <w:lvlJc w:val="left"/>
      <w:lvlText w:val="%1"/>
      <w:numFmt w:val="lowerLetter"/>
      <w:start w:val="1"/>
    </w:lvl>
    <w:lvl w:ilvl="1">
      <w:lvlJc w:val="left"/>
      <w:lvlText w:val="(%2)"/>
      <w:numFmt w:val="lowerRoman"/>
      <w:start w:val="3"/>
    </w:lvl>
  </w:abstractNum>
  <w:abstractNum w:abstractNumId="109">
    <w:nsid w:val="69E7F3E5"/>
    <w:multiLevelType w:val="hybridMultilevel"/>
    <w:lvl w:ilvl="0">
      <w:lvlJc w:val="left"/>
      <w:lvlText w:val="(%1)"/>
      <w:numFmt w:val="lowerLetter"/>
      <w:start w:val="2"/>
    </w:lvl>
    <w:lvl w:ilvl="1">
      <w:lvlJc w:val="left"/>
      <w:lvlText w:val="%2"/>
      <w:numFmt w:val="lowerRoman"/>
      <w:start w:val="1"/>
    </w:lvl>
  </w:abstractNum>
  <w:abstractNum w:abstractNumId="110">
    <w:nsid w:val="2A6DE806"/>
    <w:multiLevelType w:val="hybridMultilevel"/>
    <w:lvl w:ilvl="0">
      <w:lvlJc w:val="left"/>
      <w:lvlText w:val="%1."/>
      <w:numFmt w:val="decimal"/>
      <w:start w:val="8"/>
    </w:lvl>
    <w:lvl w:ilvl="1">
      <w:lvlJc w:val="left"/>
      <w:lvlText w:val="(%2)"/>
      <w:numFmt w:val="lowerLetter"/>
      <w:start w:val="1"/>
    </w:lvl>
  </w:abstractNum>
  <w:abstractNum w:abstractNumId="111">
    <w:nsid w:val="1816F8C4"/>
    <w:multiLevelType w:val="hybridMultilevel"/>
    <w:lvl w:ilvl="0">
      <w:lvlJc w:val="left"/>
      <w:lvlText w:val="(%1)"/>
      <w:numFmt w:val="lowerLetter"/>
      <w:start w:val="5"/>
    </w:lvl>
  </w:abstractNum>
  <w:abstractNum w:abstractNumId="112">
    <w:nsid w:val="37DF2233"/>
    <w:multiLevelType w:val="hybridMultilevel"/>
    <w:lvl w:ilvl="0">
      <w:lvlJc w:val="left"/>
      <w:lvlText w:val="%1"/>
      <w:numFmt w:val="decimal"/>
      <w:start w:val="1"/>
    </w:lvl>
    <w:lvl w:ilvl="1">
      <w:lvlJc w:val="left"/>
      <w:lvlText w:val="(%2)"/>
      <w:numFmt w:val="lowerLetter"/>
      <w:start w:val="14"/>
    </w:lvl>
  </w:abstractNum>
  <w:abstractNum w:abstractNumId="113">
    <w:nsid w:val="7AB49DAF"/>
    <w:multiLevelType w:val="hybridMultilevel"/>
    <w:lvl w:ilvl="0">
      <w:lvlJc w:val="left"/>
      <w:lvlText w:val="%1."/>
      <w:numFmt w:val="decimal"/>
      <w:start w:val="10"/>
    </w:lvl>
    <w:lvl w:ilvl="1">
      <w:lvlJc w:val="left"/>
      <w:lvlText w:val="(%2)"/>
      <w:numFmt w:val="lowerLetter"/>
      <w:start w:val="1"/>
    </w:lvl>
  </w:abstractNum>
  <w:abstractNum w:abstractNumId="114">
    <w:nsid w:val="759F82CD"/>
    <w:multiLevelType w:val="hybridMultilevel"/>
    <w:lvl w:ilvl="0">
      <w:lvlJc w:val="left"/>
      <w:lvlText w:val="%1"/>
      <w:numFmt w:val="decimal"/>
      <w:start w:val="1"/>
    </w:lvl>
    <w:lvl w:ilvl="1">
      <w:lvlJc w:val="left"/>
      <w:lvlText w:val="(%2)"/>
      <w:numFmt w:val="lowerLetter"/>
      <w:start w:val="4"/>
    </w:lvl>
  </w:abstractNum>
  <w:abstractNum w:abstractNumId="115">
    <w:nsid w:val="61E74EA3"/>
    <w:multiLevelType w:val="hybridMultilevel"/>
    <w:lvl w:ilvl="0">
      <w:lvlJc w:val="left"/>
      <w:lvlText w:val="%1."/>
      <w:numFmt w:val="decimal"/>
      <w:start w:val="11"/>
    </w:lvl>
    <w:lvl w:ilvl="1">
      <w:lvlJc w:val="left"/>
      <w:lvlText w:val="%2"/>
      <w:numFmt w:val="lowerLetter"/>
      <w:start w:val="1"/>
    </w:lvl>
  </w:abstractNum>
  <w:abstractNum w:abstractNumId="116">
    <w:nsid w:val="597B4D84"/>
    <w:multiLevelType w:val="hybridMultilevel"/>
    <w:lvl w:ilvl="0">
      <w:lvlJc w:val="left"/>
      <w:lvlText w:val="%1."/>
      <w:numFmt w:val="decimal"/>
      <w:start w:val="13"/>
    </w:lvl>
    <w:lvl w:ilvl="1">
      <w:lvlJc w:val="left"/>
      <w:lvlText w:val="(%2)"/>
      <w:numFmt w:val="lowerLetter"/>
      <w:start w:val="1"/>
    </w:lvl>
  </w:abstractNum>
  <w:abstractNum w:abstractNumId="117">
    <w:nsid w:val="F819E7F"/>
    <w:multiLevelType w:val="hybridMultilevel"/>
    <w:lvl w:ilvl="0">
      <w:lvlJc w:val="left"/>
      <w:lvlText w:val="(%1)"/>
      <w:numFmt w:val="lowerLetter"/>
      <w:start w:val="6"/>
    </w:lvl>
  </w:abstractNum>
  <w:abstractNum w:abstractNumId="118">
    <w:nsid w:val="57C7D42D"/>
    <w:multiLevelType w:val="hybridMultilevel"/>
    <w:lvl w:ilvl="0">
      <w:lvlJc w:val="left"/>
      <w:lvlText w:val="(%1)"/>
      <w:numFmt w:val="lowerLetter"/>
      <w:start w:val="11"/>
    </w:lvl>
  </w:abstractNum>
  <w:abstractNum w:abstractNumId="119">
    <w:nsid w:val="312167AD"/>
    <w:multiLevelType w:val="hybridMultilevel"/>
    <w:lvl w:ilvl="0">
      <w:lvlJc w:val="left"/>
      <w:lvlText w:val="(%1)"/>
      <w:numFmt w:val="lowerLetter"/>
      <w:start w:val="1"/>
    </w:lvl>
  </w:abstractNum>
  <w:abstractNum w:abstractNumId="120">
    <w:nsid w:val="631B64D4"/>
    <w:multiLevelType w:val="hybridMultilevel"/>
    <w:lvl w:ilvl="0">
      <w:lvlJc w:val="left"/>
      <w:lvlText w:val="(%1)"/>
      <w:numFmt w:val="lowerRoman"/>
      <w:start w:val="7"/>
    </w:lvl>
  </w:abstractNum>
  <w:abstractNum w:abstractNumId="121">
    <w:nsid w:val="78B5E776"/>
    <w:multiLevelType w:val="hybridMultilevel"/>
    <w:lvl w:ilvl="0">
      <w:lvlJc w:val="left"/>
      <w:lvlText w:val="(%1)"/>
      <w:numFmt w:val="lowerRoman"/>
      <w:start w:val="8"/>
    </w:lvl>
  </w:abstractNum>
  <w:abstractNum w:abstractNumId="122">
    <w:nsid w:val="75486E47"/>
    <w:multiLevelType w:val="hybridMultilevel"/>
    <w:lvl w:ilvl="0">
      <w:lvlJc w:val="left"/>
      <w:lvlText w:val="%1."/>
      <w:numFmt w:val="decimal"/>
      <w:start w:val="14"/>
    </w:lvl>
  </w:abstractNum>
  <w:abstractNum w:abstractNumId="123">
    <w:nsid w:val="6E534CDE"/>
    <w:multiLevelType w:val="hybridMultilevel"/>
    <w:lvl w:ilvl="0">
      <w:lvlJc w:val="left"/>
      <w:lvlText w:val="%1."/>
      <w:numFmt w:val="decimal"/>
      <w:start w:val="15"/>
    </w:lvl>
  </w:abstractNum>
  <w:abstractNum w:abstractNumId="124">
    <w:nsid w:val="1A0DDE32"/>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125">
    <w:nsid w:val="65968C1C"/>
    <w:multiLevelType w:val="hybridMultilevel"/>
    <w:lvl w:ilvl="0">
      <w:lvlJc w:val="left"/>
      <w:lvlText w:val="%1."/>
      <w:numFmt w:val="decimal"/>
      <w:start w:val="20"/>
    </w:lvl>
    <w:lvl w:ilvl="1">
      <w:lvlJc w:val="left"/>
      <w:lvlText w:val="(%2)"/>
      <w:numFmt w:val="lowerLetter"/>
      <w:start w:val="1"/>
    </w:lvl>
  </w:abstractNum>
  <w:abstractNum w:abstractNumId="126">
    <w:nsid w:val="46263DEC"/>
    <w:multiLevelType w:val="hybridMultilevel"/>
    <w:lvl w:ilvl="0">
      <w:lvlJc w:val="left"/>
      <w:lvlText w:val="(%1)"/>
      <w:numFmt w:val="lowerLetter"/>
      <w:start w:val="4"/>
    </w:lvl>
  </w:abstractNum>
  <w:abstractNum w:abstractNumId="127">
    <w:nsid w:val="260D8C4A"/>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128">
    <w:nsid w:val="73D4D3C4"/>
    <w:multiLevelType w:val="hybridMultilevel"/>
    <w:lvl w:ilvl="0">
      <w:lvlJc w:val="left"/>
      <w:lvlText w:val="%1"/>
      <w:numFmt w:val="lowerLetter"/>
      <w:start w:val="1"/>
    </w:lvl>
    <w:lvl w:ilvl="1">
      <w:lvlJc w:val="left"/>
      <w:lvlText w:val="(%2)"/>
      <w:numFmt w:val="lowerRoman"/>
      <w:start w:val="4"/>
    </w:lvl>
  </w:abstractNum>
  <w:abstractNum w:abstractNumId="129">
    <w:nsid w:val="746F2E30"/>
    <w:multiLevelType w:val="hybridMultilevel"/>
    <w:lvl w:ilvl="0">
      <w:lvlJc w:val="left"/>
      <w:lvlText w:val="(%1)"/>
      <w:numFmt w:val="lowerLetter"/>
      <w:start w:val="2"/>
    </w:lvl>
    <w:lvl w:ilvl="1">
      <w:lvlJc w:val="left"/>
      <w:lvlText w:val="%2"/>
      <w:numFmt w:val="lowerRoman"/>
      <w:start w:val="1"/>
    </w:lvl>
  </w:abstractNum>
  <w:abstractNum w:abstractNumId="130">
    <w:nsid w:val="6FDE8AF6"/>
    <w:multiLevelType w:val="hybridMultilevel"/>
    <w:lvl w:ilvl="0">
      <w:lvlJc w:val="left"/>
      <w:lvlText w:val="%1."/>
      <w:numFmt w:val="decimal"/>
      <w:start w:val="22"/>
    </w:lvl>
    <w:lvl w:ilvl="1">
      <w:lvlJc w:val="left"/>
      <w:lvlText w:val="(%2)"/>
      <w:numFmt w:val="lowerLetter"/>
      <w:start w:val="1"/>
    </w:lvl>
  </w:abstractNum>
  <w:abstractNum w:abstractNumId="131">
    <w:nsid w:val="3FC32E20"/>
    <w:multiLevelType w:val="hybridMultilevel"/>
    <w:lvl w:ilvl="0">
      <w:lvlJc w:val="left"/>
      <w:lvlText w:val="(%1)"/>
      <w:numFmt w:val="lowerLetter"/>
      <w:start w:val="6"/>
    </w:lvl>
  </w:abstractNum>
  <w:abstractNum w:abstractNumId="132">
    <w:nsid w:val="49C0E823"/>
    <w:multiLevelType w:val="hybridMultilevel"/>
    <w:lvl w:ilvl="0">
      <w:lvlJc w:val="left"/>
      <w:lvlText w:val="%1"/>
      <w:numFmt w:val="decimal"/>
      <w:start w:val="1"/>
    </w:lvl>
    <w:lvl w:ilvl="1">
      <w:lvlJc w:val="left"/>
      <w:lvlText w:val="(%2)"/>
      <w:numFmt w:val="lowerLetter"/>
      <w:start w:val="18"/>
    </w:lvl>
    <w:lvl w:ilvl="2">
      <w:lvlJc w:val="left"/>
      <w:lvlText w:val="%3"/>
      <w:numFmt w:val="lowerLetter"/>
      <w:start w:val="1"/>
    </w:lvl>
  </w:abstractNum>
  <w:abstractNum w:abstractNumId="133">
    <w:nsid w:val="14D53685"/>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abstractNum>
  <w:abstractNum w:abstractNumId="134">
    <w:nsid w:val="230F856C"/>
    <w:multiLevelType w:val="hybridMultilevel"/>
    <w:lvl w:ilvl="0">
      <w:lvlJc w:val="left"/>
      <w:lvlText w:val="%1."/>
      <w:numFmt w:val="decimal"/>
      <w:start w:val="25"/>
    </w:lvl>
  </w:abstractNum>
  <w:abstractNum w:abstractNumId="135">
    <w:nsid w:val="6EAA85FB"/>
    <w:multiLevelType w:val="hybridMultilevel"/>
    <w:lvl w:ilvl="0">
      <w:lvlJc w:val="left"/>
      <w:lvlText w:val="%1."/>
      <w:numFmt w:val="decimal"/>
      <w:start w:val="27"/>
    </w:lvl>
    <w:lvl w:ilvl="1">
      <w:lvlJc w:val="left"/>
      <w:lvlText w:val="(%2)"/>
      <w:numFmt w:val="lowerLetter"/>
      <w:start w:val="1"/>
    </w:lvl>
  </w:abstractNum>
  <w:abstractNum w:abstractNumId="136">
    <w:nsid w:val="3F06ECB2"/>
    <w:multiLevelType w:val="hybridMultilevel"/>
    <w:lvl w:ilvl="0">
      <w:lvlJc w:val="left"/>
      <w:lvlText w:val="(%1)"/>
      <w:numFmt w:val="lowerLetter"/>
      <w:start w:val="9"/>
    </w:lvl>
  </w:abstractNum>
  <w:abstractNum w:abstractNumId="137">
    <w:nsid w:val="3B594807"/>
    <w:multiLevelType w:val="hybridMultilevel"/>
    <w:lvl w:ilvl="0">
      <w:lvlJc w:val="left"/>
      <w:lvlText w:val="%1."/>
      <w:numFmt w:val="decimal"/>
      <w:start w:val="1"/>
    </w:lvl>
  </w:abstractNum>
  <w:abstractNum w:abstractNumId="138">
    <w:nsid w:val="6CAA2304"/>
    <w:multiLevelType w:val="hybridMultilevel"/>
    <w:lvl w:ilvl="0">
      <w:lvlJc w:val="left"/>
      <w:lvlText w:val="%1"/>
      <w:numFmt w:val="decimal"/>
      <w:start w:val="1"/>
    </w:lvl>
    <w:lvl w:ilvl="1">
      <w:lvlJc w:val="left"/>
      <w:lvlText w:val="(%2)"/>
      <w:numFmt w:val="lowerLetter"/>
      <w:start w:val="1"/>
    </w:lvl>
  </w:abstractNum>
  <w:abstractNum w:abstractNumId="139">
    <w:nsid w:val="3F7C2FF4"/>
    <w:multiLevelType w:val="hybridMultilevel"/>
    <w:lvl w:ilvl="0">
      <w:lvlJc w:val="left"/>
      <w:lvlText w:val="%1."/>
      <w:numFmt w:val="decimal"/>
      <w:start w:val="4"/>
    </w:lvl>
    <w:lvl w:ilvl="1">
      <w:lvlJc w:val="left"/>
      <w:lvlText w:val="%2"/>
      <w:numFmt w:val="lowerLetter"/>
      <w:start w:val="1"/>
    </w:lvl>
  </w:abstractNum>
  <w:abstractNum w:abstractNumId="140">
    <w:nsid w:val="25413BEC"/>
    <w:multiLevelType w:val="hybridMultilevel"/>
    <w:lvl w:ilvl="0">
      <w:lvlJc w:val="left"/>
      <w:lvlText w:val="%1."/>
      <w:numFmt w:val="upperLetter"/>
      <w:start w:val="1"/>
    </w:lvl>
  </w:abstractNum>
  <w:abstractNum w:abstractNumId="141">
    <w:nsid w:val="17180B0B"/>
    <w:multiLevelType w:val="hybridMultilevel"/>
    <w:lvl w:ilvl="0">
      <w:lvlJc w:val="left"/>
      <w:lvlText w:val="%1."/>
      <w:numFmt w:val="decimal"/>
      <w:start w:val="1"/>
    </w:lvl>
  </w:abstractNum>
  <w:abstractNum w:abstractNumId="142">
    <w:nsid w:val="579328B9"/>
    <w:multiLevelType w:val="hybridMultilevel"/>
    <w:lvl w:ilvl="0">
      <w:lvlJc w:val="left"/>
      <w:lvlText w:val="%1."/>
      <w:numFmt w:val="decimal"/>
      <w:start w:val="2"/>
    </w:lvl>
    <w:lvl w:ilvl="1">
      <w:lvlJc w:val="left"/>
      <w:lvlText w:val="(%2)"/>
      <w:numFmt w:val="lowerLetter"/>
      <w:start w:val="1"/>
    </w:lvl>
  </w:abstractNum>
  <w:abstractNum w:abstractNumId="143">
    <w:nsid w:val="5D205E20"/>
    <w:multiLevelType w:val="hybridMultilevel"/>
    <w:lvl w:ilvl="0">
      <w:lvlJc w:val="left"/>
      <w:lvlText w:val="%1."/>
      <w:numFmt w:val="decimal"/>
      <w:start w:val="3"/>
    </w:lvl>
    <w:lvl w:ilvl="1">
      <w:lvlJc w:val="left"/>
      <w:lvlText w:val="(%2)"/>
      <w:numFmt w:val="lowerLetter"/>
      <w:start w:val="1"/>
    </w:lvl>
  </w:abstractNum>
  <w:abstractNum w:abstractNumId="144">
    <w:nsid w:val="11CCA8BA"/>
    <w:multiLevelType w:val="hybridMultilevel"/>
    <w:lvl w:ilvl="0">
      <w:lvlJc w:val="left"/>
      <w:lvlText w:val="%1"/>
      <w:numFmt w:val="decimal"/>
      <w:start w:val="1"/>
    </w:lvl>
    <w:lvl w:ilvl="1">
      <w:lvlJc w:val="left"/>
      <w:lvlText w:val="(%2)"/>
      <w:numFmt w:val="lowerLetter"/>
      <w:start w:val="2"/>
    </w:lvl>
  </w:abstractNum>
  <w:abstractNum w:abstractNumId="145">
    <w:nsid w:val="4D32AB86"/>
    <w:multiLevelType w:val="hybridMultilevel"/>
    <w:lvl w:ilvl="0">
      <w:lvlJc w:val="left"/>
      <w:lvlText w:val="%1."/>
      <w:numFmt w:val="decimal"/>
      <w:start w:val="4"/>
    </w:lvl>
    <w:lvl w:ilvl="1">
      <w:lvlJc w:val="left"/>
      <w:lvlText w:val="(%2)"/>
      <w:numFmt w:val="lowerLetter"/>
      <w:start w:val="1"/>
    </w:lvl>
  </w:abstractNum>
  <w:abstractNum w:abstractNumId="146">
    <w:nsid w:val="3F07ACC3"/>
    <w:multiLevelType w:val="hybridMultilevel"/>
    <w:lvl w:ilvl="0">
      <w:lvlJc w:val="left"/>
      <w:lvlText w:val="(%1)"/>
      <w:numFmt w:val="lowerLetter"/>
      <w:start w:val="3"/>
    </w:lvl>
    <w:lvl w:ilvl="1">
      <w:lvlJc w:val="left"/>
      <w:lvlText w:val="(%2)"/>
      <w:numFmt w:val="lowerRoman"/>
      <w:start w:val="1"/>
    </w:lvl>
  </w:abstractNum>
  <w:abstractNum w:abstractNumId="147">
    <w:nsid w:val="6B47F63E"/>
    <w:multiLevelType w:val="hybridMultilevel"/>
    <w:lvl w:ilvl="0">
      <w:lvlJc w:val="left"/>
      <w:lvlText w:val="%1"/>
      <w:numFmt w:val="decimal"/>
      <w:start w:val="1"/>
    </w:lvl>
    <w:lvl w:ilvl="1">
      <w:lvlJc w:val="left"/>
      <w:lvlText w:val="(%2)"/>
      <w:numFmt w:val="lowerLetter"/>
      <w:start w:val="4"/>
    </w:lvl>
  </w:abstractNum>
  <w:abstractNum w:abstractNumId="148">
    <w:nsid w:val="5CB44A05"/>
    <w:multiLevelType w:val="hybridMultilevel"/>
    <w:lvl w:ilvl="0">
      <w:lvlJc w:val="left"/>
      <w:lvlText w:val="%1."/>
      <w:numFmt w:val="decimal"/>
      <w:start w:val="5"/>
    </w:lvl>
    <w:lvl w:ilvl="1">
      <w:lvlJc w:val="left"/>
      <w:lvlText w:val="(%2)"/>
      <w:numFmt w:val="lowerLetter"/>
      <w:start w:val="1"/>
    </w:lvl>
  </w:abstractNum>
  <w:abstractNum w:abstractNumId="149">
    <w:nsid w:val="16CF80F1"/>
    <w:multiLevelType w:val="hybridMultilevel"/>
    <w:lvl w:ilvl="0">
      <w:lvlJc w:val="left"/>
      <w:lvlText w:val="(%1)"/>
      <w:numFmt w:val="lowerLetter"/>
      <w:start w:val="3"/>
    </w:lvl>
    <w:lvl w:ilvl="1">
      <w:lvlJc w:val="left"/>
      <w:lvlText w:val="(%2)"/>
      <w:numFmt w:val="lowerRoman"/>
      <w:start w:val="1"/>
    </w:lvl>
  </w:abstractNum>
  <w:abstractNum w:abstractNumId="150">
    <w:nsid w:val="1C695DEC"/>
    <w:multiLevelType w:val="hybridMultilevel"/>
    <w:lvl w:ilvl="0">
      <w:lvlJc w:val="left"/>
      <w:lvlText w:val="%1"/>
      <w:numFmt w:val="decimal"/>
      <w:start w:val="1"/>
    </w:lvl>
    <w:lvl w:ilvl="1">
      <w:lvlJc w:val="left"/>
      <w:lvlText w:val="(%2)"/>
      <w:numFmt w:val="lowerLetter"/>
      <w:start w:val="4"/>
    </w:lvl>
  </w:abstractNum>
  <w:abstractNum w:abstractNumId="151">
    <w:nsid w:val="3FCFAED9"/>
    <w:multiLevelType w:val="hybridMultilevel"/>
    <w:lvl w:ilvl="0">
      <w:lvlJc w:val="left"/>
      <w:lvlText w:val="%1."/>
      <w:numFmt w:val="decimal"/>
      <w:start w:val="6"/>
    </w:lvl>
    <w:lvl w:ilvl="1">
      <w:lvlJc w:val="left"/>
      <w:lvlText w:val="%2"/>
      <w:numFmt w:val="lowerLetter"/>
      <w:start w:val="1"/>
    </w:lvl>
  </w:abstractNum>
  <w:abstractNum w:abstractNumId="152">
    <w:nsid w:val="F856867"/>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53">
    <w:nsid w:val="11B1CC33"/>
    <w:multiLevelType w:val="hybridMultilevel"/>
    <w:lvl w:ilvl="0">
      <w:lvlJc w:val="left"/>
      <w:lvlText w:val="(%1)"/>
      <w:numFmt w:val="lowerLetter"/>
      <w:start w:val="2"/>
    </w:lvl>
    <w:lvl w:ilvl="1">
      <w:lvlJc w:val="left"/>
      <w:lvlText w:val="%2."/>
      <w:numFmt w:val="decimal"/>
      <w:start w:val="10"/>
    </w:lvl>
    <w:lvl w:ilvl="2">
      <w:lvlJc w:val="left"/>
      <w:lvlText w:val="(%3)"/>
      <w:numFmt w:val="lowerLetter"/>
      <w:start w:val="1"/>
    </w:lvl>
  </w:abstractNum>
  <w:abstractNum w:abstractNumId="154">
    <w:nsid w:val="2E22FBB7"/>
    <w:multiLevelType w:val="hybridMultilevel"/>
    <w:lvl w:ilvl="0">
      <w:lvlJc w:val="left"/>
      <w:lvlText w:val="%1"/>
      <w:numFmt w:val="decimal"/>
      <w:start w:val="1"/>
    </w:lvl>
    <w:lvl w:ilvl="1">
      <w:lvlJc w:val="left"/>
      <w:lvlText w:val="(%2)"/>
      <w:numFmt w:val="lowerLetter"/>
      <w:start w:val="2"/>
    </w:lvl>
  </w:abstractNum>
  <w:abstractNum w:abstractNumId="155">
    <w:nsid w:val="29934699"/>
    <w:multiLevelType w:val="hybridMultilevel"/>
    <w:lvl w:ilvl="0">
      <w:lvlJc w:val="left"/>
      <w:lvlText w:val="%1."/>
      <w:numFmt w:val="decimal"/>
      <w:start w:val="12"/>
    </w:lvl>
    <w:lvl w:ilvl="1">
      <w:lvlJc w:val="left"/>
      <w:lvlText w:val="(%2)"/>
      <w:numFmt w:val="lowerLetter"/>
      <w:start w:val="1"/>
    </w:lvl>
  </w:abstractNum>
  <w:abstractNum w:abstractNumId="156">
    <w:nsid w:val="77485850"/>
    <w:multiLevelType w:val="hybridMultilevel"/>
    <w:lvl w:ilvl="0">
      <w:lvlJc w:val="left"/>
      <w:lvlText w:val="(%1)"/>
      <w:numFmt w:val="lowerLetter"/>
      <w:start w:val="2"/>
    </w:lvl>
    <w:lvl w:ilvl="1">
      <w:lvlJc w:val="left"/>
      <w:lvlText w:val="(%2)"/>
      <w:numFmt w:val="lowerRoman"/>
      <w:start w:val="1"/>
    </w:lvl>
  </w:abstractNum>
  <w:abstractNum w:abstractNumId="157">
    <w:nsid w:val="744939A3"/>
    <w:multiLevelType w:val="hybridMultilevel"/>
    <w:lvl w:ilvl="0">
      <w:lvlJc w:val="left"/>
      <w:lvlText w:val="%1."/>
      <w:numFmt w:val="decimal"/>
      <w:start w:val="14"/>
    </w:lvl>
    <w:lvl w:ilvl="1">
      <w:lvlJc w:val="left"/>
      <w:lvlText w:val="(%2)"/>
      <w:numFmt w:val="lowerLetter"/>
      <w:start w:val="1"/>
    </w:lvl>
  </w:abstractNum>
  <w:abstractNum w:abstractNumId="158">
    <w:nsid w:val="4FA0D2E3"/>
    <w:multiLevelType w:val="hybridMultilevel"/>
    <w:lvl w:ilvl="0">
      <w:lvlJc w:val="left"/>
      <w:lvlText w:val="(%1)"/>
      <w:numFmt w:val="lowerLetter"/>
      <w:start w:val="2"/>
    </w:lvl>
  </w:abstractNum>
  <w:abstractNum w:abstractNumId="159">
    <w:nsid w:val="6B1D2C14"/>
    <w:multiLevelType w:val="hybridMultilevel"/>
    <w:lvl w:ilvl="0">
      <w:lvlJc w:val="left"/>
      <w:lvlText w:val="(%1)"/>
      <w:numFmt w:val="lowerLetter"/>
      <w:start w:val="5"/>
    </w:lvl>
  </w:abstractNum>
  <w:abstractNum w:abstractNumId="160">
    <w:nsid w:val="68B867D3"/>
    <w:multiLevelType w:val="hybridMultilevel"/>
    <w:lvl w:ilvl="0">
      <w:lvlJc w:val="left"/>
      <w:lvlText w:val="%1."/>
      <w:numFmt w:val="decimal"/>
      <w:start w:val="17"/>
    </w:lvl>
  </w:abstractNum>
  <w:abstractNum w:abstractNumId="161">
    <w:nsid w:val="3F7F5DD9"/>
    <w:multiLevelType w:val="hybridMultilevel"/>
    <w:lvl w:ilvl="0">
      <w:lvlJc w:val="left"/>
      <w:lvlText w:val="%1."/>
      <w:numFmt w:val="decimal"/>
      <w:start w:val="19"/>
    </w:lvl>
  </w:abstractNum>
  <w:abstractNum w:abstractNumId="162">
    <w:nsid w:val="2AE05A34"/>
    <w:multiLevelType w:val="hybridMultilevel"/>
    <w:lvl w:ilvl="0">
      <w:lvlJc w:val="left"/>
      <w:lvlText w:val="%1."/>
      <w:numFmt w:val="decimal"/>
      <w:start w:val="22"/>
    </w:lvl>
  </w:abstractNum>
  <w:abstractNum w:abstractNumId="163">
    <w:nsid w:val="32794FF7"/>
    <w:multiLevelType w:val="hybridMultilevel"/>
    <w:lvl w:ilvl="0">
      <w:lvlJc w:val="left"/>
      <w:lvlText w:val="%1."/>
      <w:numFmt w:val="decimal"/>
      <w:start w:val="25"/>
    </w:lvl>
    <w:lvl w:ilvl="1">
      <w:lvlJc w:val="left"/>
      <w:lvlText w:val="(%2)"/>
      <w:numFmt w:val="lowerLetter"/>
      <w:start w:val="1"/>
    </w:lvl>
  </w:abstractNum>
  <w:abstractNum w:abstractNumId="164">
    <w:nsid w:val="5454945E"/>
    <w:multiLevelType w:val="hybridMultilevel"/>
    <w:lvl w:ilvl="0">
      <w:lvlJc w:val="left"/>
      <w:lvlText w:val="(%1)"/>
      <w:numFmt w:val="lowerLetter"/>
      <w:start w:val="35"/>
    </w:lvl>
    <w:lvl w:ilvl="1">
      <w:lvlJc w:val="left"/>
      <w:lvlText w:val="(%2)"/>
      <w:numFmt w:val="lowerLetter"/>
      <w:start w:val="3"/>
    </w:lvl>
  </w:abstractNum>
  <w:abstractNum w:abstractNumId="165">
    <w:nsid w:val="4DEFDFA0"/>
    <w:multiLevelType w:val="hybridMultilevel"/>
    <w:lvl w:ilvl="0">
      <w:lvlJc w:val="left"/>
      <w:lvlText w:val="%1."/>
      <w:numFmt w:val="decimal"/>
      <w:start w:val="1"/>
    </w:lvl>
  </w:abstractNum>
  <w:abstractNum w:abstractNumId="166">
    <w:nsid w:val="2123D5F2"/>
    <w:multiLevelType w:val="hybridMultilevel"/>
    <w:lvl w:ilvl="0">
      <w:lvlJc w:val="left"/>
      <w:lvlText w:val="(%1)"/>
      <w:numFmt w:val="lowerLetter"/>
      <w:start w:val="1"/>
    </w:lvl>
  </w:abstractNum>
  <w:abstractNum w:abstractNumId="167">
    <w:nsid w:val="135B8110"/>
    <w:multiLevelType w:val="hybridMultilevel"/>
    <w:lvl w:ilvl="0">
      <w:lvlJc w:val="left"/>
      <w:lvlText w:val="%1."/>
      <w:numFmt w:val="decimal"/>
      <w:start w:val="5"/>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decimal"/>
      <w:start w:val="1"/>
    </w:lvl>
  </w:abstractNum>
  <w:abstractNum w:abstractNumId="170">
    <w:nsid w:val="52D7B105"/>
    <w:multiLevelType w:val="hybridMultilevel"/>
    <w:lvl w:ilvl="0">
      <w:lvlJc w:val="left"/>
      <w:lvlText w:val="(%1)"/>
      <w:numFmt w:val="lowerLetter"/>
      <w:start w:val="1"/>
    </w:lvl>
  </w:abstractNum>
  <w:abstractNum w:abstractNumId="171">
    <w:nsid w:val="2E8A6394"/>
    <w:multiLevelType w:val="hybridMultilevel"/>
    <w:lvl w:ilvl="0">
      <w:lvlJc w:val="left"/>
      <w:lvlText w:val="%1."/>
      <w:numFmt w:val="decimal"/>
      <w:start w:val="5"/>
    </w:lvl>
  </w:abstractNum>
  <w:abstractNum w:abstractNumId="172">
    <w:nsid w:val="24E604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158" Type="http://schemas.openxmlformats.org/officeDocument/2006/relationships/hyperlink" Target="https://www.sec.gov/Archives/edgar/data/1647639/000119312521252733/d210411dex41.htm" TargetMode="External"/><Relationship Id="rId162" Type="http://schemas.openxmlformats.org/officeDocument/2006/relationships/hyperlink" Target="https://www.sec.gov/Archives/edgar/data/1647639/000119312521252733/d2104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2021-11-12T09:05:46Z</dcterms:created>
  <dcterms:modified xsi:type="dcterms:W3CDTF">2021-11-12T09:05:46Z</dcterms:modified>
</cp:coreProperties>
</file>