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432501.xml.htm"/>
      <w:bookmarkStart w:id="1" w:name="kswkform4_17804325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Terry Hilliard C.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UPSTART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2950 S. DELAWARE STREET, SUITE 410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Upstart Holdings, Inc.</w:t>
              </w:r>
            </w:hyperlink>
            <w:r>
              <w:rPr/>
              <w:t xml:space="preserve"> [ </w:t>
            </w:r>
            <w:r>
              <w:rPr>
                <w:rFonts w:ascii="Times;serif" w:hAnsi="Times;serif"/>
                <w:color w:val="0000FF"/>
                <w:sz w:val="24"/>
                <w:shd w:fill="FFFFFF" w:val="clear"/>
              </w:rPr>
              <w:t>UPST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6,476</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37,432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restricted stock units (RSUs). Each RSU represents a contingent right to receive one share of Common Stock. 100% of the RSUs shall vest on the earlier of May 29, 2027 or the day prior to the date of the Issuer's 2027 annual meeting of stockholders, subject to the Reporting Person continuing as a service provider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Madrid,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1735" TargetMode="External"/><Relationship Id="rId5" Type="http://schemas.openxmlformats.org/officeDocument/2006/relationships/hyperlink" Target="http://www.sec.gov/cgi-bin/browse-edgar?action=getcompany&amp;CIK=00016476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631</Words>
  <Characters>3372</Characters>
  <CharactersWithSpaces>3943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