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4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(Mark One)</w:t>
      </w:r>
    </w:p>
    <w:p>
      <w:pPr>
        <w:spacing w:after="0" w:line="154" w:lineRule="exact"/>
        <w:rPr>
          <w:sz w:val="24"/>
          <w:szCs w:val="24"/>
          <w:color w:val="auto"/>
        </w:rPr>
      </w:pPr>
    </w:p>
    <w:p>
      <w:pPr>
        <w:ind w:left="4100" w:right="2040" w:hanging="3539"/>
        <w:spacing w:after="0" w:line="215" w:lineRule="auto"/>
        <w:tabs>
          <w:tab w:leader="none" w:pos="1386" w:val="left"/>
        </w:tabs>
        <w:numPr>
          <w:ilvl w:val="0"/>
          <w:numId w:val="1"/>
        </w:numPr>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QUARTERLY REPORT PURSUANT TO SECTION 13 OR 15(d) OF THE SECURITIES EXCHANGE ACT OF 1934 For the quarterly period ended March 31, 2024</w:t>
      </w:r>
    </w:p>
    <w:p>
      <w:pPr>
        <w:spacing w:after="0" w:line="7" w:lineRule="exact"/>
        <w:rPr>
          <w:rFonts w:ascii="MS PGothic" w:cs="MS PGothic" w:eastAsia="MS PGothic" w:hAnsi="MS PGothic"/>
          <w:sz w:val="29"/>
          <w:szCs w:val="29"/>
          <w:color w:val="auto"/>
        </w:rPr>
      </w:pPr>
    </w:p>
    <w:p>
      <w:pPr>
        <w:ind w:left="5520"/>
        <w:spacing w:after="0"/>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OR</w:t>
      </w:r>
    </w:p>
    <w:p>
      <w:pPr>
        <w:spacing w:after="0" w:line="74" w:lineRule="exact"/>
        <w:rPr>
          <w:sz w:val="24"/>
          <w:szCs w:val="24"/>
          <w:color w:val="auto"/>
        </w:rPr>
      </w:pPr>
    </w:p>
    <w:p>
      <w:pPr>
        <w:ind w:left="1380" w:hanging="819"/>
        <w:spacing w:after="0"/>
        <w:tabs>
          <w:tab w:leader="none" w:pos="1380" w:val="left"/>
        </w:tabs>
        <w:numPr>
          <w:ilvl w:val="0"/>
          <w:numId w:val="2"/>
        </w:numPr>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70" w:lineRule="exact"/>
        <w:rPr>
          <w:rFonts w:ascii="MS PGothic" w:cs="MS PGothic" w:eastAsia="MS PGothic" w:hAnsi="MS PGothic"/>
          <w:sz w:val="29"/>
          <w:szCs w:val="29"/>
          <w:color w:val="auto"/>
        </w:rPr>
      </w:pPr>
    </w:p>
    <w:p>
      <w:pPr>
        <w:ind w:left="3800"/>
        <w:spacing w:after="0"/>
        <w:rPr>
          <w:rFonts w:ascii="MS PGothic" w:cs="MS PGothic" w:eastAsia="MS PGothic" w:hAnsi="MS PGothic"/>
          <w:sz w:val="29"/>
          <w:szCs w:val="29"/>
          <w:color w:val="auto"/>
        </w:rPr>
      </w:pPr>
      <w:r>
        <w:rPr>
          <w:rFonts w:ascii="Times New Roman" w:cs="Times New Roman" w:eastAsia="Times New Roman" w:hAnsi="Times New Roman"/>
          <w:sz w:val="16"/>
          <w:szCs w:val="16"/>
          <w:b w:val="1"/>
          <w:bCs w:val="1"/>
          <w:color w:val="auto"/>
        </w:rPr>
        <w:t>For the transition period from</w:t>
      </w:r>
      <w:r>
        <w:rPr>
          <w:rFonts w:ascii="Times New Roman" w:cs="Times New Roman" w:eastAsia="Times New Roman" w:hAnsi="Times New Roman"/>
          <w:sz w:val="16"/>
          <w:szCs w:val="16"/>
          <w:b w:val="1"/>
          <w:bCs w:val="1"/>
          <w:u w:val="single" w:color="auto"/>
          <w:color w:val="auto"/>
        </w:rPr>
        <w:t>_________</w:t>
      </w:r>
      <w:r>
        <w:rPr>
          <w:rFonts w:ascii="Times New Roman" w:cs="Times New Roman" w:eastAsia="Times New Roman" w:hAnsi="Times New Roman"/>
          <w:sz w:val="16"/>
          <w:szCs w:val="16"/>
          <w:b w:val="1"/>
          <w:bCs w:val="1"/>
          <w:color w:val="auto"/>
        </w:rPr>
        <w:t xml:space="preserve">to </w:t>
      </w:r>
      <w:r>
        <w:rPr>
          <w:rFonts w:ascii="Times New Roman" w:cs="Times New Roman" w:eastAsia="Times New Roman" w:hAnsi="Times New Roman"/>
          <w:sz w:val="16"/>
          <w:szCs w:val="16"/>
          <w:b w:val="1"/>
          <w:bCs w:val="1"/>
          <w:u w:val="single" w:color="auto"/>
          <w:color w:val="auto"/>
        </w:rPr>
        <w:t>________</w:t>
      </w:r>
    </w:p>
    <w:p>
      <w:pPr>
        <w:spacing w:after="0" w:line="46" w:lineRule="exact"/>
        <w:rPr>
          <w:rFonts w:ascii="MS PGothic" w:cs="MS PGothic" w:eastAsia="MS PGothic" w:hAnsi="MS PGothic"/>
          <w:sz w:val="29"/>
          <w:szCs w:val="29"/>
          <w:color w:val="auto"/>
        </w:rPr>
      </w:pPr>
    </w:p>
    <w:p>
      <w:pPr>
        <w:ind w:left="4340"/>
        <w:spacing w:after="0"/>
        <w:rPr>
          <w:rFonts w:ascii="MS PGothic" w:cs="MS PGothic" w:eastAsia="MS PGothic" w:hAnsi="MS PGothic"/>
          <w:sz w:val="29"/>
          <w:szCs w:val="29"/>
          <w:color w:val="auto"/>
        </w:rPr>
      </w:pPr>
      <w:r>
        <w:rPr>
          <w:rFonts w:ascii="Times New Roman" w:cs="Times New Roman" w:eastAsia="Times New Roman" w:hAnsi="Times New Roman"/>
          <w:sz w:val="16"/>
          <w:szCs w:val="16"/>
          <w:b w:val="1"/>
          <w:bCs w:val="1"/>
          <w:color w:val="auto"/>
        </w:rPr>
        <w:t>Commission File Number: 001-39797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116205</wp:posOffset>
            </wp:positionV>
            <wp:extent cx="180022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22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Upstart Holdings,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62" w:lineRule="exact"/>
        <w:rPr>
          <w:sz w:val="24"/>
          <w:szCs w:val="24"/>
          <w:color w:val="auto"/>
        </w:rPr>
      </w:pPr>
    </w:p>
    <w:tbl>
      <w:tblPr>
        <w:tblLayout w:type="fixed"/>
        <w:tblInd w:w="2000" w:type="dxa"/>
        <w:tblCellMar>
          <w:top w:w="0" w:type="dxa"/>
          <w:left w:w="0" w:type="dxa"/>
          <w:bottom w:w="0" w:type="dxa"/>
          <w:right w:w="0" w:type="dxa"/>
        </w:tblCellMar>
      </w:tblPr>
      <w:tr>
        <w:trPr>
          <w:trHeight w:val="184"/>
        </w:trPr>
        <w:tc>
          <w:tcPr>
            <w:tcW w:w="4020" w:type="dxa"/>
            <w:vAlign w:val="bottom"/>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center"/>
              <w:ind w:left="1999"/>
              <w:spacing w:after="0"/>
              <w:rPr>
                <w:sz w:val="20"/>
                <w:szCs w:val="20"/>
                <w:color w:val="auto"/>
              </w:rPr>
            </w:pPr>
            <w:r>
              <w:rPr>
                <w:rFonts w:ascii="Times New Roman" w:cs="Times New Roman" w:eastAsia="Times New Roman" w:hAnsi="Times New Roman"/>
                <w:sz w:val="16"/>
                <w:szCs w:val="16"/>
                <w:b w:val="1"/>
                <w:bCs w:val="1"/>
                <w:color w:val="auto"/>
              </w:rPr>
              <w:t>46-4332431</w:t>
            </w:r>
          </w:p>
        </w:tc>
      </w:tr>
      <w:tr>
        <w:trPr>
          <w:trHeight w:val="162"/>
        </w:trPr>
        <w:tc>
          <w:tcPr>
            <w:tcW w:w="4020" w:type="dxa"/>
            <w:vAlign w:val="bottom"/>
          </w:tcPr>
          <w:p>
            <w:pPr>
              <w:jc w:val="center"/>
              <w:ind w:right="1979"/>
              <w:spacing w:after="0" w:line="162"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260" w:type="dxa"/>
            <w:vAlign w:val="bottom"/>
          </w:tcPr>
          <w:p>
            <w:pPr>
              <w:jc w:val="center"/>
              <w:ind w:left="1979"/>
              <w:spacing w:after="0" w:line="162"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020" w:type="dxa"/>
            <w:vAlign w:val="bottom"/>
          </w:tcPr>
          <w:p>
            <w:pPr>
              <w:jc w:val="center"/>
              <w:ind w:right="19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60" w:type="dxa"/>
            <w:vAlign w:val="bottom"/>
          </w:tcPr>
          <w:p>
            <w:pPr>
              <w:jc w:val="center"/>
              <w:ind w:left="1979"/>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Upstart Holdings,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2950 S. Delaware Street, Suite 410</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San Mateo, California 94403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(833) 212-2461</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54"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238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color w:val="auto"/>
              </w:rPr>
              <w:t>Title of each class:</w:t>
            </w:r>
          </w:p>
        </w:tc>
        <w:tc>
          <w:tcPr>
            <w:tcW w:w="26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color w:val="auto"/>
              </w:rPr>
              <w:t>Trading Symbol</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213"/>
        </w:trPr>
        <w:tc>
          <w:tcPr>
            <w:tcW w:w="31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580" w:type="dxa"/>
            <w:vAlign w:val="bottom"/>
          </w:tcPr>
          <w:p>
            <w:pPr>
              <w:spacing w:after="0"/>
              <w:rPr>
                <w:sz w:val="18"/>
                <w:szCs w:val="18"/>
                <w:color w:val="auto"/>
              </w:rPr>
            </w:pPr>
          </w:p>
        </w:tc>
        <w:tc>
          <w:tcPr>
            <w:tcW w:w="204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color w:val="auto"/>
              </w:rPr>
              <w:t>UPST</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90" w:lineRule="exact"/>
        <w:rPr>
          <w:sz w:val="24"/>
          <w:szCs w:val="24"/>
          <w:color w:val="auto"/>
        </w:rPr>
      </w:pPr>
    </w:p>
    <w:p>
      <w:pPr>
        <w:ind w:right="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9"/>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0"/>
          <w:szCs w:val="20"/>
          <w:color w:val="auto"/>
        </w:rPr>
      </w:pPr>
    </w:p>
    <w:p>
      <w:pPr>
        <w:ind w:right="4500"/>
        <w:spacing w:after="0" w:line="24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April 30, 2024 there were 87,878,025 shares of the registrant’s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3"/>
        </w:trPr>
        <w:tc>
          <w:tcPr>
            <w:tcW w:w="812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SPECIAL NOTE REGARDING FORWARD-LOOKING STATEMENTS</w:t>
            </w:r>
          </w:p>
        </w:tc>
        <w:tc>
          <w:tcPr>
            <w:tcW w:w="30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r>
      <w:tr>
        <w:trPr>
          <w:trHeight w:val="493"/>
        </w:trPr>
        <w:tc>
          <w:tcPr>
            <w:tcW w:w="30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2580" w:type="dxa"/>
            <w:vAlign w:val="bottom"/>
            <w:tcBorders>
              <w:top w:val="single" w:sz="8" w:color="0000FF"/>
            </w:tcBorders>
            <w:gridSpan w:val="7"/>
          </w:tcPr>
          <w:p>
            <w:pPr>
              <w:spacing w:after="0"/>
              <w:rPr>
                <w:sz w:val="24"/>
                <w:szCs w:val="24"/>
                <w:color w:val="auto"/>
              </w:rPr>
            </w:pPr>
          </w:p>
        </w:tc>
        <w:tc>
          <w:tcPr>
            <w:tcW w:w="2460" w:type="dxa"/>
            <w:vAlign w:val="bottom"/>
            <w:gridSpan w:val="6"/>
          </w:tcPr>
          <w:p>
            <w:pPr>
              <w:spacing w:after="0"/>
              <w:rPr>
                <w:sz w:val="24"/>
                <w:szCs w:val="24"/>
                <w:color w:val="auto"/>
              </w:rPr>
            </w:pPr>
          </w:p>
        </w:tc>
        <w:tc>
          <w:tcPr>
            <w:tcW w:w="308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4940" w:type="dxa"/>
            <w:vAlign w:val="bottom"/>
            <w:gridSpan w:val="12"/>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3520" w:type="dxa"/>
            <w:vAlign w:val="bottom"/>
            <w:gridSpan w:val="9"/>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1120" w:type="dxa"/>
            <w:vAlign w:val="bottom"/>
            <w:tcBorders>
              <w:top w:val="single" w:sz="8" w:color="0000FF"/>
            </w:tcBorders>
          </w:tcPr>
          <w:p>
            <w:pPr>
              <w:spacing w:after="0"/>
              <w:rPr>
                <w:sz w:val="18"/>
                <w:szCs w:val="18"/>
                <w:color w:val="auto"/>
              </w:rPr>
            </w:pPr>
          </w:p>
        </w:tc>
        <w:tc>
          <w:tcPr>
            <w:tcW w:w="94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740" w:type="dxa"/>
            <w:vAlign w:val="bottom"/>
            <w:gridSpan w:val="7"/>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3"/>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680" w:type="dxa"/>
            <w:vAlign w:val="bottom"/>
            <w:gridSpan w:val="11"/>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79"/>
        </w:trPr>
        <w:tc>
          <w:tcPr>
            <w:tcW w:w="2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5340" w:type="dxa"/>
            <w:vAlign w:val="bottom"/>
            <w:gridSpan w:val="16"/>
          </w:tcPr>
          <w:p>
            <w:pPr>
              <w:spacing w:after="0"/>
              <w:rPr>
                <w:sz w:val="24"/>
                <w:szCs w:val="24"/>
                <w:color w:val="auto"/>
              </w:rPr>
            </w:pPr>
          </w:p>
        </w:tc>
        <w:tc>
          <w:tcPr>
            <w:tcW w:w="3080" w:type="dxa"/>
            <w:vAlign w:val="bottom"/>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3"/>
          </w:tcPr>
          <w:p>
            <w:pPr>
              <w:spacing w:after="0"/>
              <w:rPr>
                <w:sz w:val="18"/>
                <w:szCs w:val="18"/>
                <w:color w:val="auto"/>
              </w:rPr>
            </w:pPr>
          </w:p>
        </w:tc>
        <w:tc>
          <w:tcPr>
            <w:tcW w:w="5120" w:type="dxa"/>
            <w:vAlign w:val="bottom"/>
            <w:gridSpan w:val="14"/>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2100" w:type="dxa"/>
            <w:vAlign w:val="bottom"/>
            <w:gridSpan w:val="4"/>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18"/>
                <w:szCs w:val="18"/>
                <w:color w:val="auto"/>
              </w:rPr>
            </w:pPr>
          </w:p>
        </w:tc>
        <w:tc>
          <w:tcPr>
            <w:tcW w:w="4140" w:type="dxa"/>
            <w:vAlign w:val="bottom"/>
            <w:gridSpan w:val="10"/>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9"/>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0"/>
        </w:trPr>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3300" w:type="dxa"/>
            <w:vAlign w:val="bottom"/>
            <w:gridSpan w:val="8"/>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0"/>
        </w:trPr>
        <w:tc>
          <w:tcPr>
            <w:tcW w:w="3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9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3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Quarterly Report on Form 10-Q include statements about:</w:t>
      </w:r>
    </w:p>
    <w:p>
      <w:pPr>
        <w:spacing w:after="0" w:line="120" w:lineRule="exact"/>
        <w:rPr>
          <w:sz w:val="20"/>
          <w:szCs w:val="20"/>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our operating expenses, our ability to determine reserves and our ability to achieve and maintain profitability;</w:t>
      </w:r>
    </w:p>
    <w:p>
      <w:pPr>
        <w:spacing w:after="0" w:line="9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effectiveness and predictiveness of our AI models and our expectations that improvements in our AI models can lead to higher approval rates and lower interest rates;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volume of loans facilitated through our AI lending marketplace;</w:t>
      </w:r>
    </w:p>
    <w:p>
      <w:pPr>
        <w:spacing w:after="0" w:line="15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a diversified and resilient loan funding strategy, including lending partnerships, whole loan sales, committed capital and other co-investment arrangements and securitization transactions;</w:t>
      </w:r>
    </w:p>
    <w:p>
      <w:pPr>
        <w:spacing w:after="0" w:line="9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plans, including expectations regarding funding loans through our balance sheet and allocations of cash and timing for any share repurchases and other investments;</w:t>
      </w:r>
    </w:p>
    <w:p>
      <w:pPr>
        <w:spacing w:after="0" w:line="8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competitive interest rates offered to borrowers on our platform, while enabling our lending partners and institutional investors to achieve an adequate return over their cost of funding;</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build our brand and protect our reputation from negative publicity;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effectiveness of our marketing strategies, including our direct consumer marketing initiatives;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macroeconomic events, including rising interest and inflation rates and monetary policy changes;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credit performance of Upstart-powered loans;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bank failures in 2023, including disruption in the banking industry, and any associated effects on our business and industry;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management of future growth, including expanding the number of potential borrowers;</w:t>
      </w:r>
    </w:p>
    <w:p>
      <w:pPr>
        <w:spacing w:after="0" w:line="15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adjust our proprietary AI models, products and services, and provide up-to-date information to our lending partners, in a timely manner in response to changing macroeconomic conditions and fluctuations in the credit market;</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local, state and federal laws;</w:t>
      </w:r>
    </w:p>
    <w:p>
      <w:pPr>
        <w:spacing w:after="0" w:line="14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successfully adapt to complex and evolving regulatory environments, including regulation of artificial intelligence and machine learning technology;</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regulatory support of our approach to AI-based lending;</w:t>
      </w:r>
    </w:p>
    <w:p>
      <w:pPr>
        <w:spacing w:after="0" w:line="14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success of our strategic investments and acquisitions, including the integration of acquired operations, products, technology, internal controls and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new and evolving markets and our ability to enter into new markets and introduce new products and services;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against increasingly sophisticated fraudulent borrowing and online theft;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loans and pursue collection of delinquent and defaulted loans;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compete with companies that are currently in, or may in the future enter, the markets in which we operate;</w:t>
      </w:r>
    </w:p>
    <w:p>
      <w:pPr>
        <w:spacing w:after="0" w:line="15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secure and maintain the confidentiality of the information received, accessed, stored, provided and used across our systems;</w:t>
      </w:r>
    </w:p>
    <w:p>
      <w:pPr>
        <w:spacing w:after="0" w:line="9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obtain and maintain corporate funding and liquidity to support continued growth and for general corporate purposes;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integrate and retain qualified employees;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 and operations;</w:t>
      </w:r>
    </w:p>
    <w:p>
      <w:pPr>
        <w:spacing w:after="0" w:line="15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and expand the capabilities of our operations teams, outsourcing relationships and other business operations;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outstanding litigation and regulatory investigations;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increased expenses associated with being a public company.</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report.</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report. Readers are urged to carefully review and consider the various disclosures made in this report and in other documents we file from time to time with the Securities and Exchange Commission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forward-looking statements as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of the terms the “Company,” “we,” “our,” “us” and similar terms used herein refer collectively to Upstart Holdings, Inc., a Delaware corporation, and its consolidated subsidiaries,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9"/>
                <w:szCs w:val="19"/>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368,405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300,529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138,622</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Loans (at fair value)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1,080,865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40,555</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62,214</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67,062</w:t>
            </w:r>
          </w:p>
        </w:tc>
        <w:tc>
          <w:tcPr>
            <w:tcW w:w="0" w:type="dxa"/>
            <w:vAlign w:val="bottom"/>
          </w:tcPr>
          <w:p>
            <w:pPr>
              <w:spacing w:after="0"/>
              <w:rPr>
                <w:sz w:val="1"/>
                <w:szCs w:val="1"/>
                <w:color w:val="auto"/>
              </w:rPr>
            </w:pPr>
          </w:p>
        </w:tc>
      </w:tr>
      <w:tr>
        <w:trPr>
          <w:trHeight w:val="175"/>
        </w:trPr>
        <w:tc>
          <w:tcPr>
            <w:tcW w:w="7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assets (includes $48,897 and $46,079 at fair value as of December 31, 2023 and March 31, 2024,</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144,634</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460"/>
              <w:spacing w:after="0" w:line="22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1,927,667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Payable to investors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1,005,277</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Payable to securitization note holders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129,092</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Accrued expenses and other liabilities (includes $10,510 and $14,314 at fair value as of December 31,</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2023 and March 31, 2024, respectively)</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62,055</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59,364</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460"/>
              <w:spacing w:after="0" w:line="223" w:lineRule="exact"/>
              <w:rPr>
                <w:sz w:val="20"/>
                <w:szCs w:val="20"/>
                <w:color w:val="auto"/>
              </w:rPr>
            </w:pPr>
            <w:r>
              <w:rPr>
                <w:rFonts w:ascii="Times New Roman" w:cs="Times New Roman" w:eastAsia="Times New Roman" w:hAnsi="Times New Roman"/>
                <w:sz w:val="18"/>
                <w:szCs w:val="18"/>
                <w:color w:val="auto"/>
              </w:rPr>
              <w:t>Total liabilities</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1,314,869</w:t>
            </w:r>
          </w:p>
        </w:tc>
        <w:tc>
          <w:tcPr>
            <w:tcW w:w="0" w:type="dxa"/>
            <w:vAlign w:val="bottom"/>
          </w:tcPr>
          <w:p>
            <w:pPr>
              <w:spacing w:after="0"/>
              <w:rPr>
                <w:sz w:val="1"/>
                <w:szCs w:val="1"/>
                <w:color w:val="auto"/>
              </w:rPr>
            </w:pP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700,000,000 shares authorized; 86,330,303 and 87,805,393 shares issued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outstanding as of December 31, 2023 and March 31, 2024, respectively</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959,963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(347,174)</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612,798</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1,927,667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48" w:lineRule="exact"/>
        <w:rPr>
          <w:sz w:val="20"/>
          <w:szCs w:val="20"/>
          <w:color w:val="auto"/>
        </w:rPr>
      </w:pPr>
    </w:p>
    <w:p>
      <w:pPr>
        <w:ind w:left="500" w:right="20" w:hanging="492"/>
        <w:spacing w:after="0" w:line="282" w:lineRule="auto"/>
        <w:tabs>
          <w:tab w:leader="none" w:pos="4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$179.1 million and $157.3 million of loans, at fair value, contributed as collateral for the consolidated securitization as of December 31, 2023 and March 31, 2024, respectively. Refer to “</w:t>
      </w:r>
      <w:r>
        <w:rPr>
          <w:rFonts w:ascii="Times New Roman" w:cs="Times New Roman" w:eastAsia="Times New Roman" w:hAnsi="Times New Roman"/>
          <w:sz w:val="14"/>
          <w:szCs w:val="14"/>
          <w:i w:val="1"/>
          <w:iCs w:val="1"/>
          <w:color w:val="auto"/>
        </w:rPr>
        <w:t>Note 6. Fair Value Measurement</w:t>
      </w:r>
      <w:r>
        <w:rPr>
          <w:rFonts w:ascii="Times New Roman" w:cs="Times New Roman" w:eastAsia="Times New Roman" w:hAnsi="Times New Roman"/>
          <w:sz w:val="14"/>
          <w:szCs w:val="14"/>
          <w:color w:val="auto"/>
        </w:rPr>
        <w:t>” for details.</w:t>
      </w:r>
    </w:p>
    <w:p>
      <w:pPr>
        <w:spacing w:after="0" w:line="202" w:lineRule="exact"/>
        <w:rPr>
          <w:rFonts w:ascii="Times New Roman" w:cs="Times New Roman" w:eastAsia="Times New Roman" w:hAnsi="Times New Roman"/>
          <w:sz w:val="14"/>
          <w:szCs w:val="14"/>
          <w:color w:val="auto"/>
        </w:rPr>
      </w:pPr>
    </w:p>
    <w:p>
      <w:pPr>
        <w:jc w:val="both"/>
        <w:ind w:left="500" w:hanging="492"/>
        <w:spacing w:after="0" w:line="275" w:lineRule="auto"/>
        <w:tabs>
          <w:tab w:leader="none" w:pos="4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presents information on assets and liabilities related to variable interest entities (“VIEs”) that are consolidated by Upstart Holdings, Inc. at December 31, 2023 and March 31, 2024. The assets in the table below may only be used to settle obligations of consolidated VIEs and are in excess of those obligations. The liabilities in the table below include liabilities for which creditors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6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9"/>
                <w:szCs w:val="19"/>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36,783</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1,147,423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1,066,559</w:t>
            </w:r>
          </w:p>
        </w:tc>
      </w:tr>
      <w:tr>
        <w:trPr>
          <w:trHeight w:val="175"/>
        </w:trPr>
        <w:tc>
          <w:tcPr>
            <w:tcW w:w="7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assets (includes $5,958 and $5,950 at fair value as of December 31, 2023 and March 31, 2024,</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23,196</w:t>
            </w:r>
          </w:p>
        </w:tc>
      </w:tr>
      <w:tr>
        <w:trPr>
          <w:trHeight w:val="22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1,195,393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1,127,899</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4"/>
        </w:trPr>
        <w:tc>
          <w:tcPr>
            <w:tcW w:w="7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investors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351,525</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securitization note holders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129,092</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w:t>
            </w:r>
          </w:p>
        </w:tc>
      </w:tr>
      <w:tr>
        <w:trPr>
          <w:trHeight w:val="223"/>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483,413</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664,441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644,486</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fees,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117,141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138,068</w:t>
            </w:r>
          </w:p>
        </w:tc>
      </w:tr>
      <w:tr>
        <w:trPr>
          <w:trHeight w:val="230"/>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interest expense, and fair value adjustments, net: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40" w:type="dxa"/>
            <w:vAlign w:val="bottom"/>
          </w:tcPr>
          <w:p>
            <w:pPr>
              <w:ind w:left="560"/>
              <w:spacing w:after="0" w:line="230"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51,171</w:t>
            </w:r>
          </w:p>
        </w:tc>
      </w:tr>
      <w:tr>
        <w:trPr>
          <w:trHeight w:val="229"/>
        </w:trPr>
        <w:tc>
          <w:tcPr>
            <w:tcW w:w="7640" w:type="dxa"/>
            <w:vAlign w:val="bottom"/>
            <w:shd w:val="clear" w:color="auto" w:fill="CCEEFF"/>
          </w:tcPr>
          <w:p>
            <w:pPr>
              <w:ind w:left="56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w:t>
            </w:r>
          </w:p>
        </w:tc>
      </w:tr>
      <w:tr>
        <w:trPr>
          <w:trHeight w:val="230"/>
        </w:trPr>
        <w:tc>
          <w:tcPr>
            <w:tcW w:w="7640" w:type="dxa"/>
            <w:vAlign w:val="bottom"/>
            <w:tcBorders>
              <w:bottom w:val="single" w:sz="8" w:color="CCEEFF"/>
            </w:tcBorders>
          </w:tcPr>
          <w:p>
            <w:pPr>
              <w:ind w:left="560"/>
              <w:spacing w:after="0" w:line="230" w:lineRule="exact"/>
              <w:rPr>
                <w:sz w:val="20"/>
                <w:szCs w:val="20"/>
                <w:color w:val="auto"/>
              </w:rPr>
            </w:pPr>
            <w:r>
              <w:rPr>
                <w:rFonts w:ascii="Times New Roman" w:cs="Times New Roman" w:eastAsia="Times New Roman" w:hAnsi="Times New Roman"/>
                <w:sz w:val="18"/>
                <w:szCs w:val="18"/>
                <w:color w:val="auto"/>
              </w:rPr>
              <w:t>Fair value and other adjustments</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(52,397)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(50,731)</w:t>
            </w:r>
          </w:p>
        </w:tc>
      </w:tr>
      <w:tr>
        <w:trPr>
          <w:trHeight w:val="223"/>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income, interest expense, and fair value adjustments, net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w:t>
            </w:r>
          </w:p>
        </w:tc>
      </w:tr>
      <w:tr>
        <w:trPr>
          <w:trHeight w:val="22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102,927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127,794</w:t>
            </w:r>
          </w:p>
        </w:tc>
      </w:tr>
      <w:tr>
        <w:trPr>
          <w:trHeight w:val="20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35,150</w:t>
            </w:r>
          </w:p>
        </w:tc>
      </w:tr>
      <w:tr>
        <w:trPr>
          <w:trHeight w:val="22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operations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39,408</w:t>
            </w:r>
          </w:p>
        </w:tc>
      </w:tr>
      <w:tr>
        <w:trPr>
          <w:trHeight w:val="229"/>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110,071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63,091</w:t>
            </w:r>
          </w:p>
        </w:tc>
      </w:tr>
      <w:tr>
        <w:trPr>
          <w:trHeight w:val="230"/>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57,613</w:t>
            </w:r>
          </w:p>
        </w:tc>
      </w:tr>
      <w:tr>
        <w:trPr>
          <w:trHeight w:val="22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234,762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195,262</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(67,468)</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(64,584)</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1"/>
        </w:trPr>
        <w:tc>
          <w:tcPr>
            <w:tcW w:w="76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(129,254)</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(64,598)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outstanding used in computing net loss per share, basic</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81,911,433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87,030,695</w:t>
            </w: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outstanding used in computing net loss per share, diluted</w:t>
            </w: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81,911,433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87,030,695</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19" w:lineRule="exact"/>
        <w:rPr>
          <w:sz w:val="20"/>
          <w:szCs w:val="20"/>
          <w:color w:val="auto"/>
        </w:rPr>
      </w:pPr>
    </w:p>
    <w:p>
      <w:pPr>
        <w:ind w:left="480" w:hanging="47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for three months ended March 31, 2024 include amounts related to the consolidated securitization. Refer to “</w:t>
      </w:r>
      <w:r>
        <w:rPr>
          <w:rFonts w:ascii="Times New Roman" w:cs="Times New Roman" w:eastAsia="Times New Roman" w:hAnsi="Times New Roman"/>
          <w:sz w:val="14"/>
          <w:szCs w:val="14"/>
          <w:i w:val="1"/>
          <w:iCs w:val="1"/>
          <w:color w:val="auto"/>
        </w:rPr>
        <w:t>Note 2. Revenue</w:t>
      </w:r>
      <w:r>
        <w:rPr>
          <w:rFonts w:ascii="Times New Roman" w:cs="Times New Roman" w:eastAsia="Times New Roman" w:hAnsi="Times New Roman"/>
          <w:sz w:val="14"/>
          <w:szCs w:val="14"/>
          <w:color w:val="auto"/>
        </w:rPr>
        <w:t>” for details.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11"/>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Stockholders’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0" w:type="dxa"/>
            <w:vAlign w:val="bottom"/>
          </w:tcPr>
          <w:p>
            <w:pPr>
              <w:spacing w:after="0"/>
              <w:rPr>
                <w:sz w:val="18"/>
                <w:szCs w:val="18"/>
                <w:color w:val="auto"/>
              </w:rPr>
            </w:pP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Accumulated Deficit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81,259,676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2"/>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714,871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(42,444)</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672,435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3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331,093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1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3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Issuance of common stock upon settlement of</w:t>
            </w:r>
          </w:p>
        </w:tc>
        <w:tc>
          <w:tcPr>
            <w:tcW w:w="1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698,173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4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3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Shares withheld related to net share settlement of</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3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312,134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purchase plan</w:t>
            </w:r>
          </w:p>
        </w:tc>
        <w:tc>
          <w:tcPr>
            <w:tcW w:w="1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(129,254)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82,600,748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798,898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(171,698)</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627,208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8"/>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0"/>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bottom w:val="single" w:sz="8" w:color="auto"/>
            </w:tcBorders>
            <w:gridSpan w:val="5"/>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Stockholders’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0" w:type="dxa"/>
            <w:vAlign w:val="bottom"/>
          </w:tcPr>
          <w:p>
            <w:pPr>
              <w:spacing w:after="0"/>
              <w:rPr>
                <w:sz w:val="18"/>
                <w:szCs w:val="18"/>
                <w:color w:val="auto"/>
              </w:rPr>
            </w:pP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Accumulated Deficit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86,330,303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917,872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(282,576)</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635,305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4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351,968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1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0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settlement of</w:t>
            </w:r>
          </w:p>
        </w:tc>
        <w:tc>
          <w:tcPr>
            <w:tcW w:w="1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925,027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withheld related to net share settlement of</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198,133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 plan</w:t>
            </w:r>
          </w:p>
        </w:tc>
        <w:tc>
          <w:tcPr>
            <w:tcW w:w="1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(64,598)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(64,598)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87,805,393</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959,963</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(347,174)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612,798</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(129,254)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(64,598)</w:t>
            </w:r>
          </w:p>
        </w:tc>
      </w:tr>
      <w:tr>
        <w:trPr>
          <w:trHeight w:val="250"/>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loans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54,017</w:t>
            </w: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servicing assets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servicing liabilities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beneficial interest assets</w:t>
            </w:r>
          </w:p>
        </w:tc>
        <w:tc>
          <w:tcPr>
            <w:tcW w:w="3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beneficial interest liabilities</w:t>
            </w:r>
          </w:p>
        </w:tc>
        <w:tc>
          <w:tcPr>
            <w:tcW w:w="3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other financial instruments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35,777</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loan servicing rights, net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w:t>
            </w: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loans held-for-sale</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(796,543)</w:t>
            </w:r>
          </w:p>
        </w:tc>
      </w:tr>
      <w:tr>
        <w:trPr>
          <w:trHeight w:val="23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loans held-for-sale</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772,690</w:t>
            </w:r>
          </w:p>
        </w:tc>
      </w:tr>
      <w:tr>
        <w:trPr>
          <w:trHeight w:val="229"/>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payments received for loans held-for-sale</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52,841</w:t>
            </w:r>
          </w:p>
        </w:tc>
      </w:tr>
      <w:tr>
        <w:trPr>
          <w:trHeight w:val="23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payments received for loans held by consolidated securitization</w:t>
            </w:r>
          </w:p>
        </w:tc>
        <w:tc>
          <w:tcPr>
            <w:tcW w:w="3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12,338</w:t>
            </w:r>
          </w:p>
        </w:tc>
      </w:tr>
      <w:tr>
        <w:trPr>
          <w:trHeight w:val="230"/>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beneficial interest liabilities</w:t>
            </w:r>
          </w:p>
        </w:tc>
        <w:tc>
          <w:tcPr>
            <w:tcW w:w="3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3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9"/>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liability and right-of-use asset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Payable to investors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r>
      <w:tr>
        <w:trPr>
          <w:trHeight w:val="230"/>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(25,846)</w:t>
            </w:r>
          </w:p>
        </w:tc>
      </w:tr>
      <w:tr>
        <w:trPr>
          <w:trHeight w:val="223"/>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52,622</w:t>
            </w:r>
          </w:p>
        </w:tc>
      </w:tr>
      <w:tr>
        <w:trPr>
          <w:trHeight w:val="250"/>
        </w:trPr>
        <w:tc>
          <w:tcPr>
            <w:tcW w:w="7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and originations of loans held-for-investment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(46,152)</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Principal payments received for loans held-for-investment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27,242</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payments received for notes receivable and repayments of residual certificates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of beneficial interest assets</w:t>
            </w:r>
          </w:p>
        </w:tc>
        <w:tc>
          <w:tcPr>
            <w:tcW w:w="3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on beneficial interest assets</w:t>
            </w:r>
          </w:p>
        </w:tc>
        <w:tc>
          <w:tcPr>
            <w:tcW w:w="3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23"/>
        </w:trPr>
        <w:tc>
          <w:tcPr>
            <w:tcW w:w="76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(37,547)</w:t>
            </w:r>
          </w:p>
        </w:tc>
      </w:tr>
      <w:tr>
        <w:trPr>
          <w:trHeight w:val="250"/>
        </w:trPr>
        <w:tc>
          <w:tcPr>
            <w:tcW w:w="7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74,260</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borrowings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360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payments made on securitization notes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(13,564)</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w:t>
            </w: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(43,711)</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restricted cash</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(28,636)</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532,467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467,787</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restricted cash at end of period</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451,859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439,151</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76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paid for income taxes, net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0"/>
        </w:trPr>
        <w:tc>
          <w:tcPr>
            <w:tcW w:w="76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interests obtained in connection with loan sale</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13,555</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 interest assets included in payable to investors</w:t>
            </w:r>
          </w:p>
        </w:tc>
        <w:tc>
          <w:tcPr>
            <w:tcW w:w="10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cash and restricted cash by category within the unaudited condensed consolidated balance sheets: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9"/>
                <w:szCs w:val="19"/>
                <w:color w:val="auto"/>
              </w:rPr>
            </w:pP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75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300,529</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138,622</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439,151</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Significant Accounting Policies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 Holdings, Inc. and its subsidiaries (together “Upstart”, the “Company”, “we”, or “our”) apply artificial intelligence models and cloud applications to the process of originating consumer credit. The Company helps originate credit by providing lending partners with access to a proprietary, cloud-based, artificial intelligence lending marketplace. As the Company’s technology continues to improve and additional lending partners adopt the Upstart platform, consumers benefit from improved access to affordable and frictionless credit. The Company currently operates in the United States and is headquartered in San Mateo, California and Columbus, Ohio. The Company’s fiscal year ends on December 31.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the same basis as the annual consolidated financial statements included in our Annual Report on Form 10-K. Certain prior period amounts have been reclassified or disaggregated where appropriate to conform to the current period presentation of such amounts. In the opinion of management, the accompanying condensed consolidated financial statements reflect all adjustments, which include only normal recurring adjustments, necessary to state fairly the Company’s financial position, results of operations, comprehensive loss and cash flows for the periods presented, but are not necessarily indicative of the results of operations to be anticipated of any future annual or interim periods.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information and disclosures normally included in the financial statements prepared in accordance with GAAP have been omitted pursuant to rules and regulations of the Securities and Exchange Commission. Accordingly, the information included in this Quarterly Report on Form 10-Q should be read in conjunction with the consolidated financial statements and accompanying notes included in our Annual Report on Form 10-K for the year ended December 31, 2023.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GAAP requires that management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Significant estimates and assumptions made in the accompanying condensed consolidated financial statements, which Management believes are critical in understanding and evaluating the Company’s reported financial results include: (i) fair value determinations; (ii) stock-based compensation; (iii) consolidation of VIEs; and (iv) the evaluation for impairment of goodwill. The Company bases its estimates on various factors it believes to be reasonable under the circumstances. Actual results could differ from those estimates and such differences could affect the results of operations reported in future periods.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adopt any new accounting standards during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this update improve reportable segment disclosure requirements, primarily through enhanced disclosures about significant segment expenses. Specifically, the new guidance requires disclosure, on an annual and interim basis, of significant segment expenses that are regularly provided to the chief operating decision maker, and an amount for other segment items by reportable segment, with a description of its composition. In addition, the amendments enhance interim disclosure requirements, clarify circumstances in which an entity can disclose multiple segment measures of profit or loss, and provide new segment disclosure requirements for entities with a single reportable segment. This ASU is effective for fiscal years beginning after December 15, 2023, and interim periods within fiscal years beginning after December 15, 2024, with early adoption permitted. The Company is currently evaluating the impact of the amendments to its condensed consolidated financial statements or related disclosures and plans to include any additional required disclosures relating to its segments beginning in the 2024 Annual Report on Form 10-K.</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2023-08, </w:t>
      </w:r>
      <w:r>
        <w:rPr>
          <w:rFonts w:ascii="Times New Roman" w:cs="Times New Roman" w:eastAsia="Times New Roman" w:hAnsi="Times New Roman"/>
          <w:sz w:val="18"/>
          <w:szCs w:val="18"/>
          <w:i w:val="1"/>
          <w:iCs w:val="1"/>
          <w:color w:val="auto"/>
        </w:rPr>
        <w:t>Intangibles—Goodwill and Other—Crypto Assets (Subtopic 350-60): Accounting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of Crypto Assets. </w:t>
      </w:r>
      <w:r>
        <w:rPr>
          <w:rFonts w:ascii="Times New Roman" w:cs="Times New Roman" w:eastAsia="Times New Roman" w:hAnsi="Times New Roman"/>
          <w:sz w:val="18"/>
          <w:szCs w:val="18"/>
          <w:color w:val="auto"/>
        </w:rPr>
        <w:t>The amendments in this update require entities that hold certain crypto assets to subsequently measure them at fair value,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fair value recorded in net income. In addition, entities are required to provide additional disclosures about the holdings of certain crypto assets. This ASU is effective for fiscal years beginning after December 15, 2024, including interim periods within those fiscal years, with early adoption permitted. The Company does not expect the adoption of this guidance to have a material impact on its condensed consolidated financial statements or related disclosures.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amendments in this update require entities to disclose specific categories in the effective tax rate reconciliation and provide additional information for reconciling items where the effect of those reconciling items is equal to or greater than 5% of the amount computed by multiplying pretax income/loss by the applicable statutory income tax rate. In addition, entities are required to disclose the year-to-date amount of income taxes paid (net of refunds received) disaggregated by jurisdictions. This ASU is effective for annual periods beginning after December 15, 2024 with early adoption permitted. The Company is currently evaluating the impact of these amendments to its condensed consolidated financial statements or related disclosures and plans to include the additional required disclosures relating to income taxes beginning in the 2025 Annual Report on Form 10-K.</w:t>
      </w:r>
    </w:p>
    <w:p>
      <w:pPr>
        <w:spacing w:after="0" w:line="208"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disaggregates revenue from fees by type of service for the periods presented as follows:</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360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5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Platform and referral fees, net</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103,859</w:t>
            </w:r>
          </w:p>
        </w:tc>
      </w:tr>
      <w:tr>
        <w:trPr>
          <w:trHeight w:val="230"/>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Servicing and other fees, net</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34,209</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from fees, net</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117,141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138,068</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Platform and Referral Fees, Net</w:t>
      </w:r>
    </w:p>
    <w:p>
      <w:pPr>
        <w:spacing w:after="0" w:line="25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Lending Partners. </w:t>
      </w:r>
      <w:r>
        <w:rPr>
          <w:rFonts w:ascii="Times New Roman" w:cs="Times New Roman" w:eastAsia="Times New Roman" w:hAnsi="Times New Roman"/>
          <w:sz w:val="18"/>
          <w:szCs w:val="18"/>
          <w:color w:val="auto"/>
        </w:rPr>
        <w:t>The Company enters into contracts with lending partners to provide access to a cloud-based artificial intelligence lending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marketplace developed by the Company (the “Upstart platform”) to enable lending partners to originate unsecured personal and secured auto loans. The Upstart platform includes a cloud-based application (through Upstart.com or a lending partner-branded program) for submitting loan applications, verifying information provided within submitted applications, risk underwriting (through a series of proprietary technology solutions), delivery of electronic loan offers, and if the offer is accepted by the borrower, electronic loan documentation signed by the borrower. Lending partners can specify certain parameters of loans they are willing to originate. Under these contracts, lending partners can choose to use Upstart’s referral services, which allow them to access new borrowers through Upstart’s marketing channels.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After origination, Upstart-powered loans are either retained by lending partners, purchased by the Company for immediate resale to institutional investors under loan sale agreements, or purchased and held by the Company. For loans not retained by the lending partners, the Company pays the lending partners a one-time loan premium fee upon completion of the minimum contractual holding period and a monthly loan trailing fee based on the amount and timing of principal and interest payments made by the borrowers of the underlying loans. Both the loan premium fees and loan trailing fees are consideration payable to customers, which are our lending partners, and are recorded as a reduction to platform and referral fees, net, which is part of revenue from fees, net, in the condensed consolidated statements of operations and comprehensive loss. The Company recognized $1.4 million, and $2.2 million of loan premium fees and loan trailing fees as contra-revenue within platform and referral fees, net during the three months ended March 31, 2023 and 2024, respectively.</w:t>
      </w:r>
    </w:p>
    <w:p>
      <w:pPr>
        <w:spacing w:after="0" w:line="2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March 31, 2024, the Company recognized $4.3 million and $4.2 million of loan trailing fee liability, respectively, which is recorded at fair value and included within accrued expenses and other liabilities on the Company’s condensed consolidated balance sheets. 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for additional information on changes in fair value associated with trailing fee liabilities.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arrangements for platform and referral services typically consist of an obligation to provide one or both of these services to customers,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Platform and referral services are typically provided under a fixed or variable price per unit based on a percentage of the value of loans originated each period with certain lending partners subject to minimum fees; however, pricing for these services may also be based on usage fees, calculated as a percentage of each loan originated. The nature of the Company’s promise is to stand-ready and provide continuous access to and process transactions through the platform. Platform and referral fees represent variable consideration as loan origination volume is not known at contract inception. These fees are determined each time a loan is originated. Fees for platform and referral services are typically billed and paid on either a daily or monthly basis. As such, the Company’s contracts with customers do not include a significant financing component.</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 Dealerships. </w:t>
      </w:r>
      <w:r>
        <w:rPr>
          <w:rFonts w:ascii="Times New Roman" w:cs="Times New Roman" w:eastAsia="Times New Roman" w:hAnsi="Times New Roman"/>
          <w:sz w:val="18"/>
          <w:szCs w:val="18"/>
          <w:color w:val="auto"/>
        </w:rPr>
        <w:t>The Company enters into subscription agreements with auto dealerships to access Upstart Auto Retail software, a cloud-based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that facilitates dealership operations and enables them to provide consumers with access to Upstart-powered auto loans. Subscription agreements generally have a contractual term of one to six months with evergreen monthly renewals. The Company bills customers on a monthly basis. Subscription fees are recognized over the contract term as the performance obligation is satisfied, and is included within platform and referral fees, net in the condensed consolidated statements of operations and comprehensive loss. During the three months ended March 31, 2023 and 2024, the Company recognized immaterial amounts of subscription fee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$19.5 million and $18.7 million of accounts receivable that are included in other assets on the condensed consolidated balance sheets related to contracts with customers as of December 31, 2023 and March 31, 2024, respectively. The standard payment terms on accounts receivable are 30 days. The Company’s allowance for bad debt and bad debt expense were immaterial for the periods presented.</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capitalizes incremental costs of obtaining a contract with a customer, which are certain sales commissions paid to employees in connection with the acquisition of lending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December 31, 2023 and March 31, 2024, the Company had $2.7 million and $2.4 million of contract costs, respectively, capitalized within other assets on the condensed consolidated balance sheets. During the three months ended March 31, 2023 and 2024, the Company amortized immaterial amounts of capitalized contracts costs to sales and marketing in the condensed consolidated statements of operations and comprehensive loss.</w:t>
      </w:r>
    </w:p>
    <w:p>
      <w:pPr>
        <w:sectPr>
          <w:pgSz w:w="11900" w:h="16838" w:orient="portrait"/>
          <w:cols w:equalWidth="0" w:num="1">
            <w:col w:w="11240"/>
          </w:cols>
          <w:pgMar w:left="320" w:top="175" w:right="339" w:bottom="1440" w:gutter="0" w:footer="0" w:header="0"/>
        </w:sectPr>
      </w:pP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Customers accounting for greater than 10% of total revenue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C</w:t>
      </w: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Customers accounting for greater than 10% of accounts receivable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B</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C</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Less than 10%</w:t>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Servicing and Other Fees,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7"/>
        </w:trPr>
        <w:tc>
          <w:tcPr>
            <w:tcW w:w="1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17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39%</w:t>
            </w:r>
          </w:p>
        </w:tc>
      </w:tr>
      <w:tr>
        <w:trPr>
          <w:trHeight w:val="270"/>
        </w:trPr>
        <w:tc>
          <w:tcPr>
            <w:tcW w:w="1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3"/>
                <w:szCs w:val="23"/>
                <w:color w:val="auto"/>
              </w:rPr>
            </w:pPr>
          </w:p>
        </w:tc>
        <w:tc>
          <w:tcPr>
            <w:tcW w:w="17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1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3"/>
                <w:szCs w:val="23"/>
                <w:color w:val="auto"/>
              </w:rPr>
            </w:pPr>
          </w:p>
        </w:tc>
        <w:tc>
          <w:tcPr>
            <w:tcW w:w="1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8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8"/>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r>
      <w:tr>
        <w:trPr>
          <w:trHeight w:val="234"/>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886" w:lineRule="exact"/>
        <w:rPr>
          <w:sz w:val="20"/>
          <w:szCs w:val="20"/>
          <w:color w:val="auto"/>
        </w:rPr>
      </w:pPr>
    </w:p>
    <w:p>
      <w:pPr>
        <w:sectPr>
          <w:pgSz w:w="11900" w:h="16838" w:orient="portrait"/>
          <w:cols w:equalWidth="0" w:num="2">
            <w:col w:w="6920" w:space="720"/>
            <w:col w:w="3600"/>
          </w:cols>
          <w:pgMar w:left="320" w:top="175" w:right="339" w:bottom="1440" w:gutter="0" w:footer="0" w:header="0"/>
          <w:type w:val="continuous"/>
        </w:sectPr>
      </w:pPr>
    </w:p>
    <w:p>
      <w:pPr>
        <w:spacing w:after="0" w:line="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also enters into contracts with lending partners and institutional investors to provide loan servicing for the life of Upstart-powered loans. These services commence upon origination of these loans by lending partners and include collection, processing and reconciliations of payments received, institutional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Loan servicing fees are not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are accounted for under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charges lending partners and institutional investors for collection agency fees related to their outstanding loan portfolio. The Company either performs borrower collection activities in-house, or outsources to third-party collection agencies particularly for loans that are more than 30 days past due or charged off.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borrower fees inclusive of late payment fees and ACH fail fees. The total fees charged by collection agencies are recognized in the period incurred and reported as part of customer operations expenses.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Servicing and other fees, net also includes gains and losses on assets and liabilities recognized under loan servicing arrangements for loans retained by lending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for additional information on changes in fair value associated with servicing assets and liabilities.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servicing and other fees, net as part of revenue from fees, net in the Company’s condensed consolidated statements of operations and comprehensive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60" w:type="dxa"/>
            <w:vAlign w:val="bottom"/>
            <w:tcBorders>
              <w:bottom w:val="single" w:sz="8" w:color="auto"/>
            </w:tcBorders>
          </w:tcPr>
          <w:p>
            <w:pPr>
              <w:spacing w:after="0"/>
              <w:rPr>
                <w:sz w:val="20"/>
                <w:szCs w:val="20"/>
                <w:color w:val="auto"/>
              </w:rPr>
            </w:pPr>
          </w:p>
        </w:tc>
      </w:tr>
      <w:tr>
        <w:trPr>
          <w:trHeight w:val="223"/>
        </w:trPr>
        <w:tc>
          <w:tcPr>
            <w:tcW w:w="76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fees</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23,242</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Borrower fees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agency fees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servicing rights and fair value adjustments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servicing and other fees, net</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39,484</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34,209</w:t>
            </w:r>
          </w:p>
        </w:tc>
      </w:tr>
      <w:tr>
        <w:trPr>
          <w:trHeight w:val="20"/>
        </w:trPr>
        <w:tc>
          <w:tcPr>
            <w:tcW w:w="7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is comprised of interest income, interest expense and net changes in the fair value of financial instruments, held in the Company’s normal course of business at fair value, including loans, derivatives, beneficial interests, notes receivable and residual certificates, trailing fee liabilities, and payable to securitization note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components of the interest income, interest expense, and fair value adjustments, net presented in the Company’s condensed consolidated statements of operations and comprehensive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60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51,171</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and other adjustments</w:t>
            </w:r>
          </w:p>
        </w:tc>
        <w:tc>
          <w:tcPr>
            <w:tcW w:w="10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Unrealized loss on loans, loan charge-offs, and other fair value adjustments, net</w:t>
            </w:r>
            <w:r>
              <w:rPr>
                <w:rFonts w:ascii="Times New Roman" w:cs="Times New Roman" w:eastAsia="Times New Roman" w:hAnsi="Times New Roman"/>
                <w:sz w:val="23"/>
                <w:szCs w:val="23"/>
                <w:color w:val="auto"/>
                <w:vertAlign w:val="superscript"/>
              </w:rPr>
              <w:t>(1)</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(29,593)</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Realized loss on sale of loans,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0" w:type="dxa"/>
            <w:vAlign w:val="bottom"/>
          </w:tcPr>
          <w:p>
            <w:pPr>
              <w:spacing w:after="0"/>
              <w:rPr>
                <w:sz w:val="1"/>
                <w:szCs w:val="1"/>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adjustments and realized losses on beneficial interests</w:t>
            </w:r>
          </w:p>
        </w:tc>
        <w:tc>
          <w:tcPr>
            <w:tcW w:w="10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0" w:type="dxa"/>
            <w:vAlign w:val="bottom"/>
          </w:tcPr>
          <w:p>
            <w:pPr>
              <w:spacing w:after="0"/>
              <w:rPr>
                <w:sz w:val="1"/>
                <w:szCs w:val="1"/>
                <w:color w:val="auto"/>
              </w:rPr>
            </w:pPr>
          </w:p>
        </w:tc>
      </w:tr>
      <w:tr>
        <w:trPr>
          <w:trHeight w:val="223"/>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and other adjustments, net</w:t>
            </w: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(52,397)</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(50,731)</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 interest expense, and fair value adjustments, net</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6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(1) Includes interest income, interest expense and unrealized loss on loans, loan charge-offs, and other fair value adjustments, net related to the consolidated securitization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60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interest expense, and fair value adjustments, net related to consolidated securitization:</w:t>
            </w:r>
          </w:p>
        </w:tc>
        <w:tc>
          <w:tcPr>
            <w:tcW w:w="1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r>
      <w:tr>
        <w:trPr>
          <w:trHeight w:val="25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loans, loan charge-offs, and other fair value adjustments, net</w:t>
            </w:r>
          </w:p>
        </w:tc>
        <w:tc>
          <w:tcPr>
            <w:tcW w:w="1280" w:type="dxa"/>
            <w:vAlign w:val="bottom"/>
          </w:tcPr>
          <w:p>
            <w:pPr>
              <w:spacing w:after="0"/>
              <w:rPr>
                <w:sz w:val="22"/>
                <w:szCs w:val="22"/>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(10,651)</w:t>
            </w:r>
          </w:p>
        </w:tc>
      </w:tr>
      <w:tr>
        <w:trPr>
          <w:trHeight w:val="270"/>
        </w:trPr>
        <w:tc>
          <w:tcPr>
            <w:tcW w:w="764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income, interest expense, and fair value adjustments, net</w:t>
            </w: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w:t>
            </w:r>
          </w:p>
        </w:tc>
      </w:tr>
      <w:tr>
        <w:trPr>
          <w:trHeight w:val="20"/>
        </w:trPr>
        <w:tc>
          <w:tcPr>
            <w:tcW w:w="76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is recognized based on the terms of the underlying agreements with borrowers for loans held on the Company’s condensed consolidated balance sheets and is earned over the life of a loan.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income also includes accrued interest earned on outstanding loans but not collected. Loans that have reached a delinquency of over 120 days are classified as non-accrual status and any accrued interest recorded in relation to these loans is reversed in the respective period. The Company does not record an allowance for credit losses on accrued interest receivable. As of December 31, 2023 and March 31, 2024, the Company has recorded $14.2 million and $12.5 million of accrued interest income in loans on the condensed consolidated balance sheets,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expense is primarily related to interest recorded on the Company’s borrowings on warehouse credit facilities and interest expense related to the consolidated securitization. Interest expense includes accrued interest incurred but not paid. Accrued interest expenses were immaterial as of December 31, 2023 and March 31, 2024. Interest expense also includes changes in fair value of the interest rate caps. Refer to “</w:t>
      </w:r>
      <w:r>
        <w:rPr>
          <w:rFonts w:ascii="Times New Roman" w:cs="Times New Roman" w:eastAsia="Times New Roman" w:hAnsi="Times New Roman"/>
          <w:sz w:val="18"/>
          <w:szCs w:val="18"/>
          <w:i w:val="1"/>
          <w:iCs w:val="1"/>
          <w:color w:val="auto"/>
        </w:rPr>
        <w:t>Note 4. 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for additional information.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and Other Adjustments, Net</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and other adjustments, net include changes in fair value of financial instruments, other than loan servicing assets and liabilities and the interest rate caps. These adjustments are recorded in the Company’s condensed consolidated statements of operations and comprehensive loss and include both realized and unrealized changes to the value of related assets and liabilities. 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for additional information.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and other adjustments, net also includes amounts received from borrowers for previously charged-off loans held on the Company’s condensed consolidated balance sheets. These amounts are recognized in the period when amounts are received. Amounts received from borrowers for previously charged-off loans were immaterial for the three months ended March 31, 2023, and $3.3 million for the three months ended March 31, 2024.</w:t>
      </w:r>
    </w:p>
    <w:p>
      <w:pPr>
        <w:spacing w:after="0" w:line="199"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Variable Interest Entities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a summary of financial assets and liabilities from the Company’s involvement with consolidated VIEs: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6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6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187,258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45,838</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warehouse entities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256,774</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consolidated VIEs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361,829</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1,195,393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664,441</w:t>
            </w:r>
          </w:p>
        </w:tc>
      </w:tr>
      <w:tr>
        <w:trPr>
          <w:trHeight w:val="20"/>
        </w:trPr>
        <w:tc>
          <w:tcPr>
            <w:tcW w:w="6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6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6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129,096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36,073</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warehouse entities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261,407</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consolidated VIEs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347,006</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1,127,899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483,413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644,486</w:t>
            </w:r>
          </w:p>
        </w:tc>
      </w:tr>
      <w:tr>
        <w:trPr>
          <w:trHeight w:val="20"/>
        </w:trPr>
        <w:tc>
          <w:tcPr>
            <w:tcW w:w="6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Consolidated Securitization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July 6, 2023, the Company completed a private securitization securities offering (“UPST 2023-2”). As a retaining sponsor of the transaction, under risk retention requirements in Title 17 U.S. </w:t>
      </w:r>
      <w:r>
        <w:rPr>
          <w:rFonts w:ascii="Times New Roman" w:cs="Times New Roman" w:eastAsia="Times New Roman" w:hAnsi="Times New Roman"/>
          <w:sz w:val="18"/>
          <w:szCs w:val="18"/>
          <w:i w:val="1"/>
          <w:iCs w:val="1"/>
          <w:color w:val="auto"/>
        </w:rPr>
        <w:t>Code of Federal Regulations</w:t>
      </w:r>
      <w:r>
        <w:rPr>
          <w:rFonts w:ascii="Times New Roman" w:cs="Times New Roman" w:eastAsia="Times New Roman" w:hAnsi="Times New Roman"/>
          <w:sz w:val="18"/>
          <w:szCs w:val="18"/>
          <w:color w:val="auto"/>
        </w:rPr>
        <w:t xml:space="preserve"> Part 246, Credit Risk Retention, promulgated by the Securities and Exchange Commission, the Company is required to retain at least 5% of the economic risk in UPST 2023-2. The Company elected to satisfy the risk retention requirements by holding eligible vertical retained interests in the form of a combination of securitization notes and residual certificates. The Company has also retained the remainder of the residual certificates issued as part of the transaction. The Company was the sole contributor of the collateral, which included $204.7 million outstanding principal balance of Upstart-powered loans held by the Company. The weighted-average coupon of the securitization notes issued was approximately 9.2%, and their sale generated approximately $165.3 million in gross cash proceeds. These proceeds and payments made on securitization notes are classified as financing activities in the condensed consolidated statement of cash flows.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closing of UPST 2023-2, the Company determined that servicing fees represent a variable interest due to the retained interests held by the Company. The retained interests held by the Company were deemed to potentially absorb more than an insignificant amount of expected losses or expected returns at the inception of the securitization transaction. The Company, as servicer, also has the power to direct the activities that most significantly impact the economics of the entities associated with the UPST 2023-2 securitization, and as such, the Company determined it was the primary beneficiary and consolidated the entities associated with UPST 2023-2.</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loans held in the consolidated securitization trust are classified as held-for-sale and included in loans, at fair value, and the notes sold to third-party investors are recorded at fair value as payable to securitization note holders on the condensed consolidated balance sheets. Refer to “</w:t>
      </w:r>
      <w:r>
        <w:rPr>
          <w:rFonts w:ascii="Times New Roman" w:cs="Times New Roman" w:eastAsia="Times New Roman" w:hAnsi="Times New Roman"/>
          <w:sz w:val="18"/>
          <w:szCs w:val="18"/>
          <w:i w:val="1"/>
          <w:iCs w:val="1"/>
          <w:color w:val="auto"/>
        </w:rPr>
        <w:t>Note 6.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w:t>
      </w:r>
      <w:r>
        <w:rPr>
          <w:rFonts w:ascii="Times New Roman" w:cs="Times New Roman" w:eastAsia="Times New Roman" w:hAnsi="Times New Roman"/>
          <w:sz w:val="18"/>
          <w:szCs w:val="18"/>
          <w:color w:val="auto"/>
        </w:rPr>
        <w:t>” for additional information on determination of fair value of these assets and liabilities. The value of the residual certificates issued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the securitization and retained by the Company was eliminated as part of the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Warehouse Entities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established Upstart Loan Trust (“ULT”) and Upstart Auto Warehouse Trust (“UAWT”) to enter into warehouse credit facilities for the purpose of purchasing Upstart-powered loans. Refer to “</w:t>
      </w:r>
      <w:r>
        <w:rPr>
          <w:rFonts w:ascii="Times New Roman" w:cs="Times New Roman" w:eastAsia="Times New Roman" w:hAnsi="Times New Roman"/>
          <w:sz w:val="18"/>
          <w:szCs w:val="18"/>
          <w:i w:val="1"/>
          <w:iCs w:val="1"/>
          <w:color w:val="auto"/>
        </w:rPr>
        <w:t>Note 9. Borrowings</w:t>
      </w:r>
      <w:r>
        <w:rPr>
          <w:rFonts w:ascii="Times New Roman" w:cs="Times New Roman" w:eastAsia="Times New Roman" w:hAnsi="Times New Roman"/>
          <w:sz w:val="18"/>
          <w:szCs w:val="18"/>
          <w:color w:val="auto"/>
        </w:rPr>
        <w:t>” for additional information. These entities are Delaware statutory trusts that are structured to be bankruptcy-remote, with third-party banks operating as trustees.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Consolidated VIE</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formed a number of VIEs for the purpose of holding Upstart-powered loans that are not pledged or eligible to be pledged to the Company’s warehouse credit facilities.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transactions with unconsolidated VIEs include securitizations of unsecured personal whole loans and sales of whole loans to VIEs. While the Company continues to be involved with the unconsolidated VIEs in its role as the sponsor and the servicer of securitization transactions, the Company does not hold a significant economic interest in these entities and has determined that it is not the primary beneficiary of these entities. The Company’s unconsolidated VIEs include entities established as the issuers and grantor trusts for various securitization transactions.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exercised clean up calls related to two historical unconsolidated securitizations and subsequently liquidated the associated entities. As part of the clean up call, the Company, as servicer, repurchased the remaining collateral and received the cash reserve amounts held by the related entities. The clean up calls had no material impact on the condensed consolidated financial statements of the Company.</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aggregate value of assets and liabilities of unconsolidated VIEs in which the Company holds a variable interest but is not the primary beneficiary: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5"/>
                <w:szCs w:val="15"/>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5"/>
                <w:szCs w:val="15"/>
                <w:color w:val="auto"/>
              </w:rPr>
            </w:pPr>
          </w:p>
        </w:tc>
        <w:tc>
          <w:tcPr>
            <w:tcW w:w="1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40" w:type="dxa"/>
            <w:vAlign w:val="bottom"/>
            <w:gridSpan w:val="2"/>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Maximum Exposure</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 Losses</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 and other</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319,357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20,885</w:t>
            </w:r>
          </w:p>
        </w:tc>
        <w:tc>
          <w:tcPr>
            <w:tcW w:w="0" w:type="dxa"/>
            <w:vAlign w:val="bottom"/>
          </w:tcPr>
          <w:p>
            <w:pPr>
              <w:spacing w:after="0"/>
              <w:rPr>
                <w:sz w:val="1"/>
                <w:szCs w:val="1"/>
                <w:color w:val="auto"/>
              </w:rPr>
            </w:pPr>
          </w:p>
        </w:tc>
      </w:tr>
      <w:tr>
        <w:trPr>
          <w:trHeight w:val="594"/>
        </w:trPr>
        <w:tc>
          <w:tcPr>
            <w:tcW w:w="4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4"/>
                <w:szCs w:val="14"/>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4"/>
                <w:szCs w:val="14"/>
                <w:color w:val="auto"/>
              </w:rPr>
            </w:pPr>
          </w:p>
        </w:tc>
        <w:tc>
          <w:tcPr>
            <w:tcW w:w="1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Maximum Exposure</w:t>
            </w: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 Losses</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 and other</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392,281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283,346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maximum exposure to loss from its involvement with unconsolidated VIEs represents the estimated loss that would be incurred under severe, hypothetical circumstances, for which the Company believes the possibility is remote. The carrying value of assets that relate to variable interests in unconsolidated VIEs consists of $14.8 million and $13.4 million of securitization notes and residual certificates that are carried at fair value and included in other assets on the condensed consolidated balance sheets as of December 31, 2023 and March 31, 2024, respectively. The Company also had $6.0 million and $3.7 million of cash deposits held as reserve accounts for related securitizations, included in other assets on the condensed consolidated balance sheets as of December 31, 2023 and March 31, 2024.</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securitization transactions where the Company is not the risk retaining sponsor, and servicing is the only form of continuing involvement, the Company would only experience a loss if it were required to repurchase such a loan due to a breach in representations and warranties and is not able to collect all repayments, refer to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for further information.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interests held by the Company and its affiliates are subject principally to the credit and prepayment risk stemming from the underlying unsecured personal whole loans.</w:t>
      </w:r>
    </w:p>
    <w:p>
      <w:pPr>
        <w:spacing w:after="0" w:line="200" w:lineRule="exact"/>
        <w:rPr>
          <w:sz w:val="20"/>
          <w:szCs w:val="20"/>
          <w:color w:val="auto"/>
        </w:rPr>
      </w:pPr>
    </w:p>
    <w:p>
      <w:pPr>
        <w:spacing w:after="0" w:line="242"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Derivative Financial Instruments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February 2023 and June 2023, UAWT and ULT entered into interest rate cap agreements with a strike rate of 3.0% and 3.25%, respectively. The agreements were entered into in relation to the warehouse credit facilities which bear floating interest rates, refer to </w:t>
      </w:r>
      <w:r>
        <w:rPr>
          <w:rFonts w:ascii="Times New Roman" w:cs="Times New Roman" w:eastAsia="Times New Roman" w:hAnsi="Times New Roman"/>
          <w:sz w:val="18"/>
          <w:szCs w:val="18"/>
          <w:i w:val="1"/>
          <w:iCs w:val="1"/>
          <w:color w:val="auto"/>
        </w:rPr>
        <w:t>“Note 9. Borrowings”</w:t>
      </w:r>
      <w:r>
        <w:rPr>
          <w:rFonts w:ascii="Times New Roman" w:cs="Times New Roman" w:eastAsia="Times New Roman" w:hAnsi="Times New Roman"/>
          <w:sz w:val="18"/>
          <w:szCs w:val="18"/>
          <w:color w:val="auto"/>
        </w:rPr>
        <w:t xml:space="preserve"> for further information. The interest rate caps provide protection to the credit facilities against exposure to changes in cash flows to the extent the underlying interest rate on the facility exceeds the strike rate. The UAWT interest rate cap matures in April 2029 and the ULT interest rate cap matures in June 2025. The interest rate cap agreements meet the definition of a derivative and are reported at fair value. 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for additional information.</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notional amount as well as the fair value of interest rate caps, which is reported as part of other assets on the condensed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4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Pr>
          <w:p>
            <w:pPr>
              <w:spacing w:after="0"/>
              <w:rPr>
                <w:sz w:val="20"/>
                <w:szCs w:val="20"/>
                <w:color w:val="auto"/>
              </w:rPr>
            </w:pP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300" w:type="dxa"/>
            <w:vAlign w:val="bottom"/>
          </w:tcPr>
          <w:p>
            <w:pPr>
              <w:spacing w:after="0"/>
              <w:rPr>
                <w:sz w:val="20"/>
                <w:szCs w:val="20"/>
                <w:color w:val="auto"/>
              </w:rPr>
            </w:pPr>
          </w:p>
        </w:tc>
      </w:tr>
      <w:tr>
        <w:trPr>
          <w:trHeight w:val="223"/>
        </w:trPr>
        <w:tc>
          <w:tcPr>
            <w:tcW w:w="3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299,578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283,838</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fair value of these instruments in earnings and reports them as part of the interest expense on the condensed consolidated statements of operations and comprehensive loss. The Company recognized immaterial amount of fair value gains and losses, net on interest rate caps during the three months ended March 31, 2023 and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5.</w:t>
        <w:tab/>
        <w:t>Beneficial Interests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committed capital and other co-investment arrangements in which it is obligated to make payments to third-parties or is entitled to receive payments from third-parties if credit performance on the loans under the arrangements deviates from initial expectations set at the time of loan sales or originations. These cash payments are subject to a dollar cap, which represents the Company’s capital co-invested and maximum exposure to losses in a particular arrangement. As of December 31, 2023 and March 31, 2024, the Company’s aggregate capital co-invested under these arrangements was $98.5 million and $169.6 million, respectively.</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beneficial interests in these arrangements which either meet the definition of a derivative or that meet the criteria of a debt security. The following table presents the aggregate outstanding principal balance of the underlying loan portfolios as well as the fair value of beneficial interest assets, which are presented as a separate asset line item on the condensed consolidated balance sheets and beneficial interest liabilities which are presented in other liabilities on the condensed consolidated balance sheets.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rPr>
              <w:t>Outstanding Principal</w:t>
            </w:r>
          </w:p>
        </w:tc>
        <w:tc>
          <w:tcPr>
            <w:tcW w:w="400" w:type="dxa"/>
            <w:vAlign w:val="bottom"/>
          </w:tcPr>
          <w:p>
            <w:pPr>
              <w:spacing w:after="0"/>
              <w:rPr>
                <w:sz w:val="15"/>
                <w:szCs w:val="15"/>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15"/>
                <w:szCs w:val="15"/>
                <w:color w:val="auto"/>
              </w:rPr>
            </w:pPr>
          </w:p>
        </w:tc>
        <w:tc>
          <w:tcPr>
            <w:tcW w:w="218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rPr>
              <w:t>Outstanding Principal</w:t>
            </w:r>
          </w:p>
        </w:tc>
        <w:tc>
          <w:tcPr>
            <w:tcW w:w="320" w:type="dxa"/>
            <w:vAlign w:val="bottom"/>
          </w:tcPr>
          <w:p>
            <w:pPr>
              <w:spacing w:after="0"/>
              <w:rPr>
                <w:sz w:val="15"/>
                <w:szCs w:val="15"/>
                <w:color w:val="auto"/>
              </w:rPr>
            </w:pPr>
          </w:p>
        </w:tc>
        <w:tc>
          <w:tcPr>
            <w:tcW w:w="13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32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958,870</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1,468,186</w:t>
            </w: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62,214</w:t>
            </w: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769,102</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873,191</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beneficial interests at fair value with changes reported as part of the fair value and other adjustments on the condensed consolidated statements of operations and comprehensive loss</w:t>
      </w:r>
      <w:r>
        <w:rPr>
          <w:rFonts w:ascii="Times New Roman" w:cs="Times New Roman" w:eastAsia="Times New Roman" w:hAnsi="Times New Roman"/>
          <w:sz w:val="18"/>
          <w:szCs w:val="18"/>
          <w:color w:val="3051F2"/>
        </w:rPr>
        <w:t>.</w:t>
      </w:r>
      <w:r>
        <w:rPr>
          <w:rFonts w:ascii="Times New Roman" w:cs="Times New Roman" w:eastAsia="Times New Roman" w:hAnsi="Times New Roman"/>
          <w:sz w:val="18"/>
          <w:szCs w:val="18"/>
          <w:color w:val="auto"/>
        </w:rPr>
        <w:t xml:space="preserve"> The table below presents losses recognized on beneficial interests during the three months ended March 31, 2024. The Company recognized no gains or losses on beneficial interest during the three months ended March 31, 2023.</w:t>
      </w:r>
    </w:p>
    <w:p>
      <w:pPr>
        <w:spacing w:after="0" w:line="239"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8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223" w:lineRule="exact"/>
        <w:rPr>
          <w:sz w:val="20"/>
          <w:szCs w:val="20"/>
          <w:color w:val="auto"/>
        </w:rPr>
      </w:pPr>
    </w:p>
    <w:p>
      <w:pPr>
        <w:ind w:left="20"/>
        <w:spacing w:after="0"/>
        <w:tabs>
          <w:tab w:leader="none" w:pos="7080" w:val="left"/>
          <w:tab w:leader="none" w:pos="10580" w:val="left"/>
        </w:tabs>
        <w:rPr>
          <w:sz w:val="20"/>
          <w:szCs w:val="20"/>
          <w:color w:val="auto"/>
        </w:rPr>
      </w:pPr>
      <w:r>
        <w:rPr>
          <w:rFonts w:ascii="Times New Roman" w:cs="Times New Roman" w:eastAsia="Times New Roman" w:hAnsi="Times New Roman"/>
          <w:sz w:val="18"/>
          <w:szCs w:val="18"/>
          <w:color w:val="auto"/>
        </w:rPr>
        <w:t>Fair value adjustments and realized losses on beneficial interests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(14,034)</w:t>
      </w: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i w:val="1"/>
          <w:iCs w:val="1"/>
          <w:color w:val="auto"/>
        </w:rPr>
        <w:t>Note 6. Fair Value Measurement</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40" w:hanging="360"/>
        <w:spacing w:after="0"/>
        <w:tabs>
          <w:tab w:leader="none" w:pos="1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assets and liabilities measured at fair value and categorized in accordance with the fair value hierarchy: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9"/>
                <w:szCs w:val="19"/>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62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1,080,865</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62,214</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 assets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and residual certificates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caps</w:t>
            </w:r>
            <w:r>
              <w:rPr>
                <w:rFonts w:ascii="Times New Roman" w:cs="Times New Roman" w:eastAsia="Times New Roman" w:hAnsi="Times New Roman"/>
                <w:sz w:val="23"/>
                <w:szCs w:val="23"/>
                <w:color w:val="auto"/>
                <w:vertAlign w:val="superscript"/>
              </w:rPr>
              <w:t>(1)</w:t>
            </w:r>
          </w:p>
        </w:tc>
        <w:tc>
          <w:tcPr>
            <w:tcW w:w="1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1,189,158</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securitization note holders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129,092</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fee liabilities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 servicing liabilities</w:t>
            </w:r>
          </w:p>
        </w:tc>
        <w:tc>
          <w:tcPr>
            <w:tcW w:w="1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143,406</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ind w:firstLine="8"/>
        <w:spacing w:after="0" w:line="278" w:lineRule="auto"/>
        <w:tabs>
          <w:tab w:leader="none" w:pos="20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interest rate caps is determined based on the present value of the estimated future cash flows over the contract term using observable market-based inputs as of the valuation date, including implied interest rates.</w:t>
      </w:r>
    </w:p>
    <w:p>
      <w:pPr>
        <w:spacing w:after="0" w:line="20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Financial instruments are categorized in the fair value hierarchy based on the significance of unobservable inputs and assumptions in the overall fair value measurement. Financial instruments classified as Level 3 within the fair value hierarchy </w:t>
      </w:r>
      <w:r>
        <w:rPr>
          <w:rFonts w:ascii="Times New Roman" w:cs="Times New Roman" w:eastAsia="Times New Roman" w:hAnsi="Times New Roman"/>
          <w:sz w:val="18"/>
          <w:szCs w:val="18"/>
          <w:color w:val="242424"/>
        </w:rPr>
        <w:t>do not trade in an active market with readily observable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prices. The Company uses significant unobservable inputs to measure the fair value of these assets and liabilities. </w:t>
      </w:r>
      <w:r>
        <w:rPr>
          <w:rFonts w:ascii="Times New Roman" w:cs="Times New Roman" w:eastAsia="Times New Roman" w:hAnsi="Times New Roman"/>
          <w:sz w:val="18"/>
          <w:szCs w:val="18"/>
          <w:color w:val="000000"/>
        </w:rPr>
        <w:t>There were no transfers between Level 1,</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Level 2 or Level 3 of the fair value hierarchy during the periods presented.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Loans included in the Company’s condensed consolidated balance sheets are classified as either held-for-sale or held-for-investment based on the Company’s intent and ability to sell the loans prior to maturity. From time to time, the Company transfers loans between the classification categories based on changes in the Company’s intent and ability. Loans held in the consolidated securitization include loans contributed as collateral to and held in the consolidated securitization (UPST 2023-2) and are classified as held-for-sale.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fair value of classes of loans included in the Company’s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March 31, 2024:</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9"/>
                <w:szCs w:val="19"/>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763,314</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held-for-investment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160,229</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in consolidated securitization</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157,322</w:t>
            </w:r>
          </w:p>
        </w:tc>
      </w:tr>
      <w:tr>
        <w:trPr>
          <w:trHeight w:val="223"/>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1,080,865</w:t>
            </w: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3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spacing w:after="0" w:line="20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elected the measurement alternative under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and maximizes the use of observable inputs to estimate the fair value of the financial assets and liabilities of UPST 2023-2. Under the measurement alternative, the Company determined that inputs used to determine the value of UPST 2023-2 liabilities, which consist of securitization notes and residual certificates issued as part of this securitization, are more observable than those used to measure fair value of UPST 2023-2 financial assets, which consist of held-for-sale loans contributed as collateral. Thus, the loans are measured based on the sum of the fair value of the UPST 2023-2 securitization notes and residual certificates, with changes in fair value included in the condensed consolidated statements of operations and comprehensive loss.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loans held-for-investment and held-for-sale:</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0" w:type="dxa"/>
            <w:vAlign w:val="bottom"/>
          </w:tcPr>
          <w:p>
            <w:pPr>
              <w:spacing w:after="0"/>
              <w:rPr>
                <w:sz w:val="1"/>
                <w:szCs w:val="1"/>
                <w:color w:val="auto"/>
              </w:rPr>
            </w:pPr>
          </w:p>
        </w:tc>
      </w:tr>
      <w:tr>
        <w:trPr>
          <w:trHeight w:val="121"/>
        </w:trPr>
        <w:tc>
          <w:tcPr>
            <w:tcW w:w="2260" w:type="dxa"/>
            <w:vAlign w:val="bottom"/>
          </w:tcPr>
          <w:p>
            <w:pPr>
              <w:spacing w:after="0"/>
              <w:rPr>
                <w:sz w:val="10"/>
                <w:szCs w:val="10"/>
                <w:color w:val="auto"/>
              </w:rPr>
            </w:pPr>
          </w:p>
        </w:tc>
        <w:tc>
          <w:tcPr>
            <w:tcW w:w="146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ind w:right="596"/>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0"/>
                <w:szCs w:val="10"/>
                <w:color w:val="auto"/>
              </w:rPr>
            </w:pPr>
          </w:p>
        </w:tc>
        <w:tc>
          <w:tcPr>
            <w:tcW w:w="148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ind w:right="576"/>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54"/>
        </w:trPr>
        <w:tc>
          <w:tcPr>
            <w:tcW w:w="226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9.63 %</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12.06 %</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12.47 %</w:t>
            </w:r>
          </w:p>
        </w:tc>
        <w:tc>
          <w:tcPr>
            <w:tcW w:w="0" w:type="dxa"/>
            <w:vAlign w:val="bottom"/>
          </w:tcPr>
          <w:p>
            <w:pPr>
              <w:spacing w:after="0"/>
              <w:rPr>
                <w:sz w:val="1"/>
                <w:szCs w:val="1"/>
                <w:color w:val="auto"/>
              </w:rPr>
            </w:pPr>
          </w:p>
        </w:tc>
      </w:tr>
      <w:tr>
        <w:trPr>
          <w:trHeight w:val="23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17.87 %</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implied for the Company’s Level 3 fair value measurements for loans held in consolidated securitization, which is determined by the sum of the fair value of the related securitization notes and residual certificates: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80" w:type="dxa"/>
            <w:vAlign w:val="bottom"/>
          </w:tcPr>
          <w:p>
            <w:pPr>
              <w:spacing w:after="0"/>
              <w:rPr>
                <w:sz w:val="20"/>
                <w:szCs w:val="20"/>
                <w:color w:val="auto"/>
              </w:rPr>
            </w:pPr>
          </w:p>
        </w:tc>
        <w:tc>
          <w:tcPr>
            <w:tcW w:w="15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20"/>
                <w:szCs w:val="20"/>
                <w:color w:val="auto"/>
              </w:rPr>
            </w:pPr>
          </w:p>
        </w:tc>
        <w:tc>
          <w:tcPr>
            <w:tcW w:w="15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5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30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6"/>
                <w:szCs w:val="16"/>
                <w:b w:val="1"/>
                <w:bCs w:val="1"/>
                <w:color w:val="auto"/>
              </w:rPr>
              <w:t xml:space="preserve">Average </w:t>
            </w:r>
            <w:r>
              <w:rPr>
                <w:rFonts w:ascii="Times New Roman" w:cs="Times New Roman" w:eastAsia="Times New Roman" w:hAnsi="Times New Roman"/>
                <w:sz w:val="20"/>
                <w:szCs w:val="20"/>
                <w:b w:val="1"/>
                <w:bCs w:val="1"/>
                <w:color w:val="auto"/>
                <w:vertAlign w:val="superscript"/>
              </w:rPr>
              <w:t>(1)</w:t>
            </w:r>
          </w:p>
        </w:tc>
        <w:tc>
          <w:tcPr>
            <w:tcW w:w="152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540" w:type="dxa"/>
            <w:vAlign w:val="bottom"/>
          </w:tcPr>
          <w:p>
            <w:pPr>
              <w:jc w:val="right"/>
              <w:ind w:right="616"/>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6.85%</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8"/>
              </w:rPr>
              <w:t>9.99%</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15.25 %</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9.44 %</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Credit risk rate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0.61%</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15.50 %</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rate</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6.66%</w:t>
            </w:r>
          </w:p>
        </w:tc>
        <w:tc>
          <w:tcPr>
            <w:tcW w:w="1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rPr>
              <w:t>42.73%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pacing w:after="0" w:line="24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rates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21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Credit risk rates</w:t>
      </w:r>
      <w:r>
        <w:rPr>
          <w:rFonts w:ascii="Times New Roman" w:cs="Times New Roman" w:eastAsia="Times New Roman" w:hAnsi="Times New Roman"/>
          <w:sz w:val="18"/>
          <w:szCs w:val="18"/>
          <w:color w:val="auto"/>
        </w:rPr>
        <w:t>–The credit risk rates are an estimate of the net cumulative principal payments that will not be repaid over the entire life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Prepayment rates</w:t>
      </w:r>
      <w:r>
        <w:rPr>
          <w:rFonts w:ascii="Times New Roman" w:cs="Times New Roman" w:eastAsia="Times New Roman" w:hAnsi="Times New Roman"/>
          <w:sz w:val="18"/>
          <w:szCs w:val="18"/>
          <w:color w:val="auto"/>
        </w:rPr>
        <w:t>–Prepayment rates are an estimate of the cumulative principal prepayments that will occur over the entire life of a loan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the original principal amount of the loan. The assumption regarding cumulative prepayments impacts the projected balances and expected terms of the loans.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sensitivity of the fair value of loans held-for-sale and held-for-investment to adverse changes in key assumptions used in the valuation model as of December 31, 2023 and March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9"/>
                <w:szCs w:val="19"/>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loans held-for-sale and held-for-investment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923,543</w:t>
            </w: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 basis point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w:t>
            </w: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(24,951)</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loss rates on underlying loans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(12,663)</w:t>
            </w: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(25,239)</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prepayment rates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34"/>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sensitivity of the fair value of loans in consolidated securitization to adverse changes in key assumptions used in the valuation model as of December 31, 2023 and March 31, 2024:</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78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loans held in consolidated securitization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157,322</w:t>
            </w: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 basis point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r>
      <w:tr>
        <w:trPr>
          <w:trHeight w:val="229"/>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loss rates on underlying loans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prepayment rates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34"/>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r>
    </w:tbl>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include a rollforward of the loans classified within Level 3 of the fair value hierarchy: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Loans Held-for-</w:t>
            </w:r>
          </w:p>
        </w:tc>
        <w:tc>
          <w:tcPr>
            <w:tcW w:w="160" w:type="dxa"/>
            <w:vAlign w:val="bottom"/>
          </w:tcPr>
          <w:p>
            <w:pPr>
              <w:spacing w:after="0"/>
              <w:rPr>
                <w:sz w:val="18"/>
                <w:szCs w:val="18"/>
                <w:color w:val="auto"/>
              </w:rPr>
            </w:pPr>
          </w:p>
        </w:tc>
        <w:tc>
          <w:tcPr>
            <w:tcW w:w="15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Loans Held-for-</w:t>
            </w: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360" w:type="dxa"/>
            <w:vAlign w:val="bottom"/>
          </w:tcPr>
          <w:p>
            <w:pPr>
              <w:spacing w:after="0"/>
              <w:rPr>
                <w:sz w:val="15"/>
                <w:szCs w:val="15"/>
                <w:color w:val="auto"/>
              </w:rPr>
            </w:pPr>
          </w:p>
        </w:tc>
        <w:tc>
          <w:tcPr>
            <w:tcW w:w="12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160" w:type="dxa"/>
            <w:vAlign w:val="bottom"/>
          </w:tcPr>
          <w:p>
            <w:pPr>
              <w:spacing w:after="0"/>
              <w:rPr>
                <w:sz w:val="21"/>
                <w:szCs w:val="21"/>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21"/>
                <w:szCs w:val="21"/>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Securitization</w:t>
            </w:r>
          </w:p>
        </w:tc>
        <w:tc>
          <w:tcPr>
            <w:tcW w:w="3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1,010,421</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Purchases of loans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167,816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(67,532)</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389,389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(389,389)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(82,373)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(48,161)</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982,229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Loans Held-for-</w:t>
            </w:r>
          </w:p>
        </w:tc>
        <w:tc>
          <w:tcPr>
            <w:tcW w:w="160" w:type="dxa"/>
            <w:vAlign w:val="bottom"/>
          </w:tcPr>
          <w:p>
            <w:pPr>
              <w:spacing w:after="0"/>
              <w:rPr>
                <w:sz w:val="17"/>
                <w:szCs w:val="17"/>
                <w:color w:val="auto"/>
              </w:rPr>
            </w:pPr>
          </w:p>
        </w:tc>
        <w:tc>
          <w:tcPr>
            <w:tcW w:w="15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Loans Held-for-</w:t>
            </w:r>
          </w:p>
        </w:tc>
        <w:tc>
          <w:tcPr>
            <w:tcW w:w="18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360" w:type="dxa"/>
            <w:vAlign w:val="bottom"/>
          </w:tcPr>
          <w:p>
            <w:pPr>
              <w:spacing w:after="0"/>
              <w:rPr>
                <w:sz w:val="16"/>
                <w:szCs w:val="16"/>
                <w:color w:val="auto"/>
              </w:rPr>
            </w:pPr>
          </w:p>
        </w:tc>
        <w:tc>
          <w:tcPr>
            <w:tcW w:w="128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16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Securitization</w:t>
            </w: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Purchases and originations of loans</w:t>
            </w:r>
            <w:r>
              <w:rPr>
                <w:rFonts w:ascii="Times New Roman" w:cs="Times New Roman" w:eastAsia="Times New Roman" w:hAnsi="Times New Roman"/>
                <w:sz w:val="23"/>
                <w:szCs w:val="23"/>
                <w:color w:val="auto"/>
                <w:vertAlign w:val="superscript"/>
              </w:rPr>
              <w:t>(1)(2)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625,238</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(563,338)</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217,457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(217,457)</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(45,912)</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1,080,865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balance.</w:t>
      </w:r>
    </w:p>
    <w:p>
      <w:pPr>
        <w:spacing w:after="0" w:line="11"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activity includes an immaterial outstanding principal balance related to securitization clean-up calls during the three months ended March 31, 2024.</w:t>
      </w:r>
    </w:p>
    <w:p>
      <w:pPr>
        <w:spacing w:after="0" w:line="2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aggregate fair value and aggregate principal outstanding of all loans and loans that were 90 days or more past due included in the condensed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Loans &gt; 90 Days Past Due</w:t>
            </w:r>
          </w:p>
        </w:tc>
      </w:tr>
      <w:tr>
        <w:trPr>
          <w:trHeight w:val="214"/>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8"/>
                <w:szCs w:val="18"/>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44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fair value and accrued interest adjustments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(10,335)</w:t>
            </w:r>
          </w:p>
        </w:tc>
      </w:tr>
      <w:tr>
        <w:trPr>
          <w:trHeight w:val="248"/>
        </w:trPr>
        <w:tc>
          <w:tcPr>
            <w:tcW w:w="44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Fair value</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1,080,865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500" w:hanging="492"/>
        <w:spacing w:after="0" w:line="278" w:lineRule="auto"/>
        <w:tabs>
          <w:tab w:leader="none" w:pos="369"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$343.1 million and $316.3 million of auto loans at fair value as of December 31, 2023 and March 31, 2024, respectively, of which $2.8 million and $1.7 million is 90 days or more past due as of December 31, 2023 and March 31, 2024, respectively.</w:t>
      </w:r>
    </w:p>
    <w:p>
      <w:pPr>
        <w:spacing w:after="0" w:line="20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places loans on non-accrual status at 120 days past due. Any accrued interest recorded in relation to these loans is reversed in the respective period. The Company charges-off loans no later than 120 days past due.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related to Securitization Transactions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March 31, 2024, the Company held notes receivable and residual certificates with an aggregate fair value of $14.8 million and $13.4 million, respectively, within other assets on the Company’s condensed consolidated balance sheets. The balances consist of securitization notes and residual certificates retained from securitization transactions.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and March 31, 2024, the Company recognized payables to securitization note holders of $141.4 million and $129.1 million at fair value, respectively. The balance represents the value of the securitization notes issued and owned by third-party investors in connection with UPST 2023-2. The value of the UPST 2023-2 securitization notes and residual certificates retained by the Company is eliminated in the consolidation process.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prioritizes the use of observable inputs in estimating the fair value of notes receivable and residual certificates and payable to securitization note holders when available. When market activity for these financial instruments is not observable, the fair value is determined using a discounted cash flow methodology. This approach uses assumptions of projected cash flows of the underlying collateral loan pools adjusted for features of these securities, which reflect the Company’s best estimates of the assumptions a market participant would use to calculate fair value.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related to note receivable, residual certificates, and payable to securitization note holders: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12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0" w:type="dxa"/>
            <w:vAlign w:val="bottom"/>
          </w:tcPr>
          <w:p>
            <w:pPr>
              <w:spacing w:after="0"/>
              <w:rPr>
                <w:sz w:val="14"/>
                <w:szCs w:val="14"/>
                <w:color w:val="auto"/>
              </w:rPr>
            </w:pP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00" w:type="dxa"/>
            <w:vAlign w:val="bottom"/>
          </w:tcPr>
          <w:p>
            <w:pPr>
              <w:jc w:val="right"/>
              <w:ind w:right="170"/>
              <w:spacing w:after="0" w:line="172"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4"/>
                <w:szCs w:val="14"/>
                <w:color w:val="auto"/>
              </w:rPr>
            </w:pPr>
          </w:p>
        </w:tc>
        <w:tc>
          <w:tcPr>
            <w:tcW w:w="1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00" w:type="dxa"/>
            <w:vAlign w:val="bottom"/>
          </w:tcPr>
          <w:p>
            <w:pPr>
              <w:jc w:val="right"/>
              <w:ind w:right="170"/>
              <w:spacing w:after="0" w:line="172"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400" w:type="dxa"/>
            <w:vAlign w:val="bottom"/>
            <w:gridSpan w:val="2"/>
          </w:tcPr>
          <w:p>
            <w:pPr>
              <w:jc w:val="right"/>
              <w:ind w:right="36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Average </w:t>
            </w:r>
            <w:r>
              <w:rPr>
                <w:rFonts w:ascii="Times New Roman" w:cs="Times New Roman" w:eastAsia="Times New Roman" w:hAnsi="Times New Roman"/>
                <w:sz w:val="23"/>
                <w:szCs w:val="23"/>
                <w:b w:val="1"/>
                <w:bCs w:val="1"/>
                <w:color w:val="auto"/>
                <w:vertAlign w:val="superscript"/>
              </w:rPr>
              <w:t>(1)</w:t>
            </w:r>
          </w:p>
        </w:tc>
        <w:tc>
          <w:tcPr>
            <w:tcW w:w="1380" w:type="dxa"/>
            <w:vAlign w:val="bottom"/>
            <w:gridSpan w:val="2"/>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300" w:type="dxa"/>
            <w:vAlign w:val="bottom"/>
          </w:tcPr>
          <w:p>
            <w:pPr>
              <w:jc w:val="right"/>
              <w:ind w:right="17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Average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01"/>
        </w:trPr>
        <w:tc>
          <w:tcPr>
            <w:tcW w:w="2960" w:type="dxa"/>
            <w:vAlign w:val="bottom"/>
            <w:tcBorders>
              <w:top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Notes receivable and residual</w:t>
            </w: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13.06 %</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0.48 %</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16.27 %</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89.46 %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43.05 %</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Payable to securitization note holders</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8.17 %</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0.61 %</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15.50 %</w:t>
            </w: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42.48 %</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200" w:lineRule="exact"/>
        <w:rPr>
          <w:sz w:val="20"/>
          <w:szCs w:val="20"/>
          <w:color w:val="auto"/>
        </w:rPr>
      </w:pPr>
    </w:p>
    <w:p>
      <w:pPr>
        <w:spacing w:after="0" w:line="2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Notes Receivable and Residual Certificates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Adverse changes in discount rates, credit risk rates, or prepayment rates do not result in a material impact to the fair value of notes receivable and residual certificates as of December 31, 2023 and March 31, 2024.</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Payable to Securitization Note Holders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payable to securitization note holders is sensitive to adverse changes in discount rates, which represent estimates of the rates of return that institutional investors would require when investing in financial instruments with similar risk and return characteristics. On average, a hypothetical 100 and 200 basis point increase in discount rates results in a decrease in fair value of payable to securitization note holders of $1.9 million and $3.7 million, respectively, as of December 31, 2023 and $1.6 million and $3.2 million, respectively, as of March 31, 2024. Adverse changes in credit risk rates and expected prepayment rates do not result in a material impact to the fair value of payable to securitization note holders as of December 31, 2023 and March 31, 2024.</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include a rollforward of the notes receivable and residual certificates and payables to securitization note holders related to securitization transactions classified by the Company within Level 3 of the fair value hierarchy: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1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Payable to Securitization</w:t>
            </w:r>
          </w:p>
        </w:tc>
      </w:tr>
      <w:tr>
        <w:trPr>
          <w:trHeight w:val="241"/>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120" w:type="dxa"/>
            <w:vAlign w:val="bottom"/>
          </w:tcPr>
          <w:p>
            <w:pPr>
              <w:spacing w:after="0"/>
              <w:rPr>
                <w:sz w:val="20"/>
                <w:szCs w:val="20"/>
                <w:color w:val="auto"/>
              </w:rPr>
            </w:pP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Note Holders</w:t>
            </w:r>
          </w:p>
        </w:tc>
      </w:tr>
      <w:tr>
        <w:trPr>
          <w:trHeight w:val="225"/>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120" w:type="dxa"/>
            <w:vAlign w:val="bottom"/>
          </w:tcPr>
          <w:p>
            <w:pPr>
              <w:spacing w:after="0"/>
              <w:rPr>
                <w:sz w:val="17"/>
                <w:szCs w:val="17"/>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Payable to Securitization</w:t>
            </w:r>
          </w:p>
        </w:tc>
      </w:tr>
      <w:tr>
        <w:trPr>
          <w:trHeight w:val="238"/>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120" w:type="dxa"/>
            <w:vAlign w:val="bottom"/>
          </w:tcPr>
          <w:p>
            <w:pPr>
              <w:spacing w:after="0"/>
              <w:rPr>
                <w:sz w:val="20"/>
                <w:szCs w:val="20"/>
                <w:color w:val="auto"/>
              </w:rPr>
            </w:pPr>
          </w:p>
        </w:tc>
        <w:tc>
          <w:tcPr>
            <w:tcW w:w="2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Note Holders</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141,416</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(13,564)</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129,092</w:t>
            </w: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 Servicing Assets and Liabilities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and March 31, 2024, the Company’s loan servicing assets had a fair value of $28.1 million and $26.8 million, respectively, recorded within other assets on the condensed consolidated balance sheets. As of December 31, 2023 and March 31, 2024, the Company’s loan servicing liabilities had a fair value of $2.0 million and $1.6 million, respectively, recorded within other accrued expenses and other liabilities on the condensed consolidated balance sheets.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 generally based on the monthly outstanding principal balance of the underlying loans, the expected cash flows in the model incorporate estimates of net losses and prepayments.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loan servicing assets and liabilities: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0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0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80" w:type="dxa"/>
            <w:vAlign w:val="bottom"/>
          </w:tcPr>
          <w:p>
            <w:pPr>
              <w:jc w:val="right"/>
              <w:ind w:right="595"/>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80" w:type="dxa"/>
            <w:vAlign w:val="bottom"/>
          </w:tcPr>
          <w:p>
            <w:pPr>
              <w:jc w:val="right"/>
              <w:ind w:right="595"/>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16.90 %</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14.96 %</w:t>
            </w:r>
          </w:p>
        </w:tc>
        <w:tc>
          <w:tcPr>
            <w:tcW w:w="0" w:type="dxa"/>
            <w:vAlign w:val="bottom"/>
          </w:tcPr>
          <w:p>
            <w:pPr>
              <w:spacing w:after="0"/>
              <w:rPr>
                <w:sz w:val="1"/>
                <w:szCs w:val="1"/>
                <w:color w:val="auto"/>
              </w:rPr>
            </w:pPr>
          </w:p>
        </w:tc>
      </w:tr>
      <w:tr>
        <w:trPr>
          <w:trHeight w:val="256"/>
        </w:trPr>
        <w:tc>
          <w:tcPr>
            <w:tcW w:w="27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Market-servicing rate </w:t>
            </w:r>
            <w:r>
              <w:rPr>
                <w:rFonts w:ascii="Times New Roman" w:cs="Times New Roman" w:eastAsia="Times New Roman" w:hAnsi="Times New Roman"/>
                <w:sz w:val="23"/>
                <w:szCs w:val="23"/>
                <w:color w:val="auto"/>
                <w:vertAlign w:val="superscript"/>
              </w:rPr>
              <w:t>(2)(3)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0" w:type="dxa"/>
            <w:vAlign w:val="bottom"/>
          </w:tcPr>
          <w:p>
            <w:pPr>
              <w:spacing w:after="0"/>
              <w:rPr>
                <w:sz w:val="1"/>
                <w:szCs w:val="1"/>
                <w:color w:val="auto"/>
              </w:rPr>
            </w:pP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40.34 %</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1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ancillary fees that would be passed on to a third-party servicer.</w:t>
      </w:r>
    </w:p>
    <w:p>
      <w:pPr>
        <w:spacing w:after="0" w:line="1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outstanding principal balance of personal loans and auto loans of 0.62% and 3.72%, respectively, as of December 31, 2023 and March 31, 2024.</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the Company’s estimate of the rates of return that market participants in servicing rights would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20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Credit risk rate</w:t>
      </w:r>
      <w:r>
        <w:rPr>
          <w:rFonts w:ascii="Times New Roman" w:cs="Times New Roman" w:eastAsia="Times New Roman" w:hAnsi="Times New Roman"/>
          <w:sz w:val="18"/>
          <w:szCs w:val="18"/>
          <w:color w:val="auto"/>
        </w:rPr>
        <w:t>s–The credit risk rates are the Company’s estimate of the net cumulative principal payments that will not be repaid over the entire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a loan expressed as a percentage of the original principal amount of the loan. The assumption regarding net cumulative losses impacts the projected balances and expected terms of the loans, which are used to project future servicing revenues.</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Market-servicing rates</w:t>
      </w:r>
      <w:r>
        <w:rPr>
          <w:rFonts w:ascii="Times New Roman" w:cs="Times New Roman" w:eastAsia="Times New Roman" w:hAnsi="Times New Roman"/>
          <w:sz w:val="18"/>
          <w:szCs w:val="18"/>
          <w:color w:val="auto"/>
        </w:rPr>
        <w:t>–Market-servicing rate is an estimated measure of adequate compensation for a market participant, if one was required.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is expressed as a fixed percentage of outstanding principal balance per annum. The estimate considers the profit that would be demanded in the marketplace to service the portfolio of outstanding loans subject to the Company’s servicing agreements.</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Prepayment rates</w:t>
      </w:r>
      <w:r>
        <w:rPr>
          <w:rFonts w:ascii="Times New Roman" w:cs="Times New Roman" w:eastAsia="Times New Roman" w:hAnsi="Times New Roman"/>
          <w:sz w:val="18"/>
          <w:szCs w:val="18"/>
          <w:color w:val="auto"/>
        </w:rPr>
        <w:t>–Prepayment rates are the Company’s estimate of the cumulative principal prepayments that will occur over the entire life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as a percentage of the original principal amount of the loan. The assumption regarding cumulative prepayments impacts the projected balances and expected terms of the loans, which are used to project future servicing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presents the fair value sensitivity of loan servicing assets and liabilities to adverse changes in key assumptions. The fair value of loan servicing assets and liabilities is not sensitive to adverse changes in discount rates and prepayment rates as such changes would not result in a significant impact on the fair value as of December 31, 2023 and March 31, 2024, respectively.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9"/>
                <w:szCs w:val="19"/>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7"/>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 servicing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26,753</w:t>
            </w:r>
          </w:p>
        </w:tc>
      </w:tr>
      <w:tr>
        <w:trPr>
          <w:trHeight w:val="20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market-servicing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market-servicing rates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r>
      <w:tr>
        <w:trPr>
          <w:trHeight w:val="234"/>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market-servicing rates increase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(14,200)</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9"/>
                <w:szCs w:val="19"/>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7"/>
        </w:trPr>
        <w:tc>
          <w:tcPr>
            <w:tcW w:w="7860" w:type="dxa"/>
            <w:vAlign w:val="bottom"/>
            <w:shd w:val="clear" w:color="auto" w:fill="CCEEFF"/>
          </w:tcPr>
          <w:p>
            <w:pPr>
              <w:jc w:val="right"/>
              <w:ind w:right="4910"/>
              <w:spacing w:after="0"/>
              <w:rPr>
                <w:sz w:val="20"/>
                <w:szCs w:val="20"/>
                <w:color w:val="auto"/>
              </w:rPr>
            </w:pPr>
            <w:r>
              <w:rPr>
                <w:rFonts w:ascii="Times New Roman" w:cs="Times New Roman" w:eastAsia="Times New Roman" w:hAnsi="Times New Roman"/>
                <w:sz w:val="18"/>
                <w:szCs w:val="18"/>
                <w:b w:val="1"/>
                <w:bCs w:val="1"/>
                <w:color w:val="auto"/>
              </w:rPr>
              <w:t>Fair value of loan servicing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30"/>
        </w:trPr>
        <w:tc>
          <w:tcPr>
            <w:tcW w:w="786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Expected market-servicing rates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6"/>
        </w:trPr>
        <w:tc>
          <w:tcPr>
            <w:tcW w:w="7860" w:type="dxa"/>
            <w:vAlign w:val="bottom"/>
            <w:shd w:val="clear" w:color="auto" w:fill="CCEEFF"/>
          </w:tcPr>
          <w:p>
            <w:pPr>
              <w:jc w:val="right"/>
              <w:ind w:right="4910"/>
              <w:spacing w:after="0"/>
              <w:rPr>
                <w:sz w:val="20"/>
                <w:szCs w:val="20"/>
                <w:color w:val="auto"/>
              </w:rPr>
            </w:pPr>
            <w:r>
              <w:rPr>
                <w:rFonts w:ascii="Times New Roman" w:cs="Times New Roman" w:eastAsia="Times New Roman" w:hAnsi="Times New Roman"/>
                <w:sz w:val="18"/>
                <w:szCs w:val="18"/>
                <w:color w:val="auto"/>
              </w:rPr>
              <w:t>10% market-servicing rates increase</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34"/>
        </w:trPr>
        <w:tc>
          <w:tcPr>
            <w:tcW w:w="7860" w:type="dxa"/>
            <w:vAlign w:val="bottom"/>
          </w:tcPr>
          <w:p>
            <w:pPr>
              <w:jc w:val="right"/>
              <w:ind w:right="4910"/>
              <w:spacing w:after="0"/>
              <w:rPr>
                <w:sz w:val="20"/>
                <w:szCs w:val="20"/>
                <w:color w:val="auto"/>
              </w:rPr>
            </w:pPr>
            <w:r>
              <w:rPr>
                <w:rFonts w:ascii="Times New Roman" w:cs="Times New Roman" w:eastAsia="Times New Roman" w:hAnsi="Times New Roman"/>
                <w:sz w:val="18"/>
                <w:szCs w:val="18"/>
                <w:color w:val="auto"/>
              </w:rPr>
              <w:t>20% market-servicing rates increase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r>
    </w:tbl>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a rollforward of the loan servicing assets and liabilities classified by the Company within Level 3 of the fair value hierarchy: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c>
          <w:tcPr>
            <w:tcW w:w="16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Loan Servicing</w:t>
            </w:r>
          </w:p>
        </w:tc>
      </w:tr>
      <w:tr>
        <w:trPr>
          <w:trHeight w:val="238"/>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other 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 Servicing</w:t>
            </w:r>
          </w:p>
        </w:tc>
        <w:tc>
          <w:tcPr>
            <w:tcW w:w="16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Loan Servicing</w:t>
            </w:r>
          </w:p>
        </w:tc>
      </w:tr>
      <w:tr>
        <w:trPr>
          <w:trHeight w:val="238"/>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other 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1"/>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Beneficial Interests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certain committed capital and other co-investment arrangements, the Company is obligated to make payments to the third-party or is entitled to receive payments from the third-party if credit performance on the underlying loans subject to the arrangement deviate from initial expectations set at the time of loan sales or originations, subject to a dollar cap. As of December 31, 2023 and March 31, 2024, the fair value of the beneficial interest assets related to these arrangements was $41.0 million and $62.2 million, respectively. As of the same dates, the fair value of the beneficial interest liabilities was $4.2 million and $8.5 million, respectively.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Beneficial interests are measured at estimated fair value using a discounted cash flow model. The fair valuation methodology considers projected defaults, losses and recoveries to project future losses and net cash flows on the underlying loans. Net cash flows are discounted using an estimate of market rates of return that reflect the risk premium related to those cash flows. The models use inputs that are inherently judgmental and reflect the Company’s best estimates of the assumptions a market participant would use to determine fair value.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fair value measurements of beneficial interests as of December 31, 2023 and March 31, 2024:</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14"/>
                <w:szCs w:val="14"/>
                <w:color w:val="auto"/>
              </w:rPr>
            </w:pPr>
          </w:p>
        </w:tc>
        <w:tc>
          <w:tcPr>
            <w:tcW w:w="13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0" w:type="dxa"/>
            <w:vAlign w:val="bottom"/>
          </w:tcPr>
          <w:p>
            <w:pPr>
              <w:spacing w:after="0"/>
              <w:rPr>
                <w:sz w:val="14"/>
                <w:szCs w:val="14"/>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60" w:type="dxa"/>
            <w:vAlign w:val="bottom"/>
          </w:tcPr>
          <w:p>
            <w:pPr>
              <w:ind w:left="280"/>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8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30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44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(1)</w:t>
            </w:r>
          </w:p>
        </w:tc>
        <w:tc>
          <w:tcPr>
            <w:tcW w:w="1460" w:type="dxa"/>
            <w:vAlign w:val="bottom"/>
            <w:gridSpan w:val="2"/>
            <w:vMerge w:val="continue"/>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300" w:type="dxa"/>
            <w:vAlign w:val="bottom"/>
          </w:tcPr>
          <w:p>
            <w:pPr>
              <w:jc w:val="right"/>
              <w:ind w:right="190"/>
              <w:spacing w:after="0" w:line="243"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interest assets</w:t>
            </w: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Credit risk rate spread</w:t>
            </w:r>
            <w:r>
              <w:rPr>
                <w:rFonts w:ascii="Times New Roman" w:cs="Times New Roman" w:eastAsia="Times New Roman" w:hAnsi="Times New Roman"/>
                <w:sz w:val="23"/>
                <w:szCs w:val="23"/>
                <w:color w:val="auto"/>
                <w:vertAlign w:val="superscript"/>
              </w:rPr>
              <w:t>(2)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0.79 %</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interest liabilities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0" w:type="dxa"/>
            <w:vAlign w:val="bottom"/>
          </w:tcPr>
          <w:p>
            <w:pPr>
              <w:spacing w:after="0"/>
              <w:rPr>
                <w:sz w:val="1"/>
                <w:szCs w:val="1"/>
                <w:color w:val="auto"/>
              </w:rPr>
            </w:pPr>
          </w:p>
        </w:tc>
      </w:tr>
      <w:tr>
        <w:trPr>
          <w:trHeight w:val="306"/>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risk rate spread</w:t>
            </w:r>
            <w:r>
              <w:rPr>
                <w:rFonts w:ascii="Times New Roman" w:cs="Times New Roman" w:eastAsia="Times New Roman" w:hAnsi="Times New Roman"/>
                <w:sz w:val="23"/>
                <w:szCs w:val="23"/>
                <w:color w:val="auto"/>
                <w:vertAlign w:val="superscript"/>
              </w:rPr>
              <w:t>(2)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9.81 %</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pacing w:after="0" w:line="1" w:lineRule="exact"/>
        <w:rPr>
          <w:sz w:val="20"/>
          <w:szCs w:val="20"/>
          <w:color w:val="auto"/>
        </w:rPr>
      </w:pPr>
    </w:p>
    <w:p>
      <w:pPr>
        <w:ind w:firstLine="8"/>
        <w:spacing w:after="0" w:line="278" w:lineRule="auto"/>
        <w:tabs>
          <w:tab w:leader="none" w:pos="20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cumulative loss expectations as of the valuation date compared to the loss expectations as of the origination date or date of loan sale. A positive credit risk rate spread indicates an additional risk estimated as of the measurement date compared to the initial expectations. A negative credit risk spread indicates a lower risk than originally estimated.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rates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performance of the underlying loan portfolio. A risk premium component is implicitly included in the discount rates to reflect the amount of compensation market participants require due to the uncertainty inherent in the instruments’ cash flows resulting from risks such as credit and liquidity. The Company uses two different discount rates for expected cash flows associated with demonstrated to-date credit performance and those associated with future credit performance. The difference in these rates reflects the level of uncertainty and, as a result, risk premium that would be required by market participants when investing in these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Credit risk rate spreads</w:t>
      </w:r>
      <w:r>
        <w:rPr>
          <w:rFonts w:ascii="Times New Roman" w:cs="Times New Roman" w:eastAsia="Times New Roman" w:hAnsi="Times New Roman"/>
          <w:sz w:val="18"/>
          <w:szCs w:val="18"/>
          <w:color w:val="auto"/>
        </w:rPr>
        <w:t>–Credit risk rates for beneficial interests are determined the same way as for underlying loan portfolios. Credit risk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an estimate of cumulative losses, net of average recoveries, of the underlying portfolios, which represent the amount of principal that will not be repaid over the entire life of the beneficial interests. The credit risk rate spreads are the relative difference, expressed as a percentage, between the expected credit risk rate on origination date or sale date depending on the arrangement and the estimated credit risk rate as of a valuation date. A positive credit risk rate spread indicates an additional risk estimated as of the measurement date compared to the initial expectations. A negative credit risk spread indicates a lower risk than originally estimated.</w:t>
      </w:r>
    </w:p>
    <w:p>
      <w:pPr>
        <w:spacing w:after="0" w:line="21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sensitivity of beneficial interest assets and liabilities to adverse changes in key assumptions used in the valuation model as of December 31, 2023 and March 31, 2024. Adverse changes in discount rates do not result in a material impact to the fair value of beneficial interest liabilities as of December 31, 2023 and March 31,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2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73"/>
        </w:trPr>
        <w:tc>
          <w:tcPr>
            <w:tcW w:w="6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00" w:type="dxa"/>
            <w:vAlign w:val="bottom"/>
          </w:tcPr>
          <w:p>
            <w:pPr>
              <w:spacing w:after="0"/>
              <w:rPr>
                <w:sz w:val="24"/>
                <w:szCs w:val="24"/>
                <w:color w:val="auto"/>
              </w:rPr>
            </w:pPr>
          </w:p>
        </w:tc>
        <w:tc>
          <w:tcPr>
            <w:tcW w:w="18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beneficial interest assets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62,214</w:t>
            </w: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100 basis point increase</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rate spreads on underlying loans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 adverse change</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(13,969)</w:t>
            </w: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 adverse change</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w:t>
            </w:r>
          </w:p>
        </w:tc>
      </w:tr>
      <w:tr>
        <w:trPr>
          <w:trHeight w:val="257"/>
        </w:trPr>
        <w:tc>
          <w:tcPr>
            <w:tcW w:w="68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beneficial interest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w:t>
            </w: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credit rate spreads on underlying loans</w:t>
            </w: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 adverse change</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r>
      <w:tr>
        <w:trPr>
          <w:trHeight w:val="234"/>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 adverse change</w:t>
            </w: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(11,320)</w:t>
            </w:r>
          </w:p>
        </w:tc>
      </w:tr>
    </w:tbl>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beneficial interest assets and liabilities. The Company held no beneficial interests during the three months ended March 31, 2023.</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Acquisition of beneficial interests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 on beneficial interests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2024</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r>
      <w:tr>
        <w:trPr>
          <w:trHeight w:val="241"/>
        </w:trPr>
        <w:tc>
          <w:tcPr>
            <w:tcW w:w="10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5"/>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w:t>
            </w:r>
          </w:p>
        </w:tc>
      </w:tr>
      <w:tr>
        <w:trPr>
          <w:trHeight w:val="218"/>
        </w:trPr>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34"/>
        </w:trPr>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w:t>
            </w:r>
          </w:p>
        </w:tc>
      </w:tr>
      <w:tr>
        <w:trPr>
          <w:trHeight w:val="22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62,214</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8,485</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-788035</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-479425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-187960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720"/>
            <w:col w:w="338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Trailing Fee Liabilities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pays certain bank partners monthly trailing fees based on the amount and timing of principal and interest payments made by borrowers of the underlying loans. As of December 31, 2023 and March 31, 2024, the Company held trailing fee liabilities of $4.3 million and $4.2 million, respectively.</w:t>
      </w:r>
    </w:p>
    <w:p>
      <w:pPr>
        <w:spacing w:after="0" w:line="3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discounted cash flow methodology, which is used to estimate the fair value of trailing fee liabilities, uses the same projected net cash flows as the underlying loans. The fair valuation methodology considers projected prepayments and historical defaults, losses and recoveries to project future losses and net cash flows of the underlying loans. Net cash flows are discounted using an estimate of market rates of return.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trailing fee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21"/>
        </w:trPr>
        <w:tc>
          <w:tcPr>
            <w:tcW w:w="2300" w:type="dxa"/>
            <w:vAlign w:val="bottom"/>
          </w:tcPr>
          <w:p>
            <w:pPr>
              <w:spacing w:after="0"/>
              <w:rPr>
                <w:sz w:val="10"/>
                <w:szCs w:val="10"/>
                <w:color w:val="auto"/>
              </w:rPr>
            </w:pPr>
          </w:p>
        </w:tc>
        <w:tc>
          <w:tcPr>
            <w:tcW w:w="146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280"/>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460" w:type="dxa"/>
            <w:vAlign w:val="bottom"/>
          </w:tcPr>
          <w:p>
            <w:pPr>
              <w:jc w:val="right"/>
              <w:ind w:right="576"/>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0"/>
                <w:szCs w:val="10"/>
                <w:color w:val="auto"/>
              </w:rPr>
            </w:pPr>
          </w:p>
        </w:tc>
        <w:tc>
          <w:tcPr>
            <w:tcW w:w="146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Minimum</w:t>
            </w:r>
          </w:p>
        </w:tc>
        <w:tc>
          <w:tcPr>
            <w:tcW w:w="150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ind w:right="596"/>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10.06 %</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13.14 %</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17.75 %</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sensitivity of trailing fee liabilities to adverse changes in key assumptions would not result in a material impact on the Company’s financial position or results of operations.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include a rollforward of trailing fee liabilities classified by the Company within Level 3 of the fair value hierarchy: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Trailing Fee</w:t>
      </w: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0" w:lineRule="exact"/>
        <w:rPr>
          <w:sz w:val="20"/>
          <w:szCs w:val="20"/>
          <w:color w:val="auto"/>
        </w:rPr>
      </w:pPr>
    </w:p>
    <w:p>
      <w:pPr>
        <w:ind w:left="1149" w:hanging="1149"/>
        <w:spacing w:after="0"/>
        <w:tabs>
          <w:tab w:leader="none" w:pos="11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4,852</w:t>
      </w:r>
    </w:p>
    <w:p>
      <w:pPr>
        <w:spacing w:after="0" w:line="36" w:lineRule="exact"/>
        <w:rPr>
          <w:rFonts w:ascii="Times New Roman" w:cs="Times New Roman" w:eastAsia="Times New Roman" w:hAnsi="Times New Roman"/>
          <w:sz w:val="18"/>
          <w:szCs w:val="18"/>
          <w:color w:val="auto"/>
        </w:rPr>
      </w:pPr>
    </w:p>
    <w:p>
      <w:pPr>
        <w:ind w:left="12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-136525</wp:posOffset>
            </wp:positionV>
            <wp:extent cx="10458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(747)</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26</w:t>
      </w:r>
    </w:p>
    <w:p>
      <w:pPr>
        <w:spacing w:after="0" w:line="31" w:lineRule="exact"/>
        <w:rPr>
          <w:sz w:val="20"/>
          <w:szCs w:val="20"/>
          <w:color w:val="auto"/>
        </w:rPr>
      </w:pPr>
    </w:p>
    <w:p>
      <w:pPr>
        <w:ind w:left="1149" w:hanging="1149"/>
        <w:spacing w:after="0"/>
        <w:tabs>
          <w:tab w:leader="none" w:pos="11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458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91" w:space="720"/>
            <w:col w:w="1629"/>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March 31,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7.</w:t>
        <w:tab/>
        <w:t>Goodwill and Intangible Assets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Trailing Fee</w:t>
      </w:r>
    </w:p>
    <w:p>
      <w:pPr>
        <w:spacing w:after="0" w:line="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16" w:lineRule="exact"/>
        <w:rPr>
          <w:sz w:val="20"/>
          <w:szCs w:val="20"/>
          <w:color w:val="auto"/>
        </w:rPr>
      </w:pPr>
    </w:p>
    <w:p>
      <w:pPr>
        <w:ind w:left="1149" w:hanging="1149"/>
        <w:spacing w:after="0"/>
        <w:tabs>
          <w:tab w:leader="none" w:pos="11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4,251</w:t>
      </w:r>
    </w:p>
    <w:p>
      <w:pPr>
        <w:spacing w:after="0" w:line="36" w:lineRule="exact"/>
        <w:rPr>
          <w:rFonts w:ascii="Times New Roman" w:cs="Times New Roman" w:eastAsia="Times New Roman" w:hAnsi="Times New Roman"/>
          <w:sz w:val="18"/>
          <w:szCs w:val="18"/>
          <w:color w:val="auto"/>
        </w:rPr>
      </w:pPr>
    </w:p>
    <w:p>
      <w:pPr>
        <w:ind w:left="12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-136525</wp:posOffset>
            </wp:positionV>
            <wp:extent cx="10458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(663)</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40</w:t>
      </w:r>
    </w:p>
    <w:p>
      <w:pPr>
        <w:spacing w:after="0" w:line="31" w:lineRule="exact"/>
        <w:rPr>
          <w:sz w:val="20"/>
          <w:szCs w:val="20"/>
          <w:color w:val="auto"/>
        </w:rPr>
      </w:pPr>
    </w:p>
    <w:p>
      <w:pPr>
        <w:ind w:left="1149" w:hanging="1149"/>
        <w:spacing w:after="0"/>
        <w:tabs>
          <w:tab w:leader="none" w:pos="11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458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356" w:lineRule="exact"/>
        <w:rPr>
          <w:sz w:val="20"/>
          <w:szCs w:val="20"/>
          <w:color w:val="auto"/>
        </w:rPr>
      </w:pPr>
    </w:p>
    <w:p>
      <w:pPr>
        <w:sectPr>
          <w:pgSz w:w="11900" w:h="16838" w:orient="portrait"/>
          <w:cols w:equalWidth="0" w:num="2">
            <w:col w:w="8891" w:space="720"/>
            <w:col w:w="1629"/>
          </w:cols>
          <w:pgMar w:left="320" w:top="175" w:right="339" w:bottom="1440" w:gutter="0" w:footer="0" w:header="0"/>
          <w:type w:val="continuous"/>
        </w:sectPr>
      </w:pPr>
    </w:p>
    <w:p>
      <w:pPr>
        <w:spacing w:after="0" w:line="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there were no changes in the carrying amount of goodwill of $67.1 million on the Company’s condensed consolidated balance sheets.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Acquired intangible assets subject to amortization consist of developed technology and customer relationships, and are recorded net of amortization and included within other assets on the condensed consolidated balance sheets. The gross and net carrying values and accumulated amortization are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4"/>
                <w:szCs w:val="14"/>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4"/>
                <w:szCs w:val="14"/>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4"/>
                <w:szCs w:val="14"/>
                <w:color w:val="auto"/>
              </w:rPr>
            </w:pPr>
          </w:p>
        </w:tc>
        <w:tc>
          <w:tcPr>
            <w:tcW w:w="14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4"/>
                <w:szCs w:val="14"/>
                <w:color w:val="auto"/>
              </w:rPr>
            </w:pPr>
          </w:p>
        </w:tc>
        <w:tc>
          <w:tcPr>
            <w:tcW w:w="13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1"/>
                <w:szCs w:val="21"/>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6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1"/>
                <w:szCs w:val="21"/>
                <w:color w:val="auto"/>
              </w:rPr>
            </w:pPr>
          </w:p>
        </w:tc>
        <w:tc>
          <w:tcPr>
            <w:tcW w:w="14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1"/>
                <w:szCs w:val="21"/>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10,275</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100" w:type="dxa"/>
            <w:vAlign w:val="bottom"/>
            <w:gridSpan w:val="13"/>
          </w:tcPr>
          <w:p>
            <w:pPr>
              <w:ind w:left="660"/>
              <w:spacing w:after="0"/>
              <w:rPr>
                <w:sz w:val="20"/>
                <w:szCs w:val="20"/>
                <w:color w:val="auto"/>
              </w:rPr>
            </w:pPr>
            <w:r>
              <w:rPr>
                <w:rFonts w:ascii="Times New Roman" w:cs="Times New Roman" w:eastAsia="Times New Roman" w:hAnsi="Times New Roman"/>
                <w:sz w:val="18"/>
                <w:szCs w:val="18"/>
                <w:color w:val="auto"/>
              </w:rPr>
              <w:t>Amortization expense was $1.1 million for each of the three months ended March 31, 2023 and 2024.</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100" w:type="dxa"/>
            <w:vAlign w:val="bottom"/>
            <w:gridSpan w:val="13"/>
          </w:tcPr>
          <w:p>
            <w:pPr>
              <w:ind w:left="66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as of March 31, 2024 is as follows: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2024</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80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8.  Balance Sheet Components</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7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59"/>
        </w:trPr>
        <w:tc>
          <w:tcPr>
            <w:tcW w:w="7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 consisted of the following:</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73"/>
        </w:trPr>
        <w:tc>
          <w:tcPr>
            <w:tcW w:w="7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fees and other receivables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40,624</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 assets (at fair value)</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26,753</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23,009</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18,196</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and residual certificates (at fair value)</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13,376</w:t>
            </w:r>
          </w:p>
        </w:tc>
      </w:tr>
      <w:tr>
        <w:trPr>
          <w:trHeight w:val="230"/>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Intangible assets, net</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w:t>
            </w:r>
          </w:p>
        </w:tc>
      </w:tr>
      <w:tr>
        <w:trPr>
          <w:trHeight w:val="229"/>
        </w:trPr>
        <w:tc>
          <w:tcPr>
            <w:tcW w:w="7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caps (at fair value)</w:t>
            </w:r>
            <w:r>
              <w:rPr>
                <w:rFonts w:ascii="Times New Roman" w:cs="Times New Roman" w:eastAsia="Times New Roman" w:hAnsi="Times New Roman"/>
                <w:sz w:val="23"/>
                <w:szCs w:val="23"/>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144,634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ind w:left="540" w:hanging="472"/>
        <w:spacing w:after="0"/>
        <w:tabs>
          <w:tab w:leader="none" w:pos="5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4. Derivative Financial Instruments”</w:t>
      </w:r>
      <w:r>
        <w:rPr>
          <w:rFonts w:ascii="Times New Roman" w:cs="Times New Roman" w:eastAsia="Times New Roman" w:hAnsi="Times New Roman"/>
          <w:sz w:val="14"/>
          <w:szCs w:val="14"/>
          <w:color w:val="auto"/>
        </w:rPr>
        <w:t xml:space="preserve"> for further information.</w:t>
      </w:r>
    </w:p>
    <w:p>
      <w:pPr>
        <w:spacing w:after="0" w:line="11" w:lineRule="exact"/>
        <w:rPr>
          <w:rFonts w:ascii="Times New Roman" w:cs="Times New Roman" w:eastAsia="Times New Roman" w:hAnsi="Times New Roman"/>
          <w:sz w:val="14"/>
          <w:szCs w:val="14"/>
          <w:color w:val="auto"/>
        </w:rPr>
      </w:pPr>
    </w:p>
    <w:p>
      <w:pPr>
        <w:ind w:left="540" w:hanging="472"/>
        <w:spacing w:after="0"/>
        <w:tabs>
          <w:tab w:leader="none" w:pos="5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7. Goodwill and Intangible Assets</w:t>
      </w:r>
      <w:r>
        <w:rPr>
          <w:rFonts w:ascii="Times New Roman" w:cs="Times New Roman" w:eastAsia="Times New Roman" w:hAnsi="Times New Roman"/>
          <w:sz w:val="14"/>
          <w:szCs w:val="14"/>
          <w:color w:val="auto"/>
        </w:rPr>
        <w:t>” for further information.</w:t>
      </w:r>
    </w:p>
    <w:p>
      <w:pPr>
        <w:spacing w:after="0" w:line="249"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Servicing fees and other receivables represent amounts recognized as revenue but not yet collected in relation to servicing and other agreements with institutional investors and lending partners.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59"/>
        </w:trPr>
        <w:tc>
          <w:tcPr>
            <w:tcW w:w="7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73"/>
        </w:trPr>
        <w:tc>
          <w:tcPr>
            <w:tcW w:w="7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56,619</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14,931</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networking equipment</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r>
      <w:tr>
        <w:trPr>
          <w:trHeight w:val="223"/>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82,399</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(41,844)</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60"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2023 and 2024, depreciation and amortization expense on property, equipment, and software was $5.4 million, and $4.6 million, respectively. Capitalized internally developed software balances, net of accumulated amortization, were $31.3 million and $29.7 million as of December 31, 2023 and March 31, 2024, respectively. The Company also recognized impairment charges to internally developed software of $2.6 million during the three months ended March 31, 2023 as a result of the January 2023 Plan. Refer to “</w:t>
      </w:r>
      <w:r>
        <w:rPr>
          <w:rFonts w:ascii="Times New Roman" w:cs="Times New Roman" w:eastAsia="Times New Roman" w:hAnsi="Times New Roman"/>
          <w:sz w:val="18"/>
          <w:szCs w:val="18"/>
          <w:i w:val="1"/>
          <w:iCs w:val="1"/>
          <w:color w:val="auto"/>
        </w:rPr>
        <w:t>Note 15. Reorganization Expenses</w:t>
      </w:r>
      <w:r>
        <w:rPr>
          <w:rFonts w:ascii="Times New Roman" w:cs="Times New Roman" w:eastAsia="Times New Roman" w:hAnsi="Times New Roman"/>
          <w:sz w:val="18"/>
          <w:szCs w:val="18"/>
          <w:color w:val="auto"/>
        </w:rPr>
        <w:t>” for more information. There were no impairments of long-lived assets during the three months ended March 31, 2024.</w:t>
      </w:r>
    </w:p>
    <w:p>
      <w:pPr>
        <w:sectPr>
          <w:pgSz w:w="11900" w:h="16838" w:orient="portrait"/>
          <w:cols w:equalWidth="0" w:num="1">
            <w:col w:w="11300"/>
          </w:cols>
          <w:pgMar w:left="26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75"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59"/>
        </w:trPr>
        <w:tc>
          <w:tcPr>
            <w:tcW w:w="7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72"/>
        </w:trPr>
        <w:tc>
          <w:tcPr>
            <w:tcW w:w="7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24,609</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 (at fair value)</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Trailing fee liability (at fair value)</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servicing liabilities (at fair value)</w:t>
            </w: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62,055</w:t>
            </w: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9.</w:t>
        <w:tab/>
        <w:t>Borrowings</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presents the aggregate principal outstanding of all debt that are included in the condensed consolidated balance sheets:</w:t>
      </w:r>
    </w:p>
    <w:p>
      <w:pPr>
        <w:spacing w:after="0" w:line="26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680" w:type="dxa"/>
            <w:vAlign w:val="bottom"/>
            <w:tcBorders>
              <w:bottom w:val="single" w:sz="8" w:color="auto"/>
            </w:tcBorders>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20" w:type="dxa"/>
            <w:vAlign w:val="bottom"/>
          </w:tcPr>
          <w:p>
            <w:pPr>
              <w:spacing w:after="0"/>
              <w:rPr>
                <w:sz w:val="19"/>
                <w:szCs w:val="19"/>
                <w:color w:val="auto"/>
              </w:rPr>
            </w:pP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387,425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351,510</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661,250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661,250</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1,012,760</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(7,483)</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borrowings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1,005,277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Warehouse Credit Facilities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Upstart Loan Trust Warehouse Credit Facility</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2015, the Company’s consolidated VIE, ULT, entered into a revolving credit and security agreement with a third-party lender (the “ULT Warehouse Credit Facility”). The credit and security agreement for the ULT Warehouse Credit Facility was amended and restated in its entirety in May 2020 and has been further amended from time to time. Under the revolving credit and security agreement, the ULT Warehouse Credit Facility provides an aggregate of $250.0 million financing capacity of which $175.0 million is committed and $75.0 million is uncommitted. ULT may borrow up to this capacity until the earlier of June 15, 2025 or the occurrence of an accelerated amortization event. Accelerated amortization events include, but are not limited to, failure to satisfy certain loan performance metrics or the occurrence of an event of default. The proceeds may only be used to purchase unsecured personal loans and to pay fees and expenses related to the credit facility. The ULT Warehouse Credit Facility matures on the earlier of June 15, 2026 or acceleration of the facility following an event of default, upon which date 100% of the outstanding principal amount, together with any accrued and unpaid interest, becomes due and payable. The ULT Warehouse Credit Facility bears a floating interest rate of Compounded Secured Overnight Financing Rate (“SOFR”) plus a spread ranging from 2.75% to 4.13% per annum, due and payable monthly in arrears. The Company is also subject to a monthly unused fee ranging from 0.15% to 1.00% per annum</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undrawn balance. The maximum advance rate under the ULT Warehouse Credit Facility on outstanding principal of loans held by ULT was 72.5% as of December 31, 2023 and March 31, 2024.</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2023, ULT entered into an interest rate cap agreement intended to protect against exposure to changes in cash flows attributable to interest rate risk on the warehouse facility. Refer to “</w:t>
      </w:r>
      <w:r>
        <w:rPr>
          <w:rFonts w:ascii="Times New Roman" w:cs="Times New Roman" w:eastAsia="Times New Roman" w:hAnsi="Times New Roman"/>
          <w:sz w:val="18"/>
          <w:szCs w:val="18"/>
          <w:i w:val="1"/>
          <w:iCs w:val="1"/>
          <w:color w:val="auto"/>
        </w:rPr>
        <w:t>Note 4. Derivative Financial Instruments</w:t>
      </w:r>
      <w:r>
        <w:rPr>
          <w:rFonts w:ascii="Times New Roman" w:cs="Times New Roman" w:eastAsia="Times New Roman" w:hAnsi="Times New Roman"/>
          <w:sz w:val="18"/>
          <w:szCs w:val="18"/>
          <w:color w:val="auto"/>
        </w:rPr>
        <w:t>” for further details related to the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ULT Warehouse Credit Facility contains certain financial covenants. As of December 31, 2023 and March 31, 2024, ULT was in compliance with all applicable covenants under the ULT Warehouse Credit Facility. The creditors of ULT have no recourse to the general credit of the Company, except for certain limited obligations of ULT to its creditors that are guaranteed by the Company. The Company does not guarantee the credit performance of the loans owned by ULT, and the loans and other assets owned by ULT are not available to settle the claims of creditors of the Company.</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aggregate balances held by ULT that were pledged as collateral for the ULT Warehouse Credit Facility and included in loans at fair value and restricted cash in the condensed consolidated balance sheets: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ULT Warehouse Credit Facility</w:t>
            </w:r>
          </w:p>
        </w:tc>
      </w:tr>
      <w:tr>
        <w:trPr>
          <w:trHeight w:val="230"/>
        </w:trPr>
        <w:tc>
          <w:tcPr>
            <w:tcW w:w="6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00" w:type="dxa"/>
            <w:vAlign w:val="bottom"/>
          </w:tcPr>
          <w:p>
            <w:pPr>
              <w:spacing w:after="0"/>
              <w:rPr>
                <w:sz w:val="19"/>
                <w:szCs w:val="19"/>
                <w:color w:val="auto"/>
              </w:rPr>
            </w:pPr>
          </w:p>
        </w:tc>
        <w:tc>
          <w:tcPr>
            <w:tcW w:w="19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37"/>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borrowings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247,942</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247,128</w:t>
            </w:r>
          </w:p>
        </w:tc>
      </w:tr>
      <w:tr>
        <w:trPr>
          <w:trHeight w:val="25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outstanding principal of loans pledged as collateral</w:t>
            </w: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351,357</w:t>
            </w:r>
          </w:p>
        </w:tc>
      </w:tr>
      <w:tr>
        <w:trPr>
          <w:trHeight w:val="26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fair value of loans purchased and held by ULT</w:t>
            </w:r>
          </w:p>
        </w:tc>
        <w:tc>
          <w:tcPr>
            <w:tcW w:w="240" w:type="dxa"/>
            <w:vAlign w:val="bottom"/>
            <w:shd w:val="clear" w:color="auto" w:fill="CCEEFF"/>
          </w:tcPr>
          <w:p>
            <w:pPr>
              <w:spacing w:after="0"/>
              <w:rPr>
                <w:sz w:val="22"/>
                <w:szCs w:val="22"/>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356,109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351,795</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pledged as collateral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w:t>
            </w:r>
          </w:p>
        </w:tc>
      </w:tr>
    </w:tbl>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Upstart Auto Warehouse Trust Credit Facility</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2021, the Company’s consolidated VIE, UAWT, entered into a revolving credit and security agreement with a third-party lender (the “UAWT Warehouse Credit Facility”). The credit and security agreement for the UAWT Warehouse Credit Facility was amended and restated in its entirety in August 2022 and has been further amended from time to time.</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31, 2023, UAWT entered into the Omnibus Amendment to the Credit Agreement with the existing third-party lender which extended the last date by which UAWT may make a drawdown from its existing $200 million UAWT Warehouse Credit Facility until the earlier of June 2024 or an accelerated amortization event. An accelerated amortization event includes, but is not limited to, failure to satisfy certain loan performance metrics or the occurrence of an event of default. The proceeds may only be used to purchase secured auto loans originated using Upstart’s platform and to pay fees and expenses related to the credit facility. The UAWT Warehouse Credit Facility matures in June 2025, at which time all outstanding amounts owed must be repaid. As of March 31, 2024, the UAWT Warehouse Credit Facility bears interest per annum at a rate equivalent to the weighted-average cost of commercial paper notes issued by the lender (the “UAWT Benchmark Rate”), plus a spread ranging from 3.0% to 4.0%, and the maximum advance rate under the credit facility on outstanding principal of loans held by UAWT was 72.5% as of December 31, 2023 and 62.5% as of March 31, 2024. There were no other changes to key terms as a result of this amendment.</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2023, UAWT entered into an interest rate cap agreement intended to protect against exposure to changes in cash flows attributable to interest rate risk on the warehouse facility. Refer to “</w:t>
      </w:r>
      <w:r>
        <w:rPr>
          <w:rFonts w:ascii="Times New Roman" w:cs="Times New Roman" w:eastAsia="Times New Roman" w:hAnsi="Times New Roman"/>
          <w:sz w:val="18"/>
          <w:szCs w:val="18"/>
          <w:i w:val="1"/>
          <w:iCs w:val="1"/>
          <w:color w:val="auto"/>
        </w:rPr>
        <w:t>Note 4. Derivative Financial Instruments</w:t>
      </w:r>
      <w:r>
        <w:rPr>
          <w:rFonts w:ascii="Times New Roman" w:cs="Times New Roman" w:eastAsia="Times New Roman" w:hAnsi="Times New Roman"/>
          <w:sz w:val="18"/>
          <w:szCs w:val="18"/>
          <w:color w:val="auto"/>
        </w:rPr>
        <w:t>” for further details related to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UAWT Warehouse Credit Facility contains certain financial covenants. During the three months ended March 31, 2024, UAWT obtained waivers for breach of certain covenants under the UAWT Warehouse Credit Facility and paid down $15.3 million of the outstanding advance on the credit facility. The UAWT Warehouse Credit Facility was operating under these waivers as of March 31, 2024, which was extended through June 14, 2024. As of December 31, 2023 and March 31, 2024, UAWT was in compliance with all applicable covenants under the UAWT Warehouse Credit Facility. The creditors of UAWT have no recourse to the general credit of the Company, except for certain limited obligations of UAWT to its creditors that are guaranteed by the Company.</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aggregate balances held by UAWT that were pledged as collateral for the UAWT Warehouse Credit Facility and included in loans at fair value and restricted cash in the condensed consolidated balance sheets as of December 31, 2023 and March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UAWT Warehouse Credit Facility</w:t>
            </w:r>
          </w:p>
        </w:tc>
      </w:tr>
      <w:tr>
        <w:trPr>
          <w:trHeight w:val="229"/>
        </w:trPr>
        <w:tc>
          <w:tcPr>
            <w:tcW w:w="6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Pr>
          <w:p>
            <w:pPr>
              <w:spacing w:after="0"/>
              <w:rPr>
                <w:sz w:val="19"/>
                <w:szCs w:val="19"/>
                <w:color w:val="auto"/>
              </w:rPr>
            </w:pPr>
          </w:p>
        </w:tc>
        <w:tc>
          <w:tcPr>
            <w:tcW w:w="17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37"/>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borrowings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139,483</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104,382</w:t>
            </w:r>
          </w:p>
        </w:tc>
      </w:tr>
      <w:tr>
        <w:trPr>
          <w:trHeight w:val="25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outstanding principal of loans pledged as collateral</w:t>
            </w: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245,774</w:t>
            </w:r>
          </w:p>
        </w:tc>
      </w:tr>
      <w:tr>
        <w:trPr>
          <w:trHeight w:val="26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fair value of loans purchased and held by UAWT</w:t>
            </w:r>
          </w:p>
        </w:tc>
        <w:tc>
          <w:tcPr>
            <w:tcW w:w="24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258,374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229,779</w:t>
            </w: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pledged as collateral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bl>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20, 2021, the Company issued $661.3 million aggregate principal amount of 0.25% convertible senior notes due 2026 (“Notes”) pursuant to an indenture (the “Indenture”), (including the exercise in full of the initial purchasers’ option of an additional $86.3 million aggregate principal of additional notes) in a private placement to qualified institutional buyers pursuant to Rule 144A under the Securities Act of 1933, as amended. The net proceeds from the sale of the Notes were $645.5 million after deducting debt issuance costs.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Notes represent senior unsecured obligations of the Company and bear interest at a rate of 0.25% per year, payable semiannually in arrears on February 15 and August 15 of each year beginning on February 15, 2022. The Notes mature on August 15, 2026 unless earlier converted, redeemed, or repurchased in accordance with their terms.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Notes will be convertible at an initial conversion rate of 3.5056 shares of our common stock per $1,000 principal amount of Notes, which is equivalent to an initial conversion price of $285.26 per share, subject to adjustment if certain events occur. Following certain corporate events that may occur prior to the maturity date or following our issuance of a notice of redemption, the Company will increase the conversion rate for a holder who elects to convert its Notes in connection with such corporate event or during the related redemption period in certain circumstances. Additionally, upon the occurrence of a corporate event that constitutes a “fundamental change” per the Indenture, holders of the Notes may require the Company to repurchase for cash all or a portion of their respective notes at a purchase price equal to 100% of the principal amount of the Note plus accrued and unpaid interest.</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may convert their Notes at their option any time prior to the close of business on the business day immediately preceding May 15, 2026 only under the following circumstances:</w:t>
      </w:r>
    </w:p>
    <w:p>
      <w:pPr>
        <w:spacing w:after="0" w:line="189" w:lineRule="exact"/>
        <w:rPr>
          <w:sz w:val="20"/>
          <w:szCs w:val="20"/>
          <w:color w:val="auto"/>
        </w:rPr>
      </w:pPr>
    </w:p>
    <w:p>
      <w:pPr>
        <w:jc w:val="both"/>
        <w:ind w:firstLine="656"/>
        <w:spacing w:after="0" w:line="266" w:lineRule="auto"/>
        <w:tabs>
          <w:tab w:leader="none" w:pos="9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December 31, 2021 (and only during such calendar quarter), if the last reported sale price of the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56"/>
        <w:spacing w:after="0" w:line="266" w:lineRule="auto"/>
        <w:tabs>
          <w:tab w:leader="none" w:pos="9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business-day period after any five consecutive trading-day period in which the trading price per $1,000 principal amount of Notes for each trading day of such five consecutive trading-day period was less than 98% of the product of the last reported sale price of the Common Stock and the conversion rate on each such trading day;</w:t>
      </w:r>
    </w:p>
    <w:p>
      <w:pPr>
        <w:spacing w:after="0" w:line="202" w:lineRule="exact"/>
        <w:rPr>
          <w:rFonts w:ascii="Times New Roman" w:cs="Times New Roman" w:eastAsia="Times New Roman" w:hAnsi="Times New Roman"/>
          <w:sz w:val="18"/>
          <w:szCs w:val="18"/>
          <w:color w:val="auto"/>
        </w:rPr>
      </w:pPr>
    </w:p>
    <w:p>
      <w:pPr>
        <w:ind w:firstLine="656"/>
        <w:spacing w:after="0" w:line="282" w:lineRule="auto"/>
        <w:tabs>
          <w:tab w:leader="none" w:pos="91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call any or all of the Notes for redemption, at any time prior to the close of business on the second scheduled trading day immediately preceding the redemption date; or</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or after May 15, 2026, until the close of business on the second scheduled trading day immediately preceding the maturity date, holders of the Notes may convert all or any portion of their Notes regardless of the foregoing conditions. Upon conversion, the Company will pay or deliver, as the case may be, either cash, shares of common stock or a combination of cash and shares of common stock, at its election.</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not redeem the Notes prior to August 20, 2024. The Company may redeem for cash all or any portion of the Notes, at our option, on or after August 20, 2024, if the last reported sale price of our common stock has been at least 130% of the conversion price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at a redemption price equal to 100% of the principal amount of the Notes to be redeemed, plus any accrued and unpaid interest to, but excluding, the redemption date.</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accounted for the issuance of the Notes as a single liability at par as the conversion feature does not require bifurcation as a derivative under ASC 815 and the Notes were not issued at a substantial premium. Debt issuance costs related to the Notes totaled $15.7 million and consisted of underwriting fees and third-party offering costs, which are amortized to interest expense using the effective interest method over the contractual term. The Company recorded immaterial coupon interest expense for all periods presented. The Company also recorded $0.8 million, and $0.8 million for the three months ended March 31, 2023 and 2024, respectively, of amortization of debt issuance costs within other income, net on the condensed consolidated statements of operations and comprehensive loss. The effective interest rate of the Notes is 0.7%.</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estimated fair value of the Notes as of December 31, 2023 and March 31, 2024 was approximately $488.7 million and $508.4 million, respectively, which represent Level 2 valuations in the fair value hierarchy. The estimated fair value was determined based on the estimated or actual bids and offers of the Notes in an over-the-counter market. The carrying value of the Notes as of December 31, 2023 and March 31, 2024 was $653.0 million and $653.8 million, respectively.</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used $58.5 million of the net proceeds from the Notes to enter into privately negotiated capped call instruments (“Capped Calls”) with certain financial institutions. The Capped Calls each have an initial strike price of $285.26 per share, subject to certain adjustments, which corresponds to the initial conversion price of the Notes. The Capped Calls each have an initial cap price of $400.36 per share. The Capped Calls cover, subject to anti-dilution adjustments, 2.3 million shares of common stock. The Capped Calls are expected to reduce the potential dilution to common stock upon any conversion of Notes and/or offset any cash payments the Company is required to make in excess of the principal amount of converted Notes, as the case may be, in the event the market price per share of common stock, as measured under the terms of the Capped Call, is greater than the strike price of the Capped Call, with such reduction and/or offset subject to a cap. If, however, the market price per share of the common stock, as measured under the terms of the Capped Call, exceeds the cap price of the Capped Calls, there would be dilution and/or there would not be an offset of such potential cash payments, in each case,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such market price per share of the common stock exceeds the cap price of the Capped Calls. The Capped Calls expire on August 15, 2026, subject to earlier exercise.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Capped Calls were determined to be freestanding financial instruments that meet the criteria for classification in equity; as such the Capped Calls were recorded as a reduction of additional paid-in capital within stockholders’ equity.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aggregate amount of maturities of all borrowings as of March 31, 2024:</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tcBorders>
              <w:bottom w:val="single" w:sz="8" w:color="CCEEFF"/>
            </w:tcBorders>
          </w:tcPr>
          <w:p>
            <w:pPr>
              <w:spacing w:after="0"/>
              <w:rPr>
                <w:sz w:val="20"/>
                <w:szCs w:val="20"/>
                <w:color w:val="auto"/>
              </w:rPr>
            </w:pPr>
          </w:p>
        </w:tc>
        <w:tc>
          <w:tcPr>
            <w:tcW w:w="80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2024</w:t>
            </w:r>
          </w:p>
        </w:tc>
        <w:tc>
          <w:tcPr>
            <w:tcW w:w="80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104,382</w:t>
            </w:r>
          </w:p>
        </w:tc>
      </w:tr>
      <w:tr>
        <w:trPr>
          <w:trHeight w:val="229"/>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908,378</w:t>
            </w:r>
          </w:p>
        </w:tc>
      </w:tr>
      <w:tr>
        <w:trPr>
          <w:trHeight w:val="229"/>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1,012,760</w:t>
            </w: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743"/>
        </w:trPr>
        <w:tc>
          <w:tcPr>
            <w:tcW w:w="13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10.</w:t>
            </w:r>
          </w:p>
        </w:tc>
        <w:tc>
          <w:tcPr>
            <w:tcW w:w="8240" w:type="dxa"/>
            <w:vAlign w:val="bottom"/>
            <w:gridSpan w:val="2"/>
          </w:tcPr>
          <w:p>
            <w:pPr>
              <w:jc w:val="right"/>
              <w:ind w:right="645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60" w:type="dxa"/>
            <w:vAlign w:val="bottom"/>
          </w:tcPr>
          <w:p>
            <w:pPr>
              <w:spacing w:after="0"/>
              <w:rPr>
                <w:sz w:val="24"/>
                <w:szCs w:val="24"/>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2020, the Company's amended and restated certificate of incorporation became effective, which authorizes the issuance of 700,000,000 shares of common stock with a par value of $0.0001 per share. Shares of common stock reserved for issuance, on an as-converted basis,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786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12,617,254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13,525,333</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5,534,394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6,293,739</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future issuance under 2020 plan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6,420,703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7,792,772</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employee stock purchase plan</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2,896,226</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3,561,383</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27,468,577</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31,173,227</w:t>
            </w:r>
          </w:p>
        </w:tc>
      </w:tr>
      <w:tr>
        <w:trPr>
          <w:trHeight w:val="20"/>
        </w:trPr>
        <w:tc>
          <w:tcPr>
            <w:tcW w:w="78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2022, the Board of Directors authorized the Company to purchase up to $400.0 million of common stock of the Company. The Company may repurchase shares from time to time through open market purchases, in privately negotiated transactions or by other means, including through the use of trading plans intended to qualify under Rule 10b5-1. The repurchase program does not obligate the Company to acquire any particular amount of its common stock, and may be suspended or terminated by the Company at any time at its discretion without prior notice.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share repurchases on the settlement date. Repurchased shares are subsequently retired and returned to the status of authorized but unissued. The Company’s policy for share retirements is to allocate the excess between par value and the repurchase price, including costs and fees, to additional paid-in capital. During the three months ended March 31, 2024, the Company made no repurchases of common stock. As of March 31, 2024, $222.1 million remains available for future purchases of our common stock under the share repurchase program.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2020 Equity Incentive Plan authorizes grants of incentive stock options, non-statutory stock options, stock appreciation rights, restricted stock, restricted stock units, and performance awards to eligible participants.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three months ended March 31, 2024: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0" w:type="dxa"/>
            <w:vAlign w:val="bottom"/>
          </w:tcPr>
          <w:p>
            <w:pPr>
              <w:spacing w:after="0"/>
              <w:rPr>
                <w:sz w:val="17"/>
                <w:szCs w:val="17"/>
                <w:color w:val="auto"/>
              </w:rPr>
            </w:pPr>
          </w:p>
        </w:tc>
        <w:tc>
          <w:tcPr>
            <w:tcW w:w="12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15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6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6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220" w:type="dxa"/>
            <w:vAlign w:val="bottom"/>
          </w:tcPr>
          <w:p>
            <w:pPr>
              <w:spacing w:after="0"/>
              <w:rPr>
                <w:sz w:val="15"/>
                <w:szCs w:val="15"/>
                <w:color w:val="auto"/>
              </w:rPr>
            </w:pPr>
          </w:p>
        </w:tc>
        <w:tc>
          <w:tcPr>
            <w:tcW w:w="128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20" w:type="dxa"/>
            <w:vAlign w:val="bottom"/>
          </w:tcPr>
          <w:p>
            <w:pPr>
              <w:spacing w:after="0"/>
              <w:rPr>
                <w:sz w:val="19"/>
                <w:szCs w:val="19"/>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12,617,254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375,897</w:t>
            </w:r>
          </w:p>
        </w:tc>
        <w:tc>
          <w:tcPr>
            <w:tcW w:w="0" w:type="dxa"/>
            <w:vAlign w:val="bottom"/>
          </w:tcPr>
          <w:p>
            <w:pPr>
              <w:spacing w:after="0"/>
              <w:rPr>
                <w:sz w:val="1"/>
                <w:szCs w:val="1"/>
                <w:color w:val="auto"/>
              </w:rPr>
            </w:pPr>
          </w:p>
        </w:tc>
      </w:tr>
      <w:tr>
        <w:trPr>
          <w:trHeight w:val="223"/>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Options cancelled and 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13,525,333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Options exercisable – March 31, 2024</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169,666</w:t>
            </w: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8,895,830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vested and expected to vest – March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13,492,091</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200,807</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fair value of the Company’s stock as of March 31, 2024. The aggregate intrinsic value of options exercised for the three months ended March 31, 2023 and 2024 was $4.0 million and $9.1 million respectively. The weighted-average grant date fair value of options granted during the three months ended March 31, 2023 and 2024 was $8.00, and $14.06 per share, respectively. The total fair value of options vested for the three months ended March 31, 2023 and 2024 was $9.5 million, and $7.9 million, respectively.</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stock-based compensation expense related to unvested stock options was $52.0 million, which is expected to be recognized over a remaining weighted-average period of 2.8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restricted stock units (“RSUs”) to employees and nonemployees. RSUs vest upon satisfaction of a service-based condition, which is generally satisfied over one to four years. The following table summarizes RSU activity for the three months ended March 31,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22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6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Date Fair Value Per Share</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5,534,394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0" w:type="dxa"/>
            <w:vAlign w:val="bottom"/>
          </w:tcPr>
          <w:p>
            <w:pPr>
              <w:spacing w:after="0"/>
              <w:rPr>
                <w:sz w:val="1"/>
                <w:szCs w:val="1"/>
                <w:color w:val="auto"/>
              </w:rPr>
            </w:pPr>
          </w:p>
        </w:tc>
      </w:tr>
      <w:tr>
        <w:trPr>
          <w:trHeight w:val="223"/>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 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1,847,057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RSUs 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RSUs cancelled and 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(162,685)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31, 2024</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6,293,739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stock-based compensation expense related to outstanding unvested RSUs was $163.6 million, which is expected to be recognized over a remaining weighted-average period of 1.9 years.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of Prodigy Software, Inc. (“Prodigy”) in April 2021, 82,201 shares of the Company’s restricted stock with a fair value of $10.1 million were issued to certain Prodigy employees. At the time of grant, the restricted stock was subject to transfer restrictions and a repurchase option and was contingent upon the employees' continued employment with the Company. The restricted stock was subject to restrictions which lapsed on a quarterly basis over two years from the time of the Prodigy acquisition. As of March 31, 2023, total unrecognized stock-based compensation expense related to restricted stock was immaterial.</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restricted stock awards outstanding during the three months ended March 31, 2024.</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24, 2023, the Company’s Compensation Committee of the Board of Directors approved the cancellation of a performance-based restricted stock unit award (“PRSUs”) that may be settled for 687,500 shares of the Company’s common stock granted to an executive in February 2022.</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the time the PRSUs were granted, the PRSUs were intended to be the executive’s primary compensation through calendar year 2029 so that, in connection with the grant of the PRSUs, the executive’s cash compensation was limited to the amount necessary to allow the executive to participate in the broad-based employee benefits generally applicable at the Company. In reaching its decision to cancel the PRSUs, the Compensation Committee extensively considered the purpose of the PRSUs and determined that the grant no longer provided the intended retention and incentive value to the executive. After considering various alternatives and the pros and cons of such alternatives and consulting with its external advisors, the Compensation Committee believed it was in the best interest of the Company and its stockholders to cancel the PRSUs in exchange for the reinstatement of the executive’s cash compensation, including the executive’s annual base salary and eligibility to participate in the Company’s 2023 Executive Bonus Plan with an annual target bonus opportunity equal to 75% of the executive’s annual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Compensation expense associated with the PRSUs was recognized using the straight-line attribution method for each of the nine vesting tranches over the respective derived service period. The weighted-average grant date fair value using the Monte Carlo simulation was $68.76 per share. The Company recognizes stock-based compensation expense for awards subject to market-based vesting conditions regardless of whether these conditions will be achieved or not, and stock-based compensation expense for any such awards is not reversed if the market condition is not met. The cancellation of the grant was treated by the Company as a settlement for no consideration and remaining unrecognized compensation expense of $39.0 million associated with the grant was accelerated and recorded by the Company as part of engineering and product development expense on the condensed consolidated statements of operations and comprehensive loss for the three months ended March 31, 2023.</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PRSUs outstanding during the three months ended March 31, 2024.</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employee stock purchase plan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three months ended March 31, 2024, 198,133 shares of common stock were purchased under the ESPP.</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total unrecognized stock-based compensation expense related to the ESPP was immaterial.</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Awards Granted</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stock-based awards, the Company uses a Black-Scholes option-pricing model for its options granted and ESPP purchase rights. The inputs used for estimating the fair values of options and ESPP purchase rights granted during the period include:</w:t>
      </w:r>
    </w:p>
    <w:p>
      <w:pPr>
        <w:spacing w:after="0" w:line="18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the Company’s common stock is determined by the closing price, on the date of grant,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which is traded on the Nasdaq Global Select Market.</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the Company’s stock options and ESPP purchase rights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We estimate the expected term based on the simplified method, which is the weighted-average time to vesting and the contractual maturity.</w:t>
      </w:r>
    </w:p>
    <w:p>
      <w:pPr>
        <w:spacing w:after="0" w:line="18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–Because the Company has not had an active trading market for its common stock for a sufficient period of time,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estimated based on the average volatility for comparable publicly-traded companies, over a period equal to the expected term of the stock option grants.</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assumption is based on the U.S. Treasury zero coupon issues in effect at the time of grant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corresponding with the expected term of the option.</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–The Company has never paid dividends on its common stock and does not anticipate paying dividends on common stock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Therefore, the Company uses an expected dividend yield of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options granted:</w:t>
            </w: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99"/>
        </w:trPr>
        <w:tc>
          <w:tcPr>
            <w:tcW w:w="7140" w:type="dxa"/>
            <w:vAlign w:val="bottom"/>
          </w:tcPr>
          <w:p>
            <w:pPr>
              <w:spacing w:after="0"/>
              <w:rPr>
                <w:sz w:val="24"/>
                <w:szCs w:val="24"/>
                <w:color w:val="auto"/>
              </w:rPr>
            </w:pPr>
          </w:p>
        </w:tc>
        <w:tc>
          <w:tcPr>
            <w:tcW w:w="404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14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7.0</w:t>
            </w: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52.89%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53.38%</w:t>
            </w:r>
          </w:p>
        </w:tc>
      </w:tr>
      <w:tr>
        <w:trPr>
          <w:trHeight w:val="22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3.45%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4.27%</w:t>
            </w: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0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792"/>
        </w:trPr>
        <w:tc>
          <w:tcPr>
            <w:tcW w:w="71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ESPP purchase rights:</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73"/>
        </w:trPr>
        <w:tc>
          <w:tcPr>
            <w:tcW w:w="7140" w:type="dxa"/>
            <w:vAlign w:val="bottom"/>
          </w:tcPr>
          <w:p>
            <w:pPr>
              <w:spacing w:after="0"/>
              <w:rPr>
                <w:sz w:val="24"/>
                <w:szCs w:val="24"/>
                <w:color w:val="auto"/>
              </w:rPr>
            </w:pPr>
          </w:p>
        </w:tc>
        <w:tc>
          <w:tcPr>
            <w:tcW w:w="404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14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97.74%</w:t>
            </w:r>
          </w:p>
        </w:tc>
        <w:tc>
          <w:tcPr>
            <w:tcW w:w="100" w:type="dxa"/>
            <w:vAlign w:val="bottom"/>
          </w:tcPr>
          <w:p>
            <w:pPr>
              <w:spacing w:after="0"/>
              <w:rPr>
                <w:sz w:val="19"/>
                <w:szCs w:val="19"/>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96.69%</w:t>
            </w:r>
          </w:p>
        </w:tc>
      </w:tr>
      <w:tr>
        <w:trPr>
          <w:trHeight w:val="22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4.97%</w:t>
            </w:r>
          </w:p>
        </w:tc>
        <w:tc>
          <w:tcPr>
            <w:tcW w:w="1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5.30%</w:t>
            </w: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0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in the following expense categories in its condensed consolidated statements of operations and comprehensive loss for employees and nonemployees: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60" w:type="dxa"/>
            <w:vAlign w:val="bottom"/>
            <w:tcBorders>
              <w:bottom w:val="single" w:sz="8" w:color="auto"/>
            </w:tcBorders>
          </w:tcPr>
          <w:p>
            <w:pPr>
              <w:spacing w:after="0"/>
              <w:rPr>
                <w:sz w:val="20"/>
                <w:szCs w:val="20"/>
                <w:color w:val="auto"/>
              </w:rPr>
            </w:pPr>
          </w:p>
        </w:tc>
      </w:tr>
      <w:tr>
        <w:trPr>
          <w:trHeight w:val="223"/>
        </w:trPr>
        <w:tc>
          <w:tcPr>
            <w:tcW w:w="75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r>
      <w:tr>
        <w:trPr>
          <w:trHeight w:val="22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Customer operations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r>
      <w:tr>
        <w:trPr>
          <w:trHeight w:val="22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19,210</w:t>
            </w:r>
          </w:p>
        </w:tc>
      </w:tr>
      <w:tr>
        <w:trPr>
          <w:trHeight w:val="23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11,626</w:t>
            </w:r>
          </w:p>
        </w:tc>
      </w:tr>
      <w:tr>
        <w:trPr>
          <w:trHeight w:val="248"/>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35,777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operating leases expire between 2027 and 2029 and are primarily for its corporate headquarters in San Mateo, California and Columbus, Ohio, as well as additional office space in Columbus, Ohio and Austin, Texas. Certain leases have rent abatement, escalating rent payment provisions, lease renewal options, and tenant allowances. Rent expense is recognized on a straight-line basis over the non-cancelable lease term, except when it is reasonably certain that the renewal option will be exercised.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Company’s lease agreements, letters of credit were issued on behalf of the Company for the benefit of the landlord in an aggregate amount of $3.4 million. The letters of credit are secured by certificates of deposit which are included in restricted cash on the condensed consolidated balance sheets.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As of March 31, 2024, future minimum lease payments are as follows: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73"/>
        </w:trPr>
        <w:tc>
          <w:tcPr>
            <w:tcW w:w="96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15,402</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15,474</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67,090</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(7,726)</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59,364</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did not have any material finance leases as of March 31, 2023 and had no finance leases as of March 31, 2024. The Company’s operating lease expense consists of rent and variable lease payments. Variable lease payments such as common area maintenance and parking fees, were included in operating expenses. Rent expense for the Company’s short-term leases was immaterial for the periods presented. Operating lease expense was as follows: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expense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r>
    </w:tbl>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and non-cash information related to the Company’s operating leases was as follows: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0" w:type="dxa"/>
            <w:vAlign w:val="bottom"/>
            <w:shd w:val="clear" w:color="auto" w:fill="CCEEFF"/>
          </w:tcPr>
          <w:p>
            <w:pPr>
              <w:spacing w:after="0"/>
              <w:rPr>
                <w:sz w:val="19"/>
                <w:szCs w:val="19"/>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r>
      <w:tr>
        <w:trPr>
          <w:trHeight w:val="540"/>
        </w:trPr>
        <w:tc>
          <w:tcPr>
            <w:tcW w:w="20" w:type="dxa"/>
            <w:vAlign w:val="bottom"/>
          </w:tcPr>
          <w:p>
            <w:pPr>
              <w:spacing w:after="0"/>
              <w:rPr>
                <w:sz w:val="24"/>
                <w:szCs w:val="24"/>
                <w:color w:val="auto"/>
              </w:rPr>
            </w:pPr>
          </w:p>
        </w:tc>
        <w:tc>
          <w:tcPr>
            <w:tcW w:w="7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leases was as follows: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64"/>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20" w:type="dxa"/>
            <w:vAlign w:val="bottom"/>
          </w:tcPr>
          <w:p>
            <w:pPr>
              <w:spacing w:after="0"/>
              <w:rPr>
                <w:sz w:val="20"/>
                <w:szCs w:val="20"/>
                <w:color w:val="auto"/>
              </w:rPr>
            </w:pPr>
          </w:p>
        </w:tc>
        <w:tc>
          <w:tcPr>
            <w:tcW w:w="75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20" w:type="dxa"/>
            <w:vAlign w:val="bottom"/>
          </w:tcPr>
          <w:p>
            <w:pPr>
              <w:spacing w:after="0"/>
              <w:rPr>
                <w:sz w:val="19"/>
                <w:szCs w:val="19"/>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4.32</w:t>
            </w:r>
          </w:p>
        </w:tc>
      </w:t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12.</w:t>
        <w:tab/>
        <w:t>Commitments and Contingencies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loan purchase obligations under the Company’s loan agreements with certain lending partners. These lending partners retain ownership of the loans facilitated through Upstart’s platform for three days or longer (the “holding period”) after origination, as required under the respective agreements. The Company has committed to purchase the loans at the conclusion of the required holding period. As of December 31, 2023 and March 31, 2024, the total loan purchase commitment included outstanding principal balance of $36.6 million and $32.5 million,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and may voluntarily provide information on additional contingencies.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and it is presently involved in, various litigation and legal proceedings arising from the ordinary course of business activities, the outcome of which the Company cannot reasonably determine. Other than the class actions and derivative actions described below, the Company does not believe that it is presently a party to any litigation of which the outcome would individually, or taken together, have a material adverse effect on our business, operating results, cash flows, or financial condition. As of December 31, 2023, no loss contingency was recorded in connection with legal proceedings. As of March 31, 2024, an immaterial loss contingency was recorded in connection with legal proceedings.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adverse effect on the Company’s condensed consolidated financial statements.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Repurchases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loan purchase and loan servicing agreements between the Company and institutional investors, as well as in agreements with investors in securitizations and pass-through certificate transactions, the Company may, in certain circumstances, become obligated to repurchase loans from such institutional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the institutional investors, or a violation of the applicable federal, state, or local lending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maximum potential amount of future payments associated under this obligation is the outstanding balances of the loans sold to the institutional investors, which at December 31, 2023 and March 31, 2024 is $12,208.1 million and $11,487.4 million, respectively. Actual payments made relating to the Company’s repurchase and indemnification obligations were immaterial.</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material contingent liabilities related to future loan repurchase obligations as of December 31, 2023 and March 31, 2024. These amounts are included in accrued expenses and other liabilities on the Company’s condensed consolidated balance sheets.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Legal</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13, 2022, a purported class action lawsuit was filed in the United States District Court, Northern District of California, captioned Ward v. Upstart Holdings, Inc., et al., Case No. 5:22-cv-02856-BLF (N.D. Cal.) against the Company, the Company’s Chief Executive Officer, and Chief Financial Officer alleging, among other things, that the defendants made false and/or misleading statements or omissions about the Company’s business, operations, and prospects in violation of Section 10(b) of the Securities Exchange Act of 1934, as amended (the “Exchange Act”) and Rule 10b-5 promulgated thereunder, as well as Section 20(a) of the Exchange Act. The Ward lawsuit claimed unspecified damages and legal fees.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Between May 19, 2022 and June 22, 2022, two additional related purported class action lawsuits were filed in the United States District Court, Northern District of California, captioned Plymouth County Retirement Association v. Upstart Holdings, Inc., et al., Case No. 3:22-cv-02973-WHO (N.D. Cal.) and Zhang v. Upstart Holdings, Inc., et al., Case No. 3:22-cv-03668-JD (N.D. Cal.). On July 7, 2022, a related purported class action lawsuit was filed in the United States District Court, Southern District of Ohio, captioned Handelsbanken Fonder AB v. Upstart Holdings, Inc., et al., Case No. 2:22-cv-02706-SDM-EPD (S.D. Ohio). The Zhang, Plymouth County, and Handelsbanken Fonder actions named the same defendants and made similar allegations to those in the Ward action.</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11, 2022, plaintiffs in the Zhang and Plymouth County actions filed notices voluntarily dismissing their lawsuits without prejudice. On July 12, 2022, motions to appoint lead plaintiff and lead counsel were filed in both the Ward action and the Handelsbanken Fonder action. On July 26, 2022, plaintiff in the Ward action filed a notice voluntarily dismissing his lawsuit without prejudice, and on July 27, 2022, plaintiff in the Handelsbanken Fonder action filed a notice voluntarily dismissing its lawsuit without prejudice.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26, 2022, an additional lawsuit was filed in United States District Court, Southern District of Ohio, captioned Crain v. Upstart Holdings, Inc. et al., Case No. 2:22-cv-02935-ALM-EPD (S.D. Ohio) against the Company, the Company’s Chief Executive Officer, and Chief Financial Officer. The Crain lawsuit makes allegations similar to those in the Handelsbanken Fonder action and alleges that the defendants made false and/or misleading statements or omissions about the Company’s business, operations, and prospects in violation of Section 10(b) of the Exchange Act and Rule 10b-5 promulgated thereunder, as well as Section 20(a) of the Exchange Act. The Crain lawsuit claims unspecified damages and legal fees. On August 16, 2022, the court appointed a lead plaintiff and approved lead counsel in the Crain action. On December 5, 2022, the lead plaintiff filed a consolidated amended complaint, which names the same defendants as the previous complaint, along with two Company executives, as well as Third Point LLC and its CEO and Third Point Ventures LLC and its managing partner (also a former Upstart board member). The consolidated amended complaint brings the same claims as the previous complaint but adds a claim under Section 20A of the Exchange Act. On February 24, 2023, the Upstart defendants filed a motion to dismiss the consolidated amended complaint. On September 29, 2023, the Court issued an order, granting in part and denying in part the Upstart defendants’ motion. On November 7, 2023, the Upstart defendants filed a motion for reconsideration, which has now been fully briefed and is awaiting decision by the Court. On February 2, 2024, Lead Plaintiff, Universal-Investment-Gesellschaft mbH, and plaintiffs, Kathy Brooks and Kevin Crain, filed a motion for an order to certify this matter as a class action, appoint themselves as class representatives, and approve their selection of Motley Rice LLC and Robbins Geller Rudman &amp; Dowd LLP as co-class counsel. The Company believes the remaining claims in the Crain action are without merit and intends to defend itself vigorously.</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28, 2022, a derivative lawsuit was filed in United States District Court, Southern District of Ohio, captioned OConnor v. Huber et al., Case No. 2:22-cv-02961-EAS-KAJ (S.D. Ohio). The OConnor action includes allegations similar to those in the Crain complaint, and names as defendants each of the Company’s current board members and its Chief Financial Officer. The Company is named as a nominal defendant. The OConnor action includes claims for violation of Section 10(b) of the Exchange Act and Rule 10b-5 promulgated thereunder, breach of fiduciary duty, aiding and abetting breach of fiduciary duty, unjust enrichment, and waste of corporate assets. The OConnor action seeks unspecified monetary damages and an accounting from the individual defendants. The OConnor action also seeks unspecified corporate governance and internal procedure modifications, punitive damages, and legal fees.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2022, a second derivative lawsuit was filed in United States District Court, Southern District of Ohio, captioned Chung v. Huber et al., No. 2:22-cv-03620-MHW-CMV (S.D. Ohio). The Chung action includes allegations similar to those in the OConnor complaint, and names as defendants each of the Company’s current board members, a former board member, and its Chief Financial Officer. The Company is named as a nominal defendant. The Chung action includes claims for violation of Section 10(b), 14(a), and 21D of the Exchange Act, breach of fiduciary duties, unjust enrichment, abuse of control, gross mismanagement, and waste of corporate assets. The Chung action seeks unspecified monetary damages, restitution, and attorney’s fees and costs from the individual defendants. It also seeks corporate governance and internal procedure modifications.</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12, 2022, in response to a joint motion by the parties, the Court consolidated the OConnor and Chung matters, appointed co-lead counsel, and stayed the consolidated case until resolution of the related Crain securities class action.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3, 2023, a third derivative lawsuit was filed, in the United States District Court, District of Delaware, captioned Hsu v. Girouard, et al., 1:23-cv-00132-UNA (D. Del.). The Hsu action includes allegations similar to those in the consolidated derivative matter pending in Ohio, and names as defendants each of the Company’s current board members, a former board member, and its Chief Financial Officer. The Company is named as a nominal defendant. The Hsu action includes claims for violation of Section 14(a) of the Exchange Act as well as breach of fiduciary duties, and seeks unspecified monetary damages, restitution, and attorney’s fees and costs from the individual defendants. It also seeks corporate governance and internal procedure modifications. On February 16, 2023, in response to a joint stipulation and proposed order submitted by the parties, the Court stayed the Hsu action until resolution of the related Crain securities class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8, 2023, a fourth derivative lawsuit was filed, in the United States District Court, District of Delaware, captioned Sornchai et al. v. Girouard, et al., 1:23-cv-00253-MN (D. Del). The Sornchai action includes allegations similar to those in the consolidated derivative matter pending in Ohio, and names as defendants each of the Company’s current board members, a former board member, its Chief Financial Officer, and a Company executive. The Company is named as a nominal defendant. The Sornchai action includes claims for violations of Sections 10(b), 14(a) and 21D of the Exchange Act, breach of fiduciary duties, breach of fiduciary duty through misappropriation of material non-public information, and unjust enrichment, and seeks unspecified monetary damages, restitution, and attorney’s fees and costs from the individual defendants. It also seeks corporate governance and internal procedure modifications. On March 24, 2023, in response to a joint stipulation and proposed order submitted by the parties, the Court stayed the Sornchai action until resolution of the related Crain securities class action.</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5, 2023, a fifth derivative lawsuit was filed, in the Court of Chancery of the State of Delaware, captioned Okhai v. Girouard, et al., C.A. No. 2023-0401-SG (Del. Ch.). The Okhai action includes allegations similar to those in the consolidated derivative matter pending in Ohio, and names as defendants the Company’s current board members, two former board members, its Chief Financial Officer, and two current or former Company executives, as well as Third Point LLC and Third Point Ventures LLC. The Okhai action includes claims for breach of fiduciary, aiding and abetting such alleged breaches, and unjust enrichment, and seeks equitable and/or injunctive relief, restitution, and attorney’s fees and costs from the individual defendants. On August 3, 3023, in response to a motion to stay by the defendants in the Okhai action, the Court stayed the Okhai action until resolution of the motion to dismiss in the related Crain securities class action. Following the issuance of the September 29, 2023 order on the motion to dismiss in the related Crain securities class action, on November 16, 2023, in response to a joint stipulation and proposed order submitted by the parties, the Court stayed the Okhai action until resolution of a motion for reconsideration of the September 29, 2023 order on the motion to dismiss in the related Crain securities class action.</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13, 2023, a sixth derivative lawsuit was filed, in the Court of Chancery of the State of Delaware, captioned Romanyshyn v. Girouard, et al., C.A. No. 2023-1029-SG (Del. Ch.). The Romanyshyn action includes allegations similar to those in the consolidated derivative matter pending in Ohio, and names as defendants current and former directors and Company executives, as well as Third Point LLC and its CEO, and Third Point Ventures LLC. The Romanyshyn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Romanyshyn action until resolution of the motion to stay in the related Okhai derivative action.</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24, 2023, a seventh derivative lawsuit was filed, in the Court of Chancery of the State of Delaware, captioned Agarwal v. Girouard, et al., C.A. No. 2023-1075-SG (Del. Ch.). The Agarwal action includes allegations similar to those in the consolidated derivative matter pending in Ohio, and names as defendants current and former directors and Company executives, as well as Third Point LLC and its CEO, and Third Point Ventures LLC. The Agarwal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Agarwal action until resolution of the motion to stay in the related Okhai derivative action.</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the uncertainty of litigation described above, the preliminary stage of the cases, and the legal standards that must be met for, among other things, class certification and success on the merits, the Company cannot estimate the reasonably possible loss or range of loss that may result from these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17, 2023, we received a subpoena from the SEC seeking various documents and information regarding our disclosures, including the use of our AI models and loans, among other things. We are cooperating with the SEC and are unable to predict the outcome of this matter.</w:t>
      </w:r>
    </w:p>
    <w:p>
      <w:pPr>
        <w:spacing w:after="0" w:line="185"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effective tax rates for the three months ended March 31, 2023 and 2024,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p>
        </w:tc>
        <w:tc>
          <w:tcPr>
            <w:tcW w:w="3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bl>
    <w:p>
      <w:pPr>
        <w:spacing w:after="0" w:line="3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tax provision and the resulting effective tax rate for interim periods are determined based upon its estimated annual effective tax rate adjusted for the effect of discrete items arising during the period. The Company's effective tax rate for the three months ended March 31, 2024 stayed relatively consistent compared to the same period in 2023 as the Company continues to maintain a full valuation allowance with residual current year state taxes. The effective tax rate differs from the U.S. statutory tax rate primarily due to the valuation allowance on the Company’s deferred tax assets as it is more likely than not that some or all of these deferred tax assets will not be realized.</w:t>
      </w:r>
    </w:p>
    <w:p>
      <w:pPr>
        <w:spacing w:after="0" w:line="200" w:lineRule="exact"/>
        <w:rPr>
          <w:sz w:val="20"/>
          <w:szCs w:val="20"/>
          <w:color w:val="auto"/>
        </w:rPr>
      </w:pPr>
    </w:p>
    <w:p>
      <w:pPr>
        <w:spacing w:after="0" w:line="222"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14.</w:t>
        <w:tab/>
        <w:t>Net Loss Per Share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based on the weighted-average common shares outstanding during the relevant period. Diluted net loss per share is based on the weighted-average common shares outstanding during the relevant period adjusted for the dilutive effect of share-based awards and convertible debt.</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periods in which the Company reports net losses, basic and diluted net loss per share are the same because potentially dilutive common shares are not assumed to have been issued if their effect is anti-dilutive.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(64,598)</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used to calculate net loss per share, basic</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81,911,433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87,030,695</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used to calculate net loss per share, diluted</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81,911,433</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87,030,695</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securities were excluded from the computation of diluted net loss per share for the periods presented, due to their anti-dilutive effect. These amounts represent the number of instruments outstanding at the end of each respective quarter: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60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4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13,881,292</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13,525,333</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8,222,931</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6,293,739</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rights committed under the ESPP</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174,543</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167,621</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debt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2,318,078</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2,318,078</w:t>
            </w:r>
          </w:p>
        </w:tc>
      </w:tr>
      <w:tr>
        <w:trPr>
          <w:trHeight w:val="248"/>
        </w:trPr>
        <w:tc>
          <w:tcPr>
            <w:tcW w:w="7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24,596,844</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22,304,771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15.</w:t>
        <w:tab/>
        <w:t>Reorganization Expenses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31, 2023, the Company implemented a plan of reorganization (the “January 2023 Plan”). The January 2023 Plan was designed to reduce operating costs, streamline operations and return the Company to profitability. As part of the January 2023 Plan, the Company reduced its workforce by approximately 20%, or 365 employees, and suspended development of its small business loan product.</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2023, the Company incurred $15.5 million of reorganization expenses in relation to the January 2023 plan, which primarily consisted of severance charges related to employee cash compensation, benefits, and associated taxes. As of March 31, 2024, the Company has made all cash payments to impacted employees. The Company also recognized an impairment expense of $2.6 million for previously capitalized internally developed software costs. In addition to these charges, the Company recognized $2.9 million of one-time non-cash savings related to the reversal of previously expensed stock-based compensation associated with forfeited stock awards for the three months ended March 31, 2023. During the three months ended March 31, 2024, the Company incurred no additional reorganization expenses.</w:t>
      </w:r>
    </w:p>
    <w:p>
      <w:pPr>
        <w:spacing w:after="0" w:line="210"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16.</w:t>
        <w:tab/>
        <w:t>Subsequent Events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that have occurred through the filing date of this Quarterly Report on Form 10-Q. Based on its evaluation, other than any items recorded or disclosed within the condensed consolidated financial statement and related notes, including as discussed below, the Company has determined no subsequent events were required to be recognized or disclosed.</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April 24, 2024, Upstart Loan Trust, the Company’s consolidated variable interest entity (“ULT”), entered into an Amended and Restated Revolving Credit and Security Agreement with the third-party lender, which increased the uncommitted portion of the total financing capacity under the warehouse credit facility from $75.0 million to $150.0 million. All other key terms of the agreement remain the same as described in </w:t>
      </w:r>
      <w:r>
        <w:rPr>
          <w:rFonts w:ascii="Times New Roman" w:cs="Times New Roman" w:eastAsia="Times New Roman" w:hAnsi="Times New Roman"/>
          <w:sz w:val="18"/>
          <w:szCs w:val="18"/>
          <w:i w:val="1"/>
          <w:iCs w:val="1"/>
          <w:color w:val="auto"/>
        </w:rPr>
        <w:t>Note 9. Borrowings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Subsequent to March 31, 2024, the Company implemented a series of initiatives designed to reduce operating costs and streamline operations. As a result, Upstart’s workforce was reduced by approximately 10%. In relation to these initiatives, the Company estimates that it will incur approximately $4 million in charges related to severance payments, employee benefits and taxes during the quarter ending June 30, 2024 and expects to realize operating savings of approximately $20 million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contains forward-looking statements that involve risks and uncertainties. Factors that could cause or contribute to such differences include those identified below and those discussed in the section titled “Risk Factors” and other parts of this Quarterly Report on Form 10-Q. Our historical results are not necessarily indicative of the results that may be expected for any period in the future.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 applies artificial intelligence (“AI”) models and cloud applications to the process of underwriting consumer credit. Our AI marketplace connects consumers with our lending partners. Consumers can access Upstart-powered loans via Upstart.com, through a lender-branded product on our lending partners’ own websites, and through auto dealerships that use our Upstart Auto Retail software. We enable our lending partners to provide an exceptional digital-first experience to consumers and originate valuable credit products. As our technology continues to improve and additional lending partners adopt our platform, consumers benefit from improved access to affordable and frictionless credit.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banks and other traditional lenders will continue to be at the forefront of consumer lending in the United States. We believe AI lending will become increasingly critical as this industry continues to undergo a broad digital transformation. Our strategy is to partner with banks and credit unions and provide them with access to an AI lending marketplace that they can configure as they originate consumer loans under their own brand, according to their own business and regulatory requirements.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Loans issued through our marketplace are retained by our lending partners, purchased by our network of institutional investors, or funded by Upstart’s balance sheet. Investors may also invest in Upstart-powered loans through our pass-through and securitization programs.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Out of the total principal of loans transacted on our marketplace during the three months ended March 31, 2024, 44% were purchased by institutional investors, 29% were retained by our lending partners, and 27% were held on our balance sheet. We retain loans on our balance sheet to fill gaps in investor demand, to aid in price discovery, and to hold loans on our balance sheet for research and development purposes (“R&amp;D Loans”), including to test and evaluate our AI models for these loans. R&amp;D Loans are primarily our auto refinance and auto retail loan products, personal loan products issued to new categories of borrowers, and other new loan products. R&amp;D Loans are not yet part of our established capital markets programs or other loan funding programs with institutional investors. The remainder of loans on our balance sheet represent core personal loans, which Upstart would sell to institutional investors.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improve the loan funding capacity for our marketplace across business and macroeconomic cycles, we have secured multiple committed capital and other co-investment arrangements with institutional investors and other third-parties beginning in 2023 which have delivered a significant amount of loan funding to the Upstart marketplace. We continue our work on expanding the loan funding capacity for our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Economic Model</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Upstart’s revenues are primarily earned in exchange for the use of our platform and for borrower referral services provided to our lending partners through our lending marketplace. Fees for these services can be either fixed or based on a variable price per unit, depending on the contractual arrangement. Platform services result in loan originations by our lending partners using our platform and referral services result in a referral of a borrower obtaining a loan from our lending partners. These fees are combined for accounting purposes as they represent a single performance obligation. We do not charge borrowers on our platform any referral, platform, or other similar fees for loans originated by our lending partners.</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also charge the holder of the loan (either a lending partner or institutional investor) a servicing fee based on the outstanding principal over the lifetime of the loan for ongoing servicing of the loan. In addition, we receive certain ancillary borrower fees inclusive of late payment fees and ACH fail fees as part of loan servicing. Further, we earn a portion of our revenue from interest income for loans held on our balance sheet.</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Loans on our platform today are predominantly sourced from Upstart.com. For these loans, we incur variable costs in the form of borrower acquisition costs and borrower verification and servicing costs. Borrower acquisition, verification and servicing costs are highly correlated with Transaction Volume, which fluctuates on a quarter by quarter basis. We continue to focus on improvements to our level of automation and Conversion Rate (as defined below) through our increasingly sophisticated risk models and our evolving channel mix which have contributed to improving our loan unit economics over time.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Performance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the credit performance of Upstart-powered loans can be impacted by a variety of macroeconomic and other factors, we consider credit performance to be one of the most important measures of the effectiveness of our AI models. We evaluate the credit performance of core personal loans by comparing the target returns expected at the time of origination to the returns received by our lending partners and institutional investors. The target return, a critical component of our loan pricing, is calculated using estimated cash flows, which are developed based on a number of factors, including credit losses and prepayment rates. While target returns across our lending partners and institutional investors vary depending on their programs’ objectives and risk tolerance, overall performance is calculated based on the variance between the initially expected returns and the actual return on capital invested in Upstart-powered loans.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Lending is a cyclical industry, and we believe it is important to take a long-term view of credit performance. An equal investment in all vintages of Upstart-powered core personal loans that originated in the first quarter of 2018 through the fourth quarter of 2023 is currently expected to deliver returns in line with a blended target of 9.1%. At a more granular level, all quarterly vintages of core personal loans that originated in 2018 through the fourth quarter of 2020 are currently forecasted to meet or exceed the target returns set at the time of loan origination. The quarterly vintages of core personal loans that originated in the first quarter 2021 through the third quarter 2023 are currently forecasted to underperform relative to their target returns. The core personal loans that originated in the fourth quarter of 2023 or later are currently forecasted to deliver returns in line with target yields. This reversion in performance was driven by a combination of factors including increased conservatism in underwriting and the relative stabilization of macroeconomic conditions, as reflected in UMI. Refer to section “</w:t>
      </w:r>
      <w:r>
        <w:rPr>
          <w:rFonts w:ascii="Times New Roman" w:cs="Times New Roman" w:eastAsia="Times New Roman" w:hAnsi="Times New Roman"/>
          <w:sz w:val="18"/>
          <w:szCs w:val="18"/>
          <w:i w:val="1"/>
          <w:iCs w:val="1"/>
          <w:color w:val="auto"/>
        </w:rPr>
        <w:t>Factors Affecting Our Performance - Impact of Macroeconomic Environmen</w:t>
      </w:r>
      <w:r>
        <w:rPr>
          <w:rFonts w:ascii="Times New Roman" w:cs="Times New Roman" w:eastAsia="Times New Roman" w:hAnsi="Times New Roman"/>
          <w:sz w:val="18"/>
          <w:szCs w:val="18"/>
          <w:color w:val="auto"/>
        </w:rPr>
        <w:t>t” for additional details.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core personal loans held on our balance sheet, target returns are set similar to those of our institutional investors. We purchase core personal loans to address fluctuations of supply and demand in our marketplace and periodically sell these loans to institutional investors prior to their maturity. Demonstrated credit performance significantly influences sale prices in these transactions and impacts our overall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measure credit performance of R&amp;D loans, which are a substantial part of the loan portfolio held on our balance sheet (refer to section “</w:t>
      </w:r>
      <w:r>
        <w:rPr>
          <w:rFonts w:ascii="Times New Roman" w:cs="Times New Roman" w:eastAsia="Times New Roman" w:hAnsi="Times New Roman"/>
          <w:sz w:val="18"/>
          <w:szCs w:val="18"/>
          <w:i w:val="1"/>
          <w:iCs w:val="1"/>
          <w:color w:val="auto"/>
        </w:rPr>
        <w:t>Liquidity and Capital Resources - Composition of Retained Loan Portfolio</w:t>
      </w:r>
      <w:r>
        <w:rPr>
          <w:rFonts w:ascii="Times New Roman" w:cs="Times New Roman" w:eastAsia="Times New Roman" w:hAnsi="Times New Roman"/>
          <w:sz w:val="18"/>
          <w:szCs w:val="18"/>
          <w:color w:val="auto"/>
        </w:rPr>
        <w:t>”), using an approach similar to the core personal loans held on our balance sheet. Variances between targeted and actual returns for these loans are expected to be higher, as the underlying risk models are in the early phases of their development cycle. The initial target returns for these products are also generally lower than comparative market benchmarks. The combination of these factors decreases the value of R&amp;D loans on our balance sheet, which negatively impacts our overall financial results. However, this is a required part of our product development cycle, and should be considered alongside other product development costs, such as data science and engineering. These costs collectively are managed as part of overall investment in product development. As our R&amp;D models improve, we expect the difference between target and delivered returns will decrease and converge to market returns. This will allow us to launch these products for our lending partners and institutional investors, at which point they become part of our core product offerings.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Improvements to Our AI Models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generally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 improvements on our conversion funnel also allows us to unlock new marketing channels over time that have previously been unprofitable.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ongoing improvements to our technology in this manner will allow us to further expand access and lower rates for creditworthy borrowers, which will continue to fuel our growth. Should the pace of these improvements slow down or cease, or should we discover forms of model upgrades which improve accuracy at the expense of volume, our growth rates could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Environment</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an economic downturn, we believe consumer lending will generally contract. Lending partners and institutional investors will generally require higher rates of return, which in turn increases the interest rates offered to borrowers, leading to lower borrower demand. Macroeconomic factors can also cause fluctuations of available capital in our lending marketplace due to shifts in the risk preferences of our lending partners and institutional investors. We expect these dynamics would generally invert in an economic upswing.</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 funding provided by institutional investors started to become constrained in 2022 and has remained constrained, largely due to concerns about the macroeconomic environment. In response to inflationary pressure, the U.S. Federal Reserve has raised, and may continue to raise, interest rates, leading to more expensive loan offers across borrower categories. At the same time, macroeconomic uncertainty had generally made institutional investors more cautious and caused them to reduce the amount of capital available to fund Upstart-powered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response to this challenging macroeconomic environment where many lenders and credit investors have significantly reduced or paused investments in Upstart-powered loans, we announced reductions in workforce in January 2023 (“January 2023 Plan”) that resulted in the termination of approximately 20% of our workforce. These steps were designed to reduce operating costs, streamline operations and return Upstart to profitability in the future. Refer to “</w:t>
      </w:r>
      <w:r>
        <w:rPr>
          <w:rFonts w:ascii="Times New Roman" w:cs="Times New Roman" w:eastAsia="Times New Roman" w:hAnsi="Times New Roman"/>
          <w:sz w:val="18"/>
          <w:szCs w:val="18"/>
          <w:i w:val="1"/>
          <w:iCs w:val="1"/>
          <w:color w:val="auto"/>
        </w:rPr>
        <w:t>Note 15. Reorganization Expenses</w:t>
      </w:r>
      <w:r>
        <w:rPr>
          <w:rFonts w:ascii="Times New Roman" w:cs="Times New Roman" w:eastAsia="Times New Roman" w:hAnsi="Times New Roman"/>
          <w:sz w:val="18"/>
          <w:szCs w:val="18"/>
          <w:color w:val="auto"/>
        </w:rPr>
        <w:t>” for more information. Further disruption in financial markets could impair our lending partners and result in further constrained funding, which would adversely impact our business, financial condition and operating results.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order to create greater stability for our business, beginning in 2023 we secured several committed capital and co-investment arrangements with institutional investors and other third-parties that contribute loan funding over longer durations. We continue our work on expanding our loan funding capacity and in the interim period, we have utilized and may continue to utilize our balance sheet to support loan funding. While our goal remains to operate as a capital-light marketplace for credit, we will continue to leverage our balance sheet in the short term as we evaluate opportunities to implement </w:t>
      </w:r>
      <w:r>
        <w:rPr>
          <w:rFonts w:ascii="Times New Roman" w:cs="Times New Roman" w:eastAsia="Times New Roman" w:hAnsi="Times New Roman"/>
          <w:sz w:val="18"/>
          <w:szCs w:val="18"/>
          <w:color w:val="auto"/>
          <w:strike w:val="1"/>
        </w:rPr>
        <w:t>a</w:t>
      </w:r>
      <w:r>
        <w:rPr>
          <w:rFonts w:ascii="Times New Roman" w:cs="Times New Roman" w:eastAsia="Times New Roman" w:hAnsi="Times New Roman"/>
          <w:sz w:val="18"/>
          <w:szCs w:val="18"/>
          <w:color w:val="auto"/>
        </w:rPr>
        <w:t xml:space="preserve"> committed capital and co-investment structures.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credit decisioning process takes into account macroeconomic conditions, such as unemployment levels and personal savings rates, that we receive from third party sources. To respond to macroeconomic changes and provide relevant and up-to-date information to our lending partners, we introduced a new metric, UMI, in 2023. UMI is designed to quantify the level of underlying macroeconomic risk, specific to our borrower base, relative to a benign credit environment. A UMI of 1.0 reflects loan losses at this baseline rate. We subsequently launched an update to UMI which removes seasonal patterns to better describe the underlying macroeconomic effects. As of March 31, 2024, UMI was measured at approximately 1.60, meaning that current macroeconomic conditions contributed an incremental risk of approximately 60% to the repayment performance of an Upstart-powered loan, compared to the baseline.</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UMI impacts interest rates for loans offered on our marketplace and, as a result, affects the pool of qualified potential borrowers and consumer demand for the loans. The elevated level of UMI resulted in higher interest rates for the loans offered on our marketplace and in turn, decreased the size of the pool of qualified potential borrowers and the borrower acceptance rates of such loans. With our investment in UMI, we focus on our ability to better separate risk among borrowers in our credit decisioning process in changing macroeconomic conditions.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continuously monitor the direct and indirect impacts of the current macroeconomic conditions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Partner and Market Adoption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Lending partners play two key roles in Upstart’s ecosystem: funding loans and acquiring new customers. Traditional lenders, such as banks, tend to enjoy efficient sources of funding due to their expansive base of deposits. As they adopt our technology and fund a growing proportion of our marketplace transactions, offers made to borrowers will typically improve, generally leading to higher conversion rates and faster growth for our platform.</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New lending partners also represent additional acquisition channels through which we can reach and source prospective new borrowers, as these lending partners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provide funding support beyond our lending partners, we have built, and continue to expand, a broad network of institutional investors that can fund Upstart-powered loans through secondary loan purchasing and issuance of pass-through certificates and asset-backed securitizations. This diverse network of capital helps to minimize our reliance on any one funding source. However, any trend towards reduced participation by lending partners will generally erode the overall competitiveness of the offers on our platform, and any declining trend in the participation of broader institutional investment markets with respect to funding availability for Upstart-powered loans will adversely affect our business.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disruptions in the banking sector may limit our ability to attract new lending partners and may cause existing lending partners to reduce loan originations on our platform. In order to address recent funding constraints for our personal loans, Upstart has utilized its balance sheet to support short-term funding requirements of loans that would otherwise be purchased and held by institutional investors or securitized. We have secured several committed capital and co-investment arrangements with institutional investors and other third-parties, which have delivered, and are expected to deliver, a significant amount of loan funding to the Upstart marketplace.</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continued focus on improving our AI models and demonstrating strong performance of Upstart-powered loans over time will allow us to further diversify our sources of capital for our lending marketplace and mitigate the volatility in our loan funding supply.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Expansion and Innovation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significant growth opportunities exist to apply our evolving AI technology to additional segments of credit, and we continue to invest in research and development of our products. We introduced a new offering of personal loans for borrowers interested in small dollar loans in 2022 and launched home equity lines of credit (“HELOCs”) in the third quarter of 2023. We may incur expenses to support the launch of new products and fund early loan originations. Monetization prospects for new products are uncertain, and costs associated with integrating, developing and marketing new products might not be recovered, which could weigh on our top-line growth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Operating and Non-GAAP Financial Metrics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focus on several key operating and Non-GAAP financial metrics to measure the performance of our business and help determine strategic direction. The following presents our key operating and financial metrics: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7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Volume, Dollars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997,447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1,130,799</w:t>
            </w:r>
          </w:p>
        </w:tc>
      </w:tr>
      <w:tr>
        <w:trPr>
          <w:trHeight w:val="229"/>
        </w:trPr>
        <w:tc>
          <w:tcPr>
            <w:tcW w:w="7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Transaction Volume, Number of Loans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84,084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119,380</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Rate</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Loans Fully Automated</w:t>
            </w:r>
          </w:p>
        </w:tc>
        <w:tc>
          <w:tcPr>
            <w:tcW w:w="34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7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Contribution Profit</w:t>
            </w:r>
            <w:r>
              <w:rPr>
                <w:rFonts w:ascii="Times New Roman" w:cs="Times New Roman" w:eastAsia="Times New Roman" w:hAnsi="Times New Roman"/>
                <w:sz w:val="23"/>
                <w:szCs w:val="23"/>
                <w:color w:val="auto"/>
                <w:vertAlign w:val="superscript"/>
              </w:rPr>
              <w:t>(2)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67,623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81,142</w:t>
            </w:r>
          </w:p>
        </w:tc>
      </w:tr>
      <w:tr>
        <w:trPr>
          <w:trHeight w:val="229"/>
        </w:trPr>
        <w:tc>
          <w:tcPr>
            <w:tcW w:w="76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Contribution Margin</w:t>
            </w:r>
            <w:r>
              <w:rPr>
                <w:rFonts w:ascii="Times New Roman" w:cs="Times New Roman" w:eastAsia="Times New Roman" w:hAnsi="Times New Roman"/>
                <w:sz w:val="23"/>
                <w:szCs w:val="23"/>
                <w:i w:val="1"/>
                <w:iCs w:val="1"/>
                <w:color w:val="auto"/>
                <w:vertAlign w:val="superscript"/>
              </w:rPr>
              <w:t>(2)</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764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(31,061)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(20,339)</w:t>
            </w:r>
          </w:p>
        </w:tc>
      </w:tr>
      <w:tr>
        <w:trPr>
          <w:trHeight w:val="230"/>
        </w:trPr>
        <w:tc>
          <w:tcPr>
            <w:tcW w:w="76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i w:val="1"/>
                <w:iCs w:val="1"/>
                <w:color w:val="auto"/>
              </w:rPr>
              <w:t>Adjusted EBITDA Margin</w:t>
            </w:r>
            <w:r>
              <w:rPr>
                <w:rFonts w:ascii="Times New Roman" w:cs="Times New Roman" w:eastAsia="Times New Roman" w:hAnsi="Times New Roman"/>
                <w:sz w:val="23"/>
                <w:szCs w:val="23"/>
                <w:i w:val="1"/>
                <w:iCs w:val="1"/>
                <w:color w:val="auto"/>
                <w:vertAlign w:val="superscript"/>
              </w:rPr>
              <w:t>(2)</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Net Loss</w:t>
            </w:r>
            <w:r>
              <w:rPr>
                <w:rFonts w:ascii="Times New Roman" w:cs="Times New Roman" w:eastAsia="Times New Roman" w:hAnsi="Times New Roman"/>
                <w:sz w:val="23"/>
                <w:szCs w:val="23"/>
                <w:color w:val="auto"/>
                <w:vertAlign w:val="superscript"/>
              </w:rPr>
              <w:t>(2)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(38,692)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(27,165)</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Loss Per Share:</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23"/>
                <w:szCs w:val="23"/>
                <w:color w:val="auto"/>
                <w:vertAlign w:val="superscript"/>
              </w:rPr>
              <w:t>(2)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(0.31)</w:t>
            </w:r>
          </w:p>
        </w:tc>
      </w:tr>
      <w:tr>
        <w:trPr>
          <w:trHeight w:val="230"/>
        </w:trPr>
        <w:tc>
          <w:tcPr>
            <w:tcW w:w="76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(0.31)</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7" w:lineRule="exact"/>
        <w:rPr>
          <w:sz w:val="20"/>
          <w:szCs w:val="20"/>
          <w:color w:val="auto"/>
        </w:rPr>
      </w:pPr>
    </w:p>
    <w:p>
      <w:pPr>
        <w:ind w:left="480" w:hanging="472"/>
        <w:spacing w:after="0"/>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Volume, Number of Loans is shown in ones for the periods presented.</w:t>
      </w:r>
    </w:p>
    <w:p>
      <w:pPr>
        <w:spacing w:after="0" w:line="11" w:lineRule="exact"/>
        <w:rPr>
          <w:rFonts w:ascii="Times New Roman" w:cs="Times New Roman" w:eastAsia="Times New Roman" w:hAnsi="Times New Roman"/>
          <w:sz w:val="14"/>
          <w:szCs w:val="14"/>
          <w:color w:val="auto"/>
        </w:rPr>
      </w:pPr>
    </w:p>
    <w:p>
      <w:pPr>
        <w:ind w:left="500" w:hanging="492"/>
        <w:spacing w:after="0" w:line="283" w:lineRule="auto"/>
        <w:tabs>
          <w:tab w:leader="none" w:pos="49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non-GAAP financial measure. See the section titled “</w:t>
      </w:r>
      <w:r>
        <w:rPr>
          <w:rFonts w:ascii="Times New Roman" w:cs="Times New Roman" w:eastAsia="Times New Roman" w:hAnsi="Times New Roman"/>
          <w:sz w:val="14"/>
          <w:szCs w:val="14"/>
          <w:i w:val="1"/>
          <w:iCs w:val="1"/>
          <w:color w:val="auto"/>
        </w:rPr>
        <w:t>Management’s Discussion and Analysis of Financial Condition and Results of Operations—Reconciliation of Non-GAAP Financial Measures</w:t>
      </w:r>
      <w:r>
        <w:rPr>
          <w:rFonts w:ascii="Times New Roman" w:cs="Times New Roman" w:eastAsia="Times New Roman" w:hAnsi="Times New Roman"/>
          <w:sz w:val="14"/>
          <w:szCs w:val="14"/>
          <w:color w:val="auto"/>
        </w:rPr>
        <w:t>” for further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Volume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define Transaction Volume, Dollars as the total principal of loan originations (or committed amounts for HELOCs) facilitated on our marketplace during the periods presented. We define Transaction Volume, Number of Loans as the number of loan originations (or commitments issued for HELOCs) facilitated on our marketplace during the periods presented. Increases in Transaction Volume are dependent on our loan funding programs having sufficient access to capital. Decreases in the availability of funding due to factors such as volatility in the capital markets and macroeconomic conditions will generally cause a decline in Transaction Volume. Transaction Volume is driven by improvements in our AI models and technology, including our ability to streamline and automate the loan application and origination process. Transaction Volume can also be driven by borrower acceptance rates and their sensitivity to the interest rates offered through our platform. We believe these metrics are good proxies for our overall scale and reach as a marketplace. Transaction Volume, Dollars and Transaction Volume, Number of loans increased by 13% and 42%, respectively, in the three months ended March 31, 2024 compared to the same period of 2023. This increase was driven by an increase in funding availability as we have secured committed capital and other loan funding arrangements with institutional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Rate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define Conversion Rate as the Transaction Volume, Number of Loans in a period divided by the number of rate inquiries received that we estimate to be legitimate, which we record when a borrower requests a loan offer on our platform. We track this metric to understand the impact of improvements to the efficiency of our borrower funnel on our overall growth. Historically, our Conversion Rate has benefited from improvements to our technology, which have made our evaluation of risk more accurate and our verification process more automated, or from the addition of lending partners that have made our offers more competitive. However, our Conversion Rate can be impacted by a variety of internal factors such as changes in the amount of origination fees that we charge or changes in the rate of returns we target for our lending partners and institutional investors. External factors, including shifts in macroeconomic conditions, also impact our Conversion Rate. For example, as the U.S. Federal Reserve raises interest rates, the average interest rates charged to borrowers for Upstart-powered loans also increase, which results in decreases to our Conversion Rate. Our ability to continue to improve our Conversion Rate depends in part on our ability to continue to improve our AI models and Percentage of Loans Fully Automated and the mix of marketing channels in any given period. Our Conversion Rate increased to 14% in the three months ended March 31, 2024 from 8.2% in the same period of 2023 primarily driven by an increase in our marketing efforts, new product initiatives, and a higher portion of repeat borrowers on our platform.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 of Loans Fully Automated</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driver of our Contribution Margin and operating efficiency is the Percentage of Loans Fully Automated, which is defined as the total number of loans in a given period originated end-to-end (from initial rate request to final funding for personal loans and small dollar loans and from initial rate request to signing of the loan agreement for auto loans) with no human involvement required divided by the Transaction Volume, Number of Loans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 origination process on our platform. We expect growth of the percentage of loans fully automated to subside in the near term. However, the expansion of our loan offerings may cause it to fluctuate from period to period depending on the loan offering mix and other external factors. Our Percentage of Loans Fully Automated increased to 90% in the three months ended March 31, 2024 from 84% in the same period of 2023, driven primarily by increasing the accuracy of our models, by eliminating previously manual processes, and by an increased portion of repeat borrowers on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Profit and Contribution Margin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 derive Contribution Profit, we subtract from revenue from fees, net our borrower acquisition costs as well as our borrower verification and servicing costs. To calculate Contribution Margin we divide Contribution Profit by revenue from fees, net.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a calculation of Contribution Profit and Contribution Margin:</w:t>
            </w: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74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6"/>
        </w:trPr>
        <w:tc>
          <w:tcPr>
            <w:tcW w:w="7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117,141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138,068</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Borrower acquisition costs</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(19,712)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(24,819)</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Borrower verification and servicing costs</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(29,806)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(32,107)</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direct expenses</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(49,518)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(56,926)</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Contribution Profit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67,623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81,142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9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_______</w:t>
            </w: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500" w:hanging="492"/>
        <w:spacing w:after="0" w:line="253" w:lineRule="auto"/>
        <w:tabs>
          <w:tab w:leader="none" w:pos="4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 associated with the January 2023 Plan.</w:t>
      </w:r>
    </w:p>
    <w:p>
      <w:pPr>
        <w:jc w:val="both"/>
        <w:ind w:left="500" w:hanging="492"/>
        <w:spacing w:after="0" w:line="272" w:lineRule="auto"/>
        <w:tabs>
          <w:tab w:leader="none" w:pos="4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 associated with the January 2023 Plan.</w:t>
      </w:r>
    </w:p>
    <w:p>
      <w:pPr>
        <w:spacing w:after="0" w:line="19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Operations—Reconciliation of Non-GAAP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Measures</w:t>
      </w:r>
      <w:r>
        <w:rPr>
          <w:rFonts w:ascii="Times New Roman" w:cs="Times New Roman" w:eastAsia="Times New Roman" w:hAnsi="Times New Roman"/>
          <w:sz w:val="18"/>
          <w:szCs w:val="18"/>
          <w:color w:val="auto"/>
        </w:rPr>
        <w:t>” for a reconciliation of income from operations to Contribution Profit.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calculate Adjusted EBITDA as net loss adjusted to exclude stock-based compensation expense and certain payroll tax expenses, depreciation and amortization, expense on convertible notes, provision for income taxes, and reorganization expenses. We calculate Adjusted EBITDA Margin as Adjusted EBITDA divided by total revenue. Adjusted EBITDA and Adjusted EBITDA Margin includes interest expense from corporate debt and warehouse credit facilities which is incurred in the course of earning corresponding interest income. See the section titled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Operations—Reconciliation of Non-GAAP Financial Measures</w:t>
      </w:r>
      <w:r>
        <w:rPr>
          <w:rFonts w:ascii="Times New Roman" w:cs="Times New Roman" w:eastAsia="Times New Roman" w:hAnsi="Times New Roman"/>
          <w:sz w:val="18"/>
          <w:szCs w:val="18"/>
          <w:color w:val="auto"/>
        </w:rPr>
        <w:t>” for a reconciliation of net loss to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and Adjusted EBITDA Margin.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Loss and Adjusted Net Loss Per Share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Net Loss as net loss exclusive of stock-based compensation expense and certain payroll tax expenses as well as certain items that are not related to core business and ongoing operations, such as reorganization expenses. Adjusted Net Loss Per Share is calculated by dividing Adjusted Net Loss Per Share by the weighted-average common shares outstanding. See the section titled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Operations—Reconciliation of Non-GAAP Financial Measures</w:t>
      </w:r>
      <w:r>
        <w:rPr>
          <w:rFonts w:ascii="Times New Roman" w:cs="Times New Roman" w:eastAsia="Times New Roman" w:hAnsi="Times New Roman"/>
          <w:sz w:val="18"/>
          <w:szCs w:val="18"/>
          <w:color w:val="auto"/>
        </w:rPr>
        <w:t>” for a reconciliation of net loss to Adjusted Net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Adjusted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Platform and Referral Fees, Net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charge our lending partners platform fees in exchange for usage of our AI lending marketplace, which includes collection of loan application data, underwriting of credit risk, verification and fraud detection, and the delivery of electronic loan offers and associated documentation. We also charge referral fees to our lending partners in exchange for the referral of borrowers from Upstart.com. Referral fees are charged to lending partners on a per borrower basis upon origination of a loan. These fees are charged net of any fees the lending partner charges Upstart. Upstart pays these lending partners a one-time loan premium fee upon completion of the minimum holding periods. Upstart also pays certain lending partners monthly loan trailing fees based on the amount and timing of principal and interest payments made by borrowers of the underlying loans.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recognizes fees in relation to contracts with auto dealers for the use of Upstart Auto Retail software, a cloud-based solution that facilitates dealership operations and enables them to provide consumers with access to Upstart-powered auto loans. Refer to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to our condensed consolidated financial statements in Part I, Item 1 of this Quarterly Report on Form 10-Q for more information.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Servicing and Other Fees, Net</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Servicing fees are calculated as a percentage of outstanding principal and are charged monthly to any entities holding loans facilitated through our marketplace, to compensate us for activities we perform throughout the loan term, including collection, processing and reconciliations of payments received, institutional investor reporting and borrower customer support. Servicing fees are recorded net of any gains, losses or changes to fair value recognized in the underlying servicing rights and obligations, which are carried as assets and liabilities on our condensed consolidated balance sheets. Upstart currently acts as loan servicer for substantially all outstanding loans facilitated through the Upstart marketplace. Borrower payment collections for loans that are more than 30 days past due or charged off are generally outsourced to third-party collection agencies. Upstart charges lending partners and institutional investors for collection agency fees related to their outstanding loan portfolio. Upstart also receives certain ancillary fees on a per transaction basis inclusive of late payment fees and ACH fail fees.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is comprised of interest income, interest expense and net changes in the fair value of financial instruments held on our condensed consolidated balance sheets as part of our ongoing operating activities, excluding loan servicing assets and liabilities. Interest income, interest expense, and fair value adjustments, net also includes realized gain (loss) on the sale of loans. Interest income, interest expense, and fair value adjustments, net can fluctuate based on the fair value of financial instruments held on our condensed consolidated balance sheets. This amount has historically been a small percentage of our total revenue, and we do not manage our business with a focus on growing this component of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generally fluctuate as a percentage of our total revenue from period to period and may increase as we hire additional sales and marketing personnel, increase our marketing activities and build greater brand awareness.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Operations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generally fluctuate as a percentage of our total revenue from period to period, and may increase in absolute dollars as we expand our portfolio.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generally fluctuate as a percentage of our total revenue from period to period, and may increase in absolute dollars as we expand our engineering and product development team to continue to improve our AI models and develop new products and product enhancements.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Other</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2023 and 2024, other income, net primarily consists of dividend income earned by the Company on its unrestricted cash balances in addition to coupon interest expense and amortization of the debt discount on our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8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historical condensed consolidated statements of operations data:</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7"/>
        </w:trPr>
        <w:tc>
          <w:tcPr>
            <w:tcW w:w="77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7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fees, net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117,141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138,068</w:t>
            </w: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interest expense, and fair value adjustments, net:</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51,171</w:t>
            </w:r>
          </w:p>
        </w:tc>
      </w:tr>
      <w:tr>
        <w:trPr>
          <w:trHeight w:val="229"/>
        </w:trPr>
        <w:tc>
          <w:tcPr>
            <w:tcW w:w="7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w:t>
            </w:r>
          </w:p>
        </w:tc>
      </w:tr>
      <w:tr>
        <w:trPr>
          <w:trHeight w:val="229"/>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Fair value and other adjustments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(50,731)</w:t>
            </w:r>
          </w:p>
        </w:tc>
      </w:tr>
      <w:tr>
        <w:trPr>
          <w:trHeight w:val="23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interest expense, and fair value adjustments, net</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102,927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127,794</w:t>
            </w:r>
          </w:p>
        </w:tc>
      </w:tr>
      <w:tr>
        <w:trPr>
          <w:trHeight w:val="210"/>
        </w:trPr>
        <w:tc>
          <w:tcPr>
            <w:tcW w:w="77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35,150</w:t>
            </w: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operations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39,408</w:t>
            </w: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110,071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63,091</w:t>
            </w: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57,613</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234,762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195,262</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(67,468)</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(64,584)</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ind w:left="480" w:hanging="472"/>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as follows:</w:t>
      </w:r>
    </w:p>
    <w:p>
      <w:pPr>
        <w:spacing w:after="0" w:line="2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19685</wp:posOffset>
            </wp:positionV>
            <wp:extent cx="22117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16" w:lineRule="exact"/>
        <w:rPr>
          <w:sz w:val="20"/>
          <w:szCs w:val="20"/>
          <w:color w:val="auto"/>
        </w:rPr>
      </w:pPr>
    </w:p>
    <w:p>
      <w:pPr>
        <w:ind w:left="8420"/>
        <w:spacing w:after="0"/>
        <w:tabs>
          <w:tab w:leader="none" w:pos="1018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31" w:lineRule="exact"/>
        <w:rPr>
          <w:sz w:val="20"/>
          <w:szCs w:val="20"/>
          <w:color w:val="auto"/>
        </w:rPr>
      </w:pPr>
    </w:p>
    <w:p>
      <w:pPr>
        <w:ind w:left="20"/>
        <w:spacing w:after="0"/>
        <w:tabs>
          <w:tab w:leader="none" w:pos="7760" w:val="left"/>
        </w:tabs>
        <w:rPr>
          <w:sz w:val="20"/>
          <w:szCs w:val="20"/>
          <w:color w:val="auto"/>
        </w:rPr>
      </w:pPr>
      <w:r>
        <w:rPr>
          <w:rFonts w:ascii="Times New Roman" w:cs="Times New Roman" w:eastAsia="Times New Roman" w:hAnsi="Times New Roman"/>
          <w:sz w:val="18"/>
          <w:szCs w:val="18"/>
          <w:color w:val="auto"/>
        </w:rPr>
        <w:t>Sales and marketing</w:t>
      </w:r>
      <w:r>
        <w:rPr>
          <w:sz w:val="20"/>
          <w:szCs w:val="20"/>
          <w:color w:val="auto"/>
        </w:rPr>
        <w:tab/>
      </w:r>
      <w:r>
        <w:rPr>
          <w:rFonts w:ascii="Times New Roman" w:cs="Times New Roman" w:eastAsia="Times New Roman" w:hAnsi="Times New Roman"/>
          <w:sz w:val="16"/>
          <w:szCs w:val="16"/>
          <w:color w:val="auto"/>
        </w:rPr>
        <w: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operations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p>
      <w:pPr>
        <w:spacing w:after="0" w:line="63" w:lineRule="exact"/>
        <w:rPr>
          <w:sz w:val="20"/>
          <w:szCs w:val="20"/>
          <w:color w:val="auto"/>
        </w:rPr>
      </w:pPr>
    </w:p>
    <w:p>
      <w:pPr>
        <w:ind w:left="20"/>
        <w:spacing w:after="0"/>
        <w:tabs>
          <w:tab w:leader="none" w:pos="7760" w:val="left"/>
        </w:tabs>
        <w:rPr>
          <w:sz w:val="20"/>
          <w:szCs w:val="20"/>
          <w:color w:val="auto"/>
        </w:rPr>
      </w:pPr>
      <w:r>
        <w:rPr>
          <w:rFonts w:ascii="Times New Roman" w:cs="Times New Roman" w:eastAsia="Times New Roman" w:hAnsi="Times New Roman"/>
          <w:sz w:val="18"/>
          <w:szCs w:val="18"/>
          <w:color w:val="auto"/>
        </w:rPr>
        <w:t>Total stock-based compensation</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 forth our revenue from fees, net in the periods shown:</w:t>
      </w:r>
    </w:p>
    <w:p>
      <w:pPr>
        <w:spacing w:after="0" w:line="302"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44450</wp:posOffset>
            </wp:positionV>
            <wp:extent cx="22542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55" w:lineRule="exact"/>
        <w:rPr>
          <w:sz w:val="20"/>
          <w:szCs w:val="20"/>
          <w:color w:val="auto"/>
        </w:rPr>
      </w:pPr>
    </w:p>
    <w:p>
      <w:pPr>
        <w:ind w:left="5800"/>
        <w:spacing w:after="0"/>
        <w:tabs>
          <w:tab w:leader="none" w:pos="760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3,372</w:t>
            </w: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234"/>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2,882</w:t>
            </w: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0" w:type="dxa"/>
            <w:vAlign w:val="bottom"/>
          </w:tcPr>
          <w:p>
            <w:pPr>
              <w:spacing w:after="0"/>
              <w:rPr>
                <w:sz w:val="1"/>
                <w:szCs w:val="1"/>
                <w:color w:val="auto"/>
              </w:rPr>
            </w:pPr>
          </w:p>
        </w:tc>
      </w:tr>
      <w:tr>
        <w:trPr>
          <w:trHeight w:val="27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56,660</w:t>
            </w:r>
          </w:p>
        </w:tc>
        <w:tc>
          <w:tcPr>
            <w:tcW w:w="6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19,210</w:t>
            </w:r>
          </w:p>
        </w:tc>
        <w:tc>
          <w:tcPr>
            <w:tcW w:w="0" w:type="dxa"/>
            <w:vAlign w:val="bottom"/>
          </w:tcPr>
          <w:p>
            <w:pPr>
              <w:spacing w:after="0"/>
              <w:rPr>
                <w:sz w:val="1"/>
                <w:szCs w:val="1"/>
                <w:color w:val="auto"/>
              </w:rPr>
            </w:pPr>
          </w:p>
        </w:tc>
      </w:tr>
      <w:tr>
        <w:trPr>
          <w:trHeight w:val="270"/>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11,195</w:t>
            </w:r>
          </w:p>
        </w:tc>
        <w:tc>
          <w:tcPr>
            <w:tcW w:w="6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0" w:type="dxa"/>
            <w:vAlign w:val="bottom"/>
          </w:tcPr>
          <w:p>
            <w:pPr>
              <w:spacing w:after="0"/>
              <w:rPr>
                <w:sz w:val="1"/>
                <w:szCs w:val="1"/>
                <w:color w:val="auto"/>
              </w:rPr>
            </w:pPr>
          </w:p>
        </w:tc>
      </w:tr>
      <w:tr>
        <w:trPr>
          <w:trHeight w:val="27"/>
        </w:trPr>
        <w:tc>
          <w:tcPr>
            <w:tcW w:w="6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6"/>
              </w:rPr>
              <w:t>74,109</w:t>
            </w: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35,777</w:t>
            </w: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-7620</wp:posOffset>
            </wp:positionV>
            <wp:extent cx="10629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19685</wp:posOffset>
            </wp:positionV>
            <wp:extent cx="15773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6" w:lineRule="exact"/>
        <w:rPr>
          <w:sz w:val="20"/>
          <w:szCs w:val="20"/>
          <w:color w:val="auto"/>
        </w:rPr>
      </w:pPr>
    </w:p>
    <w:p>
      <w:pPr>
        <w:ind w:left="1660" w:hanging="1249"/>
        <w:spacing w:after="0"/>
        <w:tabs>
          <w:tab w:leader="none" w:pos="1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9" w:lineRule="exact"/>
        <w:rPr>
          <w:sz w:val="20"/>
          <w:szCs w:val="20"/>
          <w:color w:val="auto"/>
        </w:rPr>
      </w:pPr>
    </w:p>
    <w:p>
      <w:pPr>
        <w:sectPr>
          <w:pgSz w:w="11900" w:h="16838" w:orient="portrait"/>
          <w:cols w:equalWidth="0" w:num="2">
            <w:col w:w="8140" w:space="720"/>
            <w:col w:w="238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and referral fees, net</w:t>
            </w: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77,657</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26,202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7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Servicing and other fees, net</w:t>
            </w:r>
          </w:p>
        </w:tc>
        <w:tc>
          <w:tcPr>
            <w:tcW w:w="5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39,484</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 from fees, net</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138,068</w:t>
            </w:r>
          </w:p>
        </w:tc>
        <w:tc>
          <w:tcPr>
            <w:tcW w:w="4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20,927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from fees, net increased $20.9 million, or 18%, in the three months ended March 31, 2024, compared to the same period in 2023, which included an increase of $26.2 million in revenue from platform and referral fees, net and a decrease of $5.3 million in servicing fees, net. The increase of the platform and referral fees, net was primarily driven by a 13% increase in the Transaction Volume, Dollars from $997,447 in the three months ended March 31, 2023 to $1,130,799 in the same period in 2024, as well as an increase in prices of our services. The decrease in servicing fees was primarily due to a decrease in outstanding principal of serviced loans, as well as a decrease in net gain related to loan servicing rights upon loan sales.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99"/>
        </w:trPr>
        <w:tc>
          <w:tcPr>
            <w:tcW w:w="5420" w:type="dxa"/>
            <w:vAlign w:val="bottom"/>
          </w:tcPr>
          <w:p>
            <w:pPr>
              <w:spacing w:after="0"/>
              <w:rPr>
                <w:sz w:val="24"/>
                <w:szCs w:val="24"/>
                <w:color w:val="auto"/>
              </w:rPr>
            </w:pPr>
          </w:p>
        </w:tc>
        <w:tc>
          <w:tcPr>
            <w:tcW w:w="356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bottom w:val="single" w:sz="8" w:color="auto"/>
            </w:tcBorders>
          </w:tcPr>
          <w:p>
            <w:pPr>
              <w:spacing w:after="0"/>
              <w:rPr>
                <w:sz w:val="24"/>
                <w:szCs w:val="24"/>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54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Operating entities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adjustments, net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 entities: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adjustments, net</w:t>
            </w:r>
          </w:p>
        </w:tc>
        <w:tc>
          <w:tcPr>
            <w:tcW w:w="10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Company:</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Fair value adjustments, net</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 interest expense, and fair value adjustments, net</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 of balances recognized by entities participating in ongoing operating activities of the Company, excluding entities associated with the UPST 2023-2 consolidated securitization.</w:t>
      </w:r>
    </w:p>
    <w:p>
      <w:pPr>
        <w:spacing w:after="0" w:line="2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increased $3.9 million, or 28% in the three months ended March 31, 2024, compared to the same period in 2023. The increase was driven by a $5.9 million increase in interest income and a $1.7 million decrease in unfavorable fair value adjustments, partially offset by $3.6 million increase in interest expense. The increase in interest income resulted from $8.6 million of interest income recognized by consolidated securitization entities, which was partially offset by a $2.8 million decrease in interest income recognized by operating entities, consistent with the decrease in outstanding principal of loans held on the condensed consolidated balance sheet excluding those in the consolidated securitization entities. The decrease in unfavorable fair value adjustments is primarily attributable to a $15.0 million decrease in unrealized loss and loan charge-offs and a $0.7 million decrease in realized loss on loan sales, partially offset by a $14.0 million fair value loss on beneficial interests during the three months ended March 31, 2024 compared to the same period in 2023. These increases were partially offset by a $3.6 million increase in interest expense, including $2.8 million recognized by consolidated securitization entities that is payable to securitization note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24"/>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83"/>
        </w:trPr>
        <w:tc>
          <w:tcPr>
            <w:tcW w:w="5240" w:type="dxa"/>
            <w:vAlign w:val="bottom"/>
          </w:tcPr>
          <w:p>
            <w:pPr>
              <w:spacing w:after="0"/>
              <w:rPr>
                <w:sz w:val="24"/>
                <w:szCs w:val="24"/>
                <w:color w:val="auto"/>
              </w:rPr>
            </w:pPr>
          </w:p>
        </w:tc>
        <w:tc>
          <w:tcPr>
            <w:tcW w:w="3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bottom w:val="single" w:sz="8" w:color="auto"/>
            </w:tcBorders>
          </w:tcPr>
          <w:p>
            <w:pPr>
              <w:spacing w:after="0"/>
              <w:rPr>
                <w:sz w:val="24"/>
                <w:szCs w:val="24"/>
                <w:color w:val="auto"/>
              </w:rPr>
            </w:pPr>
          </w:p>
        </w:tc>
      </w:tr>
      <w:tr>
        <w:trPr>
          <w:trHeight w:val="237"/>
        </w:trPr>
        <w:tc>
          <w:tcPr>
            <w:tcW w:w="5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31,438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1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31 %</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3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$3.7 million, or 12%, in the three months ended March 31, 2024 compared to the same period in 2023. The increase was primarily due to a $5.1 million increase in advertising and other traffic acquisition cost, offset by a $1.2 million decrease in payroll and other personnel-related expenses and a $0.2 million decrease in marketing operation expenses due to a decrease in headcount. As a percentage of total revenue, sales and marketing expenses decreased from 31% to 28%.</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Operations</w:t>
            </w: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99"/>
        </w:trPr>
        <w:tc>
          <w:tcPr>
            <w:tcW w:w="5320" w:type="dxa"/>
            <w:vAlign w:val="bottom"/>
          </w:tcPr>
          <w:p>
            <w:pPr>
              <w:spacing w:after="0"/>
              <w:rPr>
                <w:sz w:val="24"/>
                <w:szCs w:val="24"/>
                <w:color w:val="auto"/>
              </w:rPr>
            </w:pPr>
          </w:p>
        </w:tc>
        <w:tc>
          <w:tcPr>
            <w:tcW w:w="3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Borders>
              <w:bottom w:val="single" w:sz="8" w:color="auto"/>
            </w:tcBorders>
          </w:tcPr>
          <w:p>
            <w:pPr>
              <w:spacing w:after="0"/>
              <w:rPr>
                <w:sz w:val="24"/>
                <w:szCs w:val="24"/>
                <w:color w:val="auto"/>
              </w:rPr>
            </w:pPr>
          </w:p>
        </w:tc>
      </w:tr>
      <w:tr>
        <w:trPr>
          <w:trHeight w:val="237"/>
        </w:trPr>
        <w:tc>
          <w:tcPr>
            <w:tcW w:w="53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40,590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39,408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r>
      <w:tr>
        <w:trPr>
          <w:trHeight w:val="23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1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39 %</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Customer operations expenses decreased by $1.2 million, or 3%, in the three months ended March 31, 2024, compared to the same period in 2023. The decrease was primarily due to a $6.7 million decrease in payroll and other personnel-related expenses due to a decrease in headcount, partially offset by a $4.3 million increase in servicing expenses and a $1.2 million removal of an operational contingency reserve in the prior period. As a percentage of total revenue, customer operations expenses decreased from 39% to 31%.</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99"/>
        </w:trPr>
        <w:tc>
          <w:tcPr>
            <w:tcW w:w="5320" w:type="dxa"/>
            <w:vAlign w:val="bottom"/>
          </w:tcPr>
          <w:p>
            <w:pPr>
              <w:spacing w:after="0"/>
              <w:rPr>
                <w:sz w:val="24"/>
                <w:szCs w:val="24"/>
                <w:color w:val="auto"/>
              </w:rPr>
            </w:pPr>
          </w:p>
        </w:tc>
        <w:tc>
          <w:tcPr>
            <w:tcW w:w="3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700" w:type="dxa"/>
            <w:vAlign w:val="bottom"/>
            <w:tcBorders>
              <w:bottom w:val="single" w:sz="8" w:color="auto"/>
            </w:tcBorders>
          </w:tcPr>
          <w:p>
            <w:pPr>
              <w:spacing w:after="0"/>
              <w:rPr>
                <w:sz w:val="24"/>
                <w:szCs w:val="24"/>
                <w:color w:val="auto"/>
              </w:rPr>
            </w:pPr>
          </w:p>
        </w:tc>
      </w:tr>
      <w:tr>
        <w:trPr>
          <w:trHeight w:val="237"/>
        </w:trPr>
        <w:tc>
          <w:tcPr>
            <w:tcW w:w="5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110,071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63,091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(46,980)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r>
      <w:tr>
        <w:trPr>
          <w:trHeight w:val="23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1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107 %</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49 %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2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Engineering and product development expenses decreased by $47.0 million, or 43%, for the three months ended March 31, 2024, compared to the same period in 2023. The decrease was primarily due to a $44.8 million decrease in payroll and other personnel-related expenses driven by a one-time expense related to the cancellation of unvested PRSUs of $39.0 million recognized in the prior year and a decrease in headcount, as well as a $2.0 million decrease in other engineering operation expenses. As a percentage of total revenue, engineering and product development expenses decreased from 107% to 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Other</w:t>
            </w: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513"/>
        </w:trPr>
        <w:tc>
          <w:tcPr>
            <w:tcW w:w="5240" w:type="dxa"/>
            <w:vAlign w:val="bottom"/>
          </w:tcPr>
          <w:p>
            <w:pPr>
              <w:spacing w:after="0"/>
              <w:rPr>
                <w:sz w:val="24"/>
                <w:szCs w:val="24"/>
                <w:color w:val="auto"/>
              </w:rPr>
            </w:pPr>
          </w:p>
        </w:tc>
        <w:tc>
          <w:tcPr>
            <w:tcW w:w="3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Borders>
              <w:bottom w:val="single" w:sz="8" w:color="auto"/>
            </w:tcBorders>
          </w:tcPr>
          <w:p>
            <w:pPr>
              <w:spacing w:after="0"/>
              <w:rPr>
                <w:sz w:val="24"/>
                <w:szCs w:val="24"/>
                <w:color w:val="auto"/>
              </w:rPr>
            </w:pPr>
          </w:p>
        </w:tc>
      </w:tr>
      <w:tr>
        <w:trPr>
          <w:trHeight w:val="263"/>
        </w:trPr>
        <w:tc>
          <w:tcPr>
            <w:tcW w:w="524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52,663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57,613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51 %</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3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administrative, and other expenses increased by $5.0 million, or 9%, in the three months ended March 31, 2024, compared to the same period in 2023. The increase was primarily due to an increase of $3.0 million in other personnel-related costs and an increase of $3.7 million in legal and compliance expenses. The increase was partially offset by a decrease of $0.8 million in depreciation and amortization expense, a decrease of $0.6 million in office rent and other facility expenses, and a decrease of $0.4 million in insurance expense. As a percentage of total revenue, general, administrative, and other expenses decreased from 51% to 45%.</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513"/>
        </w:trPr>
        <w:tc>
          <w:tcPr>
            <w:tcW w:w="5240" w:type="dxa"/>
            <w:vAlign w:val="bottom"/>
          </w:tcPr>
          <w:p>
            <w:pPr>
              <w:spacing w:after="0"/>
              <w:rPr>
                <w:sz w:val="24"/>
                <w:szCs w:val="24"/>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4"/>
                <w:szCs w:val="24"/>
                <w:color w:val="auto"/>
              </w:rPr>
            </w:pPr>
          </w:p>
        </w:tc>
      </w:tr>
      <w:tr>
        <w:trPr>
          <w:trHeight w:val="263"/>
        </w:trPr>
        <w:tc>
          <w:tcPr>
            <w:tcW w:w="524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spacing w:after="0" w:line="30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2024, other income, net increased by $0.3 million, or 11%, compared to the same period in 2023, due to a $0.3 million increase in miscellaneous other income, net.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prepared and presented in accordance with GAAP, we use the non-GAAP financial measures of Contribution Profit, Contribution Margin, Adjusted EBITDA, Adjusted EBITDA Margin, and Adjusted Net Loss and Adjusted Net Loss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years with the performance of other companies.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condensed consolidated financial statements prepared and presented in accordance with GAAP.</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address these limitations, we provide a reconciliation of Contribution Profit, Contribution Margin, Adjusted EBITDA, Adjusted EBITDA Margin, and Adjusted Net Loss and Adjusted Net Loss Per Share to loss from operations and net loss, respectively. We encourage investors and others to review our financial information in its entirety, not to rely on any single financial measure and to view Contribution Profit, Contribution Margin, Adjusted EBITDA, Adjusted EBITDA Margin, Adjusted Net Loss, and Adjusted Net Loss Per Share in conjunction with their respective related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Profit and Contribution Margin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year-to-year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Contribution Profit and Contribution Margin have limitations as an analytical tool,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do not reflect all of our variable expenses and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w:t>
      </w:r>
    </w:p>
    <w:p>
      <w:pPr>
        <w:spacing w:after="0" w:line="216"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18"/>
          <w:szCs w:val="18"/>
          <w:color w:val="auto"/>
        </w:rPr>
        <w:t>The following table presents a reconciliation of loss from operations to Contribution Profit and Contribution Margin. We define Operating Margin as our loss from operations divided by revenue from fees,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4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117,141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138,068</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Pr>
          <w:p>
            <w:pPr>
              <w:spacing w:after="0"/>
              <w:rPr>
                <w:sz w:val="19"/>
                <w:szCs w:val="19"/>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(131,835)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(67,468)</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and marketing, net of borrower acquisition costs</w:t>
            </w:r>
            <w:r>
              <w:rPr>
                <w:rFonts w:ascii="Times New Roman" w:cs="Times New Roman" w:eastAsia="Times New Roman" w:hAnsi="Times New Roman"/>
                <w:sz w:val="23"/>
                <w:szCs w:val="23"/>
                <w:color w:val="auto"/>
                <w:vertAlign w:val="superscript"/>
              </w:rPr>
              <w:t>(1)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11,726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10,331</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Customer operations, net of borrower verification and servicing costs</w:t>
            </w:r>
            <w:r>
              <w:rPr>
                <w:rFonts w:ascii="Times New Roman" w:cs="Times New Roman" w:eastAsia="Times New Roman" w:hAnsi="Times New Roman"/>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7,301</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4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110,071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63,091</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52,663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57,613</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interest expense, and fair value adjustments, net</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14,214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10,274</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Profit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67,623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81,142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9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_________</w:t>
            </w: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500" w:hanging="492"/>
        <w:spacing w:after="0" w:line="253" w:lineRule="auto"/>
        <w:tabs>
          <w:tab w:leader="none" w:pos="49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were $19.7 million, and $24.8 million for the three months ended March 31, 2023 and 2024,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 associated with the January 2023 Plan.</w:t>
      </w:r>
    </w:p>
    <w:p>
      <w:pPr>
        <w:jc w:val="both"/>
        <w:ind w:left="500" w:hanging="492"/>
        <w:spacing w:after="0" w:line="262" w:lineRule="auto"/>
        <w:tabs>
          <w:tab w:leader="none" w:pos="49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were $29.8 million, and $32.1 million for the three months ended March 31, 2023 and 2024,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 associated with the January 2023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Adjusted EBITDA and Adjusted EBITDA Margin are useful for investors to use in comparing our financial performance with the performance of other companies for the following reasons:</w:t>
      </w:r>
    </w:p>
    <w:p>
      <w:pPr>
        <w:spacing w:after="0" w:line="54" w:lineRule="exact"/>
        <w:rPr>
          <w:sz w:val="20"/>
          <w:szCs w:val="20"/>
          <w:color w:val="auto"/>
        </w:rPr>
      </w:pPr>
    </w:p>
    <w:p>
      <w:pPr>
        <w:jc w:val="both"/>
        <w:ind w:left="980" w:hanging="324"/>
        <w:spacing w:after="0" w:line="258"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eliminate the impact of certain items such as stock-based compensation expense and certain payroll tax expense, expense on convertible notes, and reorganization expenses that may obscure trends in the underlying performance of our business; and</w:t>
      </w:r>
    </w:p>
    <w:p>
      <w:pPr>
        <w:spacing w:after="0" w:line="61"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provide consistency and comparability with our past financial performance, and facilitate comparisons with other companies, many of which use similar non-GAAP financial measures to supplement their GAAP results.</w:t>
      </w:r>
    </w:p>
    <w:p>
      <w:pPr>
        <w:spacing w:after="0" w:line="2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use of Adjusted EBITDA and Adjusted EBITDA Margin has limitations as an analytical tool, and these measures should not be considered in isolation or as a substitute for analysis of our financial results as reported under GAAP. Some of these limitations are as follows:</w:t>
      </w:r>
    </w:p>
    <w:p>
      <w:pPr>
        <w:spacing w:after="0" w:line="54" w:lineRule="exact"/>
        <w:rPr>
          <w:sz w:val="20"/>
          <w:szCs w:val="20"/>
          <w:color w:val="auto"/>
        </w:rPr>
      </w:pPr>
    </w:p>
    <w:p>
      <w:pPr>
        <w:jc w:val="both"/>
        <w:ind w:left="980" w:hanging="324"/>
        <w:spacing w:after="0" w:line="250"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expense is a non-cash charge, the assets being depreciated may have to be replaced in the future, and Adjusted EBITDA and Adjusted EBITDA Margin does not reflect cash capital expenditure requirements for such replacements or for new capital expenditure requirements;</w:t>
      </w:r>
    </w:p>
    <w:p>
      <w:pPr>
        <w:spacing w:after="0" w:line="82" w:lineRule="exact"/>
        <w:rPr>
          <w:rFonts w:ascii="Times New Roman" w:cs="Times New Roman" w:eastAsia="Times New Roman" w:hAnsi="Times New Roman"/>
          <w:sz w:val="18"/>
          <w:szCs w:val="18"/>
          <w:color w:val="auto"/>
        </w:rPr>
      </w:pPr>
    </w:p>
    <w:p>
      <w:pPr>
        <w:jc w:val="both"/>
        <w:ind w:left="980" w:hanging="324"/>
        <w:spacing w:after="0" w:line="24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do not correlate to the operation of the business;</w:t>
      </w:r>
    </w:p>
    <w:p>
      <w:pPr>
        <w:spacing w:after="0" w:line="7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19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Because of these limitations, Adjusted EBITDA and Adjusted EBITDA Margin should be considered along with other operating and financial performance measures presented in accordance with GAAP. The following table provides a reconciliation of net loss and Net Loss Margin to Adjusted EBITDA Margin. We define Net Loss Margin as net loss divided by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4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7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4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102,927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127,794</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19"/>
                <w:szCs w:val="19"/>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(129,254)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(64,598)</w:t>
            </w:r>
          </w:p>
        </w:tc>
      </w:tr>
      <w:tr>
        <w:trPr>
          <w:trHeight w:val="230"/>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Net Loss Margin</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and certain payroll tax expenses</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75,026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37,433</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5,632</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expenses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4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1,180</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(31,061)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(20,339)</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Adjusted EBITDA Margin</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500" w:hanging="492"/>
        <w:spacing w:after="0" w:line="258" w:lineRule="auto"/>
        <w:tabs>
          <w:tab w:leader="none" w:pos="49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Payroll tax expenses include the employer payroll tax-related expense on employee stock transactions, as the amount is dependent on our stock price and other factors that are beyond our control and do not correlate to the operation of our business.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Loss and Adjusted Net Loss Per Share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define Adjusted Net Loss as net loss exclusive of stock-based compensation expense and certain payroll tax expense, and reorganization expenses. Adjusted Net Loss Per Share is calculated by dividing Adjusted Net Loss Per Share by the weighted-average common shares outstanding. We believe Adjusted Net Loss and Adjusted Net Loss Per Share are useful measures for investors in evaluating our ability to generate earnings, more readily compare between past and future periods, and provide comparability of our performance with the performance of other companies.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7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5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(64,598)</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Stock-based compensation and certain payroll tax expenses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37,433</w:t>
            </w:r>
          </w:p>
        </w:tc>
      </w:tr>
      <w:tr>
        <w:trPr>
          <w:trHeight w:val="230"/>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Reorganization expenses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(27,165)</w:t>
            </w: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30"/>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2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 per Share:</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30"/>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81,911,433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87,030,695</w:t>
            </w:r>
          </w:p>
        </w:tc>
      </w:tr>
      <w:tr>
        <w:trPr>
          <w:trHeight w:val="234"/>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81,911,433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87,030,695</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500" w:hanging="492"/>
        <w:spacing w:after="0" w:line="278" w:lineRule="auto"/>
        <w:tabs>
          <w:tab w:leader="none" w:pos="49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Payroll tax expenses include the amount of employer payroll tax-related expense on employee stock transactions, as the amount is dependent on our stock price and other factors that are beyond our control and do not correlate to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our primary source of liquidity was cash of $300.5 million. We also held $5.0 million of investments in certificates of deposit with maturities greater than three months as of March 31, 2024. Changes in the balance of cash are generally a result of working capital fluctuations and the timing of purchases and sales of loans facilitated through our marketplace. To finance purchases of certain loans facilitated through our lending marketplace, we rely on our warehouse credit facilities through the special-purpose trusts and corporate cash.</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convertible senior notes have a principal balance of $661.3 million and bear interest at a rate of 0.25% per year, payable semiannually in arrears on February 15 and August 15 of each year. The Notes mature on August 15, 2026 unless earlier converted, redeemed, or repurchased in accordance with their terms. Refer to “</w:t>
      </w:r>
      <w:r>
        <w:rPr>
          <w:rFonts w:ascii="Times New Roman" w:cs="Times New Roman" w:eastAsia="Times New Roman" w:hAnsi="Times New Roman"/>
          <w:sz w:val="18"/>
          <w:szCs w:val="18"/>
          <w:i w:val="1"/>
          <w:iCs w:val="1"/>
          <w:color w:val="auto"/>
        </w:rPr>
        <w:t>Note 9. Borrowings</w:t>
      </w:r>
      <w:r>
        <w:rPr>
          <w:rFonts w:ascii="Times New Roman" w:cs="Times New Roman" w:eastAsia="Times New Roman" w:hAnsi="Times New Roman"/>
          <w:sz w:val="18"/>
          <w:szCs w:val="18"/>
          <w:color w:val="auto"/>
        </w:rPr>
        <w:t>” in Part I, Item 1 of this Quarterly Report on Form 10-Q for further details on our Notes.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ULT Warehouse Credit Facility, which matures in June 2026, allows us to borrow up to $250.0 million to purchase unsecured personal loans. Our UAWT Warehouse Credit Facility, which matures in June 2025, allows us to borrow up to $200.0 million to purchase secured auto loans. As of March 31, 2024, we have drawn an aggregate of $351.5 million on our warehouse credit facilities. Refer to “</w:t>
      </w:r>
      <w:r>
        <w:rPr>
          <w:rFonts w:ascii="Times New Roman" w:cs="Times New Roman" w:eastAsia="Times New Roman" w:hAnsi="Times New Roman"/>
          <w:sz w:val="18"/>
          <w:szCs w:val="18"/>
          <w:i w:val="1"/>
          <w:iCs w:val="1"/>
          <w:color w:val="auto"/>
        </w:rPr>
        <w:t>Note 9. Borrowings</w:t>
      </w:r>
      <w:r>
        <w:rPr>
          <w:rFonts w:ascii="Times New Roman" w:cs="Times New Roman" w:eastAsia="Times New Roman" w:hAnsi="Times New Roman"/>
          <w:sz w:val="18"/>
          <w:szCs w:val="18"/>
          <w:color w:val="auto"/>
        </w:rPr>
        <w:t>” in Part I, Item 1 of this Form 10-Q for further details on our warehouse credit facilities.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office facilities under operating lease agreements which expire between 2027 and 2029. Our cash requirements related to these lease agreements are $67.1 million, of which $15.1 million is expected to be paid within the next 12 months. Refer to “</w:t>
      </w:r>
      <w:r>
        <w:rPr>
          <w:rFonts w:ascii="Times New Roman" w:cs="Times New Roman" w:eastAsia="Times New Roman" w:hAnsi="Times New Roman"/>
          <w:sz w:val="18"/>
          <w:szCs w:val="18"/>
          <w:i w:val="1"/>
          <w:iCs w:val="1"/>
          <w:color w:val="auto"/>
        </w:rPr>
        <w:t>Note 11. Leases</w:t>
      </w:r>
      <w:r>
        <w:rPr>
          <w:rFonts w:ascii="Times New Roman" w:cs="Times New Roman" w:eastAsia="Times New Roman" w:hAnsi="Times New Roman"/>
          <w:sz w:val="18"/>
          <w:szCs w:val="18"/>
          <w:color w:val="auto"/>
        </w:rPr>
        <w:t>” in Part I, Item 1 of this Quarterly Report on Form 10-Q for further details on our operating lease obligations.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committed to purchase loans from certain lending partners at the conclusion of the required holding period, which is generally equal to three business days. As of March 31, 2024, the total loan purchase commitment was $32.5 million. See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in Part I, Item 1 of this Quarterly Report on Form 10-Q for further details on our loan purchase obligations.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committed capital and other co-investment arrangements we are obligated to put a certain amount of our capital at risk in relation to the credit performance of the underlying loans. As of March 31, 2024, the amount of our capital co-invested at risk is $169.6 million. Refer to “</w:t>
      </w:r>
      <w:r>
        <w:rPr>
          <w:rFonts w:ascii="Times New Roman" w:cs="Times New Roman" w:eastAsia="Times New Roman" w:hAnsi="Times New Roman"/>
          <w:sz w:val="18"/>
          <w:szCs w:val="18"/>
          <w:i w:val="1"/>
          <w:iCs w:val="1"/>
          <w:color w:val="auto"/>
        </w:rPr>
        <w:t>Note 5. Beneficial Interests</w:t>
      </w:r>
      <w:r>
        <w:rPr>
          <w:rFonts w:ascii="Times New Roman" w:cs="Times New Roman" w:eastAsia="Times New Roman" w:hAnsi="Times New Roman"/>
          <w:sz w:val="18"/>
          <w:szCs w:val="18"/>
          <w:color w:val="auto"/>
        </w:rPr>
        <w:t>” for additional information.</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the potential value of these committed capital and other co-investment arrangements, to be realized over time, ranges between $0 to $333.1 million, depending on the actual future performance of the loans under these arrangements. The estimated value of these arrangements is $156.2 million, which represents the undiscounted value of the capital co-invested and is based on the actual and expected future performance of the underlying loans.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our cash requirement for the next 12 months for our committed capital and other co-investment arrangements is expected to be $5.4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believe that our cash on hand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We may decide to raise additional 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balances and cash generated by operations are insufficient to satisfy liquidity needs, our results of operations and financial condition would be materially and adversely impacted.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45"/>
        </w:trPr>
        <w:tc>
          <w:tcPr>
            <w:tcW w:w="7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during the periods indicated:</w:t>
            </w: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13"/>
        </w:trPr>
        <w:tc>
          <w:tcPr>
            <w:tcW w:w="7600" w:type="dxa"/>
            <w:vAlign w:val="bottom"/>
          </w:tcPr>
          <w:p>
            <w:pPr>
              <w:spacing w:after="0"/>
              <w:rPr>
                <w:sz w:val="24"/>
                <w:szCs w:val="24"/>
                <w:color w:val="auto"/>
              </w:rPr>
            </w:pPr>
          </w:p>
        </w:tc>
        <w:tc>
          <w:tcPr>
            <w:tcW w:w="360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7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7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(75,727)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6"/>
              </w:rPr>
              <w:t>52,622</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(25,852)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(37,547)</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20,971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(43,711)</w:t>
            </w:r>
          </w:p>
        </w:tc>
      </w:tr>
      <w:tr>
        <w:trPr>
          <w:trHeight w:val="223"/>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cash and restricted cash</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(80,608)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rPr>
              <w:t>(28,636)</w:t>
            </w:r>
          </w:p>
        </w:tc>
      </w:tr>
      <w:tr>
        <w:trPr>
          <w:trHeight w:val="21"/>
        </w:trPr>
        <w:tc>
          <w:tcPr>
            <w:tcW w:w="7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Operating Activities</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main sources of cash provided by operating activities are our revenue from fees earned under contracts with lending partners and institutional investors and interest income we receive for loans held on our balance sheet.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main uses of cash in our operating activities include payments to marketing partners, vendor payments, payroll and other personnel-related expenses, payments for facilities, and other general business expenditures.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$52.6 million for the three months ended March 31, 2024, which primarily consisted of adjustments for non-cash items of $96.6 million, net loss of $64.6 million, and $20.6 million in net changes in operating assets and liabilities. The increase in non-cash adjustments was primarily related to $59.9 million of changes in fair value of financial instruments held on the Company’s balance sheet, $35.8 million of stock-based compensation, and $5.6 million of depreciation and amortization, partially offset by a $2.9 million gain on loan servicing rights and a $2.5 million decrease in other adjustments. The increase in net changes in operating assets and liabilities was primarily related to $52.8 million in principal payments received for loans held-for-sale, $12.3 million in principal payments received for loans held in consolidated securitization, and a $6.9 million increase in amounts payable to investors, partially offset by $23.9 million in net purchases of loans held-for-sale, a $25.8 million decrease in accrued expenses, a $0.8 million decrease in other assets, and $0.7 million decrease in payments on beneficial interest liabilities.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Investing Activities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$37.5 million for the three months ended March 31, 2024 as a result of $46.2 million purchases and originations of loans held-for-investment, $16.9 million acquisition of beneficial interest assets, partially offset by $27.2 million in principal payments received for loans held-for-investment.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Financing Activities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$43.7 million for the three months ended March 31, 2024 as a result of $110.2 million repayments of borrowings and $13.6 million in principal payments made on securitization notes, partially offset by $74.3 million of proceeds from borrowings, $4.6 million in proceeds from issuance of common stock under ESPP, and $1.2 million proceeds from exercise of stock options.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Composition of Balance Sheet Loan Portfolio</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March 31, 2024, we held $1,080.9 million of loans on our condensed consolidated balance sheet. $394.0 million of these loans were originated for research and development purposes, primarily in support of our auto lending products and expansion of our unsecured personal loan product to new categories of borrowers. We also held $529.6 million of core personal loans which would otherwise be immediately purchased by institutional investors and $157.3 million of core personal loans held by the consolidated securitization. We will continue to utilize our capital to support research and development activities and, at times, as a funding source for core personal loans during periods of marketplace funding constraints. The extent and timing of utilizing our capital as a funding source for loans will largely depend on the availability of capital in our marketplace relative to the demand from qualified borrowers and our business priorities. We plan to sell loans held on our balance sheet to institutional investors over time in the form of secondary sales or securitizations.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engage in activities that are not reflected on our condensed consolidated balance sheets, generally referred to as off-balance sheet arrangements. These activities involve transactions with unconsolidated VIEs, including sale of whole loans and sponsored and co-sponsored securitization transactions, which we contractually service. We use these transactions to provide a source of liquidity to finance our business and to diversify our institutional investor base. If we are the retaining sponsor of a securitization transaction, we are required by law to retain at least 5% of the credit risk of the securities issued in these securitizations. We provide additional information regarding transactions with unconsolidated VIEs in “</w:t>
      </w:r>
      <w:r>
        <w:rPr>
          <w:rFonts w:ascii="Times New Roman" w:cs="Times New Roman" w:eastAsia="Times New Roman" w:hAnsi="Times New Roman"/>
          <w:sz w:val="18"/>
          <w:szCs w:val="18"/>
          <w:i w:val="1"/>
          <w:iCs w:val="1"/>
          <w:color w:val="auto"/>
        </w:rPr>
        <w:t>Note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in Part I, Item 1 of this Quarterly Report on Form 10-Q.</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0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Our critical accounting policies are described in Part II, Item 7, “</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in our Annual Report on Form 10-K for the year ended December 31, 2023. There have been no material changes to these policies for the three months ended March 31, 2024.</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 Description of Business and Significant Accounting Policies”</w:t>
      </w:r>
      <w:r>
        <w:rPr>
          <w:rFonts w:ascii="Times New Roman" w:cs="Times New Roman" w:eastAsia="Times New Roman" w:hAnsi="Times New Roman"/>
          <w:sz w:val="18"/>
          <w:szCs w:val="18"/>
          <w:color w:val="auto"/>
        </w:rPr>
        <w:t xml:space="preserve"> in Part I, Item 1 of this Quarterly Report on Form 10-Q for recently adopted accounting pronouncements and recently issued accounting pronouncements not yet adopted when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which primarily relate to fluctuations in market discount rates, credit risks, and interest rates. We are exposed to market risk directly through loans and securities held on our condensed consolidated balance sheets, access to the securitization markets, institutional investor demand for loans facilitated through our marketplace, and availability of funding under our current credit facilities and term loans. Our inability or failure to manage market risks could harm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Discount Rate Risk</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Discount rate sensitivity refers to the risk of loss to future earnings, values or future cash flows that may result from changes in market discount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2023 and March 31, 2024, we were exposed to market discount rate risk on $977.3 million and $923.5 million, respectively, of loans held on our condensed consolidated balance sheets, excluding loans held in consolidated securitization. The fair value of these loans is estimated using a discounted cash flow methodology, where the discount rate represents an estimate of the required rate of return by market participants. The changes in the discount rates for loans held on our balance sheet reflect the expected returns of similar financial instruments available in the market and can be caused by changes in the market interest rates, expected loan performance, and other factors. Any gains and losses from discount rate changes are recorded in earnings. A hypothetical 100 basis point and 200 basis point increase in the discount rate would result in a $11.7 million and $23.1 million decrease, respectively, in the fair value of loans as of December 31, 2023 and a $12.6 million and $25.0 million decrease, respectively, as of March 31, 2024.</w:t>
      </w:r>
    </w:p>
    <w:p>
      <w:pPr>
        <w:spacing w:after="0" w:line="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December 31, 2023 and March 31, 2024, we held $179.1 million and $157.3 million, respectively, of loans held in the consolidated securitization which are included in loans, at fair value, on the condensed consolidated balance sheets. The fair value of these loans is determined by the sum of the fair value of the related securitization notes and residual certificates issued as part of the consolidated securitization, and uses the same projected net cash flows as the underlying collateral loan pool. As the Company retained all residual certificates issued by the consolidated securitization, their value is eliminated as part of the consolidation process. A hypothetical 100 basis point and 200 basis point increase in the discount rate would result in a $2.4 million and $4.8 million decrease, respectively, in the fair value of loans held in the consolidated securitization as of December 31, 2023, and a $2.0 million and $4.1 million decrease, respectively, as of March 31, 2024.</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and March 31, 2024, we were also exposed to market discount rate risk on payable to securitization note holders of $141.4 million and $129.1 million, respectively. A hypothetical 100 basis point and 200 basis point increase in the discount rate would result in a $1.9 million and $3.7 million decrease, respectively, in the fair value of payable to securitization holders on the condensed consolidated balance sheet as of December 31, 2023, and a $1.6 million and $3.2 million decrease, respectively, as of March 31, 2024.</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2023 and March 31, 2024, we were also exposed to market discount rate risk on other financial instruments, including $41.0 million and $62.2 million of beneficial interest assets, respectively. Beneficial interest assets are estimated at fair value using a discounted cash flow model which considers projected defaults, losses and recoveries to project future losses and net cash flows on the underlying loans. We use two different discount rates for expected cash flows associated with demonstrated to-date credit performance and those associated with future credit performance. Any gains and losses from discount rate changes are recorded in earnings. A hypothetical 100 basis point and 200 basis point increase in the discount rate would result in a $1.2 million and $2.4 million decrease, respectively, in the fair value of beneficial interest assets as of December 31, 2023, and a $1.8 million and $3.4 million decrease, respectively, as of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Credit risk refers to the risk of loss of the loans on our condensed consolidated balance sheets arising from individual borrower default due to inability or unwillingness to meet their financial obligations. The performance of certain financial instruments, including loans, beneficial interests, securitization notes and residual certificates, and payable to securitization note holders on our condensed consolidated balance sheets are dependent on the credit performance of loans facilitated by us. To manage this risk, we monitor borrower payment performance through our lending marketplace and utilize our AI capabilities to price loans in a manner that we believe is reflective of their credit risk.</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values of these loans, beneficial interests, securitization notes and residual certificates, and payable to securitization note holders are estimated based on a discounted cash flow model which involves the use of significant unobservable inputs and assumptions. These instruments are sensitive to changes in credit risk.</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and March 31, 2024, we were exposed to credit risk on $977.3 million and $923.5 million, respectively, of loans held on our condensed consolidated balance sheets excluding loans held in consolidated securitization. Loans bear fixed interest rates and are carried on our condensed consolidated balance sheets at fair value. As of December 31, 2023, a hypothetical 10% and 20% increase in credit risk would result in a $12.5 million and $25.0 million decrease, and as of March 31, 2024, a hypothetical 10% and 20% increase in credit risk would result in a $12.7 million and $25.2 million decrease in the fair value of loans, respectively.</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2023 and March 31, 2024, we held $179.1 million and $157.3 million, respectively, of loans held in the consolidated securitization which are included in loans, at fair value, on the condensed consolidated balance sheets. The fair value of these loans is determined by the sum of the fair value of the related securitization notes and residual certificates issued by the consolidated entities, and uses the same projected net cash flows as the underlying collateral loan pool. As the Company retained all residual certificates issued by the consolidated securitization, the residual certificates value is eliminated as part of the consolidation process. A hypothetical 100 and 200 basis point increase in the credit risk would result in a $2.7 million and $5.2 million decrease, respectively, in the fair value of loans held in consolidated securitization as of December 31, 2023 and a $2.7 million and $5.3 million decrease, respectively, as of March 31, 2024.</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also exposed to credit risk on beneficial interest assets and beneficial interest liabilities held on the condensed consolidated balance sheet of $41.0 million and $4.2 million, respectively, as of December 31, 2023, and $62.2 million and $8.5 million, respectively, as of March 31, 2024. A hypothetical 10% and 20% increase in credit risk spread would result in a $9.1 million and $16.7 million decrease, respectively, in the fair value of beneficial interest assets held on our condensed consolidated balance sheet, and would result in a $5.6 million and $11.2 million increase in the fair value of beneficial interest liabilities on our condensed consolidated balance sheet, respectively, as of December 31, 2023. A hypothetical 10% and 20% increase in credit risk spread would result in a $14.0 million and $27.3 million decrease, respectively, in the fair value of beneficial interest assets, and would result in a $5.7 million and $11.3 million increase in the fair value of beneficial interest liabilities, respectively, as of March 31,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Risk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risk that arises from our derivative financial instruments,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We manage this risk by selecting only counterparties that we believe to be financially strong, spreading the risk among multiple such counterparties, and placing contractual limits on the amount of dependence on any single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and March 31, 2024, we held $467.8 million and $439.2 million, respectively, related to cash and restricted cash in business checking accounts and interest-bearing deposit accounts at various financial institutions in the United States. We are exposed to credit risk in the event of default by these financial institutions to the extent the amount recorded on our condensed consolidated balance sheets exceeds the insured amounts by the Federal Deposit Insurance Corporation, or FDIC. We reduce credit risk by placing our cash and restricted cash in reputable institutions.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increase in interest rates typically results in an increase in the rate of return required by lending partners and institutional investors, and therefore leads to a decrease in borrower demand. Higher interest rates also correspond with higher payment obligations for borrowers, which may reduce the ability of individual borrowers to remain current on their obligations, leading to increased delinquencies, defaults, customer bankruptcies and charge-offs, and decreasing recoveries, all of which could have a material adverse effect on our business. We expect these outcomes would generally invert in an environment of decreasing interest rates.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An increase or decrease in interest rates may also impact our exposure to interest rate risk on our warehouse credit facilities. As of December 31, 2023 and March 31, 2024, we were exposed to interest rate risk on $387.4 million and $351.5 million, respectively, under our warehouse credit facilities, which bear floating interest rates. Changes in interest rates may impact our cost of borrowing. We have entered into interest rate cap agreements in connection with our warehouse credit facilities with an aggregate notional amount of $283.8 million. The interest rate caps provide protection to the credit facilities against exposure to changes in cash flows to the extent the 1-month SOFR exceeds the strike rate. The UAWT interest rate cap matures in April 2029 and the ULT interest rate cap matures June 2025. Refer to </w:t>
      </w:r>
      <w:r>
        <w:rPr>
          <w:rFonts w:ascii="Times New Roman" w:cs="Times New Roman" w:eastAsia="Times New Roman" w:hAnsi="Times New Roman"/>
          <w:sz w:val="18"/>
          <w:szCs w:val="18"/>
          <w:i w:val="1"/>
          <w:iCs w:val="1"/>
          <w:color w:val="auto"/>
        </w:rPr>
        <w:t>“Note 4. Derivative Financial Instruments”</w:t>
      </w:r>
      <w:r>
        <w:rPr>
          <w:rFonts w:ascii="Times New Roman" w:cs="Times New Roman" w:eastAsia="Times New Roman" w:hAnsi="Times New Roman"/>
          <w:sz w:val="18"/>
          <w:szCs w:val="18"/>
          <w:color w:val="auto"/>
        </w:rPr>
        <w:t xml:space="preserve"> for further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Risk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non-marketable equity securities are subject to a wide variety of market-related risks that could substantially reduce or increase the carrying value of our investments.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expense on the condensed consolidated statements of operations and comprehensive loss upon recognition of such adjustments or impairments. As of December 31, 2023 and March 31, 2024, the carrying value of our non-marketable equity securities, which do not have readily determinable fair values, totaled $41.3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34"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Chief Financial Officer, has evaluated the effectiveness of our disclosure controls and procedures as defined in Rules 13a-15(e) and 15d-15(e) under the Securities Exchange Act of 1934, as amended, or the Exchange Act. Based on that evaluation, our Chief Executive Officer and Chief Financial Officer have concluded that, as of March 31, 2024,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Inherent Limitations on Effectiveness of Disclosure Controls and Procedures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88"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13a-15(d) and 15d-15(d) under the Exchange Act) that occurred during the quarter ended March 31,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22"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For a description of our material pending legal proceedings, please see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in Part I, Item 1 of this Quarterly Report on Form 10-Q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 II, Item 1A of this Quarterly Report on Form 10-Q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3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The risks and uncertainties described below should be carefully considered,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material risks that may affect our business, financial condition or results of operations include, but are not limited to, those relating to the following:</w:t>
      </w:r>
    </w:p>
    <w:p>
      <w:pPr>
        <w:spacing w:after="0" w:line="54"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has been and will continue to be adversely affected by economic conditions and other factors that we cannot control.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diverse and resilient loan funding to our marketplace from institutional investors, our growth prospects,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AI models do not accurately reflect the impact of economic conditions on borrowers’ credit risk in a timely manner, the performance of Upstart-powered loans may be worse than anticipated and our AI models may be perceived as ineffective.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approve significant number of borrowers for loans through our marketplace, our growth prospects, business, financial condition and results of operations would be adversely affected.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lending partners cease or limit their participation in our marketplace or if we are unable to attract new lending partners to our marketplace, our business, financial condition and results of operations will be adversely affected.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relatively limited operating history, which may result in increased risks, uncertainties, expenses and difficulties, and makes it difficult to evaluate our future prospects.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risks associated with the Upstart Macro Index (UMI), which is at an early research and development stage with an unproven track record, our credibility, reputation,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and we may not be able to achieve profitability in the future.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risks associated with the loans on our balance sheet, our business, financial condition and results of operations may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rate and financial performance in the past may not be indicative of future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are likely to fluctuate and as a result may adversely affect the trading price of our common stock.</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funding arrangements with institutional investors, securitizations and warehouse credit facilities expose us to certain risks, and if we fail to successfully manage such risks, it may result in the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supply of loan funding capital or require us to seek more costly or less efficient financing for our marketplace.</w:t>
      </w:r>
    </w:p>
    <w:p>
      <w:pPr>
        <w:spacing w:after="0" w:line="117"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top three lending partners account for a significant portion of loan originations on our marketplace and our revenue.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are important to our success, and if we are unable to continue developing our reputation and brand, our ability to retain existing and attract new lending partners, our ability to attract borrowers to our marketplace, our ability to maintain diverse and resilient loan funding and our ability to maintain and improve our relationship with regulators of our industry could be adversely affected.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right="29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risks related to our loan servicing and collections obligations, our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revenue is derived from a single loan product, and we are thus particularly susceptible to fluctuations in the unsecured personal loan market.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and onboarding process of new lending partners could take longer than expected, leading to fluctuations or variability in expected revenues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strategic relationships with loan aggregators to attract applicants to our marketplace, and if we cannot maintain effective relationships with loan aggregators or successfully replace their services, our business could be adversely affected.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has been and will continue to be adversely affected by economic conditions and other factors that we cannot control.</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Uncertainty, volatility and negative trends in general economic conditions historically have created a difficult operating environment for our industry. Many factors, including factors that are beyond our control, have impacted and will continue to impact our business, financial condition and results of operations by affecting the supply of capital to our marketplace from our lending partners and institutional investors, the demand by borrowers of Upstart-powered loans, and borrowers’ ability and willingness to repay their loans. These factors include, but are not limited to, interest rates, inflation, personal savings rates, fiscal and monetary policies, unemployment levels, disruptions in the banking sector, lower consumer confidence, reduced consumer discretionary spending, conditions in the housing market, immigration policies, gas prices, energy costs, government shutdowns, trade wars and delays in tax refunds, as well as events such as natural disasters, acts of war, geopolitical conflicts, terrorism, catastrophes and pandemics. If any of these factors negatively affect borrowers, lending partners or institutional investors, or if we are unable to mitigate the risks associated with them, our business, financial condition and results of operations could be adversely affected.</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recent years, the United States has experienced historically high levels of inflation. In response, the government has implemented policy interventions, and the U.S. Federal Reserve has raised, and may continue to raise, interest rates. While the goal is to curb inflation, these interventions may have broad macroeconomic implications and may contribute to an economic downturn, higher unemployment rates or disrupt the banking sector.</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current macroeconomic environment and resulting uncertainty and volatility have had, and could continue to have, several effects on our business and results of operations, including,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loan origination volume;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loan funding from lending partners and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liquidity in the capital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approvability of, and acceptance of loan offers by, applicants;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utilization of our balance sheet to fund Upstart-powered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adoption of our AI lending marketplace by new lending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delinquencies and default rates for Upstart-powered loans;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workforce.</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current macroeconomic environment has had, and may continue to have, a material adverse effect on our business by affecting the supply of capital to our marketplace from institutional investors and lending partners. For more information, see the risk factors titled “—</w:t>
      </w:r>
      <w:r>
        <w:rPr>
          <w:rFonts w:ascii="Times New Roman" w:cs="Times New Roman" w:eastAsia="Times New Roman" w:hAnsi="Times New Roman"/>
          <w:sz w:val="18"/>
          <w:szCs w:val="18"/>
          <w:i w:val="1"/>
          <w:iCs w:val="1"/>
          <w:color w:val="auto"/>
        </w:rPr>
        <w:t>If we are unable to maintain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diverse and resilient loan funding to our marketplace from institutional investors, our growth prospects, business, financial condition and results of operations could be adversely affected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If our existing lending partners cease or limit their participation in our marketplace or if we are unable to attract new lending partners to our marketplace, our business, financial condition and results of operations will be adversely affected</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offer consumer loans, such as personal and auto loans, on our marketplace, and many consumers that come to our marketplace have poor, limited or no credit history. Such consumers have historically been, and may in the future be, disproportionately affected by adverse macroeconomic conditions. Inflation, higher interest rates, availability of welfare programs, unemployment, bankruptcy, government interventions, such as stimulus measures, major medical expenses, divorce or death may affect borrowers’ ability or willingness to borrow or make payments on loans. The recent macroeconomic trends have negatively impacted borrowers’ ability and willingness to borrow and make repayments. For more information, see the risk factors titled “—</w:t>
      </w:r>
      <w:r>
        <w:rPr>
          <w:rFonts w:ascii="Times New Roman" w:cs="Times New Roman" w:eastAsia="Times New Roman" w:hAnsi="Times New Roman"/>
          <w:sz w:val="18"/>
          <w:szCs w:val="18"/>
          <w:i w:val="1"/>
          <w:iCs w:val="1"/>
          <w:color w:val="auto"/>
        </w:rPr>
        <w:t>If we are unable to approve significant number of borrowers for loans through our marketplace, our growth prospects, business,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would be adversely affected</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an economic down cycle, there is a greater risk that borrowers will not make payments on loans. Borrowers may not prioritize repayment of unsecured personal loans over loans that are secured by necessities, for example, mortgages or auto loans. Higher interest rates often lead to higher payment obligations, which may reduce the ability of borrowers to remain current on their obligations. These factors lead to increased delinquencies, defaults and bankruptcies declared by borrowers, resulting in more charge-offs and less recoveries, all of which have had, and could continue to have, a material adverse effect on the credit performance of loans facilitated on our marketplace and our business. For example, the vintages of core personal loans that originated in the first quarter of 2021 through the third quarter of 2023 are forecasted to underperform relative to the target returns set at the time of loan origination. When a borrower defaults on a loan, it increases our costs to service the loan. Because default rates have been higher than expected, it has negatively impacted, and may continue to negatively impact, demand by our lending partners to originate loans, and institutional investors to fund loans, facilitated through our marketplace. Any sustained decline in applicant approvability or acceptance of loan offers or loan origination volume, or any increase in delinquencies or defaults by borrowers beyond our expectation, would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maintain diverse and resilient loan funding to our marketplace from institutional investors, our growth prospects, business, financial condition and results of operations could be adversely affected.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depends on sourcing and maintaining diverse and resilient loan funding from institutional investors to our marketplace. The institutional investors provide loan funding to our marketplace by purchasing whole loans, pass-through certificates and asset-backed securities. Out of the total principal of loan originations facilitated on our marketplace during the three months ended March 31, 2024, 44% were purchased by institutional investors. The availability and capacity of loan funding from institutional investors depend on many factors that are outside of our control, such as economic and market conditions, interest rates, liquidity in the capital markets and regulatory reforms. We cannot be sure that the existing funding sources will continue to be available, or any new funding source will become available, on commercially reasonable terms or at all.</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recently experienced reductions in capital to our marketplace due to the current macroeconomic environment, including rapidly rising interest rates, increased credit risk of consumers, recessionary concerns, and stress on banks’ balance sheets driven by bank failures in 2023. Our institutional investors have decreased their loan purchase volumes in light of the recent macroeconomic environment and have demanded a lower price and higher returns to cover the higher cost of funds and increased credit risks. A reduction in loan purchase volume and sale price has negatively impacted, and could continue to negatively impact, our revenue, operations and returns. Decreased funding from institutional investors, together with lower approvability of loan applicants, reduced loan origination volume on our marketplace, which has had and could continue to have a negative impact on our revenue. Any sustained decline in investor demand for Upstart-powered loans or securities secured by such loans, or any increase in delinquencies, defaults or losses beyond our expectation due to adverse economic conditions, may also reduce the price we receive on future loan sales.</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response to funding constraints, we have utilized, and expect to continue to utilize, our balance sheet to support funding of loans that would otherwise be sold to institutional investors. The use of our balance sheet to support loan funding diverts capital resources, increases our exposure to the changes in the fair value of such loans and has resulted in and could result in losses when such loans held on our balance sheet default or we sell them at a loss. Furthermore, we have sought, and continue to seek, committed capital and other co-investment arrangements. These arrangements may include terms that provide downside risk protection, subject to certain limits and conditions. In particular, we have agreed to compensate, subject to a limit, if credit performance on the loans under these arrangements deviates from expectations. As of March 31, 2024, our capital co-invested, which represents the maximum exposure to losses, under these committed capital and other co-investment arrangements was $169.6 million. Committed capital and other co-investment arrangements have negatively impacted our financial results through unfavorable fair value adjustments and may continue to do so in the future. We may also experience declines in revenue and transaction volume if existing committed capital or other capital arrangements do not provide funding on the agreed upon terms or we fail to secure additional committed capital or other capital arrangements in the future on commercially reasonable terms or at all. Moreover, the capital arrangements that we have recently entered into during a high interest rate environment, such as the committed capital and other co-investment arrangements, may become more costly if interest rates fall and the terms of such arrangements remain through a full economic cycle. Despite our efforts, we may continue to experience funding constraints and cannot be certain if any measures we have taken, such as committed capital or other co-investment arrangements, or will take to address or mitigate the effects of funding constraints, will be sufficient or successful. In the event of continued funding constraints, we may not be able to maintain our current loan origination volume without incurring substantially higher funding costs, agreeing to terms that are not favorable to us or further relying on our balance sheet to support funding, each of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Events of default or breaches of financial, performance or other covenants, or worse than expected performance of certain pools of loans underpinning our asset-backed securitizations, debt facilities or other structured and unstructured transactions, have limited in the past and could limit our access to funding from institutional investors. For example, the loans originated in 2021 through mid-2022 that were included in our asset-backed securitizations have underperformed relative to their expected target returns at the time of origination, resulting in negative rating agency actions in several of our asset-based securitizations. We cannot be certain if and when investor demand for securitizations will recover.</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attract potential borrowers, and thus increase loan originations on our marketplace, depends in large part on our ability to effectively evaluate the creditworthiness of borrowers and likelihood of default and, based on that evaluation, offer competitively priced loans. Our overall operating efficiency and margins further depend in part on our ability to maintain a high degree of automation in our loan application process and achieve incremental improvements in the degree of automation. If our AI models fail to adequately predict the creditworthiness of borrowers and the likelihood of default due to the design of our models or programming or any other errors or inaccuracies, and our AI models do not detect or account for such errors or inaccuracies, or any of the other components of our credit decision process fails, we may experience higher than forecasted losses on loans. Any of the foregoing could result in sub-optimally priced loans or incorrect approvals or denials of loans, any of which may lead to lower demand by borrowers and reduce loan originations. Moreover, in addition to reduced borrower demand, higher than expected losses on Upstart-powered loans could further harm our ability to attract capital to our marketplace. Our lending partners and institutional investors may decide to limit their funding or reduce the number of loans or types of loans they fund if they experience higher than expected losses on their cost of funds due to underperformance of the loans. It may also hinder our ability to increase the size of, or enter into new, debt facilities or other financing arrangements.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AI models also target and optimize other aspects of the lending process, such as borrower acquisition, fraud detection, default timing, loan stacking and prepayment timing. Our continued improvements to such models have allowed us to facilitate loans inexpensively and virtually instantly, with a high degree of consumer satisfaction while maintaining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update model assumptions and parameters in a timely manner. It is also possible that the instant approval process on our marketplace makes us a target for certain borrowers who intend to accumulate as much debt as quickly as possible without regard for the viability of repayment.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our AI models do not accurately reflect the impact of economic conditions on borrowers’ credit risk in a timely manner, the performance of Upstart-powered loans may be worse than anticipated and our AI models may be perceived as ineffective.</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performance of loans facilitated through our marketplace is significantly dependent on the effectiveness of our proprietary AI models used to evaluate a borrower’s credit profile and likelihood of default. Our AI models have not been extensively tested during economic downturn or recession. Even if credit decisions take into account macroeconomic conditions, there is no assurance that our AI models can accurately predict loan performance during periods of adverse economic conditions or quickly respond to changing economic conditions. If our AI models are unable to accurately reflect the credit risk of loans under such economic conditions, we, our lending partners and our institutional investors would experience greater than expected losses on such loans, which would harm our reputation and erode the trust we have built with our lending partners and institutional investors. We have experienced and may continue to experience high delinquency rates and underperformance of loans originated using our AI models in recent periods. For example, the quarterly vintages of core personal loans that originated in the first quarter of 2021 through the third quarter of 2023 are forecasted to underperform relative to the target returns set at the time of loan origination. The fair value of the loans on our balance sheet has declined and may continue to decline. Our business, financial condition and results of operations can continue to be adversely affected if our AI models are not able to accurately and timely assess the impact of macroeconomic conditions on the performance and default rates of loans facilitated through our marketplace.</w:t>
      </w:r>
    </w:p>
    <w:p>
      <w:pPr>
        <w:spacing w:after="0" w:line="21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approve significant number of borrowers for loans through our marketplace, our growth prospects, business, financial condition and results of operations would be adversely affected.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vast majority of our revenue comes from platform and referral fees and servicing fees on loans facilitated through our marketplace. Growing our revenue from fees depends in significant part on our ability to increase the transaction volume of consumer loans on our marketplace. To serve more consumer demand for credit and increase transaction volume on our marketplace, we must have an adequate supply of capital from lending partners and institutional investors, we must drive sufficient demand from potential borrowers seeking to take out loans, and the borrowers must satisfy the requirements for approval by our models and our lending partners.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continue to improve the accuracy of our AI models, which we believe is key to our long-term success, such improvements may not lead to more borrowers being approved on our platform. These improvements have led us in the past and may lead us in the future to reevaluate our credit decisioning process, including the risks associated with certain borrowers. Changes in borrower default patterns and increases in the numbers of borrowers who default have in the past and could in the future result in fewer borrowers being approved for loans on our platform. Similarly, changes by our lending partners in their credit requirements or target returns could negatively impact our ability to extend loan offers with competitive terms or at all to certain borrowers on our marketplace.</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current macroeconomic environment with elevated costs of borrowing and risks associated with consumer credit, the pool of qualified borrowers has become smaller, and fewer applicants have received or accepted loan offers on our marketplace than they have in the past. Approving more borrowers on our platform can also be limited as we have historically held the maximum annual percentage rate of Upstart-powered loans to less than 35.99% due to regulatory reasons. Moreover, loan terms have become less borrower-friendly in the current environment with higher interest rates, and we have experienced an overall decrease in borrower demand. These factors have and may continue to negatively affect transaction volume on our marketplace and therefore our revenue. If we are not able to maintain or increase transaction volume on our marketplace, or attract and retain qualified borrowers, our growth prospects,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our existing lending partners cease or limit their participation in our marketplace or if we are unable to attract new lending partners to our marketplace, our business, financial condition and results of operations will be adversely affected.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in significant part on the participation of our lending partners in our marketplace. In the three months ended March 31, 2024, 86% of our total revenue was generated from platform, referral and servicing fees that we receive from our lending partners. Our lending partners also provide loan funding to our marketplace by retaining a significant portion of the loans facilitated through our marketplace. Out of the total principal of loan originations facilitated on our marketplace during the three months ended March 31, 2024, 29% were retained by our lending partners. If we are unable to keep existing lending partners or attract new lending partners to our marketplace, or if we are unable to maintain or increase the portion of loans retained by the lending partners, our financial performance could suffer.</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lending partners may suspend, limit or cease their participation in our marketplace for a number of reasons. Several of our lending partners have paused or reduced loan origination in order to limit their exposure to consumer loans in the current macroeconomic environment. In connection with disruptions in the banking sector, lending partners are managing their balance sheets conservatively and are focused on liquidity, all of which have limited, and may continue to limit, our ability to attract new lending partners and maintain or increase loan originations on our marketplace. If our lending partners continue to suspend, limit or cease their operations or terminate their relationships with us, the number of loans facilitated through our marketplace will decrease and our revenue will be adversely affected. Moreover, new lending partners may find our sales and onboarding process to be long and unpredictable. If we are unable to timely onboard our lending partners, or if our lending partners are not willing to work with us to complete an onboarding process, our results of operations could be adversely affected.</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enter into a separate agreement with each of our lending partners. Our agreements with our lending partners are nonexclusive and may contain minimum fee amounts. Our lending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See the risk factors titled “—</w:t>
      </w:r>
      <w:r>
        <w:rPr>
          <w:rFonts w:ascii="Times New Roman" w:cs="Times New Roman" w:eastAsia="Times New Roman" w:hAnsi="Times New Roman"/>
          <w:sz w:val="18"/>
          <w:szCs w:val="18"/>
          <w:i w:val="1"/>
          <w:iCs w:val="1"/>
          <w:color w:val="auto"/>
        </w:rPr>
        <w:t>Our business is subject to a wide range of laws and regulations, many of which are evolving, and failure or perceived failure to comply with such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regulations could harm our business,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CFPB has sometimes taken expansive views of its authority to regulate consumer financial services, creating uncertainty as to how the agency’s actions or the actions of any other agency could impact our business</w:t>
      </w:r>
      <w:r>
        <w:rPr>
          <w:rFonts w:ascii="Times New Roman" w:cs="Times New Roman" w:eastAsia="Times New Roman" w:hAnsi="Times New Roman"/>
          <w:sz w:val="18"/>
          <w:szCs w:val="18"/>
          <w:color w:val="auto"/>
        </w:rPr>
        <w:t>” for more information. Moreover, we could in the future have disagreements or disputes with any of our lending partners, which could negatively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or threaten our relationship with them. In our agreements with lending partners, we make certain representations and warranties and covenants concerning our compliance with specific policies of a lending partner, certain procedures and guidelines related to laws and regulations applicable to our lending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lending partners would be adversely affected. Additionally, our lending partners may engage in mergers, acquisitions or consolidations with each other, our competitors or with third parties, any of which could be disruptive to our existing and prospective relationships with our lending partners. If we fail to maintain or grow the number of lending partners, our business, financial condition and results of operation could be adversely affected.</w:t>
      </w:r>
    </w:p>
    <w:p>
      <w:pPr>
        <w:spacing w:after="0" w:line="1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a relatively limited operating history, which may result in increased risks, uncertainties, expenses and difficulties, and makes it difficult to evaluate our future prospects.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founded in 2012 and have been a publicly traded company for a limited number of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mitigate any adverse effects of economic conditions such as high interest rates, inflation, unemployment levels, personal savings rates and other macroeconomic factors on our business;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effectiveness and predictiveness of our AI models, including successfully adjusting our proprietary AI models, products and services in a timely manner in response to changing macroeconomic conditions and fluctuations in the credit market;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increase the volume of loans facilitated through our AI lending marketplace;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successfully maintain diverse and resilient loan funding to our marketplace from institutional investors;</w:t>
      </w:r>
    </w:p>
    <w:p>
      <w:pPr>
        <w:spacing w:after="0" w:line="11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lending partners to our marketplace and maintain existing lending partnerships;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meet our borrower demand with competitive products and terms;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competitive interest rates to borrowers on our marketplace, while enabling our lending partners and institutional investors to achieve an adequate return over their cost of funds;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build our brand and protect our reputation from negative publicity;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effectiveness of our marketing strategies;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the number of potential borrowers;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and successfully adapt to complex and evolving regulatory environments;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against increasingly sophisticated fraudulent borrowing and online theft;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with companies that are currently in, or may in the future enter, the business of providing online lending services to financial institutions or consumer financial services to borrowers;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markets and introduce new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secure and maintain the confidentiality of the information received, accessed, stored, provided and used across our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obtain and maintain corporate funding and liquidity to support growth and for general corporate purposes;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integrate and retain qualified employees;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and expand the capabilities of our operations teams, outsourcing relationships and other business operations.</w:t>
      </w:r>
    </w:p>
    <w:p>
      <w:pPr>
        <w:spacing w:after="0" w:line="25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If we are not able to timely and effectively address these risks and difficulties as well as those described elsewhere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our business and results of operations may be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associated with the Upstart Macro Index (UMI), which is at an early research and development stage with an unproven track record, our credibility, reputation, business, financial condition and results of operations could be adversely affected.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UMI is our effort to quantify the level of macroeconomic risks in terms of the losses or defaults within Upstart-powered unsecured personal loan portfolios, excluding small dollar loans. UMI is at an early stage of its development and does not have a long history or track record. Since it is a relatively new initiative, UMI remains unproven and, therefore, may not perform as expected. We intend to continue our research and development efforts to improve UMI. In light of such efforts, we have revised our previously published UMI values, including to remove seasonal patterns, and may further change or revise the current or past UMI values in the future. Any significant changes or revisions could harm our reputation and credibility with our lending partners and institutional investors, which in turn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the correlation between UMI and the level of macroeconomic risks in terms of losses or defaults within Upstart-powered unsecured personal loan portfolios may not be as significant or meaningful as we expect. If the correlation between UMI and the level of macroeconomic risks is misaligned or skewed in a way that is unacceptable to our lending partners or institutional investors, or UMI fails to accurately or adequately quantify the level of macroeconomic risks, this lack of a meaningful correlation may result in distrust or disregard of UMI. This outcome could adversely affect our reputation and credibility with our lending partners and institutional investors and thus, negatively impact our business, financial condition and results of operations.</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UMI is based on our analysis of the losses within Upstart-powered unsecured personal loan portfolios, excluding small dollar loans, and is specific to our borrower base. Because the composition of our borrower base changes over time and UMI is an aggregate computed across all Upstart-powered unsecured personal loans, except small dollar loans, UMI may not be the best indicator of the level of macroeconomic risks for a specific subset of loans or borrower segments. UMI is not intended to measure the macroeconomic risks in terms of losses of loan portfolios or assets that are not Upstart-powered loans, including loans held by other segments of the U.S. population. It is not designed to measure the current state of the overall economy or to measure or predict future macroeconomic conditions, trends or risks. It is also not designed to measure or predict Upstart’s future loan performance, results of operations or stock price. Investors, lending partners and analysts may improperly use or rely on UMI for these or other unintended purposes, or otherwise misunderstand or misinterpret UMI. If UMI is misunderstood or misinterpreted in these ways, it could harm our reputation and credibility with our lending partners and institutional investors and impair our ability to retain and attract them to our lending marketplace. This could further reduce the number or types of loan products that our lending partners and institutional investors are willing to fund. Any failure to manage the foregoing risks could adversely affect our ability to maintain diverse and resilient loan funding to our marketplace, which in turn would negatively impact our business, financial condition and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incurred net losses, and we may not be able to achieve profitability in the future.</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2024, we incurred a net loss of $64.6 million. We have expended, and intend to continue to expend, significant funds to develop and improve our proprietary AI models, attract additional borrowers to our marketplace, enhance the features and overall user experience on our platform, expand loan product offerings and otherwise continue to grow our business, and we may not be able to increase our revenue enough to offset these significant expenditures. We have incurred, and expect to incur in the future, significant losses for a number of reasons, including the other risks described in this section, and unforeseen expenses, difficulties, complications and delays, macroeconomic conditions and other unknown events. Any failure to increase our revenue sufficiently to keep pace with our investments and other expenses would prevent us from being profitable. If we are unable to successfully address these risks and challenges as we encounter them, our business, financial condition and results of operations could be adversely affected.</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risks associated with the loans on our balance sheet, our business, financial condition and results of operations may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held more Upstart-powered loans on our balance sheet in recent years and may continue to do so in the future. We have used, and may continue to use, our balance sheet to support our research and development activities for new loan products and borrower segments. In addition to research and development activities, we have used and may continue to use our balance sheet to purchase loans from lending partners to address fluctuations in supply and demand in our marketplace and periodically sell these loans to institutional investors prior to their maturity. Out of the total principal of loan originations facilitated on our marketplace during the three months ended March 31, 2024, 27% were held on our balance sheet, excluding loans held in consolidated securitization. As of March 31, 2024, we held $923.5 million of loans on our balance sheet, excluding loans held in consolidated securitization. We hold loans on our balance sheet at fair value and estimate fair value using a discounted cash flow methodology. An increase in the market interest rates reduces the fair value of loans held on our balance sheet by increasing the discount rate used to determine fair value under the discounted cash flow methodology. Currently, we are in a high interest rate environment. The high interest rates have negatively affected the fair value of loans held on our balance sheet and may continue to do so in the future. In addition, for these loans and any future loans to be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our balance sheet, we bear the credit risk in the event of borrower default. Our exposure to rising borrower default rates and their volatility has increased, and may continue to increase, as we hold more Upstart-powered loans on our balance sheet. The R&amp;D loans make up a substantial portion of the loans held on our balance sheet and are generally more risky and more likely to default than the core personal loans. Recently, the default rates and charge-offs for these loans have been higher than expected for certain loan categories, and consequently, we had to make unfavorable fair value adjustments to the loans on our balance sheet. These unfavorable fair value adjustments have negatively impacted our revenue, and if we continue to experience higher than expected default rates or the loans otherwise fail to perform as expected, we would need to make additional unfavorable fair value adjustments in the future, which would negatively impact our revenue. It is also possible that we may recognize a loss if we sell the loans held on our balance sheet, such as the R&amp;D loans, at an unfavorable price. From a liquidity perspective, the growing amount of loans on our balance sheet increases our liquidity risk. We cannot be certain whether we will be able to sell these loans, or any future loans to be put on our balance sheet, on commercially reasonable terms or at all. If we are unable to do so, it is possible that our ability to meet our operational needs and obligations may be disrupted. Moreover, the use of our balance sheet diverts financial resources from other uses, such as improving our products and services, which could have an adverse effect on our results of operations.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revenue growth rate and financial performance in the past may not be indicative of future performance.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grew rapidly in the past, and our historical revenue growth rate and financial performance may not be indicative of our future performance. Our revenue for any previous quarterly or annual periods should not be relied upon as any indication of our revenue or revenue growth in future. In fact, compared to the fourth quarter of 2023, our revenue declined in the three months ended March 31, 2024. Our revenue may continue to decline in the future for a number of reasons, which may include: adverse macroeconomic conditions, changing interest rates, slowing demand for or reduced funding through our lending marketplace, sales of loans held on our balance sheet at a loss, increasing competition, credit market volatility, increasing regulatory costs and challenges and our failure to capitalize on growth opportunities.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our growth was driven in large part by our AI models and our continued improvements to our AI models. Future incremental improvements to our AI models may not lead to the same level of growth as they did in the past. In addition, we believe our past growth was driven in part by our ability to rapidly streamline and automate the loan application and origination process on our platform. We expect the Percentage of Loans Fully Automated to level off and remain relatively stable in the long term. However, the expansion of our loan offerings beyond unsecured personal loans, such as auto loans and home equity lines of credit, may cause fluctuations of such percentage from period to period depending on the loan offering mix. As a result of these factors, our revenue may further decline, and our financial performance may continue to be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quarterly results are likely to fluctuate and as a result may adversely affect the trading price of our common stock.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quarterly results of operations, including our revenue, net income (loss)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 but are not limited to:</w:t>
      </w:r>
    </w:p>
    <w:p>
      <w:pPr>
        <w:spacing w:after="0" w:line="72" w:lineRule="exact"/>
        <w:rPr>
          <w:sz w:val="20"/>
          <w:szCs w:val="20"/>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economic slowdowns, recessions, interest rate changes, inflation, tightening of credit markets and disruptions in the banking sector;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 of borrowing money and access to loan funding sources;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effectiveness and predictiveness of our AI models, including improvements that negatively impact transaction volume, such as lower approval rates;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lending partners and institutional investors to our marketplace;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existing lending partners and institutional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loan volumes, and improve loan mix and the channels through which the loans, lending partners and loan funding are sourced;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relationships with loan aggregators from which prospective borrowers access our website;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prevent fraudulent activity and the impact of fraud prevention measures;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assets and liabilities on our balance sheet;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direct marketing and other marketing channels;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maintaining and expanding our business, operations and infrastructure, including acquiring new and maintaining existing lending partners and institutional investors and attracting borrowers to our marketplace;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extent of prepayments of loans facilitated on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actual or perceived security breaches or incidents;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regulatory enforcement efforts (or the threat thereof) or those that impact our industry generally;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onboarding process related to acquisitions of new lending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impact our business;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industry, including consolidation among competitors or the development of competitive products by larger well-funded incumbents.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typically experience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Such seasonality and other fluctuations in our quarterly results may also adversely affect and, increase the volatility of, the trading price of our common stock.</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loan funding arrangements with institutional investors, securitizations and warehouse credit facilities expose us to certain risks, and if we fail to successfully manage such risks, it may result in the reduced supply of loan funding capital or require us to seek more costly or less efficient financing for our marketplace.</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facilitated securitizations, and may in the future facilitate additional securitizations, of Upstart-powered loans to allow our institutional investors, certain lending partners and/or ourselves to liquidate or finance such loans through the asset-backed securities markets or through other capital markets products. In asset-backed securities transactions, we sell and convey pools of loans to a special purpose entity, or SPE. We likewise fund certain loans on our balance sheet by selling loans to warehouse trust SPEs and drawing on the associated warehouse credit facilities. Each securitization SPE issues notes and/or certificates pursuant to the terms of indentures and trust agreements, or in the case of the warehouse credit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We, our institutional investors who have purchased whole loans or pass-through certificates, and/or our lending partners contribute loans to the SPE and in exchange, receive cash and/or securities representing debt and/or equity interests in such SPE.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When we are the sole sponsor of securitizations, we are required under Regulation RR to retain at least five percent of the credit risk in such transactions for a specific period of time, depending on the type of asset that is securitized. We have in the past and may choose to retain additional securities, such as notes or certificates, issued in asset-backed securitization transactions we sponsor or facilitate. The certificates represent residual equity interests in the SPEs and are subordinated to the notes and thus are exposed to greater credit risk. In 2023, we acted as a sole retaining sponsor to asset-backed securitizations and, in one instance, retained not only the securities required for risk retention purposes under Regulation RR, but also additional residual equity interests, exposing us to greater credit risk. The securities we retain may lose value, including becoming worthless. In the future, we may retain securities issued as part of our securitizations beyond risk retention requirements again. In addition, other matters, such as capital and leverage requirements applicable to banks and other regulated financial institutions holding asset-backed securities or increasing competition from other issuers of asset-backed securities, could negatively impact our business by decreasing institutional investor demand for securities issued through our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it is not possible or economical for us to securitize loans in the future, we may need to seek alternative financing to provide loan funding to our marketplace and to meet our existing debt obligations. Such funding may not be available on commercially reasonable terms, or at all. If the cost of such loan funding mechanisms were to be higher than that of our securitizations it would negatively impact our results of operations. If we are unable to access such financing, our ability to originate loans and our results of operations, financial condition and liquidity may be materially adversely affected.</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servicing fees generated by our loan servicing activities for the loans sold to institutional investors and contributed to asset-based securitizations and pass-through certificate transactions also represent a material portion of our earnings. There is no assurance that our institutional investors will continue to purchase loans or securities (either through whole loan sales, asset-backed securities, pass-through certificate issuances or other direct or indirect purchase arrangements) or that they will continue to purchase loans in transactions that generate the same spreads and/or fees that we have historically obtained. During the three months ended March 31, 2024, we sold loans that had been originated in an earlier, lower interest rate environment. We recognized losses on these sales which reduced our revenue. As we hold more loans on our balance sheet, our business, financial condition and results of operation could be adversely affected, including further reductions in revenue. Factors that may affect demand by institutional investors for Upstart-powered loans include:</w:t>
      </w:r>
    </w:p>
    <w:p>
      <w:pPr>
        <w:spacing w:after="0" w:line="219" w:lineRule="exact"/>
        <w:rPr>
          <w:sz w:val="20"/>
          <w:szCs w:val="20"/>
          <w:color w:val="auto"/>
        </w:rPr>
      </w:pPr>
    </w:p>
    <w:p>
      <w:pPr>
        <w:jc w:val="both"/>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whole loan sales markets where we compete with loan originators who can sell either larger loan portfolios or loans that have characteristics, pricing and terms that may be perceived to be more desirable to certain institutional investors than those offered in Upstart-powered loans that comprise our whole loan sales;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securitization markets where we compete with loan originators and other issuers who can securitize or sell pools of loans (which such pools may include Upstart-powered loans, on a commingled basis or otherwise) with characteristics, pricing and terms that may be perceived to be more desirable to certain institutional investors than those offered in Upstart-powered loans contributed to asset-based securitization transactions that we facilitate;</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servicing fees and other expenses may reduce overall net return on purchased pools of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credit performance of loan products offered on our marketplace;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such as high interest rates, inflation, economic volatility and other macroeconomic factors;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appetite of our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grade and term mix of the portfolios of loans offered for sale;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investors’ sector and company investment diversification requirements and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yielding investment opportunities at a risk profile deemed similar to our sold loan portfolios;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prepayment behavior within the underlying pools;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investment practices related to maintaining net asset value, mark-to-market and similar metrics surrounding pools of purchased loans;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institutional investors to access funding and liquidity channels, including warehouse financing and securitization markets, on terms they find acceptable to deliver an appropriate return net of funding costs, as well as general economic conditions and market trends, such as increasing interest rates, that affect the appetite for loan financing investments.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committed capital and other co-investment arrangements, we have agreed to compensate, subject to a limit, if credit performance on the loans deviates from expectations. As of March 31, 2024, our capital co-invested, which represents the maximum exposure to losses, under these committed capital and other co-investment arrangements was $169.6 million. See “</w:t>
      </w:r>
      <w:r>
        <w:rPr>
          <w:rFonts w:ascii="Times New Roman" w:cs="Times New Roman" w:eastAsia="Times New Roman" w:hAnsi="Times New Roman"/>
          <w:sz w:val="18"/>
          <w:szCs w:val="18"/>
          <w:i w:val="1"/>
          <w:iCs w:val="1"/>
          <w:color w:val="auto"/>
        </w:rPr>
        <w:t>Note 5. Beneficial Interests</w:t>
      </w:r>
      <w:r>
        <w:rPr>
          <w:rFonts w:ascii="Times New Roman" w:cs="Times New Roman" w:eastAsia="Times New Roman" w:hAnsi="Times New Roman"/>
          <w:sz w:val="18"/>
          <w:szCs w:val="18"/>
          <w:color w:val="auto"/>
        </w:rPr>
        <w:t>” for more information. Committed capital and other co-investment arrangements could negatively impact our financial results. We may also experience declines in revenue and loan volume if existing committed capital or other capital arrangements do not provide funding on the agreed upon terms or we fail to secure additional committed capital or other capital arrangements on commercially reasonable terms, or at all.</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subject to risk that arises from our derivative instruments,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which could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top three lending partners account for a significant portion of loan originations on our marketplace and our revenue.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top three lending partners originate a significant portion of loans on our marketplace. In the three months ended March 31, 2024, our top three lending partners collectively originated 88% of the Transaction Volume, Number of Loans and accounted for 74% of our total revenue. There are no minimum commitments to originate any loans under the agreements we have with our lending partners. If our top three lending partners were to suspend, limit or cease their operations or otherwise terminate their relationship with us, our business, financial condition and results of operations would be adversely affected. As of March 31, 2024, we had more than 100 lending partners participating on our marketplace, and we continue to expand our lending partnerships to new participants. If we are unable to continue to increase the participation by other lending partners on our marketplace, we will continue to be reliant on a small number of lending partners for a significant portion of loan originations and revenue,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reputation and brand are important to our success, and if we are unable to continue developing our reputation and brand, our ability to retain existing and attract new lending partners, our ability to attract borrowers to our marketplace, our ability to maintain diverse and resilient loan funding and our ability to maintain and improve our relationship with regulators of our industry could be adversely affected.</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believe maintaining a strong brand and trustworthy reputation is critical to our success and our ability to attract borrowers to our marketplace, attract new lending partners, maintain diverse and resilient loan funding and sustain good relations with regulators. Factors that affect our brand and reputation include: perceptions of artificial intelligence, our industry and our company, including the quality and reliability of our AI lending marketplace; the accuracy of our AI models; characterizations of our company as a traditional lending company due to the amount of loans held on our balance sheet; perceptions regarding the application of artificial intelligence to consumer lending specifically and that algorithmic lending is inherently biased; perceptions of rate exportation and the bank partnership model; the reputation of the vehicle dealerships with which we partner; loan funding to our marketplace; changes to the Upstart marketplace; our ability to effectively manage and resolve borrower complaints; collection practices; privacy and security practices; litigation, such as class action and shareholder derivative lawsuits described in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xml:space="preserve"> section under </w:t>
      </w:r>
      <w:r>
        <w:rPr>
          <w:rFonts w:ascii="Times New Roman" w:cs="Times New Roman" w:eastAsia="Times New Roman" w:hAnsi="Times New Roman"/>
          <w:sz w:val="18"/>
          <w:szCs w:val="18"/>
          <w:i w:val="1"/>
          <w:iCs w:val="1"/>
          <w:color w:val="auto"/>
        </w:rPr>
        <w:t>“Note 12.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regulatory activity; and the overall user experience of our platform. Negative publicity or negative public perception of these factors, even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inaccurate, could adversely affect our brand and reputation.</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example, consumer advocacy groups, politicians and certain government and media reports have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or “rent-a-bank”. Such criticism has frequently been levied in the context of payday loan marketers, though other entities operating programs through which loans similar to Upstart-powered loans are originated have also faced criticism. The same groups, as well as state legislative bodies, are now challenging the right of state-chartered banks to export their rates to other states, which sometimes allows out-of-state banks to charge consumers higher rates than in-state lenders. A few states have proposed legislation prohibiting out-of-state, state-chartered banks from lending at rates higher than the state usury limit, and at least one state has passed such legislation. The high-interest loans that have been subject to more frequent criticism and challenge are fundamentally different from Upstart-powered consumer loans in many ways, including that Upstart-powered loans typically have lower interest rates and longer terms, and Upstart-powered loans do not renew. In particular, interest rates of Upstart-powered loans have always been and are currently less than 36% APR, as compared to the triple-digit interest rates of many payday or small dollar loans that have been subject to such criticism. However, states that are addressing their rent-a-bank and rate exportation concerns through legislation may impact our marketplace if the state rate limit is below 36%. If that were to happen, our state-chartered lending partners may need to scale back lending on our marketplace to comply with state laws or terminate their participation in our marketplace, leading to a reduction in origination volume. It could also negatively impact demand for Upstart-powered loans, our ability to attract new lending partners, our ability to attract loan funding to our marketplace or reduce the number of potential borrowers to our marketplace. Any of the foregoing could adversely affect our results of operations and financial condition.</w:t>
      </w:r>
    </w:p>
    <w:p>
      <w:pPr>
        <w:spacing w:after="0" w:line="2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For example, some unfair or deceptive practices by vehicle dealerships can be attributed to us as a purchaser of retail installment contracts under the FTC Holder Rule, which allows a vehicle purchaser to bring any claim against the dealership to the holder of a retail installment contract. In addition, regulators may decide they are no longer supportive of our AI lending marketplace if there is enough negative perception surrounding such practices. We may also become subject to lawsuits, including class action lawsuits, or other challenges such as government enforcement or arbitration, against our lending partners or us for loans originated by our lending partners on our marketplace, loans we service or have serviced, or retail installment contracts we have purchased. If there are changes in the laws or in the interpretation or enforcement of existing laws affecting consumer loans similar to those offered on our marketplace, or our marketing and servicing of such loans, or if we become subject to such lawsuits, our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Artificial intelligence and related technologies are subject to public debate and heightened regulatory scrutiny. The Consumer Financial Protection Bureau (“CFPB”) recently indicated that artificial intelligence remains a regulatory hot topic for the agency including the use of complex credit scoring models as part of the loan underwriting process. The agency has taken several steps to increase regulatory scrutiny of financial technology companies that rely on artificial intelligence. In April 2023, the Federal Trade Commission (“FTC”), the Department of Justice (“DOJ”), the CFPB, and the Equal Employment Opportunity Commission (“EEOC”) released a joint statement on artificial intelligence demonstrating their interest in monitoring the development and use of automated systems and enforcement of their respective laws and regulations, and in October 2023, President Biden signed an Executive Order aimed at protecting consumers against harms caused by artificial intelligence. The Congressional Research Service released a report on April 3, 2024 on the use of artificial intelligence and machine learning in financial services, noting that financial industry policymakers face competing pressures of providing beneficial technology and avoiding any consumer harm from such technology. Any negative publicity or negative public perception of artificial intelligence could negatively impact demand for our AI lending marketplace, hinder our ability to attract new lending partners or slow the rate at which lending partners adopt our AI lending marketplace. From time to time, certain advocacy groups have made claims that unlawful or unethical discriminatory effects may result from the use of AI technology by various companies, including ours. Such claims, whether or not accurate, and whether or not concerning us or our AI lending marketplace, may harm our ability to attract prospective borrowers to our marketplace, retain existing and attract new lending partners and achieve regulatory acceptance of our business.</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2020, we entered into an agreement with the NAACP Legal Defense Education Fund (the “LDF”), and the Student Borrower Protection Center (the “SBPC”), to participate in fair lending reviews of our AI underwriting models by an independent third-party firm, Relman Colfax LLC (“Relman”). The fair lending testing was designed to determine if our AI underwriting models have caused or resulted in a disparate impact on any protected class, and if so, whether there are any alternative, less discriminatory practices without sacrificing the models’ predictiveness. In March 2024, following a number of quantitative assessments and prior reports, Relman published a final report that summarized developments during the monitorship as well as industry fair lending recommendations. The Relman final report marked the conclusion of our agreement with the LDF and the SBPC and the fair lending reviews by Relman. If the conclusion of the Relman monitorship or any of the final report’s findings are viewed negatively for any reason, our brand and reputation and the overall market acceptance of, and trust in, our AI lending marketplace could suffer, and we could be subject to increased regulatory and litigation risk. In addition, the publication of information arising from our agreement with the LDF and the SBPC, including the reports published by Relman, could lead to additional regulatory scrutiny for us or our lending partners.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been subject to other governmental inquiries on this topic. See the risk factor titled “</w:t>
      </w:r>
      <w:r>
        <w:rPr>
          <w:rFonts w:ascii="Times New Roman" w:cs="Times New Roman" w:eastAsia="Times New Roman" w:hAnsi="Times New Roman"/>
          <w:sz w:val="18"/>
          <w:szCs w:val="18"/>
          <w:i w:val="1"/>
          <w:iCs w:val="1"/>
          <w:color w:val="auto"/>
        </w:rPr>
        <w:t>—We have been in the past and may in the future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subject to federal and state regulatory inquiries regarding our business</w:t>
      </w:r>
      <w:r>
        <w:rPr>
          <w:rFonts w:ascii="Times New Roman" w:cs="Times New Roman" w:eastAsia="Times New Roman" w:hAnsi="Times New Roman"/>
          <w:sz w:val="18"/>
          <w:szCs w:val="18"/>
          <w:color w:val="auto"/>
        </w:rPr>
        <w:t>” for more information. Negative public perception, actions by advocacy groups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legislative and 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Harm to our reputation can also arise from many other sources, including inaccurate or unfavorable statements made by securities analysts or others, failure by us or our lending partners to meet minimum standards of service and quality, loan underperformance, inadequate protection of borrower information and compliance failures and claims, and employee or former employee misconduct, misconduct by outsourced service providers or other counterparties, as further described below. If we are unable to protect our reputation, our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legal and regulatory environment surrounding our AI lending marketplace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 to the already highly regulated consumer lending industry. As a result, the application of such laws and regulations in practice may change or develop over time as more products are offered on our marketplace, and through judicial decisions or as new guidance or interpretations are provided by regulatory and governing bodies, such as federal, state and local administrative agencies.</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New laws and regulations and changes to existing laws and regulations continue to be adopted, implemented and interpreted in response to our industry and the emergence of AI and related technologies. Recent financial, political and other events, including disruptions in the banking sector, may increase the level of regulatory scrutiny on financial technology companies. As we expand our business into new markets, introduce new loan products and continue to improve and evolve our AI models, regulatory bodies or courts may claim that we are subject to additional requirements. Such regulatory bodies could reject our applications for licenses or deny renewals, delay or impede our ability to operate, charge us fees or levy fines or penalties, commence investigations or inquiries into our business practices, or otherwise disrupt our ability to operate our AI lending marketplace, any of which could adversely affect our business, financial condition and results of operations. For example, in February 2024, the CFPB published a decision and order in a supervisory designation proceeding against a non-bank installment lender that officially established the CFPB’s supervisory authority over such lenders due to the risk the non-bank lender posed to consumers. The CFPB opined that risk does not need to be based on a violation of law. If the CFPB decides to subject us to its supervisory process, it could significantly increase the level of regulatory scrutiny of our business practices. Related to automotive lending, in January 2023, the CFPB and the New York Attorney General filed a complaint against an auto lender that criticized the profit-driven model in auto lending. The CFPB then entered into consent orders with several auto lenders as the year progressed, related to unfair or deceptive fees and servicing practices. With regulators actively scrutinizing the auto lending space, we may be subject to heightened scrutiny of the retail installment contracts we purchase and service. In addition, the Biden Administration recently announced a government-wide effort to eliminate “junk fees” which could subject our business practices to even further scrutiny. While what constitutes a “junk fee” remains undefined, the category of what may be considered a junk fee is ever growing. The CFPB has called out certain ancillary products and pay-to-pay fees charged by debt collectors, and FTC issued a final rule on junk fees as unfair and deceptive fees. These efforts, in conjunction with the New York Junk Fee Prevention Act passed in February 2024, signal that the “junk fee” initiative is likely to continue to broaden in scope. We may be subject to scrutiny should the “junk fee” initiative expand to include fees directly associated with consumer lending products.</w:t>
      </w:r>
    </w:p>
    <w:p>
      <w:pPr>
        <w:spacing w:after="0" w:line="2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Moreover, the CFPB has issued several interpretive statements and guidance documents that could impact our business practices including, but not limited to, a September 2023 circular on compliance obligations under the Equal Credit Opportunity Act (“ECOA”) for companies that rely on complex algorithms when making credit decisions and the fall 2023 statements on junk fees and, with the DOJ, on fair lending for non-citizens. The CFPB also issued an interpretive rule expanding states’ authority to enforce requirements of federal consumer financial laws, including the ECOA. State regulators have also increased the level of regulatory scrutiny on financial technology companies and the bank partnership model. For example, the State of Maryland initiated an enforcement action against a financial technology company and its bank partner for unlicensed lending within the state because the bank partner did not hold a Maryland license or qualify for an exemption from such license. Colorado opted out of the federal law that allows out-of-state, state-chartered banks to export their rates to Colorado. At least three additional states have followed Colorado and proposed legislation to end the rate exportation in their states allowed under federal law for out-of-state, state-chartered banks. In addition, increased scrutiny of bank partnership arrangements continues, as states codify laws to determine who is the true lender for certain loans with the goal of regulating either the non-bank partner or limiting the rate that can be charged and/or collected. Moreover, the OCC, FDIC, and the Board of Governors of the Federal Reserve System issued joint guidance indicating they intend to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their supervisory authority (i.e. exams) to review bank third-party relationships with financial technology companies including a review of third-party business practices that could pose a risk of potential consumer harm that could impact the safety and soundness of the banks subject to agency supervision. The agencies have also issued statements on the topic. Should the agencies examine or issue consent orders against any of our lending partners, such actions may involve a review of our business practices to determine whether they pose a risk to the safety and soundness of those lending partners.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have been proactively working with the federal government and regulatory bodies to ensure that our AI lending marketplace and other services are in compliance with applicable laws and regulations, we can provide no assurance that we will not be subject to any regulatory actions. For example, the CFPB issued Upstart the no-action letters, which provided that the CFPB would not take supervisory or enforcement action against Upstart for a violation of the ECOA. However, in June 2022, at our request, the no-action letter was terminated so that we can keep our models accurate and updated during a period of significant economic change. As a result, we can provide no assurance that the CFPB or any other federal or state regulator will not take supervisory or enforcement action against us in the future.</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been subject to governmental inquiries as well. See the risk factor titled “—</w:t>
      </w:r>
      <w:r>
        <w:rPr>
          <w:rFonts w:ascii="Times New Roman" w:cs="Times New Roman" w:eastAsia="Times New Roman" w:hAnsi="Times New Roman"/>
          <w:sz w:val="18"/>
          <w:szCs w:val="18"/>
          <w:i w:val="1"/>
          <w:iCs w:val="1"/>
          <w:color w:val="auto"/>
        </w:rPr>
        <w:t>We have been in the past and may in the future be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and state regulatory inquiries regarding our business</w:t>
      </w:r>
      <w:r>
        <w:rPr>
          <w:rFonts w:ascii="Times New Roman" w:cs="Times New Roman" w:eastAsia="Times New Roman" w:hAnsi="Times New Roman"/>
          <w:sz w:val="18"/>
          <w:szCs w:val="18"/>
          <w:color w:val="auto"/>
        </w:rPr>
        <w:t>” for more information. Any government investigations or inquiries, whether or not accurate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warranted, or whether concerning us or one of our competitors, could negatively affect our brand and reputation and the overall market acceptance of and trust in our AI lending marketplace. Any of the foregoing could harm our business, financial condition and results of operations.</w:t>
      </w:r>
    </w:p>
    <w:p>
      <w:pPr>
        <w:spacing w:after="0" w:line="2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related to our loan servicing and collections obligations, our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loan servicing and collection efforts. In the three months ended March 31, 2024, 27% of our revenue was generated from loan servicing fees. The vast majority of Upstart-powered loans are not secured by any collateral, guaranteed or insured by any third party or backed by any governmental authority. As a result, we are limited in our ability to collect on such loans on behalf of our lending partners and institutional investors if a borrower is unwilling or unable to repay them. Where the loan is secured by an automobile, we could still be limited in our ability to collect on the loan if we cannot secure the automobile. The ability to collect on the loans is largely dependent on the borrower’s continuing financial stability, and consequently, collections can be adversely affected by a number of factors, including, but not limited to, unemployment, divorce, death, illness, bankruptcy or the economic or social factors beyond personal circumstances of a borrower. In addition, the application of various federal and state laws, including federal and state bankruptcy and insolvency laws, may limit the amount that can be recovered on these loans. It is possible that a higher percentage of consumers will seek protection under bankruptcy or debtor relief laws as a result of the current inflationary environment, the possibility of a recession and market volatility. Federal, state, or other restrictions could impair our ability to collect amounts owed and due on the loans facilitated through our marketplace, reduce income received from the loans facilitated through our marketplace, or negatively affect our business, financial condition and results of operations.</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began conducting first-party collection activities for our lending partners in the fourth quarter of 2022 for loans facilitated through our marketplace. We have no prior experience conducting first-party or in-house collection activities, and we cannot be certain that we will be able to effectively manage risks associated with such activities. In addition to first-party collection activities, we partner with third-party collection agencies for loans we service for our lending partners. If such third-party collection agencies do not perform as expected under our agreements with them or if we or these collection agents act unprofessionally and otherwise harm the user experience for borrowers of Upstart-powered loans, our brand and reputation could be harmed and our ability to attract potential borrowers to our marketplace could be negatively impacted. For example, during periods of increased delinquencies caused by economic downturns or otherwise, it is important that we and the collection agents are proactive and consistent in contacting a borrower to bring a delinquent balance current and ultimately avoid the related loan becoming charged off. If we or the collection agents are unable to maintain a high quality of service, or fulfill the servicing obligations at all due to resource constraints, it could result in increased delinquencies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charge-offs on the loans, which could decrease fees payable to us, cause our lending partners to decrease the volume of Upstart-powered loans kept on their balance sheets, erode trust in our lending marketplace or increase the costs of loan funding for our marketplace. If we fail to successfully address any of the foregoing risks associated with our collection activities, our business, financial condition and results of operations could be adversely affected.</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the loan servicer for most loans facilitated through our marketplace, including the loans that are sold as part of whole loan sales, contributed to asset-backed securitizations and pass-through certificate transactions, and pledged in connection with warehouse credit facilities. Loan servicing is a highly manual process and an intensely regulated activity. Errors in our servicing activities, including payment collection and charge-off processes, or failures to comply with our servicing obligations, have in the past and could in the future affect our internal and external reporting of the loans that we service, adversely affect our business and reputation and expose us to liability to borrowers, lending partners or institutional investors. In addition, we charge our loan holders a fixed percentage servicing fee based on the outstanding balance of loans serviced. If we fail to efficiently service or collect on such loans and the costs incurred exceed the servicing fee charged, our results of operations would be adversely affected. Moreover, the laws and regulations governing these activities are subject to change. For institutional investors that are statutory trusts, there is now additional risk based on a court decision in the United States Court of Appeals for the Third Circuit, where the CFPB recently obtained a favorable decision that it has enforcement authority over these trusts when the trusts engage in providing financial products or services, such as collecting on delinquent debts. Overall, if we are unable to comply with such laws and regulations governing servicing activities, we could lose one or more of our licenses or authorizations, become subject to greater scrutiny by regulatory agencies or become subject to sanctions or litigation, which may have an adverse effect on our ability to perform our servicing obligations or make our marketplace available to borrowers in particular states. Any of the foregoing could adversely affect our business, financial condition and results of operations.</w:t>
      </w:r>
    </w:p>
    <w:p>
      <w:pPr>
        <w:spacing w:after="0" w:line="2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auto loans issued through our lending marketplace are secured by collateral, auto loans are inherently risky, as they are often secured by assets that may be difficult to locate and can depreciate rapidly. We generally begin the repossession process for auto loans that become 60 days past due. We have engaged a third-party auto repossession vendor to handle all repossession activity. 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 loan and any related expenses and we are unable to recover the deficiency balance from the borrower, where permitted, the deficiency would be charged-off. Further, if a vehicle cannot be located, repossession and sale of the vehicle would not be possible and the outstanding loan balance may not be recovered. A significant number of delinquencies and charge-offs could decrease fees collectable by us, cause our lending partners to reduce loan originations, erode trust in our lending marketplace and increase the costs of loan funding for our marketplace.</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marketplace could be negatively impacted. We may also become subject to regulatory scrutiny and potential litigation based on the conduct of our repossession vendors.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Substantially all of our revenue is derived from a single loan product, and we are thus particularly susceptible to fluctuations in the unsecured personal loan market.</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vast majority of loan originations currently facilitated through our marketplace are unsecured personal loans. While the market for unsecured personal loans has grown rapidly in recent years, it is unclear to what extent such market will continue to grow, if at all. A wide variety of factors could impact the market for unsecured personal loans, including macroeconomic conditions, competition, regulatory developments and other developments in the credit market.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lending partners and institutional investors may find it desirable to partner with competitors that are able to offer them a broader array of credit products than we do. In order to preserve and expand our relationships with our existing lending partners and institutional investors, and enter into new lending partnerships and arrangements with institutional investors, it may become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loans facilitated through our marketplace.</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because such personal loans are unsecured, there is a risk that borrowers will not prioritize repayment of such loans, particularly in any economic downcycle. To the extent borrowers have or incur other indebtedness that is secured, such as a mortgage, a home equity line of credit or an auto loan, borrowers may choose to repay obligations under such secured indebtedness before repaying their Upstart-powered personal loans. In addition, borrowers may not view Upstart-powered loans, which were originated through an online lending marketplace, as having the same significance as other credit obligations arising under more traditional circumstances, such as loans from banks or other commercial financial institutions. Any of the foregoing could lead to higher default rates and decreased demand by our lending partners and institutional investors to fund loans facilitated through our marketplace, which would adversely affect our business, financial condition and results of operations.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 are unable to manage the risks associated with the unsecured personal loan product, our business, financial condition and results of operations could be adversely affected.</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sales and onboarding process of new lending partners could take longer than expected, leading to fluctuations or variability in expected revenues and results of operations.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sales and onboarding process with new lending partners can be long, vary widely and generally takes approximately two to twelve months. As a result, revenues and results of operations may vary significantly from period to period. Prospective lending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lending partners undertake an extensive diligence review of our platform, compliance and servicing activities before choosing to partner with us. Further, the implementation of our AI lending models often involve shifts by the lending partner to a new software platform or changes in their operational procedures, which may involve significant time and expense to implement. Delays in onboarding new lending partners can also arise while prospective lending partners complete their internal procedures to approve expenditures and test and accept our applications. Consequently, we face difficulty predicting the quarter in which new lending partners will begin using our platform and the volume of fees we will receive, which can lead to fluctuations in our revenues and results of operations.</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introduced auto loan, small dollar loan, and home equity lines of credit products and are continuing to invest in developing these products and other new loan products and service offerings. New initiatives are inherently risky, as each involves unproven business strategies, new regulatory requirements and new financial products and services with which we, and in some cases our lending partners, have limited or no prior development or operating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It is also possible that such investment of resources may need to be delayed or deferred, as was the case with respect to the small business loan product when we decided to suspend its development in January 2023 due to the adverse macroeconomic conditions affecting our business at that time. We may also have difficulty with securing adequate loan funding, either from lending partners or from institutional investors, for new loan products and services, and if we are unable to do so, our ability to develop and grow these new offerings and services will be impaired. If the profile of borrowers using any new products and services is different from that of those currently served by the existing loan products offered on our marketplace, our AI models may not be able to accurately evaluate the credit risk of such borrowers, and we may not be able to obtain loan funding for new products and services on commercially reasonable terms, or at all. Moreover, it is possible that a new product in its development stage has a higher level of delinquencies or defaults than a more established product as our AI models calibrate to a potentially different set of data.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 If we are unable to effectively manage the foregoing risks, our growth prospects, business, financial condition and results of operations could be adversely affected.</w:t>
      </w:r>
    </w:p>
    <w:p>
      <w:pPr>
        <w:spacing w:after="0" w:line="2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Misconduct and errors by our employees, former employees, vendors, or service providers could harm our reputation and subject us to significant legal liability.</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operate in an industry in which integrity and the confidence of our borrowers and lending partners is of critical importance. Our business depends on our employees, vendors, and service providers to process a large number of increasingly complex transactions, including transactions that involve significant dollar amounts and loan transactions that involve the use and disclosure of personal and business information. We are thus exposed to the risk of misconduct and errors by our employees, vendors, and other service providers that could adversely affect our business, including employees, vendors, or service providers taking, converting, or misusing funds, documents, or data, or failing to follow applicable laws and regulations or our internal policies or protocol when interacting with consumers and borrowers. It is not always possible to identify and deter misconduct or errors by employees, vendors, or service providers, and the precautions we take to detect and prevent this activity may not be effective in controlling unknown or unmanaged risks or losses. There have been numerous highly-publicized cases of fraud and other misconduct by financial services industry employees. We have experienced employee misconduct and may continue to do so in the future. Depending on the severity, any illegal, improper, or suspicious activity or other misconduct by our employees, vendors or service providers could result in serious harm to our reputation, financial condition, relationships with lending partners and borrowers, and our ability to attract new lending partners or borrowers. We could also be perceived to have facilitated or participated in the illegal misappropriation of funds, documents, or data, or the failure to follow protocol, and therefore be subject to civil or criminal liability. Any of these occurrences could result in our diminished ability to operate our business, inability to attract future borrowers or lending partners, reputational damage, regulatory intervention, and financial harm, which could negatively impact our business, results of operations, financial condition, and future prospects.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compete effectively in our target markets, our business, results of operations and financial condition could be harmed.</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consumer lending market is highly competitive and increasingly dynamic as emerging technologies continue to enter the marketplace. With the introduction of new technologies and the influx of new entrants, competition may persist and intensify in the future, which could have an adverse effect on our operations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inability to compete effectively could result in reduced loan volumes, reduced average size of loans facilitated on our marketplace, reduced fees, increased marketing and borrower acquisition costs or the failure of the Upstart marketplace to achieve or maintain more widespread market acceptance, any of which could have an adverse effect on our business and results of operations.</w:t>
      </w:r>
    </w:p>
    <w:p>
      <w:pPr>
        <w:spacing w:after="0" w:line="20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have different funding sources,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 We face competition in areas such as compliance capabilities, commercial financing terms and costs of capital, interest rates and fees (and other financing terms) available to consumers from our lending partners, approval rates, model efficiency, speed and simplicity of loan origination, ease-of-use, marketing expertise, service levels, products and services, technological capabilities and integration, borrower experience, brand and reputation, and terms available to our loan funding institutional investor base. Our competitors may also have longer operating histories, lower commercial 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institutional investor bases than we have, greater capacity to fund loans through their balance sheets, and more extensive product and service offerings than we have. Furthermore, our existing and potential competitors may decide to modify their pricing and business models to compete more directly with us. Our ability to compete will also be affected by our ability to provide our lending partners with a commensurate or more extensive suite of loan products than those offered by our competitors. In addition, current or potential competitors, including financial technology lending platforms and existing or potential lending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2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industry is driven by constant innovation. We utilize artificial intelligence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our technology could stagnate or substantially decline, or our AI lending marketplace could fail to maintain or achieve more widespread market acceptance, which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heavily concentrated in U.S. consumer credit, and therefore our results are more susceptible to fluctuations in that market than a more diversified company.</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such as rising interest rates and changes in monetary policy. We are also more susceptible to the risks of increased regulations and legal and other regulatory actions that are targeted at consumer credit. Our business concentration could have a material adverse effect on our business, results of operations, financial condition, and future prospects.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associated with fraudulent activity, our brand and reputation,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we cover certain fraud losses of our lending partners and institutional investors. For example, in the third quarter of 2021 and the first quarter of 2022, we experienced temporary increases in fraudulent activity. Fraud rates could also increase in a down-cycle economy. We have experienced employee misconduct in the past and continue to be subject to risk of fraudulent activity associated with our own employees.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marketplace. It is also possible that fraud perpetrators target our marketplace because of the high degree of automation in our credit decision process where borrowers can be approved instantly. In addition, our lending partners, institutional investors or we may not be able to recover amounts disbursed on loans made in connection with inaccurate statements, omissions of fact or fraud, which could erode the trust in our brand and negatively impact our ability to attract new lending partners and institutional investors to our marketplace.</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success significantly depends on the continued service of our senior management team and other highly skilled personnel. Our success also depends on our ability to identify, hire, develop, motivate and retain highly qualified personnel for all areas of our organization.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Competition is high for skilled personnel, including engineering and data analytics personnel, particularly in the San Francisco Bay Area where one of our headquarters is located. While we have transitioned to a Digital First work model which allows us to recruit nationwide, we have experienced, and expect to continue to face, some difficulty identifying and hiring qualified personnel, especially as we pursue our growth strategy. We may not be able to hire or retain such personnel at compensation or flexibility levels consistent with our existing compensation and salary structure and policies. We periodically review our compensation levels to ensure they remain competitive and have increased them when we believe market conditions warrant it. However, we may need to further increase our existing compensation levels in response to competition, rising inflation or labor shortages, which would increase our operating costs and reduce our margins. Many of the companies with which we compete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The recent significant volatility in the price of our stock may have adversely contributed to, and in the future may affect, our ability to attract or retain highly skilled technical, financial and marketing personnel.</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lending partners, institutional investors and borrowers whose loans we service may suffer, resulting in an adverse effect on our business.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we have reduced our workforce in the past and may further reduce our workforce in the future to lower our operating costs and streamline operations. These reductions in our workforce may adversely affect employee morale, our culture and our ability to attract and retain personnel who are critical to our business. It may also negatively impact our ability to pursue new initiatives due to insufficient resources and personnel. We may be unsuccessful in distributing duties and obligations of impacted employees among the remaining employees. We also may not realize the anticipated benefits and cost savings and may suffer unintended consequences, such as the loss of institutional knowledge, higher than expected employee turnover and significant disruptions in our day-to-day operations. If we are unable to realize the expected operational efficiencies or cost savings from the reductions in our workforce, or if we experience significant adverse consequences as a result, our business, financial conditions and results of operations may be adversely affected.</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effectively manage the fluctuations in our business, our business, financial condition and results of operations could be adversely affected.</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growth in the past placed significant demands on our management, processes and operational, technological and financial resources. Economic headwinds in recent years led to us announcing reductions in our workforce which were intended to help us achieve a more cost-efficient organization. These fluctuations in the momentum of our business challenge our ability to manage our growth effectively and to integrate new employees and technologies into our existing business. Our success as a business continues to require us to retain, attract, train, motivate and manage employees and invest strategically to refine our operational, technological and financial infrastructure. See also the risk factor titled “—</w:t>
      </w:r>
      <w:r>
        <w:rPr>
          <w:rFonts w:ascii="Times New Roman" w:cs="Times New Roman" w:eastAsia="Times New Roman" w:hAnsi="Times New Roman"/>
          <w:sz w:val="18"/>
          <w:szCs w:val="18"/>
          <w:i w:val="1"/>
          <w:iCs w:val="1"/>
          <w:color w:val="auto"/>
        </w:rPr>
        <w:t>We depend on our key personnel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highly skilled personnel, and if we fail to attract, retain and motivate our personnel, our business, financial condition and results of operations could be adversely affected</w:t>
      </w:r>
      <w:r>
        <w:rPr>
          <w:rFonts w:ascii="Times New Roman" w:cs="Times New Roman" w:eastAsia="Times New Roman" w:hAnsi="Times New Roman"/>
          <w:sz w:val="18"/>
          <w:szCs w:val="18"/>
          <w:color w:val="auto"/>
        </w:rPr>
        <w:t>.” As part of that effort and from time to time, we rely on temporary independent contractor programs to scale our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 Failure to effectively implement and manage such programs could result in misclassification or other employment related claims or inquiries by governmental agencies. Continued fluctuations in the momentum of our business will strain our ability to develop and improve our operational policies and procedures, AI models and technology, disclosure controls and procedures, internal control over financial reporting, management oversight, loan funding and relationships with borrowers, lending partners and institutional investors. For example, there are certain aspects of our information technology and our operations, such as servicing activities, that have required, and still require, manual processes which are prone to errors and that we have not yet fully automated with new technologies. Some of the foregoing factors, like the manual processes, have negatively affected, and could continue to negatively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Security breaches and incidents compromising borrowers’ confidential information that we store may harm our reputation, adversely affect our results of operations and expose us to liability.</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are increasingly dependent on information systems, services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are large and complex, with many points of entry and access. 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lending partners, institutional investors, or by malicious threat actors. While we continuously refine our security controls to address the evolving threat landscape,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These risks may be heightened in connection with geopolitical conflicts.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and systems. In addition, the prevalent use of mobile devices increases the risk of data security incidents. Further, our Digital First working environment could increase the risks of security breaches and incidents as more of our employees are accessing our servers remotely through home or other networks, reducing physical and social security controls on employee monitoring. Significant disruptions to information technology systems or other security incidents within our company, our lending partners and third-party vendors and/or other business partners could adversely affect our business operations and result in the loss, misappropriation, or unauthorized access, use or disclosure of, or the prevention of access to, sensitive information, which could result in financial, legal, regulatory, business and reputational harm to us. Our use of AI technology may create additional cybersecurity risks or increase cybersecurity risks, including risks of security breaches and incidents. Further, AI technology may be used in connection with certain types of cybersecurity attacks, resulting in heightened risks of security breaches and incidents.</w:t>
      </w:r>
    </w:p>
    <w:p>
      <w:pPr>
        <w:spacing w:after="0" w:line="2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techniques used to obtain unauthorized access or to sabotage systems change frequently and generally are not recognized until they are launched against a target, we and our vendors may be unable to anticipate these techniques or to implement adequate preventative measures.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borrowers and potential borrowers to lose confidence in the effectiveness of our data security measures on our platform. Any security breach or incident, whether actual or perceived, would harm our reputation and ability to attract new borrowers to our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face indirect technology, cybersecurity and operational risks relating to the borrowers, lending partners, institutional investors, vendors and other third parties with whom we do business or upon whom we rely on to facilitate or enable our business activities, including vendors, payment processors, and other parties who have access to confidential information due to our agreements with them. In addition, any security compromise in our industry, whether actual or perceived, or information technology system disruptions, whether from attacks on our technology environment or from computer malware, natural disasters, terrorism, war, geopolitical conflicts, or telecommunication or electrical failures,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Like other financial and technology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While we regularly monitor data flow inside and outside the company, attackers have become very sophisticated in the way they conceal access to systems,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to comply with our privacy, confidentiality or data security-related legal or other obligations to our lending partners or other third parties, actual or perceived security breaches, or any security incidents or other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our lending partners and other third parties to lose trust in us or we could be subject to claims by our lending partners and other third parties that we have breached our privacy- or confidentiality-related obligations, which could harm our business and prospects. Moreover, data security incidents and other inappropriate access can be difficult to detect, and any delay in identifying them may lead to increased harm of the type described above. There can be no assurance that our security measures intended to protect our information technology systems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have been accessed by a third party. We promptly deployed an update to our software to address such vulnerability and conducted an internal investigation. We are not aware of any information being compromised as a result of this error. We cannot provide any assurance that similar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Under our agreements with our lending partners, we receive licenses to use data collected from loan applicants and borrowers. The CFPB has proposed rules on “open banking” and who qualifies as a credit reporting agency that would give consumers certain rights in deciding how companies like us can use their personal financial data, and also proposed additional restrictions and requirements on companies that use such data. If we are unable to access and use data collected from applicants and borrowers, data received from credit bureaus, repayment data collected as part of our loan servicing activities, or any other data for our AI models, or 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marketplace.</w:t>
      </w:r>
    </w:p>
    <w:p>
      <w:pPr>
        <w:spacing w:after="0" w:line="2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Third-party data sources on which we rely include the consumer reporting agencies regulated by the CFPB and other alternative data sources. Such data is electronically obtained from third parties and used in our AI models to price applicants and in our fraud models to verify the accuracy of applicant-reported information. Data from national credit bureaus and other consumer reporting agencies, as well as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For example, loan applicants’ credit scores may not reflect such applicants’ actual creditworthiness because the credit scores may be based on outdated, incomplete or inaccurate consumer reporting data, including, as a consequence of us utilizing credit reports for a specific period of time after issuance before such reports are deemed to be outdated. Similarly, the data taken from an applicant’s credit report may also be based on outdated, incomplete or inaccurate consumer reporting data. Although regulatory protections, such as ECOA and the Fair Credit Reporting Act, are in place to afford consumers the right to dispute inaccuracies and despite the fact that we use numerous third-party data sources and multiple credit factors within our proprietary models, which helps mitigate this risk, it does not eliminate the risk of an inaccurate individual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although we attempt to verify the income, employment and education information provided by certain selected applicants, we cannot guarantee the accuracy of applicant information. Our fraud models rely in part on data we receive from a number of third-party verification vendors, data collected from applicants, and our experience gained through monitoring the performance of borrowers over time. Information provided by borrowers may be incomplete, inaccurate or intentionally false. Applicants may also misrepresent their intentions for the use of loan proceeds. We do not verify or confirm any statements by applicants as to how loan proceeds are to be used after loan funding. If an applicant supplied false, misleading or inaccurate information and our fraud detection processes do not flag the application, repayments on the corresponding loan may be lower, in some cases significantly lower, than expected, leading to losses for the lending partner or institutional investor.</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if any data used to train and improve our AI models is inaccurate or otherwise unreliable, or access to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lending partners and institutional investors to our marketplace or increase the number of Upstart-powered loans and adversely affect our business, financial condition and results of operations.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 connection with asset-backed securitizations, pass-through certificate transactions, warehouse credit facilities and whole loan sales, we make representations and warranties concerning the loans transferred, and if such representations and warranties are not accurate when made, we could be required to repurchase the applicable loans.</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our asset-backed securitizations, pass-through certificate transactions, warehouse credit facilities and whole loan sale arrangements,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institutional investors. If those representations and warranties were not accurate when made and are not timely cured or incurable, we may be required to repurchase the underlying loans. Failure to repurchase such loans could constitute a default, an event of default or termination event under the agreements governing our various arrangements or transactions and could require us to indemnify certain financing parties. Through March 31, 2024, the number of repurchased Upstart-powered loans as a result of inaccurate representations and warranties represents less than 1% of all Upstart-powered loans. While only a small number of Upstart-powered loans have been historically repurchased by us, there can be no assurance that we would have adequate cash or other qualifying assets available to make such repurchases if and when required. Such repurchases could be limited in scope, relating to small pools of loans, or significant in scope, across multiple pools of loans. If we were required to make such repurchases and if we do not have adequate liquidity to fund such repurchases, our business, financial condition and results of operations could be adversely affected. In addition, a high volume of repurchases due to a breach of such representations and warranties could have an adverse impact on our reputation as a loan seller and servicer.</w:t>
      </w:r>
    </w:p>
    <w:p>
      <w:pPr>
        <w:spacing w:after="0" w:line="21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Borrowers may prepay a loan at any time without penalty, which could reduce our servicing fees and deter our lending partners and institutional investors from investing in loans facilitated through our lending marketplace.</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harm our business and results of operations. Our AI models are designed to predict prepayment rates. However, if a significant volume of prepayments occur that our AI models do not accurately predict, returns targeted by our lending partners and institutional investors would be adversely affected and our ability to attract new lending partners and institutional investors would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marketing efforts and brand promotion activities may not be effective.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Promoting awareness of our AI lending marketplace is important to our ability to grow our business, attract new lending partners, increase the number of potential borrowers on our marketplace and attract institutional investors to our marketplace. We believe that the importance of brand recognition will increase as competition in the consumer lending industry expands. However, because our lending partners are increasingly adopting our lending partner-branded version of our AI lending marketplace through their own websites, potential borrowers may not be aware they are experiencing our AI lending marketplace, which may hinder recognition of our brand. Successful promotion of our brand will depend largely on the effectiveness of marketing efforts and the overall user experience of our lending partners and potential borrowers on the Upstart marketplace, which factors are outside our control.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2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brand promotion activities may not yield increased revenues. If we fail to successfully build trust in our AI lending marketplace and the performance and predictability of Upstart-powered loans, we may lose existing lending partners and institutional investors to our competitors or be unable to attract new lending partners and institutional investors,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incremental increases in loan servicing costs, such as increases due to greater marketing expenditures, could have an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outcomes in legal proceedings may harm our business and results of operations.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and may in the future become, subject to litigation, claims, examinations, investigations, enforcement actions, legal and administrative cases and proceedings, whether civil or criminal, or lawsuits by governmental agencies or private parties, which may affect our results of operations. These claims, lawsuits, and proceedings could involve, and in some cases have involved,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or compliance, alleged federal and state securities and “blue sky” law violations or other investor claims, and other matters. For example, we are a defendant in a number of securities class action and other related lawsuits. See the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section under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 and the risk factor titled “—</w:t>
      </w:r>
      <w:r>
        <w:rPr>
          <w:rFonts w:ascii="Times New Roman" w:cs="Times New Roman" w:eastAsia="Times New Roman" w:hAnsi="Times New Roman"/>
          <w:sz w:val="18"/>
          <w:szCs w:val="18"/>
          <w:i w:val="1"/>
          <w:iCs w:val="1"/>
          <w:color w:val="auto"/>
        </w:rPr>
        <w:t>The trading price of our common stock may be volatile,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you could lose all or part of your investment</w:t>
      </w:r>
      <w:r>
        <w:rPr>
          <w:rFonts w:ascii="Times New Roman" w:cs="Times New Roman" w:eastAsia="Times New Roman" w:hAnsi="Times New Roman"/>
          <w:sz w:val="18"/>
          <w:szCs w:val="18"/>
          <w:color w:val="auto"/>
        </w:rPr>
        <w:t>” for more information.</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In addition, we have been in the past and may in the future be subject to litigation, claims, examinations, investigations, legal and administrative cases and proceedings related to the offer and sale of Upstart-powered loans.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“rent-a-bank” or “true lender” theories, particularly where such programs involve the subsequent sale of such loans or interests therein through the lending marketplace. See the risk factor titled “—</w:t>
      </w:r>
      <w:r>
        <w:rPr>
          <w:rFonts w:ascii="Times New Roman" w:cs="Times New Roman" w:eastAsia="Times New Roman" w:hAnsi="Times New Roman"/>
          <w:sz w:val="18"/>
          <w:szCs w:val="18"/>
          <w:i w:val="1"/>
          <w:iCs w:val="1"/>
          <w:color w:val="auto"/>
        </w:rPr>
        <w:t>If loans facilitated through our marketplace for one or more lending partners were subject to successful challenge that the lending partner was not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“true lender,” such loans may be unenforceable,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rescission or otherwise impaired, we or other program participants may be subject to penalties, and/or our commercial relationships may suffer, each which would adversely affect our business and results of operations</w:t>
      </w:r>
      <w:r>
        <w:rPr>
          <w:rFonts w:ascii="Times New Roman" w:cs="Times New Roman" w:eastAsia="Times New Roman" w:hAnsi="Times New Roman"/>
          <w:sz w:val="18"/>
          <w:szCs w:val="18"/>
          <w:color w:val="auto"/>
        </w:rPr>
        <w:t>” for more information. In addition, loans originated by lending partners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 from certain state requirements under federal banking laws), 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 the risk factors titled “—</w:t>
      </w:r>
      <w:r>
        <w:rPr>
          <w:rFonts w:ascii="Times New Roman" w:cs="Times New Roman" w:eastAsia="Times New Roman" w:hAnsi="Times New Roman"/>
          <w:sz w:val="18"/>
          <w:szCs w:val="18"/>
          <w:i w:val="1"/>
          <w:iCs w:val="1"/>
          <w:color w:val="auto"/>
        </w:rPr>
        <w:t>If loans originated by our lending partners were found to violate the laws of one or more states, whether at origination or after sale by the lending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partner, loans facilitated through our marketplace may be unenforceable or otherwise impaired, we or other program participants may be subject to, among other things, fines and penalties, and/or our commercial relationships may suffer, each of which would adversely affect our business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We have been in the past and may in the future be subject to federal and state regulatory inquiries regarding our business</w:t>
      </w:r>
      <w:r>
        <w:rPr>
          <w:rFonts w:ascii="Times New Roman" w:cs="Times New Roman" w:eastAsia="Times New Roman" w:hAnsi="Times New Roman"/>
          <w:sz w:val="18"/>
          <w:szCs w:val="18"/>
          <w:color w:val="auto"/>
        </w:rPr>
        <w:t>” for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If we were subject to such litigation or enforcement, then any unfavorable results of pending or future legal proceedings may result in contractual damages, usury related claims, fines, penalties, injunctions, the unenforceability, rescission or other impairment of loans originated on our marketplace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a limited history of operating with a Digital First workforce, and the long-term impact on our business, financial condition and results of operations is uncertain.</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announcement of a Digital First work model in June 2021, remote work with less time in the office has been the primary experience for most of our employees. Our workforce is currently distributed across the U.S., and we expect this to continue. We have a limited history of operating with a Digital First workforce. Although we anticipate that this Digital First model will have a long-term positive impact on our business, financial condition and results of operations, there is no guarantee that we will realize any anticipated benefits to our business from this model, including cost savings, operational efficiencies, or productivity.</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Digital First model could lead to a negative long-term impact on our operations, the execution of our business plans and sales and marketing efforts, our company culture, or the productivity and retention of key personnel and other employees necessary to conduct our business, or otherwise cause operational failures due to changes in our past business practices. If a natural disaster, power outage, connectivity issue, or other event were to occur that impacted our employees’ ability to work remotely, it may be difficult or, in certain cases, impossible, for us to continue our business for a substantial period of time. The increase in remote working may also result in increased exposure to consumer privacy and data security incidents, or fraudulent activity. Furthermore, our understanding of applicable legal and regulatory requirements related to a remote workforce may be subject to legal or regulatory challenge, particularly as regulatory guidance evolves in response to future developments. If we are unable to successfully address the foregoing risks and challenges as we encounter them, our business, financial condition and results of operations could be adversely affected.</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evaluate and potentially consummate acquisitions or investments in complementary business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some circumstances, we may determine to do so through the acquisition of, or investments in, complementary businesses and technologies rather than through internal development. For example, in 2021, we completed the acquisition of Prodigy.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of our financial resources for acquisitions or investments that may fail to realize the anticipated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the acquired technologies, products or businesses to achieve expected levels of revenue, profitability, productivity or other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technology, product development and sales and marketing functions and integration of administrative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of the acquired company’s borrowers to our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employees from the acquired company;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including maintaining good standing with existing regulatory bodies or receiving any necessary approvals, as well as being subject to new regulators with oversight over an acquired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financing;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effective controls, procedures and policies;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loans or intangibles or other assets acquired in such transactions that may have an adverse effect on our results of operations in a given period;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contractual obligations that contain terms that are not beneficial to us, require us to license or waive intellectual property or increase our risk for liability;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claims or other liabilities in connection with the acquired company.</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any future acquisitions and strategic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Strategic investments in which we have a minority ownership stake and that we do not control may from time to time have economic, business, or legal interests or goals that are inconsistent with our goals. As a result, business decisions or other actions or omissions of controlling shareholders, management, or other persons or entities who control companies in which we invest may adversely affect the value of our investment, result in litigation or regulatory action against us, or otherwise damage our reputation and brand.</w:t>
      </w:r>
    </w:p>
    <w:p>
      <w:pPr>
        <w:spacing w:after="0" w:line="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b w:val="1"/>
          <w:bCs w:val="1"/>
          <w:color w:val="auto"/>
        </w:rPr>
        <w:t>Our business is subject to the risks of natural disasters and other catastrophic events, many of which are becoming more acute and frequent due to climate change, and to interruption by human-induced problems.</w:t>
      </w: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a failure of banking or other financial institutions, power outages or increased risk of cybersecurity breaches due to a swift transition to remote work brought about by a catastrophic event, could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long-term effects of climate change on the global economy and our industry in particular are unclear; however, we recognize that there are inherent climate-related risks wherever business is conducted. Either of our headquarters may be vulnerable to the adverse effects of climate change. One of our headquarters is located in the San Francisco Bay Area, a region that is prone to seismic activity and has experienced and may continue to experience, climate-related events and at an increasing rate. Examples include but are not limited to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 Our other headquarters in Columbus, Ohio is a region at higher risk for extreme winter weather, including blizzards. Although we maintain a disaster response plan and insurance, such events could disrupt our business, the business of our lending partners or third-party suppliers, and may cause us to experience losses and additional costs to maintain and resume operations. 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acts of war and other armed conflicts, disruptions in global trade, travel restrictions and quarantines, terrorism and other civil, political and geopolitical conflicts,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generally accepted accounting principles in the United States requires our management to make estimates and assumptions that affect the amounts reported and disclosed in our condensed consolidated financial statements and accompanying notes. We base our estimates and assumptions on historical experience and on various other data points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assumptions which we believe are critical in understanding and evaluating our financial results include: (i) fair value determinations; (ii) stock-based compensation; (iii) consolidation of VIEs; and (iv) the evaluation for impairment of goodwill and acquired intangible assets.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or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controls over financial reporting. In order to maintain and improve the effectiveness of our disclosure controls and procedures and internal controls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Weaknesses in our disclosure controls and internal control over financial reporting have been discovered in the past and may be discovered in the future.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notes receivable, payable to securitization note holders and residual certificate holders, servicing assets and liabilities, and trailing fee liabilities) and the appropriate classification of various items within our financial statements. See Note 1 to our condensed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 on the trading price of our common stock. In addition, if we are unable to continue to meet these requirements, we may not be able to remain listed on the Nasdaq Global Select Market.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Some of our estimates, including our key metrics in this report, are subject to inherent challenges in measurement, and any real or perceived inaccuracies may harm our reputation and negatively affect our business.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estimates and forecasts included in this report, including those we have generated ourselves, are subject to significant uncertainty and are based on assumptions and estimates that may not prove to be accurate. The estimates and forecasts in this report relating to the size and expected growth of our target market may prove to be inaccurate. It is impossible to offer every loan product, term or feature that every customer wants or that any given lending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For example, in the third quarter of 2021, we adjusted our process for calculating Conversion Rate to account for an increase in fraudulent applications.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maintain cash deposits in excess of federally insured limits. Adverse developments affecting financial institutions, including bank failures, could adversely affect our liquidity and financial performance.</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regularly maintain domestic cash deposits in Federal Deposit Insurance Corporation (“FDIC”) insured banks that exceed the FDIC insurance limits. Bank failures, events involving limited liquidity, defaults, non-performance or other adverse developments that affect financial institutions, or concerns or rumors about such events, may lead to liquidity constraints. For example, on March 10, 2023, Silicon Valley Bank failed and was taken into receivership by the FDIC. Similarly, on March 12, 2023, Signature Bank and Silvergate Capital Corp. were each swept into receivership.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treasury, or that any bank or financial institution with which we do business will be able to obtain needed liquidity from other banks, government institutions or by acquisition in the event of a failure or liquidity crisis.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80" w:firstLine="2119"/>
        <w:spacing w:after="0" w:line="565" w:lineRule="auto"/>
        <w:rPr>
          <w:sz w:val="20"/>
          <w:szCs w:val="20"/>
          <w:color w:val="auto"/>
        </w:rPr>
      </w:pPr>
      <w:r>
        <w:rPr>
          <w:rFonts w:ascii="Times New Roman" w:cs="Times New Roman" w:eastAsia="Times New Roman" w:hAnsi="Times New Roman"/>
          <w:sz w:val="17"/>
          <w:szCs w:val="17"/>
          <w:b w:val="1"/>
          <w:bCs w:val="1"/>
          <w:color w:val="auto"/>
        </w:rPr>
        <w:t>RISKS RELATED TO OUR INTELLECTUAL PROPERTY AND PLATFORM DEVELOPMENT It may be difficult and costly to protect our intellectual property rights, and we may not be able to ensure their protection.</w:t>
      </w:r>
    </w:p>
    <w:p>
      <w:pPr>
        <w:spacing w:after="0" w:line="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operate our platform depends, in part, upon our proprietary technology. We may be unable to protect our proprietary technology effectively which would allow competitors to duplicate our AI models or AI lending marketplace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two patents issued and three patent applications pending, we have limited patent protection and our patent application may not be successful.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Any significant disruption in our AI lending platform could prevent us from processing loan applicants and servicing loans, reduce the effectiveness of our AI models and result in a loss of lending partners, institutional investors, applicants or borrowers.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event of a system outage or other event resulting in data loss or corruption, our ability to process loan applications, service loans or otherwise facilitate loans on our marketplace would be adversely affected. We also rely on facilities, components, and services supplied by third parties, including data center facilities, cloud storage services and national consumer reporting agencies.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For a large portion of borrowers’ data used in our AI lending marketplace, we obtain borrowers’ data from national consumer reporting agencies, such as TransUnion, and rely on their services in order to process loan applications. Any interference or disruption of our technology and underlying infrastructure or our use of third-party services could adversely affect our relationships with our lending partners and institutional investors, and the overall user experience of our marketplace. Depending on the type and severity of any such disruption, we could be exposed to litigation and regulatory risk. For example, a cybersecurity incident could result in the exposure of consumer data triggering remedial measures, notification requirements, as well as litigation and regulatory exposure.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2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platform and internal systems rely on software that is highly technical, and if our software contains undetected errors, our business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platform and internal systems rely on software that is highly technical and complex. In addition, our platform and internal systems depend on the ability of such software to store, retrieve, process and manage high volumes of data. The software on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lending partners or institutional investors, failure to present or properly display regulatory disclosures to applicants for an extended period of time, failure to detect fraudulent activity on our platform, a negative experience for consumers or lending partners, delayed introductions of new features or enhancements, or failure to protect borrower data or our intellectual property. Any errors, bugs or defects discovered in the software on which we rely could result in harm to our reputation, loss of consumers or lending partners, increased regulatory 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Some aspects of our business processes include open source software, and any failure to comply with the terms of one or more of these open source licenses could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Some open source licenses contain requirements that we make source code available at no cost for modifications or derivative works we create based upon the type of open source software we use.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face claims from third parties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use of generative AI technologies by our employees or contractors could expose us to unexpected liability.</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employees and contractors use generative AI technologies in connection with their performance of services and, as with many developing technologies, generative AI presents risks and challenges that could affect its further development, adoption, and use, and therefore our business. We face the risk of security threats from employee or contractor errors (such as unauthorized use of third party generative AI technologies in job functions, our products, or in the operation of our business) or malfeasance in connection with generative AI technologies. Even authorized use of generative AI technologies by our employees or contractors may generate content, including software code, that appears facially correct but is factually inaccurate or flawed or contains security vulnerabilities. Our customers, employees, or others may rely on or use such factually incorrect or flawed content to their detriment, which may expose us to brand or reputational harm, competitive harm, and/or legal liability. Further, security vulnerabilities introduced by generative AI technologies into our software could expose us to cybersecurity risks. Questions surrounding license rights and liability for infringement in AI technology generally, and generative AI technology specifically, have not been fully addressed by competent legal tribunals or applicable laws or regulations. The use or adoption of third-party AI technology, including generative AI technology, into our products and services and our internal business operations may result in exposure to claims of copyright infringement, other intellectual property-related causes of action, or other potential reputational harms.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have policies governing our personnel’s use of third party generative AI technologies, we cannot guarantee that the policies will be adhered to by all of our employees and contractors and we cannot guarantee that the policies will protect us from all potential liability relating to our adoption of generative AI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strategic relationships with loan aggregators to attract applicants to our marketplace, and if we cannot maintain effective relationships with loan aggregators or successfully replace their services, our business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number of consumers that apply for a loan on Upstart.com learn about and access Upstart.com through the websites of loan aggregators, typically with hyperlinks from such loan aggregators’ websites to landing pages on our website. While we are continuing to expand our direct acquisition channels, we anticipate that we will continue to depend in significant part on relationships with loan aggregators to maintain and grow our business. For example, a significant amount of our loan originations was derived from traffic from Credit Karma, one of the loan aggregators with whom we partner. The loan aggregators, including Credit Karma, are not required to display offers from our lending partners on their websites nor are they prohibited from working with our competitors or adding our competitors to their platforms. If traffic from Credit Karma or other loan aggregators decreases in the future for any reason or if the loan aggregators implement policies that would adversely impact our business, our loan originations and results of operations would be adversely affected. There is also no assurance that Credit Karma or other loan aggregators will continue to partner with us on commercially reasonable terms or at all. Our competitors may be effective in providing incentives to loan aggregators to favor their products or services or in reducing the volume of loans facilitated through our marketplace.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lending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and it is possible that our brand and reputation may be adversely affected by being associated with such content. An unsatisfied borrower could also seek to bring claims against us based on the content presented on a loan aggregator’s website. Such claims could be costly and time consuming to defend and could distract management’s attention from the operation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Many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 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 related to quality standards or safety concerns, could adversely affect our reputation and brand, and could potentially lead to increased regulatory or litigation exposure.</w:t>
      </w:r>
    </w:p>
    <w:p>
      <w:pPr>
        <w:spacing w:after="0" w:line="2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by our third-party vendors or our failure to comply with legal or regulatory requirements or other contractual requirements could have an adverse effect on our business.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 subject to regulatory enforcement actions and suffer economic and reputational harm that could harm our business. Further, we may incur significant costs to resolve any such disruptions in service or failure to provide contracted services, which could adversely affect our business.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CFPB and each of the prudential bank regulators that supervise our lending partners have issued guidance stating that institutions under their supervision may be held responsible for the actions of the companies with which they contract. As a service provider to those supervised entities, we must ensure we have implemented an adequate vendor management program. We or our lending partners could be adversely impacted to the extent we fail to implement a vendor management system that is satisfactory to the CFPB and other regulators or our vendors fail to comply with the legal requirements applicable to the particular products or services being offered. Our use of third-party vendors is subject to increasing regulatory attention.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CFPB and other regulators have also issued regulatory guidance that has focused on the need for financial institutions to perform increased due diligence and ongoing monitoring of third-party vendor relationships, including, for example, the June 2023 interagency guidance on third party risk management. Such guidance increases the scope of management involvement in connection with using third-party vendors. Moreover, if regulators conclude that we or our lending partners have not met the heightened standards for oversight of our third-party vendors, we or our lending partners could be subject to enforcement actions, civil monetary penalties, supervisory orders to cease and desist or other remedial actions, which could have an adverse effect on our business, financial condition and results of operations.</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If loans originated by our lending partners were found to violate the laws of one or more states, whether at origination or after sale by the lending partner, loans facilitated through our marketplace may be unenforceable or otherwise impaired, we or our lending partners or institutional investors may be subject to, among other things, fines and penalties, and/or our commercial relationships may suffer, each of which would adversely affect our business and results of operations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When establishing the interest rates and structures (and the amounts and structures of certain fees constituting interest under federal banking law, such as origination fees, late fees and non-sufficient funds fees) that are charged to borrowers on loans originated on our marketplace, our lending partners rely on certain authority under federal law to export the interest rate requirements of each lending partner’s home state. Further, we, our securitization vehicles and our institutional investors that purchase Upstart-powered loans originated by our lending partners rely on the ability, as subsequent holders of the loans, to continue charging the interest rates and fee structures and enforce other contractual terms agreed to between the lending partners and the borrowers, as permitted under federal banking laws. The current maximum annual percentage rate of the loans facilitated through our marketplace is 35.99%. In some states, the interest rates of certain Upstart-powered loans exceed the maximum interest rate permitted for consumer loans applicable to non-bank lenders to borrowers residing in, or that have nexus to, such states. Several states have also introduced legislation to prevent state-chartered banks from exporting their higher interest rates into the states choosing to opt out of the federal law that allows this practice. In addition, the rate structures for Upstart-powered loans may not be permissible in all states for non-bank purchasers and/or the amount or structures of certain fees charged in connection with Upstart-powered loans may not be permissible in all states for non-bank purchasers. Furthermore, other states have proposed or enacted additional limitations on interest rates and fees, such as laws in Illinois, Maine and New Mexico that cap interest rates on certain loans at an “all-in” 36% APR.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Usury, fee, and disclosure related claims involving Upstart-powered loans may be raised in multiple ways. We or the participants in our marketplace, including lending partners and institutional investors, may face litigation, government enforcement or other challenges, for example, based on claims that our lending partners did not establish loan terms that were permissible in the state they were located or did not correctly identify the home or host state in which they were located for purposes of interest exportation authority under federal law. Alternatively, we or our institutional investors may face litigation, government enforcement or other challenge, for example, based on claims that rates and fees were lawful at origination and through any period during which the lending partner retained the loan and interests therein, but following the sale of loans, we or other purchasers of the loans, including our institutional investors, are not permitted to enforce the loans pursuant to their contracted-for terms, or that while certain disclosures were not required at origination because the loans were originated by banks, they may be required following the sale of such loans.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Madden v. Midland Funding, LLC, 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The Madden case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The Supreme Court denied certiorari on June 27, 2016, and therefore, the Second Circuit’s decision remains binding on federal courts in the Second Circuit (which include all federal courts in New York, Connecticut, and Vermont). Upon remand to the District Court for consideration of additional issues, the parties settled the matter in 2019.</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lending partners originating loans and non-bank purchasers of such loans. The complaints included, among other claims, allegations, grounded in the Second Circuit’s Madden decision, that the rates and fees for certain loans could not be enforced lawfully by non-bank purchasers of bank-originated loans. Under the settlement, the banks and non-bank purchasers committed to, among other things, limit the annual percentage rates, or APR, on loans to Colorado consumers to 36% and take other actions to ensure that the banks were in fact the true lenders. The non-bank purchasers also agreed to obtain and maintain a Colorado lending license. In Colorado, this settlement created a helpful model for what constitutes an acceptable bank partnership model; however, Colorado opted out of the federal law that allows state-chartered banks to export their rates, with such law becoming effective July 1, 2024 and putting the settlement model in jeopardy. Regardless, the settlement may also invite other states to initiate their own actions, and set their own regulatory standards through enforcement.</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in June 2019, private plaintiffs filed class action complaints against multiple traditional credit card securitization programs, including, Petersen, et al. v. Chase Card Funding, LLC, et al., (No. 1:19-cv-00741-LJV-JJM (W.D.N.Y. June 6, 2019)) and Cohen, et al. v. Capital One Funding, LLC et al., (No. 19-03479 (E.D.N.Y. June 12, 2019)). In Petersen,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Cohen was a materially similar claim against another national bank. On January 22, 2020, the magistrate judge in Petersen issued a report and recommendation responding to the defendants’ motion to dismiss. The magistrate recommended that the motion to dismiss be granted as to both of the plaintiffs’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 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The Cohen case was dismissed on September 29, 2020. The plaintiffs in both Cohen and Petersen filed, but ultimately dropped, their appeals of the decision to the second circuit.</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noted above, federal prudential regulators have also taken actions to address the Madden decision. On May 29, 2020, the OCC issued a final rule clarifying that, when a national bank or savings association sells, assigns, or otherwise transfers a loan, interest permissible before the transfer continues to be permissible after the transfer. That rule took effect on August 3, 2020. Similarly, the FDIC finalized on June 25, 2020 its 2019 proposal declaring that the interest rate for a loan is determined when the loan is made, and will not be affected by subsequent events. On July 29, 2020, California, New York and Illinois filed suit in the U.S. District Court for the Northern District of California to enjoin enforcement of the OCC rule (Case No. 20-CV-5200) and, similarly in the same court, on August 20, 2020 California, Illinois, Massachusetts, Minnesota, New Jersey, New York, North Carolina, and the District of Columbia sought to enjoin enforcement of the FDIC rule (Case No. 20-CV-5860), in each case related to permissible interest rates post-loan transfer on the grounds that the OCC and FDIC exceeded their authority when promulgating those rules. While the court ruled in favor of the OCC and FDIC holding that the agencies did not exceed their statutory authorities when promulgating their “valid when made” rules, there is risk that the OCC and FDIC rules continue to be challenged or are repealed in the future through legislation.</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factual distinctions between our program and the circumstances addressed in the Second Circuit’s Madden decision, as well as the circumstances in the Colorado UCCC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our lending partners or our institutional investors.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October 2021, Maine updated its Consumer Credit Code to include a statutory “true lender” test, providing that an entity is a “lender” subject to certain requirements of the Consumer Credit Code if the person, among other things: (i) has the predominant economic interest in a loan; (ii) brokers, arranges, or facilitates a loan and has the right to purchase the loan; or (iii) based on the totality of the circumstances, appears to be the lender, and the transaction is structured to evade certain statutory requirements. Me. Rev. Stat. § 2-702. Connecticut and Minnesota codified a “true lender” test into their laws in 2023, which similarly focus on the totality of the circumstances or who has the “predominant economic interest” in the loans. More states may also institute similar statutory “true lender” tests. The statutory “true lender” tests may increase the risk of true lender litigation in certain jurisdictions and impact how the tests are applied by courts and regulators in determining the true lender. They may also result in increased usury and licensing risk. Other states may take different paths to promulgate similar “true lender” restrictions, and if not through a legislative path, impacted parties may have little to no advance notice of new restrictions and compliance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borrower or any state agency were to successfully bring a claim against us, our lending partners, our securitization vehicles and/or the trustees of such vehicles or our institutional investors for a state usury law or fee restriction violation and the rate or fee at issue on the loan was impermissible under applicable state law, we, our lending partners, securitization vehicles and/or trustees or institutional investors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lending partners, securitization trustees or institutional investors to enter into or renew relationships; and were such repercussions to apply to our lending partners or institutional investors, such parties could be discouraged from using our marketplace. We may also be subject to payment of damages in situations where we agreed to provide indemnification, as well as fines and penalties assessed by state and federal regulatory agencies.</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loans facilitated through our marketplace for one or more lending partners were subject to successful challenge that the lending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Upstart-powered loans are originated in reliance on the fact that our lending partners are the “true lenders” for such loans. That true lender status determines various Upstart-powered loan program details, and Upstart-powered loans may involve interest rates and structures (and certain fees and fees structures) permissible at origination only because the loan terms and lending practices are permissible only when the lender is a bank or credit union, and/or the disclosures provided to borrowers would be accurate and compliant only if the lender is a bank or credit union. Because the loans facilitated by our marketplace are originated by our lending partners, many state consumer financial regulatory requirements, including usury restrictions (other than the restrictions of the state in which a lending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such settlement to end in 2025 or under the change to Colorado law to prohibit rate exportation to the state. Specifically, the settlement agreement sets forth a safe harbor indicating that a bank is the true lender if certain specific terms and conditions are met. However, other states could also bring lawsuits based on these types of relationships. For example, in June 2020, the Washington, DC Attorney General filed a lawsuit against online lender Elevate for allegedly deceptively marketing high-cost loans with interest rates above the Washington, DC usury cap. The usury claim is based on an allegation that Elevate, which was not licensed in Washington, DC, and not its partner bank, originated these loans, and was therefore in violation of the state’s usury laws. This case ultimately settled, with Elevate agreeing to charge rates only up to 24% and to refund consumers who were charged rates over what is allowed under Washington, DC law. A similar complaint against an online lender, Opportunity Financial, LLC (“OppFi”), was filed in early 2021, alleging that it rather than a bank originated these loans and the loans were therefore in violation of Washington, DC usury laws. The parties settled this case in November 2021, but OppFi faced similar allegations in a lawsuit it proactively filed in California to stop the state from enforcing state regulations against it. Also in April 2021, the Maryland Office of the Commissioner of Financial Regulation also alleged in the context of a civil suit that a state-chartered bank and its fintech partners engaged in a bank partnership program that violated various Maryland licensing and credit statutes. The case is still pending for administrative adjudication. In June 2021, a putative class action lawsuit was filed against the online lender Marlette Funding LLC in the Court of Common Pleas of Allegheny County, Pennsylvania, alleging that the company, doing business as Best Egg, was the true lender of usurious loans, with a rate of interest far in excess of the 6% rate permitted to be charged in Pennsylvania by unlicensed non-banks, originated through a partnership with Cross River Bank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21-CV-985). Furthermore, in April 2022, OppFi filed a lawsuit against the California Department of Financial Protection and Innovation in Los Angeles Superior Court, to challenge the Department’s application of California usury caps to loans originated on OppFi’s online platform. OppFi argued that the Department was applying a “true lender” test to several loans to California residents that exceeded the applicable California usury limit for small dollar loans, even though such test does not exist in California law. While OppFi received a favorable decision in October 2023 that denied California’s motion for preliminary injunction, in California and other states, there is an ongoing risk that government agencies and private plaintiffs will seek to challenge these types of relationships that are similar to our business model.</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the rule was subsequently challenged by the Attorneys General from seven states and ultimately repealed by Congress pursuant to the Congressional Review Act on June 30, 2021. No similar rule applicable to state-chartered banks was issued by the FDIC, and thus there is no longer a clear federal standard.</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have taken steps to comply with the safe harbor in the Colorado settlement and other laws, regulations and guidance, we, lending partners, institutional investors, securitization vehicles and other similarly situated parties could become subject to challenges like those presented by the Colorado settlement and, if so, we could face penalties and/or Upstart-powered loans may be void, voidable or otherwise impaired in a manner that may have adverse effects on our operations (directly, or as a result of adverse impact on our relationships with our lending partners, institutional investors or other commercial counterparties). There have been no formal proceedings against us or indication of any proceedings against us to date, but there can be no assurance that the Colorado Administrator or any other regulator will not make assertions similar to those made in its present actions with respect to the loans facilitated by our marketplace in the future. There are also eight other states that currently have or have proposed “true lender” tests, and we, lending partners, institutional investors, securitization vehicles and other similarly situated parties are or could become subject to them.</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It is also possible that other state agencies or regulators could make similar assertions. If a court, or a state or federal enforcement agency, were to deem Upstart, rather than our lending partners, the “true lender” for loans originated on our marketplace, and if for this reason (or any other reason) the loans were deemed subject to and in violation of certain state consumer finance laws, we could be subject to fines, damages, injunctive relief (including required modification or discontinuation of our business in certain areas) and other penalties or consequences, and the loans could be rendered void or unenforceable in whole or in part, any of which could have a material adverse effect on our business (directly, or as a result of adverse impact on our relationships with our lending partners, institutional investors or other commercial counterparties).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counterparty risk with respect to the capped call transactions.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counterparties to the capped call transactions entered into in connection with the offering of the Notes (as defined below) are financial institutions, and we are subject to the risk that one or more of the counterparties may default or otherwise fail to perform, or may exercise certain rights to terminate, their obligations under the capped call transactions. Our exposure to the credit risk of the counterparties will not be secured by any collateral. Global economic conditions have in the past resulted in the actual or perceived failure or financial difficulties of many financial institutions. If a counterparty to one or more capped call transactions becomes subject to bankruptcy or other insolvency proceedings, we will become an unsecured creditor in those proceedings with a claim equal to our exposure at the time under such transactions. Our exposure will depend on many factors but, generally, our exposure will increase if the market price or the volatility of our common stock increases. In addition, upon a default or other failure to perform, or a termination of obligations, by a counterparty, the counterparty may fail to deliver the shares of our common stock or cash required to be delivered to us under the capped call transactions and we may suffer adverse tax consequences or experience more dilution than we currently anticipate with respect to our common stock. We can provide no assurances as to the financial stability or viability of the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RISKS RELATED TO OUR REGULATORY ENVIRONMENT</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Litigation, regulatory actions and compliance issues could subject us to significant fines, penalties, judgments, remediation costs and/or requirements resulting in increased expenses.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have been named as a defendant in various legal actions, including class action lawsuits and other litigation. Generally, this litigation arises from the dissatisfaction of a consumer with the products or services offered on our marketplace; some of this litigation, however, has arisen from other matters, including claims of violation of laws related to credit reporting, collections and do-not-call.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lending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a number of participants in the consumer financial services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servicing, and collecting consumer finance loans and other consumer financial services and products. The current regulatory environment, increased regulatory compliance efforts and enhanced regulatory enforcement have resulted in us undertaking significant time-consuming and expensive operational and compliance efforts to operate in accordance with relevant laws, which may delay or preclude our or our lending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 statutes or under several of the various federal consumer financial services statutes may result in a separate fine assessed for each statutory and regulatory violation or substantial damages from class action lawsuits, potentially in excess of the amounts we earned from the underlying activities.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Some of our agreements used in the course of our business include arbitration clauses.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or facilitate compliance with a variety of federal, state, and local laws, including those related to consumer protection and loan financings.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must comply with regulatory regimes or facilitate compliance with regulatory regimes on behalf of our lending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The current presidential administration has brought an increased focus on enforcement of federal consumer protection laws, notably those related to artificial intelligence, and has appointed consumer-oriented regulators at federal agencies such as the CFPB and the OCC. It is possible that regulators in the current or future presidential administration could promulgate rulemakings and bring enforcement actions that materially impact our business and the business of our lending partners. These regulators may augment requirements that apply to loans facilitated by our marketplace, or impose new programs and restrictions, and could otherwise revise or create new regulatory requirements that apply to us (or our lending partners), impacting our business, operations, and profitability.</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state laws generally regulate interest rates and other charges and require certain disclosures. In addition, other federal and state laws may apply to the origination, servicing and collection of loans originated on our marketplace, and the purchase and sale of whole loans or asset-backed securitizations. In particular, certain laws, regulations and rules we or our lending partners are subject to include:</w:t>
      </w:r>
    </w:p>
    <w:p>
      <w:pPr>
        <w:spacing w:after="0" w:line="68" w:lineRule="exact"/>
        <w:rPr>
          <w:sz w:val="20"/>
          <w:szCs w:val="20"/>
          <w:color w:val="auto"/>
        </w:rPr>
      </w:pPr>
    </w:p>
    <w:p>
      <w:pPr>
        <w:jc w:val="both"/>
        <w:ind w:left="660" w:hanging="328"/>
        <w:spacing w:after="0" w:line="261"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 and impose disclosure requirements in connection with credit card origination;</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Equal Credit Opportunity Act and Regulation B promulgated thereunder, and similar state fair lending laws, which prohibit creditors from discouraging or discriminating against credit applicants on a prohibited basis, including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Practices Rule which (i) prohibits lenders from using certain contract provisions that the Federal Trade Commission has found to be unfair to consumers; (ii) requires lenders to advise consumers who co-sign obligations about their potential liability if the primary obligor fails to pay; and (iii) prohibits certain late charges;</w:t>
      </w:r>
    </w:p>
    <w:p>
      <w:pPr>
        <w:spacing w:after="0" w:line="1" w:lineRule="exact"/>
        <w:rPr>
          <w:rFonts w:ascii="Times New Roman" w:cs="Times New Roman" w:eastAsia="Times New Roman" w:hAnsi="Times New Roman"/>
          <w:sz w:val="18"/>
          <w:szCs w:val="18"/>
          <w:color w:val="auto"/>
        </w:rPr>
      </w:pPr>
    </w:p>
    <w:p>
      <w:pPr>
        <w:ind w:left="660" w:right="160" w:hanging="328"/>
        <w:spacing w:after="0" w:line="247"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Debt Collection Practices Act, Regulation F, and similar state debt collection laws, which provide guidelines and limitations on the conduct of third-party debt collectors (and some limitation on creditors collecting their own debts) in connection with the collection of consumer debts;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58"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Gramm-Leach-Bliley Act, or GLBA,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state privacy laws and regulations;</w:t>
      </w:r>
    </w:p>
    <w:p>
      <w:pPr>
        <w:spacing w:after="0" w:line="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Code, which limits the extent to which creditors may seek to enforce debts against parties who have filed for bankruptcy protection;</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Consumer Protection Act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Financial Privacy Act and similar state laws enacted to provide the financial records of financial institution customers a reasonable amount of privacy from government scrutiny;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Secrecy Act and the USA PATRIOT Act, which relate to compliance with anti-money laundering, borrower due diligence and record-keeping policies and procedures;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securities laws, including, among others, the Securities Act of 1933, as amended, or the Securities Act, the Exchange Act, the Investment Advisers Act of 1940, as amended, or the IAA, and the Investment Company Act of 1940, as amended, or the Investment Company Act, rules and regulations adopted under those laws, and similar state laws and regulations, which govern how we offer, sell and transact in our loan financing products; and</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state-specific and local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not always have been, and may not always be, in compliance with these and other applicable laws, regulations and rules. And while compliance with these requirements is a business priority for us, it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marketplace and related services or facilitate the origination of loans for our lending partners. These laws also are often subject to changes that could severely limit the operations of our business model.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marketplace. For example, Illinois, Maine and New Mexico enacted laws that cap interest rates on certain loans at an “all-in” 36% APR. In addition, certain states have proposed or enacted legislation that would end the rate exportation in their states by out-of-state, state-chartered banks. Colorado was the first state to enact such legislation since Iowa, and other states have proposed similar legislation. Further, in late 2020, California created a “mini-CFPB,” which could increase its oversight over bank partnership relationships and strengthen state consumer protection authority of state regulators to police debt collections and unfair, deceptive or abusive acts and practices. Voter referendums also have been introduced and, in some cases, passed, restrictions on interest rates and/or APRs. If such legislation or bills were to be propagated, or state or federal regulators seek to restrict regulated financial institutions such as our lending partners from engaging in business with Upstart in certain ways, our lending partners’ ability to originate loans in certain states could be greatly reduced, and as a result, our business, financial condition and results of operations would be adversely affected.</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 applicable, we seek to comply with state broker, credit service organization, small loan,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marketplace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Internet-based loan origination processes may give rise to greater risks than paper-based processes and may not always be allowed under state law.</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auto loans issued through our auto lending marketplace, certain state laws may not allow for electronic lien and title transfer, which would require us to use a paper-based title process to secure title to the underlying collateral. While this process may help mitigate some of the risks associated with online processes, because it is highly manual and outside of our usual practices and titling rules can vary by state, we may be prone to errors and encounter greater difficulty complying with the proper procedures. If we fail to effectively follow such procedures we may, among other things, be limited in our ability to secure the collateral associated with loans issued through our auto lending marketplace.</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found to be operating without having obtained necessary state or local licenses, our business, financial condition and results of operations could be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marketplace and the related activities we perform, as well as to our lending partners, is unclear. In addition, state licensing requirements may evolve over time, including, in particular, recent trends toward increased licensing requirements and regulation of parties engaged in loan solicitation and student loan servicing activities. States also maintain licensing requirements pertaining to the transmission of money, and certain states may broadly interpret such licensing requirements to cover loan servicing and the transmission of funds to investors. If we or one of our lending partners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lending partners on our marketplace could be rendered void or unenforceable in whole or in part, any of which could have a material adverse effect on our business.</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CFPB has sometimes taken expansive views of its authority to regulate consumer financial services, creating uncertainty as to how the agency’s actions or the actions of any other agency could impact our business.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and Regulation V, the Electronic Funds Transfer Act and Regulation E, among other regulations, and to enforce compliance with those laws. The CFPB supervises banks, thrifts and credit unions with assets over $10 billion and examines certain of our lending partners. Further, the CFPB is charged with the examination and supervision of certain participants in the consumer financial services market, including short-term, small dollar lenders, non-bank mortgage originators and servicers,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the loan products offered on our marketplace.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20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There continues to be uncertainty about the future of the CFPB and as to how its strategies and priorities, including in both its examination and enforcement processes, will impact our business and our results of operations going forward. This uncertainty is increased in light of the fact that the new director of the CFPB has new examination and enforcement priorities, including safeguarding against algorithmic bias. In February 2024, the CFPB published a decision and order in a supervisory designation proceeding against a non-bank installment lender that officially established the CFPB’s supervisory authority over such lenders due to the risk the non-bank lender posed to consumers. The CFPB opined that risk does not need to be based on a violation of law. If the CFPB decides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to subject us to its supervisory process, it could significantly increase the level of regulatory scrutiny of our business practices. See the risk factor titled “— </w:t>
      </w:r>
      <w:r>
        <w:rPr>
          <w:rFonts w:ascii="Times New Roman" w:cs="Times New Roman" w:eastAsia="Times New Roman" w:hAnsi="Times New Roman"/>
          <w:sz w:val="18"/>
          <w:szCs w:val="18"/>
          <w:i w:val="1"/>
          <w:iCs w:val="1"/>
          <w:color w:val="auto"/>
        </w:rPr>
        <w:t>Our business is subject to a wide range of laws and regulations, many of which are evolving, and failure or perceived failure to comply with such laws and regulations could harm our business, financial condition and results of operation</w:t>
      </w:r>
      <w:r>
        <w:rPr>
          <w:rFonts w:ascii="Times New Roman" w:cs="Times New Roman" w:eastAsia="Times New Roman" w:hAnsi="Times New Roman"/>
          <w:sz w:val="18"/>
          <w:szCs w:val="18"/>
          <w:color w:val="auto"/>
        </w:rPr>
        <w:t>s” for more information.</w:t>
      </w:r>
    </w:p>
    <w:p>
      <w:pPr>
        <w:spacing w:after="0" w:line="21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 to offer them. See the risk factor titled “—</w:t>
      </w:r>
      <w:r>
        <w:rPr>
          <w:rFonts w:ascii="Times New Roman" w:cs="Times New Roman" w:eastAsia="Times New Roman" w:hAnsi="Times New Roman"/>
          <w:sz w:val="18"/>
          <w:szCs w:val="18"/>
          <w:i w:val="1"/>
          <w:iCs w:val="1"/>
          <w:color w:val="auto"/>
        </w:rPr>
        <w:t>Our reputation and brand are important to our success, and if we are unable to continue developing our</w:t>
      </w: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reputation and brand, our ability to retain existing and attract new bank partners, our ability to attract borrowers to our marketplace, our ability to maintain diverse and resilient loan funding and our ability to maintain and improve our relationship with regulators of our industry could be adversely affected” </w:t>
      </w:r>
      <w:r>
        <w:rPr>
          <w:rFonts w:ascii="Times New Roman" w:cs="Times New Roman" w:eastAsia="Times New Roman" w:hAnsi="Times New Roman"/>
          <w:sz w:val="18"/>
          <w:szCs w:val="18"/>
          <w:color w:val="auto"/>
        </w:rPr>
        <w:t>for more information. The CFPB could also implement rules that restrict our effectiveness in servicing our financial products and services.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have committed resources to enhancing our compliance programs, future actions by the CFPB (or other regulators) against us, our lending partners or our competitors could discourage the use of our services or those of our lending partners, which could result in reputational harm, a loss of lending partners, borrowers or institutional investors,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current presidential administration has appointed and is expected to continue to appoint consumer-oriented regulators at federal agencies such as the CFPB, the FTC, the OCC and the FDIC and the government’s focus on enforcement of federal consumer protection laws is expected to increase. It is possible that these regulators could promulgate rulemakings and bring enforcement actions that materially impact our business and the business of our lending partners.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compliance and operational costs and litigation exposure could increase if and when the CFPB or another agency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in the past and may in the future be subject to federal and state regulatory inquiries regarding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from time to time in the normal course of our business, received, and may in the future receive or be subject to, inquiries or investigations by state and federal regulatory agencies and bodies such as the CFPB, the FTC, state Attorneys General, the SEC, state financial regulatory agencies and other state or federal agencies or bodies regarding the Upstart marketplace, including the marketing of loans for lenders, underwriting and pricing of consumer loans for our lending partners, our fair lending compliance program and licensing and registration requirements. While we expect to address inquiries or investigations and engage in open dialogue with regulators, we cannot guarantee that a federal or state regulator will not take supervisory or enforcement action against us in the future. Since the no-action letter with the CFPB was terminated in June 2022, we no longer enjoy the protection of the no-action letter which had provided that the CFPB would not take supervisory or enforcement action against us for a violation of ECOA. We intend to continue to pursue a transparent and cooperative relationship with the CFPB, which could involve sharing information about our models and other aspects of our business. It is also possible the CFPB may take supervisory or enforcement action against us in the future.</w:t>
      </w:r>
    </w:p>
    <w:p>
      <w:pPr>
        <w:spacing w:after="0" w:line="2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carries reputational risk. The market price of our common stock could decline as a result of the initiation of a CFPB investigation of Upstart or even the perception that such an investigation could occur, even in the absence of any finding by the CFPB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21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In addition, in July 2021 the FTC settled litigation with LendingClub regarding, among other things, the adequacy of its disclosures of an origination fee associated with the product. Moreover, the FTC recently issued a staff report on digital “dark patterns,” sophisticated design practices that can trick or manipulate consumers into buying products or services or giving up their private information, that, among other things, highlighted marketing and disclosure practices by some financial technology companies that the FTC claimed were deceptive because of their use of dark patterns. Based upon prior enforcement actions, staff reports, and statements by FTC officials, we believe this scrutiny of financial technology company marketing and disclosure practices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receive, transmit and store large volumes of personal information and other sensitive data, which may potentially include biometric data as defined by state law, from applicants and borrowers. Each lending partner can access information about their respective borrowers and declined applicants via daily loan reports and other reporting tools that are provided via the platform. For loan institutional investors, while we generally limit access to personal information, we do share some personal information about borrowers with certain institutional investors. There are federal, state and foreign laws regarding privacy and the storing, sharing, use, disclosure and protection of personal information and sensitive data including those specific to biometric data. Specifically, cybersecurity and data privacy issues, particularly with respect to personal information, are increasingly subject to legislation and regulations to protect the privacy and security of personal information that is collected, processed and transmitted. For example, the GLBA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FTC, and under Section 5 of the Federal Trade Commission Act, we and our lending partners are prohibited from engaging in unfair and deceptive acts and practices, or UDAP. For example, both the FTC and CFPB have relied on UDAP/UDAAP principles to increase enforcement of “dark patterns”, the definition of which varies but has been defined as “design features used to deceive, steer, or manipulate users into behavior that is profitable for an online service, but often harmful to users or contrary to their intent.”</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state level, the California Consumer Privacy Act, or the CCPA, which went into effect on January 1, 2020, requires, among other things, that covered companies provide disclosures to California residents and afford such persons new abilities to opt-out of certain sales or retention of their personal information by us. Aspects of the CCPA and its interpretation remain unclear. In addition, California voters approved Proposition 24 in the November 2020 election to create the California Privacy Rights Act, or CPRA, which amends and purports to strengthen the CCPA and created a state agency, the California Privacy Protection Agency, to enforce privacy laws. The CPRA amendments create obligations relating to consumer data as of January 1, 2023 (with a one-year lookback), and enforcement beginning March 29, 2024. Following the enactment of the CCPA, certain states, including but not limited to Texas, Virginia, Colorado and Utah, have enacted, and other states are proposing to enact, laws and regulations that impose obligations similar to the CCPA or that otherwise involve significant obligations and restrictions. While many of these laws include exemptions for information covered by the GLBA, and we therefore may be exempt from all or most obligations under many of these state privacy laws, some states may not provide for such exemptions, and such exemptions may not fully exempt us from compliance with state laws.</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privacy and data security laws, such as the CCPA, apply to biometric data. However, some states have passed or are considering legislation that are biometric specific. For instance, in Illinois, the Biometric Information Privacy Act, or BIPA, specifically governs the collection, possession, and disclosure of biometric information or biometric identifiers. There has been a corresponding increase in litigation related specifically to state biometric privacy laws. Whether information we receive from borrowers is subject to state laws expressly governing biometric data depends on how such laws define “biometric data” or other similar terms of 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Compliance with current and future borrower privacy data protection and information security laws and regulations could result in higher compliance, technical or operating costs. We cannot fully predict the impact of the CCPA, BIPA, or other privacy and data security state laws on our business or operations, but it may require us to further modify our data infrastructure and data processing practices and policies and to incur additional costs and expenses in an effort to continue to comply.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 the regulatory framework for artificial intelligence and machine learning technology evolves, our business, financial condition and results of operations may be adversely affected.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regulatory framework for artificial intelligence and machine learning technology is evolving and remains uncertain. For example, in April 2023, the FTC, DOJ, EEOC and CFPB released a joint statement on potential “threats” posed by artificial intelligence, such as contributing to discriminatory outcomes. Additionally, the CFPB published statements in May 2022 and September 2023 on the applicability of ECOA to artificial intelligence and machine learning underwriting models when generating adverse action notices. There is also a significant amount of proposed legislation at the state and federal levels on artificial intelligence governance and oversight. However, the language of the primary fair lending regulation (i.e. ECOA) remains unaltered. Therefore, it is possible that new laws and regulations will be adopted in the United States, or existing laws and regulations may be interpreted in new ways, that would affect the operation of our marketplace and the way in which we use artificial intelligence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required to register under the Investment Company Act, our ability to conduct business could be materially adversely affected.</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Our business involves developing and operating an online lending marketplace that provides our lending partners with access to technology, including proprietary AI models, and related services, so lending partners can assess the credit risk of potential borrowers and offer loans online, and our revenue derives primarily from fees based on the platform and referral services provided to our lending partners and loan servicing.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We believe that we have never been an investment company because, among other reasons, we are primarily engaged in the business of providing an AI-based lending marketplace, and therefore can reasonably rely on exemptions from investment company status.</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not able to rely on exemptions from investment company status, we could be deemed an investment company and may be required to institute burdensome compliance requirements, restricting our activities in a way that could adversely affect our business, financial condition and results of operations. For example, among other things, we could be subject to investment company governance requirements; restricted as to future borrowings and in our transactions with affiliates; and be more limited in available corporate financing alternatives and compensation arrangements.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required to register under the Investment Advisers Act, our ability to conduct business could be materially adversely affected.</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marketplace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a fund.</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believe our current practices do not require us or any of our other affiliates or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transactions involving institutional investors who provide loan funding to our marketplace are found to have been conducted in violation of the Securities Act or similar state law, or we have generally violated any applicable law, our ability to obtain financing for loans facilitated through our marketplace could be materially adversely affected, and we could be subject to private or regulatory actions.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transactions involving institutional investors or related to acquisitions may rely or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required to register with the SEC or under state securities laws as a broker-dealer, our ability to conduct business could be materially adversely affected.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Anti-money laundering, anti-terrorism financing, anti-corruption and economic sanctions laws could have adverse consequences for us.</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During 2020, we failed to file timely reports of suspicious transactions as required with appropriate regulatory agencies. We remediated the failure to file and have added additional resources to support our compliance with these reporting requirements.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with these laws and regulations could subject us to significant sanctions, fines, penalties, contractual liability to our lending partners or institutional investors, and reputational harm, all of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securitizations are subject to regulation under federal law, and failure to comply with those laws could adversely affect our business.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21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RISKS RELATED TO INDEBTEDNESS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borrowings under our warehouse credit facilities to fund certain aspects of our operations, and any inability to meet our obligations as they come due or to comply with various covenants or representations contained in our warehouse credit facilities could harm our business.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through our warehouse trust special purpose entities, have entered into warehouse credit facilities to partially finance the purchase of loans from certain lending partners that originate loans through our marketplace, which credit facilities are secured by the purchased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our warehouse credit facility for unsecured personal loans (the “ULT Warehouse Credit Facility”), we may borrow from an aggregate of $250.0 million financing capacity, $75.0 million of which is available to us at the discretion of the lender, until the earlier of June 2025 and an accelerated amortization event. Any outstanding principal, together with any accrued and unpaid interest, are due and payable by the warehouse trust special purpose entity in June 2026. As of March 31, 2024, the amount borrowed under the ULT Warehouse Credit Facility was $247.1 million, and $351.8 million of aggregated fair value of loans purchased were pledged as collateral. Under our warehouse facility for auto loans (the “UAWT Warehouse Credit Facility”), we may borrow up to $200 million until June 14, 2024, and any outstanding principal, together with any accrued and unpaid interest, are due and payable by the warehouse trust special purpose entity twelve months after the determined amortization date. As of March 31, 2024, the amount borrowed under the UAWT Warehouse Credit Facility was $104.4 million, and $229.8 million of aggregated fair value of loans purchased were pledged as collateral.</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warehouse credit facilities impose operating and financial covenants on the applicable warehouse trust special purpose entity, and under certain events of default, the applicable lender could require that all or a portion of our outstanding borrowings become immediately due and payable or terminate their respective agreement with us. We have in the past, and may in the future, fail to comply with certain operating or financial covenants in our warehouse credit facilities, requiring a waiver from our lenders. If we are unable to repay our obligations at maturity or in the event of default, the applicable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marketplace and require us to rely on alternative funding sources, which might increase our costs or which might not be available when needed. If we were unable to arrange new or alternative methods of financing on favorable terms, we might have to limit our loan funding, which could have an adverse effect on our lending partners’ ability or willingness to originate new loans or our ability to use leverage for the loans we hold, which in turn would have an adverse effect on our business, results of operations and financial condition.</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Corporate and asset-backed debt ratings could adversely affect our ability to support loan funding for our marketplace at attractive rates, which could negatively affect our results of operations, financial condition and liquidity.</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unsecured senior corporate debt currently has no rating. Asset-backed securities sponsored or co-sponsored by us are currently rated by a limited number of credit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asset-backed securities have been subject to downgrades in the past, and any future downgrade or non-publication of ratings may increase the interest rates that are required to attract investment in such asset-backed securities, adversely impacting our ability to provide liquidity or financing to our lending partners and institutional investors. Our lack of parent debt rating and any further downgrades to the ratings of our asset-backed securities could negatively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need to raise additional funds in the future, including through equity, debt or convertible debt financings, to support business growth and those funds may not be available on acceptable terms, or at all.</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continue to make investments to support our business growth and may require additional funds to respond to business challenges, including the need to develop new loan products, enhance our AI models, supplement loan funding, improve our operating infrastructure, acquire complementary businesses and technologies, or make strategic investments. Accordingly, we may need to engage in equity, debt or convertible debt financings to secure additional funds. If we raise additional funds by issuing equity securities or securities convertible into equity securities, our stockholders may experience dilution. For example, if we elect to deliver shares of our common stock to settle the conversion (other than paying cash in lieu of delivering any fractional share) of the Notes (as defined below), it may have a dilutive effect on our stockholders’ equity holdings. Further, debt financing, if available, may involve covenants restricting our operations or our ability to incur additional debt. Any debt or additional equity financing that we raise may contain terms that are not favorable to us or our stockholders.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financing or on terms satisfactory to us when we require it, we may pursue alternate transactions or be unable to pursue certain business opportunities and our ability to continue to support our business growth and to respond to business challenges could be impaired and our business may be harmed.</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in August 2021, we issued $661.3 million aggregate principal amount of 0.25% convertible senior notes due 2026, or Notes (including the exercise in full of the initial purchasers’ option to purchase an additional $86.3 million aggregate principal of additional Notes). Holders of the Notes may require us to purchase all or a portion of their Notes upon the occurrence of a fundamental change before the maturity date at a fundamental change repurchase price equal to 100% of the principal amount of the Notes to be repurchased, plus accrued and unpaid interest, if any. Additionally, upon conversion of the Notes, unless we elect to deliver solely shares of our common stock to settle such conversion (other than paying cash in lieu of delivering any fractional share), we will be required to make cash payments in respect of the Notes being converted. Moreover, we will be required to pay the Notes in cash at their maturity unless earlier converted, redeemed or repurchased. However, we may not have enough available cash or be able to obtain financing at the time we are required to make repurchases of the Notes or pay cash for Notes being converted or at their maturity. In addition, our ability to repurchase the Notes or to pay cash upon conversions of the Notes may be limited by law, by regulatory authority or by agreements governing our future indebtedness at the time. Our failure to repurchase Notes at a time when the repurchase is required by the indenture or to pay any cash payable on future conversions of the Notes as required by the indenture would constitute a default under the indenture. A default under the indenture or the fundamental change itself could also lead to a default under agreements governing our other existing or future indebtedness. If the repayment of the related indebtedness were to be accelerated after any applicable notice or grace periods, we may not have sufficient funds to repay the indebtedness and repurchase the Notes or pay cash with respect to Notes being converted or at maturity of the Notes.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in the indenture for the Notes may deter or prevent a business combination that may be favorable to you.</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fundamental change occurs prior to the maturity date of the Notes, holders of the Notes will have the right, at their option, to require us to repurchase all or a portion of their Notes. In addition, if a make-whole fundamental change occurs prior to the maturity date of the Notes, we will in some cases be required to increase the conversion rate for a holder that elects to convert its Notes in connection with such make-whole fundamental change in the manner specified in the indenture. Furthermore, the indenture will prohibit us from engaging in certain mergers or acquisitions unless, among other things, the surviving entity assumes our obligations under the Notes. These and other provisions in the indenture could deter or prevent a third party from acquiring us even when the acquisition may be favorable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use our deferred tax assets to offset future taxable income may be subject to certain limitations, which may have a material impact on our result of operations.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a valuation allowance has been recorded to recognize only deferred tax assets that are more likely than not to be realized in the United States federal, state and local tax jurisdictions.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also be limited in the portion of NOLs that we can use in the future to offset taxable income for U.S. federal and state income tax purposes. The Tax Cuts and Jobs Act, or the Tax Act made broad and complex changes to U.S. tax law, including changes to the uses and limitations of NOLs. A lack of future taxable income would adversely affect our ability to utilize NOLs. In addition, under Section 382 of the Internal Revenue Code of 1986, as amended, or the Code, a corporation that undergoes an “ownership change” is subject to limitations on its ability to utilize its NOLs to offset future taxable income. Future changes in our stock ownership, including future offerings, as well as other changes that may be outside of our control, could result in additional ownership changes under Section 382 of the Code. Our NOLs may also be limited under similar provisions of state and local law.</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continue to assess the realizability of our deferred tax assets in the future. Future adjustments in our valuation allowance may be required, which may have a material impact on our quarterly and annual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could have a material adverse effect on our business, financial condition and results of operations.</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For example, the Inflation Reduction Act of 2022, enacted on August 16, 2022, imposes a one-percent non-deductible excise tax on repurchases of stock that are made by U.S. publicly traded corporations on or after January 1, 2023, which may affect our share repurchase program. In addition, effective as of January 1, 2022, the Tax Cuts and Jobs Act requires research and experimental expenditures attributable to research conducted within the United States to be capitalized and amortized ratably over a five-year period. Any such expenditures attributable to research conducted outside the United States must be capitalized and amortized over a 15-year period. Accordingly,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application of indirect taxes, such as sales and use tax, value-added tax, digital services tax, digital advertising tax, business tax, gross receipts tax, and other similar tax to platform and financial technology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proposed or newly enacted laws regarding indirect tax could increase our compliance obligation. Any failure by us to prepare for and to comply with the reporting and record-keeping obligations could result in penalties and other sanctions, and could adversely affect our financial condition and results of operations.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faced, and may face in the future, various indirect tax audits in various U.S. jurisdictions.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Although we have reserved for potential payments of past tax liabilities on our financial statements, a successful assertion by one or more tax authorities could result in substantial tax liabilities in excess of such reserves as well as penalties and interest, and could harm our business, financial condition and results of operations.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and other factors, the ultimate amount of tax obligations owed may differ from the amounts recorded in our financial statements and any such difference may adversely impact our results of operations in future years in which we change our estimates of our tax obligations or in which the ultimate tax outcome is determined.</w:t>
      </w:r>
    </w:p>
    <w:p>
      <w:pPr>
        <w:spacing w:after="0" w:line="19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trading price of our common stock may be volatile, and you could lose all or part of your investment.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spacing w:after="0" w:line="68"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financial technology stocks;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economic slowdowns, recessions, rising interest and inflation rates, tightening of credit markets and disruptions in the banking sector;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availability of loan funding and liquidity from lending partners and institutional investors;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fluctuations in demand for the loans we facilitate through our marketplace;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financial technology companies and technology companies that offer services to financial institutions;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or our stockholders, including sales to cover tax withholding obligations upon vesting of RSUs issued to our employees;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shares of our common stock, whether in connection with an acquisition or upon conversion of some or all of the outstanding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or other statements made by securities analysts or others,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features, or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 policies or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cease-and-desist orders from regulatory agencies that we are subject to;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of the accuracy of our AI models;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data security breaches or other data security incidents;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products, services, or technologies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political unrest, natural disasters, pandemics or responses to these events.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For example, in May 2022, June 2022 and July 2022, we and certain of our officers were sued in purported class action lawsuits alleging violations of the federal securities laws for allegedly making materially false and misleading statements about our business, operations, and prospects. This litigation could result in substantial costs and a diversion of our management’s attention and resources, which could harm our business. We may be the target of additional litigation of this type in the future as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 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capped call transactions may affect the price of our common stock.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Notes, we entered into privately negotiated capped call transactions with certain financial institutions as counterparties. The capped call transactions initially cover, subject to customary adjustments, the number of shares of our common stock initially underlying the Notes. The capped call transactions are intended to offset the potential dilution and/or offset any cash payments we make in excess of the aggregate principal amount of converted Notes, as the case may be, as a result of conversion of the Notes.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the Notes or following any repurchase of the Notes). This activity could also cause or prevent an increase or a decrease in the market price of our common stock.</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insiders have significant voting power, which could limit your ability to influence the outcome of key transactions, including a change of control.</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directors, officers, and each of our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large number of shares of our capital stock eligible for public sale or subject to rights requiring us to register them for public sale could depress the market price of our common stock.</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of a large number of shares of our common stock in the market, and the perception that these sales could occur may also depress the market price of our common stock. Certain stockholders are entitled, under our investors’ rights agreement, to require us to register shares owned by them for public sale in the United States. In addition, we may file a registration statement to register shares reserved for future issuance under our equity compensation plans. As a result, subject to the satisfaction of applicable exercise periods, the shares issued upon exercise of outstanding stock options will be available for immediate resale in the United States in the open market.</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common stock does not provide any rights directly related to the loans we hold.</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may be diluted by the future issuance of additional common stock in connection with our equity incentive plans, acquisitions or otherwise.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612,194,607 shares of authorized but unissued common stock and rights relating to common stock for the consideration and on the terms and conditions established by our Board of Directors in its sole discretion, whether in connection with acquisitions or otherwise. We have reserved 7,792,772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To the extent a large number of shares of our common stock are sold in connection with any “sell to cover” transactions upon vesting of restricted stock units (RSUs) issued to our employees, our stock price may fluctuate.</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U.S. tax laws, employment tax withholding and remittance obligations for RSUs arise in connection with their vesting. To fund the tax withholding and remittance obligations arising in connection with the vesting of RSUs, we use the “sell-to-cover” method, under which shares with a market value equivalent to the tax withholding obligation are sold by a broker on behalf of the holder of the RSUs upon vesting to cover the tax withholding liability and the cash proceeds from such sales are subsequently remitted by us to the taxing authorities. The tax withholding due in connection with such RSU vesting is based on the then-current value of the underlying shares of our common stock. Such sales do not result in the expenditure of additional cash by us to satisfy the tax withholding obligations for RSUs. To the extent a large number of shares are sold in connection with any vesting event, such sales volume may cause our stock price to fluctuate.</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unless certain conditions are met,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75" w:lineRule="exact"/>
        <w:rPr>
          <w:sz w:val="20"/>
          <w:szCs w:val="20"/>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into three classes of directors with staggered three-year terms and directors are only able to be removed from office for cause;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and newly-created seats on our Board of Directors will be able to be filled only by our Board of Directors and not by stockholders;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our Board of Directors, our Chief Executive Officer, our president, or a majority of our entire Board of Directors are authorized to call a special meeting of stockholders;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or our directors, stockholders, officers or employees can only be brought in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the above anti-takeover provisions in our amended and restated certificate of incorporation or amended and restated bylaws will require the approval of at least 66 2/3% of the combined voting power of our then-outstanding shares of our capital stock.</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amended and restated bylaws designate a state or federal court located within the State of Delaware (or any federal district court, for Securities Act claims) as the exclusive forum for substantially all disputes between us and our stockholders, which could limit our stockholders’ ability to choose the judicial forum for disputes with us or our directors, officers or employees.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are the sole and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governing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person or entity purchasing, holding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or other courts have exclusive jurisdiction. If a court were to find either of the exclusive-forum provisions in our amended and restated bylaws to be inapplicable or unenforceable in an action, we may incur additional costs associated with resolving the dispute in other jurisdictions, which could harm our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common stock market price and trading volume could decline if equity or industry analysts do not publish research or publish inaccurate or unfavorable research about our business.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requirements of being a public company may strain our resources, divert management’s attention and affect our ability to attract and retain qualified board members.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especially once we are no longer an “emerging growth company.”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for the foreseeable future.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There were no repurchases of the Company’s common stock during the three months ended March 31,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Securities Trading Plans of Executive Officers and Directors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some of the Company’s executive officers or directors may determine that it is advisable to diversify their investments for personal financial planning reasons or may seek liquidity for other reasons and may sell shares of common stock of the Company. To effect such sales, from time to time, some of the Company’s executive officers or directors may enter into trading plans that are designed to comply with the Company’s Insider Trading Policy and intended to satisfy the affirmative defense conditions of Rule 10b5-1(c) of the Securities Exchange Act of 1934, as amended (the “Exchange Act”).</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2024, each of the following officers (as defined in Rule 16a-1(f) of the Exchange Act) of the Company has adopted a contract, instruction or written plan for the sale of securities of the Company intended to satisfy the affirmative defense conditions of Rule 10b5–1(c) of the Exchange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title of officer: Sanjay Datta, 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adoption: February 26,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November 18, 2024 or earlier if all transactions under the trading arrangement are completed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number of securities to be sold from time to time: up to 39,000 shares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title of officer: Paul Gu, Chief Technology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adoption: February 28,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May 31, 2025 or earlier if all transactions under the trading arrangement are completed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number of securities to be sold from time to time: up to 670,000 shares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title of officer: Scott Darling, Chief Legal Officer and Corporate Secretary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adoption: February 29,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May 30, 2025 or earlier if all transactions under the trading arrangement are completed</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Aggregate number of securities to be sold from time to time: up to 257,877 shares, plus any additional shares to be received upon the vesting of restricted stock units to occur on various dates within the duration of the trading arrangement, net of shares withheld to cover tax obligations upon the vesting, plus any shares purchased under the ESPP</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2024, the following officer (as defined in Rule 16a-1(f) of the Exchange Act) of the Company has terminated a contract, instruction or written plan for the sale of securities of the Company intended to satisfy the affirmative defense conditions of Rule 10b5–1(c) of the Exchange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title of officer: Scott Darling, Chief Legal Officer and Corporate Secretary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termination: February 27,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July 31, 2024 or earlier if all transactions under the trading arrangement are completed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number of securities to be sold from time to time: up to 250,821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below are filed as part of this Quarterly Report on Form 10-Q or are incorporated herein by reference, in each case as indicated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EXHIBIT INDEX</w:t>
      </w:r>
    </w:p>
    <w:p>
      <w:pPr>
        <w:spacing w:after="0" w:line="30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ectPr>
          <w:pgSz w:w="11900" w:h="16838" w:orient="portrait"/>
          <w:cols w:equalWidth="0" w:num="1">
            <w:col w:w="11240"/>
          </w:cols>
          <w:pgMar w:left="320" w:top="1247" w:right="339" w:bottom="1440" w:gutter="0" w:footer="0" w:header="0"/>
        </w:sectPr>
      </w:pP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left="1760"/>
        <w:spacing w:after="0"/>
        <w:tabs>
          <w:tab w:leader="none" w:pos="4720" w:val="left"/>
          <w:tab w:leader="none" w:pos="5840" w:val="left"/>
          <w:tab w:leader="none" w:pos="7080" w:val="left"/>
          <w:tab w:leader="none" w:pos="8540" w:val="left"/>
        </w:tabs>
        <w:rPr>
          <w:sz w:val="20"/>
          <w:szCs w:val="20"/>
          <w:color w:val="auto"/>
        </w:rPr>
      </w:pP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8"/>
          <w:szCs w:val="18"/>
          <w:b w:val="1"/>
          <w:bCs w:val="1"/>
          <w:color w:val="auto"/>
        </w:rPr>
        <w:t>Form</w:t>
      </w:r>
      <w:r>
        <w:rPr>
          <w:sz w:val="20"/>
          <w:szCs w:val="20"/>
          <w:color w:val="auto"/>
        </w:rPr>
        <w:tab/>
      </w:r>
      <w:r>
        <w:rPr>
          <w:rFonts w:ascii="Times New Roman" w:cs="Times New Roman" w:eastAsia="Times New Roman" w:hAnsi="Times New Roman"/>
          <w:sz w:val="18"/>
          <w:szCs w:val="18"/>
          <w:b w:val="1"/>
          <w:bCs w:val="1"/>
          <w:color w:val="auto"/>
        </w:rPr>
        <w:t>File No.</w:t>
      </w:r>
      <w:r>
        <w:rPr>
          <w:sz w:val="20"/>
          <w:szCs w:val="20"/>
          <w:color w:val="auto"/>
        </w:rPr>
        <w:tab/>
      </w: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19685</wp:posOffset>
            </wp:positionV>
            <wp:extent cx="7132320" cy="436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3482340</wp:posOffset>
            </wp:positionH>
            <wp:positionV relativeFrom="paragraph">
              <wp:posOffset>-245110</wp:posOffset>
            </wp:positionV>
            <wp:extent cx="28803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Exchange Act Rules 13a-14(a) and 15d-14(a), as adopted</w:t>
      </w:r>
    </w:p>
    <w:p>
      <w:pPr>
        <w:spacing w:after="0"/>
        <w:rPr>
          <w:sz w:val="20"/>
          <w:szCs w:val="20"/>
          <w:color w:val="auto"/>
        </w:rPr>
      </w:pPr>
      <w:r>
        <w:rPr>
          <w:rFonts w:ascii="Times New Roman" w:cs="Times New Roman" w:eastAsia="Times New Roman" w:hAnsi="Times New Roman"/>
          <w:sz w:val="18"/>
          <w:szCs w:val="18"/>
          <w:u w:val="single" w:color="auto"/>
          <w:color w:val="0000FF"/>
        </w:rPr>
        <w:t>pursuant to Section 302 of the Sarbanes-Oxley Act of 2002.</w:t>
      </w:r>
    </w:p>
    <w:p>
      <w:pPr>
        <w:spacing w:after="0" w:line="30" w:lineRule="exact"/>
        <w:rPr>
          <w:sz w:val="20"/>
          <w:szCs w:val="20"/>
          <w:color w:val="auto"/>
        </w:rPr>
      </w:pPr>
    </w:p>
    <w:p>
      <w:pPr>
        <w:sectPr>
          <w:pgSz w:w="11900" w:h="16838" w:orient="portrait"/>
          <w:cols w:equalWidth="0" w:num="2">
            <w:col w:w="880" w:space="340"/>
            <w:col w:w="10020"/>
          </w:cols>
          <w:pgMar w:left="320" w:top="124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w:t>
            </w:r>
          </w:p>
        </w:tc>
        <w:tc>
          <w:tcPr>
            <w:tcW w:w="6100" w:type="dxa"/>
            <w:vAlign w:val="bottom"/>
            <w:gridSpan w:val="6"/>
          </w:tcPr>
          <w:p>
            <w:pPr>
              <w:spacing w:after="0"/>
              <w:rPr>
                <w:sz w:val="18"/>
                <w:szCs w:val="18"/>
                <w:color w:val="auto"/>
              </w:rPr>
            </w:pPr>
          </w:p>
        </w:tc>
      </w:tr>
      <w:tr>
        <w:trPr>
          <w:trHeight w:val="183"/>
        </w:trPr>
        <w:tc>
          <w:tcPr>
            <w:tcW w:w="1220" w:type="dxa"/>
            <w:vAlign w:val="bottom"/>
          </w:tcPr>
          <w:p>
            <w:pPr>
              <w:spacing w:after="0"/>
              <w:rPr>
                <w:sz w:val="15"/>
                <w:szCs w:val="15"/>
                <w:color w:val="auto"/>
              </w:rPr>
            </w:pPr>
          </w:p>
        </w:tc>
        <w:tc>
          <w:tcPr>
            <w:tcW w:w="1002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Exchange Act Rules 13a-14(a) and 15d-14(a), as adopted</w:t>
            </w: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1002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48"/>
        </w:trPr>
        <w:tc>
          <w:tcPr>
            <w:tcW w:w="12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5720" w:type="dxa"/>
            <w:vAlign w:val="bottom"/>
          </w:tcPr>
          <w:p>
            <w:pPr>
              <w:spacing w:after="0"/>
              <w:rPr>
                <w:sz w:val="4"/>
                <w:szCs w:val="4"/>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02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Certifications of Principal Executive Officer and Principal</w:t>
            </w: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4180" w:type="dxa"/>
            <w:vAlign w:val="bottom"/>
            <w:tcBorders>
              <w:top w:val="single" w:sz="8" w:color="0000FF"/>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100" w:type="dxa"/>
            <w:vAlign w:val="bottom"/>
            <w:tcBorders>
              <w:top w:val="single" w:sz="8" w:color="CCEEFF"/>
            </w:tcBorders>
            <w:shd w:val="clear" w:color="auto" w:fill="CCEEFF"/>
          </w:tcPr>
          <w:p>
            <w:pPr>
              <w:spacing w:after="0"/>
              <w:rPr>
                <w:sz w:val="13"/>
                <w:szCs w:val="13"/>
                <w:color w:val="auto"/>
              </w:rPr>
            </w:pPr>
          </w:p>
        </w:tc>
        <w:tc>
          <w:tcPr>
            <w:tcW w:w="5740" w:type="dxa"/>
            <w:vAlign w:val="bottom"/>
            <w:tcBorders>
              <w:top w:val="single" w:sz="8" w:color="CCEEFF"/>
            </w:tcBorders>
            <w:gridSpan w:val="2"/>
            <w:shd w:val="clear" w:color="auto" w:fill="CCEEFF"/>
          </w:tcPr>
          <w:p>
            <w:pPr>
              <w:spacing w:after="0"/>
              <w:rPr>
                <w:sz w:val="13"/>
                <w:szCs w:val="13"/>
                <w:color w:val="auto"/>
              </w:rPr>
            </w:pPr>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4020" w:type="dxa"/>
            <w:vAlign w:val="bottom"/>
            <w:tcBorders>
              <w:top w:val="single" w:sz="8" w:color="0000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906 of the Sarbanes-Oxley</w:t>
            </w:r>
          </w:p>
        </w:tc>
        <w:tc>
          <w:tcPr>
            <w:tcW w:w="6000" w:type="dxa"/>
            <w:vAlign w:val="bottom"/>
            <w:tcBorders>
              <w:top w:val="single" w:sz="8" w:color="CCEEFF"/>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Act</w:t>
            </w:r>
          </w:p>
        </w:tc>
      </w:tr>
      <w:tr>
        <w:trPr>
          <w:trHeight w:val="190"/>
        </w:trPr>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0000FF"/>
              <w:bottom w:val="single" w:sz="8" w:color="0000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6"/>
              </w:rPr>
              <w:t>of 2002.</w:t>
            </w:r>
          </w:p>
        </w:tc>
        <w:tc>
          <w:tcPr>
            <w:tcW w:w="368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57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22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30"/>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175"/>
        </w:trPr>
        <w:tc>
          <w:tcPr>
            <w:tcW w:w="1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101.CAL*</w:t>
            </w:r>
          </w:p>
        </w:tc>
        <w:tc>
          <w:tcPr>
            <w:tcW w:w="100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9"/>
        </w:trPr>
        <w:tc>
          <w:tcPr>
            <w:tcW w:w="122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80"/>
        </w:trPr>
        <w:tc>
          <w:tcPr>
            <w:tcW w:w="12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101.DEF*</w:t>
            </w:r>
          </w:p>
        </w:tc>
        <w:tc>
          <w:tcPr>
            <w:tcW w:w="10020" w:type="dxa"/>
            <w:vAlign w:val="bottom"/>
            <w:gridSpan w:val="8"/>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43"/>
        </w:trPr>
        <w:tc>
          <w:tcPr>
            <w:tcW w:w="1220" w:type="dxa"/>
            <w:vAlign w:val="bottom"/>
            <w:shd w:val="clear" w:color="auto" w:fill="CCEEFF"/>
          </w:tcPr>
          <w:p>
            <w:pPr>
              <w:spacing w:after="0"/>
              <w:rPr>
                <w:sz w:val="21"/>
                <w:szCs w:val="21"/>
                <w:color w:val="auto"/>
              </w:rPr>
            </w:pPr>
          </w:p>
        </w:tc>
        <w:tc>
          <w:tcPr>
            <w:tcW w:w="100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75"/>
        </w:trPr>
        <w:tc>
          <w:tcPr>
            <w:tcW w:w="1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101.LAB*</w:t>
            </w:r>
          </w:p>
        </w:tc>
        <w:tc>
          <w:tcPr>
            <w:tcW w:w="100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9"/>
        </w:trPr>
        <w:tc>
          <w:tcPr>
            <w:tcW w:w="122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80"/>
        </w:trPr>
        <w:tc>
          <w:tcPr>
            <w:tcW w:w="12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101.PRE*</w:t>
            </w:r>
          </w:p>
        </w:tc>
        <w:tc>
          <w:tcPr>
            <w:tcW w:w="10020" w:type="dxa"/>
            <w:vAlign w:val="bottom"/>
            <w:gridSpan w:val="8"/>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43"/>
        </w:trPr>
        <w:tc>
          <w:tcPr>
            <w:tcW w:w="1220" w:type="dxa"/>
            <w:vAlign w:val="bottom"/>
            <w:shd w:val="clear" w:color="auto" w:fill="CCEEFF"/>
          </w:tcPr>
          <w:p>
            <w:pPr>
              <w:spacing w:after="0"/>
              <w:rPr>
                <w:sz w:val="21"/>
                <w:szCs w:val="21"/>
                <w:color w:val="auto"/>
              </w:rPr>
            </w:pPr>
          </w:p>
        </w:tc>
        <w:tc>
          <w:tcPr>
            <w:tcW w:w="100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75"/>
        </w:trPr>
        <w:tc>
          <w:tcPr>
            <w:tcW w:w="1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104.0</w:t>
            </w:r>
          </w:p>
        </w:tc>
        <w:tc>
          <w:tcPr>
            <w:tcW w:w="100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234"/>
        </w:trPr>
        <w:tc>
          <w:tcPr>
            <w:tcW w:w="122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212529"/>
        </w:rPr>
        <w:t>*</w:t>
      </w:r>
      <w:r>
        <w:rPr>
          <w:sz w:val="20"/>
          <w:szCs w:val="20"/>
          <w:color w:val="auto"/>
        </w:rPr>
        <w:tab/>
      </w:r>
      <w:r>
        <w:rPr>
          <w:rFonts w:ascii="Times New Roman" w:cs="Times New Roman" w:eastAsia="Times New Roman" w:hAnsi="Times New Roman"/>
          <w:sz w:val="17"/>
          <w:szCs w:val="17"/>
          <w:color w:val="212529"/>
        </w:rPr>
        <w:t>Filed herewith.</w:t>
      </w:r>
    </w:p>
    <w:p>
      <w:pPr>
        <w:spacing w:after="0" w:line="9" w:lineRule="exact"/>
        <w:rPr>
          <w:sz w:val="20"/>
          <w:szCs w:val="20"/>
          <w:color w:val="auto"/>
        </w:rPr>
      </w:pPr>
    </w:p>
    <w:p>
      <w:pPr>
        <w:ind w:left="280" w:hanging="272"/>
        <w:spacing w:after="0"/>
        <w:tabs>
          <w:tab w:leader="none" w:pos="280" w:val="left"/>
        </w:tabs>
        <w:numPr>
          <w:ilvl w:val="0"/>
          <w:numId w:val="49"/>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Indicates management contract or compensatory plan.</w:t>
      </w:r>
    </w:p>
    <w:p>
      <w:pPr>
        <w:spacing w:after="0" w:line="9" w:lineRule="exact"/>
        <w:rPr>
          <w:sz w:val="20"/>
          <w:szCs w:val="20"/>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Portions of this exhibit (indicated by asterisk) have been excluded because such information is both (i) not material and (ii) would be competitively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harmful if publicly disclosed.</w:t>
      </w:r>
    </w:p>
    <w:p>
      <w:pPr>
        <w:spacing w:after="0" w:line="9" w:lineRule="exact"/>
        <w:rPr>
          <w:sz w:val="20"/>
          <w:szCs w:val="20"/>
          <w:color w:val="auto"/>
        </w:rPr>
      </w:pPr>
    </w:p>
    <w:p>
      <w:pPr>
        <w:ind w:left="660" w:hanging="652"/>
        <w:spacing w:after="0" w:line="253" w:lineRule="auto"/>
        <w:tabs>
          <w:tab w:leader="none" w:pos="29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type w:val="continuous"/>
        </w:sectPr>
      </w:pPr>
    </w:p>
    <w:bookmarkStart w:id="146" w:name="page147"/>
    <w:bookmarkEnd w:id="146"/>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90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Upstart Holdings, Inc.</w:t>
            </w:r>
          </w:p>
        </w:tc>
      </w:tr>
      <w:tr>
        <w:trPr>
          <w:trHeight w:val="229"/>
        </w:trPr>
        <w:tc>
          <w:tcPr>
            <w:tcW w:w="1960" w:type="dxa"/>
            <w:vAlign w:val="bottom"/>
          </w:tcPr>
          <w:p>
            <w:pPr>
              <w:spacing w:after="0"/>
              <w:rPr>
                <w:sz w:val="19"/>
                <w:szCs w:val="19"/>
                <w:color w:val="auto"/>
              </w:rPr>
            </w:pPr>
          </w:p>
        </w:tc>
        <w:tc>
          <w:tcPr>
            <w:tcW w:w="9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(Registrant)</w:t>
            </w:r>
          </w:p>
        </w:tc>
      </w:tr>
      <w:tr>
        <w:trPr>
          <w:trHeight w:val="234"/>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1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By:</w:t>
            </w:r>
          </w:p>
        </w:tc>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Dave Girouard</w:t>
            </w:r>
          </w:p>
        </w:tc>
      </w:tr>
      <w:tr>
        <w:trPr>
          <w:trHeight w:val="218"/>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Dave Girouard</w:t>
            </w:r>
          </w:p>
        </w:tc>
      </w:tr>
      <w:tr>
        <w:trPr>
          <w:trHeight w:val="228"/>
        </w:trPr>
        <w:tc>
          <w:tcPr>
            <w:tcW w:w="1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1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8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1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By:</w:t>
            </w:r>
          </w:p>
        </w:tc>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Sanjay Datta</w:t>
            </w:r>
          </w:p>
        </w:tc>
      </w:tr>
      <w:tr>
        <w:trPr>
          <w:trHeight w:val="218"/>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Sanjay Datta</w:t>
            </w:r>
          </w:p>
        </w:tc>
      </w:tr>
      <w:tr>
        <w:trPr>
          <w:trHeight w:val="228"/>
        </w:trPr>
        <w:tc>
          <w:tcPr>
            <w:tcW w:w="1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1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440"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Dave Girouard, certify that:</w:t>
      </w:r>
    </w:p>
    <w:p>
      <w:pPr>
        <w:spacing w:after="0" w:line="225" w:lineRule="exact"/>
        <w:rPr>
          <w:sz w:val="20"/>
          <w:szCs w:val="20"/>
          <w:color w:val="auto"/>
        </w:rPr>
      </w:pPr>
    </w:p>
    <w:p>
      <w:pPr>
        <w:ind w:left="180" w:hanging="172"/>
        <w:spacing w:after="0"/>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Upstart Holdings,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0" w:firstLine="8"/>
        <w:spacing w:after="0" w:line="282"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right="140" w:firstLine="8"/>
        <w:spacing w:after="0" w:line="266" w:lineRule="auto"/>
        <w:tabs>
          <w:tab w:leader="none" w:pos="2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300" w:firstLine="8"/>
        <w:spacing w:after="0" w:line="282" w:lineRule="auto"/>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24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89"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UPSTART HOLDINGS, INC.</w:t>
      </w:r>
    </w:p>
    <w:p>
      <w:pPr>
        <w:spacing w:after="0" w:line="372" w:lineRule="exact"/>
        <w:rPr>
          <w:sz w:val="20"/>
          <w:szCs w:val="20"/>
          <w:color w:val="auto"/>
        </w:rPr>
      </w:pPr>
    </w:p>
    <w:p>
      <w:pPr>
        <w:ind w:left="18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43180</wp:posOffset>
            </wp:positionV>
            <wp:extent cx="24345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0139"/>
          </w:cols>
          <w:pgMar w:left="320" w:top="1309" w:right="1440" w:bottom="1440" w:gutter="0" w:footer="0" w:header="0"/>
        </w:sectPr>
      </w:pP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Dave Girouard</w:t>
      </w:r>
    </w:p>
    <w:p>
      <w:pPr>
        <w:spacing w:after="0" w:line="97" w:lineRule="exact"/>
        <w:rPr>
          <w:sz w:val="20"/>
          <w:szCs w:val="20"/>
          <w:color w:val="auto"/>
        </w:rPr>
      </w:pPr>
    </w:p>
    <w:p>
      <w:pPr>
        <w:sectPr>
          <w:pgSz w:w="11900" w:h="16838" w:orient="portrait"/>
          <w:cols w:equalWidth="0" w:num="2">
            <w:col w:w="660" w:space="280"/>
            <w:col w:w="9199"/>
          </w:cols>
          <w:pgMar w:left="320" w:top="1309"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2">
            <w:col w:w="580" w:space="360"/>
            <w:col w:w="9199"/>
          </w:cols>
          <w:pgMar w:left="320" w:top="1309" w:right="1440" w:bottom="1440" w:gutter="0" w:footer="0" w:header="0"/>
          <w:type w:val="continuous"/>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Sanjay Datta, certify that:</w:t>
      </w:r>
    </w:p>
    <w:p>
      <w:pPr>
        <w:spacing w:after="0" w:line="225" w:lineRule="exact"/>
        <w:rPr>
          <w:sz w:val="20"/>
          <w:szCs w:val="20"/>
          <w:color w:val="auto"/>
        </w:rPr>
      </w:pPr>
    </w:p>
    <w:p>
      <w:pPr>
        <w:ind w:left="180" w:hanging="172"/>
        <w:spacing w:after="0"/>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Upstart Holdings,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0" w:firstLine="8"/>
        <w:spacing w:after="0" w:line="282" w:lineRule="auto"/>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right="140" w:firstLine="8"/>
        <w:spacing w:after="0" w:line="266" w:lineRule="auto"/>
        <w:tabs>
          <w:tab w:leader="none" w:pos="2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300" w:firstLine="8"/>
        <w:spacing w:after="0" w:line="282" w:lineRule="auto"/>
        <w:tabs>
          <w:tab w:leader="none" w:pos="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2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89"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UPSTART HOLDINGS, INC.</w:t>
      </w:r>
    </w:p>
    <w:p>
      <w:pPr>
        <w:spacing w:after="0" w:line="372" w:lineRule="exact"/>
        <w:rPr>
          <w:sz w:val="20"/>
          <w:szCs w:val="20"/>
          <w:color w:val="auto"/>
        </w:rPr>
      </w:pPr>
    </w:p>
    <w:p>
      <w:pPr>
        <w:ind w:left="18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43180</wp:posOffset>
            </wp:positionV>
            <wp:extent cx="24345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0139"/>
          </w:cols>
          <w:pgMar w:left="320" w:top="1309" w:right="1440" w:bottom="1440" w:gutter="0" w:footer="0" w:header="0"/>
        </w:sectPr>
      </w:pP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Sanjay Datta</w:t>
      </w:r>
    </w:p>
    <w:p>
      <w:pPr>
        <w:spacing w:after="0" w:line="97" w:lineRule="exact"/>
        <w:rPr>
          <w:sz w:val="20"/>
          <w:szCs w:val="20"/>
          <w:color w:val="auto"/>
        </w:rPr>
      </w:pPr>
    </w:p>
    <w:p>
      <w:pPr>
        <w:sectPr>
          <w:pgSz w:w="11900" w:h="16838" w:orient="portrait"/>
          <w:cols w:equalWidth="0" w:num="2">
            <w:col w:w="660" w:space="280"/>
            <w:col w:w="9199"/>
          </w:cols>
          <w:pgMar w:left="320" w:top="1309"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2">
            <w:col w:w="580" w:space="360"/>
            <w:col w:w="9199"/>
          </w:cols>
          <w:pgMar w:left="320" w:top="1309" w:right="1440" w:bottom="1440" w:gutter="0" w:footer="0" w:header="0"/>
          <w:type w:val="continuous"/>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CERTIFICATIONS OF PRINCIPAL EXECUTIVE OFFICER AND PRINCIPAL FINANCIAL OFFICER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 Dave Girouard, certify, pursuant to 18 U.S.C. Section 1350, as adopted pursuant to Section 906 of the Sarbanes-Oxley Act of 2002, that the Quarterly Report on Form 10-Q of Upstart Holdings, Inc. for the quarter ended March 31, 2024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May 7, 2024</w:t>
            </w:r>
          </w:p>
        </w:tc>
        <w:tc>
          <w:tcPr>
            <w:tcW w:w="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 Dave Girouard</w:t>
            </w:r>
          </w:p>
        </w:tc>
      </w:tr>
      <w:tr>
        <w:trPr>
          <w:trHeight w:val="269"/>
        </w:trPr>
        <w:tc>
          <w:tcPr>
            <w:tcW w:w="5480" w:type="dxa"/>
            <w:vAlign w:val="bottom"/>
            <w:tcBorders>
              <w:top w:val="single" w:sz="8" w:color="FEFEFE"/>
            </w:tcBorders>
            <w:shd w:val="clear" w:color="auto" w:fill="FEFEFE"/>
          </w:tcPr>
          <w:p>
            <w:pPr>
              <w:spacing w:after="0"/>
              <w:rPr>
                <w:sz w:val="23"/>
                <w:szCs w:val="23"/>
                <w:color w:val="auto"/>
              </w:rPr>
            </w:pPr>
          </w:p>
        </w:tc>
        <w:tc>
          <w:tcPr>
            <w:tcW w:w="88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Dave Girouard</w:t>
            </w:r>
          </w:p>
        </w:tc>
      </w:tr>
      <w:tr>
        <w:trPr>
          <w:trHeight w:val="324"/>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Chief Executive Officer and President</w:t>
            </w:r>
          </w:p>
        </w:tc>
      </w:tr>
      <w:tr>
        <w:trPr>
          <w:trHeight w:val="310"/>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3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(Principal Executive Officer)</w:t>
            </w:r>
          </w:p>
        </w:tc>
      </w:tr>
      <w:tr>
        <w:trPr>
          <w:trHeight w:val="278"/>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3980" w:type="dxa"/>
            <w:vAlign w:val="bottom"/>
            <w:shd w:val="clear" w:color="auto" w:fill="FEFEFE"/>
          </w:tcPr>
          <w:p>
            <w:pPr>
              <w:spacing w:after="0"/>
              <w:rPr>
                <w:sz w:val="24"/>
                <w:szCs w:val="24"/>
                <w:color w:val="auto"/>
              </w:rPr>
            </w:pPr>
          </w:p>
        </w:tc>
      </w:tr>
    </w:tbl>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 Sanjay Datta, certify, pursuant to 18 U.S.C. Section 1350, as adopted pursuant to Section 906 of the Sarbanes-Oxley Act of 2002, that the Quarterly Report on Form 10-Q of Upstart Holdings, Inc. for the quarter ended March 31, 2024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May 7, 2024</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 Sanjay Datta</w:t>
            </w:r>
          </w:p>
        </w:tc>
      </w:tr>
      <w:tr>
        <w:trPr>
          <w:trHeight w:val="270"/>
        </w:trPr>
        <w:tc>
          <w:tcPr>
            <w:tcW w:w="5480" w:type="dxa"/>
            <w:vAlign w:val="bottom"/>
            <w:tcBorders>
              <w:top w:val="single" w:sz="8" w:color="FEFEFE"/>
            </w:tcBorders>
            <w:shd w:val="clear" w:color="auto" w:fill="FEFEFE"/>
          </w:tcPr>
          <w:p>
            <w:pPr>
              <w:spacing w:after="0"/>
              <w:rPr>
                <w:sz w:val="23"/>
                <w:szCs w:val="23"/>
                <w:color w:val="auto"/>
              </w:rPr>
            </w:pPr>
          </w:p>
        </w:tc>
        <w:tc>
          <w:tcPr>
            <w:tcW w:w="86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Sanjay Datta</w:t>
            </w:r>
          </w:p>
        </w:tc>
      </w:tr>
      <w:tr>
        <w:trPr>
          <w:trHeight w:val="324"/>
        </w:trPr>
        <w:tc>
          <w:tcPr>
            <w:tcW w:w="5480" w:type="dxa"/>
            <w:vAlign w:val="bottom"/>
            <w:shd w:val="clear" w:color="auto" w:fill="FEFEFE"/>
          </w:tcPr>
          <w:p>
            <w:pPr>
              <w:spacing w:after="0"/>
              <w:rPr>
                <w:sz w:val="24"/>
                <w:szCs w:val="24"/>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324"/>
        </w:trPr>
        <w:tc>
          <w:tcPr>
            <w:tcW w:w="548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(Principal Financial Officer)</w:t>
            </w:r>
          </w:p>
        </w:tc>
      </w:tr>
      <w:tr>
        <w:trPr>
          <w:trHeight w:val="48"/>
        </w:trPr>
        <w:tc>
          <w:tcPr>
            <w:tcW w:w="5480" w:type="dxa"/>
            <w:vAlign w:val="bottom"/>
            <w:shd w:val="clear" w:color="auto" w:fill="FEFEFE"/>
          </w:tcPr>
          <w:p>
            <w:pPr>
              <w:spacing w:after="0"/>
              <w:rPr>
                <w:sz w:val="4"/>
                <w:szCs w:val="4"/>
                <w:color w:val="auto"/>
              </w:rPr>
            </w:pPr>
          </w:p>
        </w:tc>
        <w:tc>
          <w:tcPr>
            <w:tcW w:w="860" w:type="dxa"/>
            <w:vAlign w:val="bottom"/>
            <w:shd w:val="clear" w:color="auto" w:fill="FEFEFE"/>
          </w:tcPr>
          <w:p>
            <w:pPr>
              <w:spacing w:after="0"/>
              <w:rPr>
                <w:sz w:val="4"/>
                <w:szCs w:val="4"/>
                <w:color w:val="auto"/>
              </w:rPr>
            </w:pPr>
          </w:p>
        </w:tc>
        <w:tc>
          <w:tcPr>
            <w:tcW w:w="4000" w:type="dxa"/>
            <w:vAlign w:val="bottom"/>
            <w:shd w:val="clear" w:color="auto" w:fill="FEFEFE"/>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240"/>
      </w:cols>
      <w:pgMar w:left="320" w:top="10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6"/>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1)"/>
      <w:numFmt w:val="decimal"/>
      <w:start w:val="3"/>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2"/>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lowerLetter"/>
      <w:start w:val="1"/>
    </w:lvl>
  </w:abstractNum>
  <w:abstractNum w:abstractNumId="32">
    <w:nsid w:val="4B588F54"/>
    <w:multiLevelType w:val="hybridMultilevel"/>
    <w:lvl w:ilvl="0">
      <w:lvlJc w:val="left"/>
      <w:lvlText w:val="%1."/>
      <w:numFmt w:val="lowerLetter"/>
      <w:start w:val="3"/>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1."/>
      <w:numFmt w:val="decimal"/>
      <w:start w:val="5"/>
    </w:lvl>
  </w:abstractNum>
  <w:abstractNum w:abstractNumId="54">
    <w:nsid w:val="1CF10FD8"/>
    <w:multiLevelType w:val="hybridMultilevel"/>
    <w:lvl w:ilvl="0">
      <w:lvlJc w:val="left"/>
      <w:lvlText w:val="(%1)"/>
      <w:numFmt w:val="lowerLetter"/>
      <w:start w:val="1"/>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1)"/>
      <w:numFmt w:val="lowerLetter"/>
      <w:start w:val="1"/>
    </w:lvl>
  </w:abstractNum>
  <w:abstractNum w:abstractNumId="57">
    <w:nsid w:val="47398C89"/>
    <w:multiLevelType w:val="hybridMultilevel"/>
    <w:lvl w:ilvl="0">
      <w:lvlJc w:val="left"/>
      <w:lvlText w:val="%1."/>
      <w:numFmt w:val="decimal"/>
      <w:start w:val="5"/>
    </w:lvl>
  </w:abstractNum>
  <w:abstractNum w:abstractNumId="58">
    <w:nsid w:val="354FE9F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2024-05-08T05:39:13Z</dcterms:created>
  <dcterms:modified xsi:type="dcterms:W3CDTF">2024-05-08T05:39:13Z</dcterms:modified>
</cp:coreProperties>
</file>