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2008.xml.htm"/>
      <w:bookmarkStart w:id="1" w:name="kswkform4_1789082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PARK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w:t>
            </w: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1,102,616</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44,930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$25.505 to $25.585. The Reporting Person undertakes to provide to the Issuer, any security holder of the Issuer, or the staff of the Securities and Exchange Commission,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reportable securities are owned by JECCO, LLC, of which the Reporting Person is a managing member.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(RSUs). Each RSU represents a contingent right to receive one share of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reportable securities are owned by The Paul Xinquan Gu 2021 Gifting Trust,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reportable securities are owned by The Gu Qiao Family Trust, of which the Reporting Person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12"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3999</Characters>
  <CharactersWithSpaces>4661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