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August 4,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w:t>
      </w:r>
    </w:p>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 xml:space="preserve">Upstart Holdings, Inc.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001-39797</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46-4332431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220 Park Road, Suite 500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Burlingame, CA 94010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(833) 212-2461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80" w:after="20"/>
        <w:ind w:left="0" w:right="0" w:hanging="360"/>
        <w:jc w:val="left"/>
        <w:rPr/>
      </w:pPr>
      <w:r>
        <w:rPr>
          <w:color w:val="00000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52" w:type="dxa"/>
        <w:jc w:val="center"/>
        <w:tblInd w:w="0" w:type="dxa"/>
        <w:tblLayout w:type="fixed"/>
        <w:tblCellMar>
          <w:top w:w="28" w:type="dxa"/>
          <w:left w:w="28" w:type="dxa"/>
          <w:bottom w:w="28" w:type="dxa"/>
          <w:right w:w="28" w:type="dxa"/>
        </w:tblCellMar>
      </w:tblPr>
      <w:tblGrid>
        <w:gridCol w:w="1401"/>
        <w:gridCol w:w="1227"/>
        <w:gridCol w:w="1241"/>
        <w:gridCol w:w="109"/>
        <w:gridCol w:w="109"/>
        <w:gridCol w:w="109"/>
        <w:gridCol w:w="474"/>
        <w:gridCol w:w="474"/>
        <w:gridCol w:w="476"/>
        <w:gridCol w:w="109"/>
        <w:gridCol w:w="109"/>
        <w:gridCol w:w="109"/>
        <w:gridCol w:w="1085"/>
        <w:gridCol w:w="1085"/>
        <w:gridCol w:w="1535"/>
      </w:tblGrid>
      <w:tr>
        <w:trPr/>
        <w:tc>
          <w:tcPr>
            <w:tcW w:w="14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Nasdaq Global Select Market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31F20"/>
          <w:sz w:val="20"/>
        </w:rPr>
        <w:t xml:space="preserve">Emerging growth company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On August 4, 2026, Upstar</w:t>
      </w:r>
      <w:r>
        <w:rPr>
          <w:rFonts w:ascii="Times New Roman;serif" w:hAnsi="Times New Roman;serif"/>
          <w:b w:val="false"/>
          <w:color w:val="000000"/>
          <w:sz w:val="20"/>
        </w:rPr>
        <w:t>t Holdings, Inc. (“Upstart”) reported financial results for the fiscal quarter ended June 30, 2026. A copy of the press release is attached as Exhibit 99.1 to this report and is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furnished and shall not be deemed “filed” for purposes of Section 18 of the Securities Exchange Act of 1934, as amended, or otherwise subject to the liabilities of that section. The information shall not be deemed incorporated by reference into any other filing with the Securities and Exchange Commission made by Upstart regardless of any general incorporation language in such filing, except as shall be expressly set forth by specific reference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Upstart is making reference to non-GAAP financial information in both the press release and the conference call. A reconciliation of these non-GAAP financial measures to the comparable GAAP financial measures is contained in the attached press release.</w: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19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579"/>
        <w:gridCol w:w="2579"/>
        <w:gridCol w:w="364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upst991prq22026.htm">
              <w:r>
                <w:rPr>
                  <w:rStyle w:val="InternetLink"/>
                  <w:rFonts w:ascii="Times New Roman;serif" w:hAnsi="Times New Roman;serif"/>
                  <w:b w:val="false"/>
                  <w:color w:val="0000FF"/>
                  <w:sz w:val="20"/>
                  <w:u w:val="single"/>
                </w:rPr>
                <w:t>Press Release issued by Upstart Holdings, Inc. dated August 4,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753"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702"/>
        <w:gridCol w:w="702"/>
        <w:gridCol w:w="996"/>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Upstart Holdings, Inc.</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Andrea Blankmeyer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Andrea Blankmeyer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5525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52575" cy="419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Announces Second Quarter 2026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BURLINGAME, Calif. – August 4, 2026 – </w:t>
      </w:r>
      <w:r>
        <w:rPr>
          <w:rFonts w:ascii="Times New Roman;serif" w:hAnsi="Times New Roman;serif"/>
          <w:b w:val="false"/>
          <w:color w:val="000000"/>
          <w:sz w:val="20"/>
        </w:rPr>
        <w:t>Upstart Holdings, Inc. (NASDAQ: UPST), the leading artificial intelligence (AI) lending marketplace, today announced financial results for the quarter ended June 30, 2026. Upstart will host a conference call and webcast at 1:30 p.m. Pacific Time today. An earnings presentation and link to the webcast are available at ir.upstart.com.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came into this quarter with a clear plan, and we executed against it — re-accelerating growth in core personal loans, moving our secured products rapidly toward profitability, and funding that growth without adding equity capital. The results speak for themselves: originations up 50% year-over-year and we returned to GAAP profitability, with an all-time-high Contribution Profit,” said Paul Gu, Co-founder and CEO. “We've built a technology advantage that keeps compounding, and we've barely scratched the surface of the opportunity in front of us.”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2026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Originations: </w:t>
      </w:r>
      <w:r>
        <w:rPr>
          <w:rFonts w:ascii="Times New Roman;serif" w:hAnsi="Times New Roman;serif"/>
          <w:b w:val="false"/>
          <w:color w:val="000000"/>
          <w:sz w:val="20"/>
          <w:shd w:fill="FFFFFF" w:val="clear"/>
        </w:rPr>
        <w:t>$4.2 billion</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up 50%</w:t>
      </w:r>
      <w:r>
        <w:rPr>
          <w:color w:val="000000"/>
        </w:rPr>
        <w:t xml:space="preserve"> </w:t>
      </w:r>
      <w:r>
        <w:rPr>
          <w:rFonts w:ascii="Times New Roman;serif" w:hAnsi="Times New Roman;serif"/>
          <w:b w:val="false"/>
          <w:color w:val="000000"/>
          <w:sz w:val="20"/>
        </w:rPr>
        <w:t xml:space="preserve">year-over-year (“YoY”). </w:t>
      </w:r>
      <w:r>
        <w:rPr>
          <w:rFonts w:ascii="Times New Roman;serif" w:hAnsi="Times New Roman;serif"/>
          <w:b w:val="false"/>
          <w:color w:val="000000"/>
          <w:sz w:val="20"/>
          <w:shd w:fill="FFFFFF" w:val="clear"/>
        </w:rPr>
        <w:t>558,014</w:t>
      </w:r>
      <w:r>
        <w:rPr>
          <w:color w:val="000000"/>
        </w:rPr>
        <w:t xml:space="preserve"> </w:t>
      </w:r>
      <w:r>
        <w:rPr>
          <w:rFonts w:ascii="Times New Roman;serif" w:hAnsi="Times New Roman;serif"/>
          <w:b w:val="false"/>
          <w:color w:val="000000"/>
          <w:sz w:val="20"/>
        </w:rPr>
        <w:t xml:space="preserve">loans originated, </w:t>
      </w:r>
      <w:r>
        <w:rPr>
          <w:rFonts w:ascii="Times New Roman;serif" w:hAnsi="Times New Roman;serif"/>
          <w:b w:val="false"/>
          <w:color w:val="000000"/>
          <w:sz w:val="20"/>
          <w:shd w:fill="FFFFFF" w:val="clear"/>
        </w:rPr>
        <w:t>up 50%</w:t>
      </w:r>
      <w:r>
        <w:rPr>
          <w:color w:val="000000"/>
        </w:rPr>
        <w:t xml:space="preserve"> </w:t>
      </w:r>
      <w:r>
        <w:rPr>
          <w:rFonts w:ascii="Times New Roman;serif" w:hAnsi="Times New Roman;serif"/>
          <w:b w:val="false"/>
          <w:color w:val="000000"/>
          <w:sz w:val="20"/>
        </w:rPr>
        <w:t>YoY.</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shd w:fill="FFFFFF" w:val="clear"/>
        </w:rPr>
        <w:t>$365 million, up 42%</w:t>
      </w:r>
      <w:r>
        <w:rPr>
          <w:color w:val="000000"/>
        </w:rPr>
        <w:t xml:space="preserve"> </w:t>
      </w:r>
      <w:r>
        <w:rPr>
          <w:rFonts w:ascii="Times New Roman;serif" w:hAnsi="Times New Roman;serif"/>
          <w:b w:val="false"/>
          <w:color w:val="000000"/>
          <w:sz w:val="20"/>
        </w:rPr>
        <w:t xml:space="preserve">YoY. Revenue from fees was </w:t>
      </w:r>
      <w:r>
        <w:rPr>
          <w:rFonts w:ascii="Times New Roman;serif" w:hAnsi="Times New Roman;serif"/>
          <w:b w:val="false"/>
          <w:color w:val="000000"/>
          <w:sz w:val="20"/>
          <w:shd w:fill="FFFFFF" w:val="clear"/>
        </w:rPr>
        <w:t>$348 million, up 45%</w:t>
      </w:r>
      <w:r>
        <w:rPr>
          <w:color w:val="000000"/>
        </w:rPr>
        <w:t xml:space="preserve"> </w:t>
      </w:r>
      <w:r>
        <w:rPr>
          <w:rFonts w:ascii="Times New Roman;serif" w:hAnsi="Times New Roman;serif"/>
          <w:b w:val="false"/>
          <w:color w:val="000000"/>
          <w:sz w:val="20"/>
        </w:rPr>
        <w:t>YoY.</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Income from Operations: </w:t>
      </w:r>
      <w:r>
        <w:rPr>
          <w:rFonts w:ascii="Times New Roman;serif" w:hAnsi="Times New Roman;serif"/>
          <w:b w:val="false"/>
          <w:color w:val="000000"/>
          <w:sz w:val="20"/>
          <w:shd w:fill="FFFFFF" w:val="clear"/>
        </w:rPr>
        <w:t>$14.6 million</w:t>
      </w:r>
      <w:r>
        <w:rPr>
          <w:rFonts w:ascii="Times New Roman;serif" w:hAnsi="Times New Roman;serif"/>
          <w:b w:val="false"/>
          <w:color w:val="000000"/>
          <w:sz w:val="20"/>
        </w:rPr>
        <w:t>, compared to $4.5 million in Q2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$16.5 million</w:t>
      </w:r>
      <w:r>
        <w:rPr>
          <w:rFonts w:ascii="Times New Roman;serif" w:hAnsi="Times New Roman;serif"/>
          <w:b w:val="false"/>
          <w:color w:val="000000"/>
          <w:sz w:val="20"/>
        </w:rPr>
        <w:t xml:space="preserve">, up </w:t>
      </w:r>
      <w:r>
        <w:rPr>
          <w:rFonts w:ascii="Times New Roman;serif" w:hAnsi="Times New Roman;serif"/>
          <w:b w:val="false"/>
          <w:color w:val="000000"/>
          <w:sz w:val="20"/>
          <w:shd w:fill="FFFFFF" w:val="clear"/>
        </w:rPr>
        <w:t>195%</w:t>
      </w:r>
      <w:r>
        <w:rPr>
          <w:color w:val="000000"/>
        </w:rPr>
        <w:t xml:space="preserve"> </w:t>
      </w:r>
      <w:r>
        <w:rPr>
          <w:rFonts w:ascii="Times New Roman;serif" w:hAnsi="Times New Roman;serif"/>
          <w:b w:val="false"/>
          <w:color w:val="000000"/>
          <w:sz w:val="20"/>
        </w:rPr>
        <w:t>YoY from $5.6 million in Q2 2025. Diluted net income per share was $0.16 compared with $0.05 in Q2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Contribution Profit:</w:t>
      </w:r>
      <w:r>
        <w:rPr>
          <w:color w:val="000000"/>
        </w:rPr>
        <w:t xml:space="preserve"> </w:t>
      </w:r>
      <w:r>
        <w:rPr>
          <w:rFonts w:ascii="Times New Roman;serif" w:hAnsi="Times New Roman;serif"/>
          <w:b w:val="false"/>
          <w:color w:val="000000"/>
          <w:sz w:val="20"/>
        </w:rPr>
        <w:t xml:space="preserve">All-time high of </w:t>
      </w:r>
      <w:r>
        <w:rPr>
          <w:rFonts w:ascii="Times New Roman;serif" w:hAnsi="Times New Roman;serif"/>
          <w:b w:val="false"/>
          <w:color w:val="000000"/>
          <w:sz w:val="20"/>
          <w:shd w:fill="FFFFFF" w:val="clear"/>
        </w:rPr>
        <w:t>$193 million, up 37%</w:t>
      </w:r>
      <w:r>
        <w:rPr>
          <w:color w:val="000000"/>
        </w:rPr>
        <w:t xml:space="preserve"> </w:t>
      </w:r>
      <w:r>
        <w:rPr>
          <w:rFonts w:ascii="Times New Roman;serif" w:hAnsi="Times New Roman;serif"/>
          <w:b w:val="false"/>
          <w:color w:val="000000"/>
          <w:sz w:val="20"/>
        </w:rPr>
        <w:t xml:space="preserve">YoY. Contribution Margin was </w:t>
      </w:r>
      <w:r>
        <w:rPr>
          <w:rFonts w:ascii="Times New Roman;serif" w:hAnsi="Times New Roman;serif"/>
          <w:b w:val="false"/>
          <w:color w:val="000000"/>
          <w:sz w:val="20"/>
          <w:shd w:fill="FFFFFF" w:val="clear"/>
        </w:rPr>
        <w:t>55%</w:t>
      </w:r>
      <w:r>
        <w:rPr>
          <w:rFonts w:ascii="Times New Roman;serif" w:hAnsi="Times New Roman;serif"/>
          <w:b w:val="false"/>
          <w:color w:val="000000"/>
          <w:sz w:val="20"/>
        </w:rPr>
        <w:t>, versus 58% in Q2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shd w:fill="FFFFFF" w:val="clear"/>
        </w:rPr>
        <w:t>$76.9 million, up</w:t>
      </w:r>
      <w:r>
        <w:rPr>
          <w:color w:val="000000"/>
        </w:rPr>
        <w:t xml:space="preserve"> </w:t>
      </w:r>
      <w:r>
        <w:rPr>
          <w:rFonts w:ascii="Times New Roman;serif" w:hAnsi="Times New Roman;serif"/>
          <w:b w:val="false"/>
          <w:color w:val="000000"/>
          <w:sz w:val="20"/>
          <w:shd w:fill="FFFFFF" w:val="clear"/>
        </w:rPr>
        <w:t>45%</w:t>
      </w:r>
      <w:r>
        <w:rPr>
          <w:color w:val="000000"/>
        </w:rPr>
        <w:t xml:space="preserve"> </w:t>
      </w:r>
      <w:r>
        <w:rPr>
          <w:rFonts w:ascii="Times New Roman;serif" w:hAnsi="Times New Roman;serif"/>
          <w:b w:val="false"/>
          <w:color w:val="000000"/>
          <w:sz w:val="20"/>
        </w:rPr>
        <w:t xml:space="preserve">YoY from $53.1 million in Q2 2025. Adjusted EBITDA Margin was </w:t>
      </w:r>
      <w:r>
        <w:rPr>
          <w:rFonts w:ascii="Times New Roman;serif" w:hAnsi="Times New Roman;serif"/>
          <w:b w:val="false"/>
          <w:color w:val="000000"/>
          <w:sz w:val="20"/>
          <w:shd w:fill="FFFFFF" w:val="clear"/>
        </w:rPr>
        <w:t xml:space="preserve">21%, </w:t>
      </w:r>
      <w:r>
        <w:rPr>
          <w:rFonts w:ascii="Times New Roman;serif" w:hAnsi="Times New Roman;serif"/>
          <w:b w:val="false"/>
          <w:color w:val="000000"/>
          <w:sz w:val="20"/>
        </w:rPr>
        <w:t>unchanged from Q2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Results by Product Category</w:t>
      </w:r>
      <w:r>
        <w:rPr>
          <w:rFonts w:ascii="Times New Roman;serif" w:hAnsi="Times New Roman;serif"/>
          <w:b w:val="false"/>
          <w:color w:val="000000"/>
          <w:sz w:val="13"/>
        </w:rPr>
        <w:t>1</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Unsecured: </w:t>
      </w:r>
      <w:r>
        <w:rPr>
          <w:rFonts w:ascii="Times New Roman;serif" w:hAnsi="Times New Roman;serif"/>
          <w:b w:val="false"/>
          <w:color w:val="000000"/>
          <w:sz w:val="20"/>
        </w:rPr>
        <w:t>Revenue from fees was $326 million, up 38% YoY. Contribution Profit of $201 million was up 36% YoY, while Contribution Margin was 62%, unchanged from Q2 2025 and up 6 percentage points from 56% in Q1 2026.</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Secured (Auto and Home): </w:t>
      </w:r>
      <w:r>
        <w:rPr>
          <w:rFonts w:ascii="Times New Roman;serif" w:hAnsi="Times New Roman;serif"/>
          <w:b w:val="false"/>
          <w:color w:val="000000"/>
          <w:sz w:val="20"/>
        </w:rPr>
        <w:t>Combined Contribution Margin was negative 35%, improved from negative 176% in Q2 2025 and up 61 percentage points from negative 96% in Q1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full-year 2026, Upstart continues to expect:</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of approximately $1.4 billion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Revenue From Fees</w:t>
      </w:r>
      <w:r>
        <w:rPr>
          <w:color w:val="000000"/>
        </w:rPr>
        <w:t xml:space="preserve"> </w:t>
      </w:r>
      <w:r>
        <w:rPr>
          <w:rFonts w:ascii="Times New Roman;serif" w:hAnsi="Times New Roman;serif"/>
          <w:b w:val="false"/>
          <w:color w:val="000000"/>
          <w:sz w:val="20"/>
        </w:rPr>
        <w:t>of approximately $1.3 billion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EBITDA (Margin % of Total Revenue)</w:t>
      </w:r>
      <w:r>
        <w:rPr>
          <w:color w:val="000000"/>
        </w:rPr>
        <w:t xml:space="preserve"> </w:t>
      </w:r>
      <w:r>
        <w:rPr>
          <w:rFonts w:ascii="Times New Roman;serif" w:hAnsi="Times New Roman;serif"/>
          <w:b w:val="false"/>
          <w:color w:val="000000"/>
          <w:sz w:val="20"/>
        </w:rPr>
        <w:t xml:space="preserve">of approximately $294 million (21%)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This disaggregation does not represent the Company’s operating segments under U.S. GAAP. While Unsecured Lending is a reportable segment, Secured Products include two operating segments, Auto Lending and Other.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Conference Call and Webcast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Live Conference Call and Webcast at 1:30 p.m. PT on August 4, 2026. </w:t>
      </w:r>
      <w:r>
        <w:rPr>
          <w:rFonts w:ascii="Times New Roman;serif" w:hAnsi="Times New Roman;serif"/>
          <w:b w:val="false"/>
          <w:color w:val="000000"/>
          <w:sz w:val="20"/>
        </w:rPr>
        <w:t>To access the call in the United States and Canada: 800-330-6710, conference code 7744842. To access the call outside of the United States and Canada: +1 312-471-1353, conference code 7744842. A webcast is available at ir.upstart.com.</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Event Replay: </w:t>
      </w:r>
      <w:r>
        <w:rPr>
          <w:rFonts w:ascii="Times New Roman;serif" w:hAnsi="Times New Roman;serif"/>
          <w:b w:val="false"/>
          <w:color w:val="000000"/>
          <w:sz w:val="20"/>
        </w:rPr>
        <w:t>A webcast of the event will be archived for one year at ir.upstart.com.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Upstart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Upstart (NASDAQ: UPST) is the leading AI lending marketplace, connecting millions of consumers to more than 100 banks and credit unions that leverage Upstart’s AI models and cloud applications to deliver superior credit products. With Upstart AI, lenders can approve more borrowers at lower rates while delivering the exceptional digital-first experience customers demand. More than 90% of loans are fully automated, with no human intervention by Upstart. Founded in 2012, Upstart’s platform includes personal loans, automotive loans, home equity lines of credit, and Upstart’s new Cash Line product, a revolving line of credit. Upstart is based in Burlingame,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Sonya Banerjee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ir@upstart.com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Eric Smith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press@upstart.com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This press release contains forward-looking statements within the meaning of Section 27A of the Securities Act of 1933, as amended, and Section 21E of the Securities Exchange Act of 1934, as amended, including, but not limited to, statements regarding our outlook for </w:t>
      </w:r>
      <w:r>
        <w:rPr>
          <w:rFonts w:ascii="Times New Roman;serif" w:hAnsi="Times New Roman;serif"/>
          <w:b w:val="false"/>
          <w:color w:val="000000"/>
          <w:sz w:val="20"/>
        </w:rPr>
        <w:t>the full-year of 2026 and beyond. These s</w:t>
      </w:r>
      <w:r>
        <w:rPr>
          <w:rFonts w:ascii="Times New Roman;serif" w:hAnsi="Times New Roman;serif"/>
          <w:b w:val="false"/>
          <w:color w:val="000000"/>
          <w:sz w:val="20"/>
          <w:shd w:fill="FFFFFF" w:val="clear"/>
        </w:rPr>
        <w:t xml:space="preserve">tatements may include words such as “anticipate”, “becoming”, “believe”, “can have”, “continue”, “could”, “estimate”, “expect”, “intend”, “likely”, “look forward”, “may”, “ongoing,” “plan”, “potential”, “predict”, “project”, “should”, “target”, “will”, “would,” or the negative of these terms or other words and terms of similar meaning in connection with any discussion of the timing or nature of future operating or financial performance or other events that do not relate strictly to historical or current facts. Forward-looking statements give our current expectations and projections relating to our financial condition; macroeconomic factors; plans; objectives; product development; growth opportunities and the sustainability of our business and market position; assumptions; risks; future performance; business; investments; and results of operations, including revenue (including revenue from fees and net interest income (loss)), </w:t>
      </w:r>
      <w:r>
        <w:rPr>
          <w:rFonts w:ascii="Times New Roman;serif" w:hAnsi="Times New Roman;serif"/>
          <w:b w:val="false"/>
          <w:color w:val="000000"/>
          <w:sz w:val="20"/>
        </w:rPr>
        <w:t xml:space="preserve">contribution margin, </w:t>
      </w:r>
      <w:r>
        <w:rPr>
          <w:rFonts w:ascii="Times New Roman;serif" w:hAnsi="Times New Roman;serif"/>
          <w:b w:val="false"/>
          <w:color w:val="000000"/>
          <w:sz w:val="20"/>
          <w:shd w:fill="FFFFFF" w:val="clear"/>
        </w:rPr>
        <w:t>net income (loss), Adjusted EBITDA, basic weighted-average share count, and diluted weighted-average share count. Forward-looking statements are based on information available at the time those statements are made or management’s good faith beliefs and assumptions as of that time with respect to future events, including assumptions regarding macroeconomic conditions, credit performance, funding availability, and competitive dynamics, and are subject to risks and uncertainties that could cause actual performance or results to differ materially from those expressed in, or suggested by, the forward-looking statements. Forward-looking statements should not be read as a guarantee of future performance or results. Neither we nor any other person assumes responsibility for the accuracy and completeness of any of these forward-looking statements. We undertake no obligation to update or revise any forward-looking statement as a result of new information, future events or otherwise, except as otherwise required by law.</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More information about factors that could affect our results of operations and risks and uncertainties are provided in our public filings with the Securities and Exchange Commission (the “SEC”), including “Risk Factors” in our most recent Annual Report on Form 10-K and Quarterly Reports on Form 10-Q, copies of which may be obtained by visiting our investor relations website at ir.upstart.com or the SEC’s website at www.sec.gov. These risks and uncertainties include, but are not limited to, our ability to manage the adverse effects of macroeconomic conditions and disruptions in the banking sector and credit markets, including inflation and related changes in interest rates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0"/>
          <w:shd w:fill="FFFFFF" w:val="clear"/>
        </w:rPr>
        <w:t>monetary policy; our ability to access sufficient loan funding, including through securitizations, committed capital and other co-investment arrangements, whole loan sales, and warehouse credit facilities; the effectiveness of our credit decisioning models and risk management efforts,</w:t>
      </w:r>
      <w:r>
        <w:rPr>
          <w:color w:val="000000"/>
        </w:rPr>
        <w:t xml:space="preserve"> </w:t>
      </w:r>
      <w:r>
        <w:rPr>
          <w:rFonts w:ascii="Times New Roman;serif" w:hAnsi="Times New Roman;serif"/>
          <w:b w:val="false"/>
          <w:color w:val="000000"/>
          <w:sz w:val="20"/>
          <w:shd w:fill="FFFFFF" w:val="clear"/>
        </w:rPr>
        <w:t>including reflecting the impact of macroeconomic conditions on borrowers' credit risk; our ability to retain existing, and attract new, lending partners; our future growth prospects and financial performance; our ability to manage risks associated with the loans on our balance sheet; our ability to improve and expand our platform and products; and our ability to operate successfully in a highly-regulated industry. Moreover, we operate in very competitive and rapidly changing environments, and new risks may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Additional information will be available in other future reports that we file with the SEC from time to time, which could cause actual results to vary from expectations.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Operating Metrics and Non-GAAP Financial Measures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Beginning in the second quarter of 2026, we refer to the metrics “Transaction Volume, Dollars” and “Transaction Volume, Number of Loans” as “Originations, Dollars” and “Originations, Number of Loans,” respectively, to reflect management’s internal terminology. We define </w:t>
      </w:r>
      <w:r>
        <w:rPr>
          <w:rFonts w:ascii="Times New Roman;serif" w:hAnsi="Times New Roman;serif"/>
          <w:b/>
          <w:color w:val="000000"/>
          <w:sz w:val="20"/>
        </w:rPr>
        <w:t>Originations, Dollars</w:t>
      </w:r>
      <w:r>
        <w:rPr>
          <w:color w:val="000000"/>
        </w:rPr>
        <w:t xml:space="preserve"> </w:t>
      </w:r>
      <w:r>
        <w:rPr>
          <w:rFonts w:ascii="Times New Roman;serif" w:hAnsi="Times New Roman;serif"/>
          <w:b w:val="false"/>
          <w:color w:val="000000"/>
          <w:sz w:val="20"/>
        </w:rPr>
        <w:t xml:space="preserve">as the aggregate of: (i) the total principal of loan originations for personal loans, small dollar loans, and auto loans, (ii) committed amounts for HELOCs, and (iii) drawn amounts for unsecured revolving credit lines (Cash Line), in each case facilitated on our marketplace during the periods presented. We define </w:t>
      </w:r>
      <w:r>
        <w:rPr>
          <w:rFonts w:ascii="Times New Roman;serif" w:hAnsi="Times New Roman;serif"/>
          <w:b/>
          <w:color w:val="000000"/>
          <w:sz w:val="20"/>
        </w:rPr>
        <w:t>Originations, Number of Loans</w:t>
      </w:r>
      <w:r>
        <w:rPr>
          <w:color w:val="000000"/>
        </w:rPr>
        <w:t xml:space="preserve"> </w:t>
      </w:r>
      <w:r>
        <w:rPr>
          <w:rFonts w:ascii="Times New Roman;serif" w:hAnsi="Times New Roman;serif"/>
          <w:b w:val="false"/>
          <w:color w:val="000000"/>
          <w:sz w:val="20"/>
        </w:rPr>
        <w:t xml:space="preserve">as the total number of such originations, commitments, and draws, as applicable, facilitated on our marketplace during the periods presented. We believe these metrics are good proxies for our overall scale and reach as a marketplace.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define </w:t>
      </w:r>
      <w:r>
        <w:rPr>
          <w:rFonts w:ascii="Times New Roman;serif" w:hAnsi="Times New Roman;serif"/>
          <w:b/>
          <w:color w:val="000000"/>
          <w:sz w:val="20"/>
        </w:rPr>
        <w:t>Conversion Rate</w:t>
      </w:r>
      <w:r>
        <w:rPr>
          <w:color w:val="000000"/>
        </w:rPr>
        <w:t xml:space="preserve"> </w:t>
      </w:r>
      <w:r>
        <w:rPr>
          <w:rFonts w:ascii="Times New Roman;serif" w:hAnsi="Times New Roman;serif"/>
          <w:b w:val="false"/>
          <w:color w:val="000000"/>
          <w:sz w:val="20"/>
        </w:rPr>
        <w:t xml:space="preserve">as the Originations,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Cash Line is excluded because those borrowers may make multiple draws after the line has been initially approved, and those subsequent draws do not represent additional conversions.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define </w:t>
      </w:r>
      <w:r>
        <w:rPr>
          <w:rFonts w:ascii="Times New Roman;serif" w:hAnsi="Times New Roman;serif"/>
          <w:b/>
          <w:color w:val="000000"/>
          <w:sz w:val="20"/>
        </w:rPr>
        <w:t>Percentage of Loans Fully Automated</w:t>
      </w:r>
      <w:r>
        <w:rPr>
          <w:color w:val="000000"/>
        </w:rPr>
        <w:t xml:space="preserve"> </w:t>
      </w:r>
      <w:r>
        <w:rPr>
          <w:rFonts w:ascii="Times New Roman;serif" w:hAnsi="Times New Roman;serif"/>
          <w:b w:val="false"/>
          <w:color w:val="000000"/>
          <w:sz w:val="20"/>
        </w:rPr>
        <w:t>as the total number of loans in a given period originated end-to-end with no human involvement required by the Company divided by the Originations, Number of Loans in the same period. Cash Line is excluded because those borrowers may make multiple draws after the line has been initially approved, and those subsequent draws do not represent additional automation. Under this definition, “originated end-to-end” means (i) from initial rate request to final funding for personal loans, including small dollar loans, and (ii) from initial rate request to loan approval for auto loans and HELOCs, due to certain jurisdictions’ local requirements and external dependencies that require human action prior to funding.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 derive</w:t>
      </w:r>
      <w:r>
        <w:rPr>
          <w:color w:val="000000"/>
        </w:rPr>
        <w:t xml:space="preserve"> </w:t>
      </w:r>
      <w:r>
        <w:rPr>
          <w:rFonts w:ascii="Times New Roman;serif" w:hAnsi="Times New Roman;serif"/>
          <w:b/>
          <w:color w:val="000000"/>
          <w:sz w:val="20"/>
        </w:rPr>
        <w:t>Contribution Profit</w:t>
      </w:r>
      <w:r>
        <w:rPr>
          <w:rFonts w:ascii="Times New Roman;serif" w:hAnsi="Times New Roman;serif"/>
          <w:b w:val="false"/>
          <w:color w:val="000000"/>
          <w:sz w:val="20"/>
        </w:rPr>
        <w:t>, we subtract the sum of borrower acquisition costs as well as borrower verification and servicing costs from revenue from fees, net. To calculate</w:t>
      </w:r>
      <w:r>
        <w:rPr>
          <w:color w:val="000000"/>
        </w:rPr>
        <w:t xml:space="preserve"> </w:t>
      </w:r>
      <w:r>
        <w:rPr>
          <w:rFonts w:ascii="Times New Roman;serif" w:hAnsi="Times New Roman;serif"/>
          <w:b/>
          <w:color w:val="000000"/>
          <w:sz w:val="20"/>
        </w:rPr>
        <w:t xml:space="preserve">Contribution Margin </w:t>
      </w:r>
      <w:r>
        <w:rPr>
          <w:rFonts w:ascii="Times New Roman;serif" w:hAnsi="Times New Roman;serif"/>
          <w:b w:val="false"/>
          <w:color w:val="000000"/>
          <w:sz w:val="20"/>
        </w:rPr>
        <w:t>we divide Contribution Profit by revenue from fees,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calculate </w:t>
      </w:r>
      <w:r>
        <w:rPr>
          <w:rFonts w:ascii="Times New Roman;serif" w:hAnsi="Times New Roman;serif"/>
          <w:b/>
          <w:color w:val="000000"/>
          <w:sz w:val="20"/>
        </w:rPr>
        <w:t xml:space="preserve">Adjusted EBITDA </w:t>
      </w:r>
      <w:r>
        <w:rPr>
          <w:rFonts w:ascii="Times New Roman;serif" w:hAnsi="Times New Roman;serif"/>
          <w:b w:val="false"/>
          <w:color w:val="000000"/>
          <w:sz w:val="20"/>
        </w:rPr>
        <w:t xml:space="preserve">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w:t>
      </w:r>
      <w:r>
        <w:rPr>
          <w:rFonts w:ascii="Times New Roman;serif" w:hAnsi="Times New Roman;serif"/>
          <w:b/>
          <w:color w:val="000000"/>
          <w:sz w:val="20"/>
        </w:rPr>
        <w:t>Adjusted EBITDA Margin</w:t>
      </w:r>
      <w:r>
        <w:rPr>
          <w:color w:val="000000"/>
        </w:rPr>
        <w:t xml:space="preserve"> </w:t>
      </w:r>
      <w:r>
        <w:rPr>
          <w:rFonts w:ascii="Times New Roman;serif" w:hAnsi="Times New Roman;serif"/>
          <w:b w:val="false"/>
          <w:color w:val="000000"/>
          <w:sz w:val="20"/>
        </w:rPr>
        <w:t>as Adjusted EBITDA divided by total revenue. Adjusted EBITDA and Adjusted EBITDA Margin include interest expense from corporate debt and warehouse credit facilities which is incurred in the course of earning corresponding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 tables of the most comparable GAAP financial measures to the non-GAAP financial measures used in this press release are included below. Upstart has not reconciled the forward-looking non-GAAP measures to comparable forward-looking GAAP measures because of the potential variability and uncertainty of incurring these costs and expenses in the future. Accordingly, a reconciliation is not available without unreasonable effort.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36"/>
        <w:gridCol w:w="2129"/>
        <w:gridCol w:w="2148"/>
        <w:gridCol w:w="109"/>
        <w:gridCol w:w="109"/>
        <w:gridCol w:w="109"/>
        <w:gridCol w:w="211"/>
        <w:gridCol w:w="976"/>
        <w:gridCol w:w="109"/>
        <w:gridCol w:w="109"/>
        <w:gridCol w:w="109"/>
        <w:gridCol w:w="109"/>
        <w:gridCol w:w="211"/>
        <w:gridCol w:w="976"/>
        <w:gridCol w:w="155"/>
      </w:tblGrid>
      <w:tr>
        <w:trPr/>
        <w:tc>
          <w:tcPr>
            <w:tcW w:w="2636"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455,957 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526,320 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Loans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(includes $41,166 and </w:t>
            </w:r>
            <w:r>
              <w:rPr>
                <w:rFonts w:ascii="Times New Roman;serif" w:hAnsi="Times New Roman;serif"/>
                <w:b w:val="false"/>
                <w:color w:val="000000"/>
                <w:sz w:val="20"/>
                <w:shd w:fill="FFFFFF" w:val="clear"/>
              </w:rPr>
              <w:t>$54,946</w:t>
            </w:r>
            <w:r>
              <w:rPr>
                <w:color w:val="000000"/>
              </w:rPr>
              <w:t xml:space="preserve"> </w:t>
            </w:r>
            <w:r>
              <w:rPr>
                <w:rFonts w:ascii="Times New Roman;serif" w:hAnsi="Times New Roman;serif"/>
                <w:b w:val="false"/>
                <w:color w:val="000000"/>
                <w:sz w:val="20"/>
              </w:rPr>
              <w:t>at fair value as of December 31, 2025 and June 30,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145,208 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2,003,129 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$15,219 and $24,967 at fair value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170,974 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2,175,990 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2,373,785 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700,000,000 shares authorized; 98,033,361 and 97,306,813 shares issued and outstanding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1,145,141 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(347,663)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797,488 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(1)Includes $53.8 million and </w:t>
      </w:r>
      <w:r>
        <w:rPr>
          <w:rFonts w:ascii="Times New Roman;serif" w:hAnsi="Times New Roman;serif"/>
          <w:b w:val="false"/>
          <w:color w:val="000000"/>
          <w:sz w:val="16"/>
          <w:shd w:fill="FFFFFF" w:val="clear"/>
        </w:rPr>
        <w:t>$36.3 million</w:t>
      </w:r>
      <w:r>
        <w:rPr>
          <w:color w:val="000000"/>
        </w:rPr>
        <w:t xml:space="preserve"> </w:t>
      </w:r>
      <w:r>
        <w:rPr>
          <w:rFonts w:ascii="Times New Roman;serif" w:hAnsi="Times New Roman;serif"/>
          <w:b w:val="false"/>
          <w:color w:val="000000"/>
          <w:sz w:val="16"/>
        </w:rPr>
        <w:t>of loans, at fair value, contributed as collateral for the consolidated securitization as of December 31, 2025 and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and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160"/>
        <w:jc w:val="center"/>
        <w:rPr/>
      </w:pP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56"/>
        <w:gridCol w:w="1006"/>
        <w:gridCol w:w="1008"/>
        <w:gridCol w:w="109"/>
        <w:gridCol w:w="109"/>
        <w:gridCol w:w="109"/>
        <w:gridCol w:w="240"/>
        <w:gridCol w:w="946"/>
        <w:gridCol w:w="109"/>
        <w:gridCol w:w="109"/>
        <w:gridCol w:w="109"/>
        <w:gridCol w:w="109"/>
        <w:gridCol w:w="240"/>
        <w:gridCol w:w="946"/>
        <w:gridCol w:w="109"/>
        <w:gridCol w:w="109"/>
        <w:gridCol w:w="109"/>
        <w:gridCol w:w="109"/>
        <w:gridCol w:w="240"/>
        <w:gridCol w:w="946"/>
        <w:gridCol w:w="109"/>
        <w:gridCol w:w="109"/>
        <w:gridCol w:w="109"/>
        <w:gridCol w:w="109"/>
        <w:gridCol w:w="240"/>
        <w:gridCol w:w="946"/>
        <w:gridCol w:w="156"/>
      </w:tblGrid>
      <w:tr>
        <w:trPr/>
        <w:tc>
          <w:tcPr>
            <w:tcW w:w="16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Revenue from fees,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Fair value and other adjustments, net</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665,801 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95,526,364 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96,573,751 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94,903,909 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96,736,956 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102,852,284 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109,720,846 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103,177,583 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101,414,541 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(1)The following table presents revenue from fees disaggregated by type of service for the periods presented:</w:t>
      </w:r>
    </w:p>
    <w:p>
      <w:pPr>
        <w:pStyle w:val="TextBody"/>
        <w:bidi w:val="0"/>
        <w:spacing w:before="0" w:after="0"/>
        <w:ind w:left="0" w:right="0" w:hanging="180"/>
        <w:jc w:val="both"/>
        <w:rPr/>
      </w:pPr>
      <w:r>
        <w:rPr/>
      </w:r>
    </w:p>
    <w:tbl>
      <w:tblPr>
        <w:tblW w:w="8412" w:type="dxa"/>
        <w:jc w:val="left"/>
        <w:tblInd w:w="0" w:type="dxa"/>
        <w:tblLayout w:type="fixed"/>
        <w:tblCellMar>
          <w:top w:w="28" w:type="dxa"/>
          <w:left w:w="28" w:type="dxa"/>
          <w:bottom w:w="28" w:type="dxa"/>
          <w:right w:w="28" w:type="dxa"/>
        </w:tblCellMar>
      </w:tblPr>
      <w:tblGrid>
        <w:gridCol w:w="895"/>
        <w:gridCol w:w="788"/>
        <w:gridCol w:w="79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Loan sales fees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and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160"/>
        <w:jc w:val="center"/>
        <w:rPr/>
      </w:pP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(2)Represents fees we charge our third-party loan purchasers for facilitating certain forward-flow loan sales that are recognized as part of the sales proceeds received. Beginning in the second quarter of 2026, loan sales fees, which were previously included within servicing and other fees, net, are presented as a separate component of revenue from fees, net. Prior-period amounts have been reclassified to conform to the current-period presentation. </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(3)For the three and six months ended June 30, 2026, interest income and interest expense include dividend income earned on certain cash accounts and expense on convertible senior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in our Quarterly Report on Form 10-Q for the quarter ended June 30, 2026 for details.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(4)The following table presents components of fair value and other adjustments, net for the periods presented as follows: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620"/>
        <w:gridCol w:w="1425"/>
        <w:gridCol w:w="1432"/>
        <w:gridCol w:w="109"/>
        <w:gridCol w:w="109"/>
        <w:gridCol w:w="109"/>
        <w:gridCol w:w="211"/>
        <w:gridCol w:w="773"/>
        <w:gridCol w:w="109"/>
        <w:gridCol w:w="109"/>
        <w:gridCol w:w="109"/>
        <w:gridCol w:w="109"/>
        <w:gridCol w:w="211"/>
        <w:gridCol w:w="773"/>
        <w:gridCol w:w="109"/>
        <w:gridCol w:w="109"/>
        <w:gridCol w:w="109"/>
        <w:gridCol w:w="109"/>
        <w:gridCol w:w="211"/>
        <w:gridCol w:w="773"/>
        <w:gridCol w:w="109"/>
        <w:gridCol w:w="109"/>
        <w:gridCol w:w="109"/>
        <w:gridCol w:w="109"/>
        <w:gridCol w:w="211"/>
        <w:gridCol w:w="773"/>
        <w:gridCol w:w="157"/>
      </w:tblGrid>
      <w:tr>
        <w:trPr/>
        <w:tc>
          <w:tcPr>
            <w:tcW w:w="162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loans, loan charge-offs, and other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(33,773)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sale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79"/>
        <w:gridCol w:w="2125"/>
        <w:gridCol w:w="2141"/>
        <w:gridCol w:w="109"/>
        <w:gridCol w:w="109"/>
        <w:gridCol w:w="109"/>
        <w:gridCol w:w="211"/>
        <w:gridCol w:w="896"/>
        <w:gridCol w:w="109"/>
        <w:gridCol w:w="109"/>
        <w:gridCol w:w="109"/>
        <w:gridCol w:w="109"/>
        <w:gridCol w:w="109"/>
        <w:gridCol w:w="109"/>
        <w:gridCol w:w="211"/>
        <w:gridCol w:w="896"/>
        <w:gridCol w:w="109"/>
        <w:gridCol w:w="156"/>
      </w:tblGrid>
      <w:tr>
        <w:trPr/>
        <w:tc>
          <w:tcPr>
            <w:tcW w:w="247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7"/>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4"/>
            <w:tcBorders/>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servicing rights,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Loan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(3,969,799)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(6,049,875)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3,723,733 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5,532,144 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 by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and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(617,215)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notes receivable and repayments of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settlements of 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(hybrid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8738" w:type="dxa"/>
        <w:jc w:val="center"/>
        <w:tblInd w:w="0" w:type="dxa"/>
        <w:tblLayout w:type="fixed"/>
        <w:tblCellMar>
          <w:top w:w="28" w:type="dxa"/>
          <w:left w:w="28" w:type="dxa"/>
          <w:bottom w:w="28" w:type="dxa"/>
          <w:right w:w="28" w:type="dxa"/>
        </w:tblCellMar>
      </w:tblPr>
      <w:tblGrid>
        <w:gridCol w:w="1947"/>
        <w:gridCol w:w="1706"/>
        <w:gridCol w:w="1717"/>
        <w:gridCol w:w="109"/>
        <w:gridCol w:w="109"/>
        <w:gridCol w:w="109"/>
        <w:gridCol w:w="218"/>
        <w:gridCol w:w="854"/>
        <w:gridCol w:w="112"/>
        <w:gridCol w:w="112"/>
        <w:gridCol w:w="112"/>
        <w:gridCol w:w="112"/>
        <w:gridCol w:w="112"/>
        <w:gridCol w:w="109"/>
        <w:gridCol w:w="211"/>
        <w:gridCol w:w="826"/>
        <w:gridCol w:w="109"/>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7"/>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300" w:type="dxa"/>
            <w:gridSpan w:val="4"/>
            <w:tcBorders/>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176,356 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(152,691)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made on securitization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31,496 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related to stock-based award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(274,803)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(74,735)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701,460 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982,277 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Operating and Non-GAAP Financial Metrics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and ratios,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both"/>
        <w:rPr/>
      </w:pPr>
      <w:r>
        <w:rPr/>
      </w:r>
    </w:p>
    <w:tbl>
      <w:tblPr>
        <w:tblW w:w="9836" w:type="dxa"/>
        <w:jc w:val="left"/>
        <w:tblInd w:w="0" w:type="dxa"/>
        <w:tblLayout w:type="fixed"/>
        <w:tblCellMar>
          <w:top w:w="28" w:type="dxa"/>
          <w:left w:w="28" w:type="dxa"/>
          <w:bottom w:w="28" w:type="dxa"/>
          <w:right w:w="28" w:type="dxa"/>
        </w:tblCellMar>
      </w:tblPr>
      <w:tblGrid>
        <w:gridCol w:w="1152"/>
        <w:gridCol w:w="1010"/>
        <w:gridCol w:w="1017"/>
        <w:gridCol w:w="109"/>
        <w:gridCol w:w="109"/>
        <w:gridCol w:w="109"/>
        <w:gridCol w:w="334"/>
        <w:gridCol w:w="465"/>
        <w:gridCol w:w="466"/>
        <w:gridCol w:w="172"/>
        <w:gridCol w:w="172"/>
        <w:gridCol w:w="172"/>
        <w:gridCol w:w="334"/>
        <w:gridCol w:w="465"/>
        <w:gridCol w:w="466"/>
        <w:gridCol w:w="109"/>
        <w:gridCol w:w="109"/>
        <w:gridCol w:w="109"/>
        <w:gridCol w:w="288"/>
        <w:gridCol w:w="504"/>
        <w:gridCol w:w="427"/>
        <w:gridCol w:w="148"/>
        <w:gridCol w:w="148"/>
        <w:gridCol w:w="148"/>
        <w:gridCol w:w="288"/>
        <w:gridCol w:w="457"/>
        <w:gridCol w:w="549"/>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Originations, Dollars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2,820,398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4,227,174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4,954,006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7,672,316</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Originations, Number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372,599</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613,305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983,370</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Conversion Rate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Loans Fully Automated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140,543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242,915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330,405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53,053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95,630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117,374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w:t>
      </w:r>
      <w:r>
        <w:rPr>
          <w:color w:val="000000"/>
        </w:rPr>
        <w:t>“</w:t>
      </w:r>
      <w:r>
        <w:rPr>
          <w:rFonts w:ascii="Times New Roman;serif" w:hAnsi="Times New Roman;serif"/>
          <w:b w:val="false"/>
          <w:color w:val="000000"/>
          <w:sz w:val="16"/>
        </w:rPr>
        <w:t>Originations, Dollars” and “Originations, Number of Loans” were previously referred to as “Transaction Volume, Dollars” and “Transaction Volume, Number of Loans,” respectively. See “Key Operating Metrics and Non-GAAP Financial Measures” above for additional information.</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(2)Originations, Number of Loans is shown in ones for the periods presented.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 In addition, we intend to discontinue reporting this metric beginning in the first quarter of 2027. See “Key Operating and Non-GAAP Financial Metrics” in our Quarterly Report on Form 10-Q for the quarter ended June 30, 2026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disaggregated information for Originations, Dollars and Originations, Number of Loans for the periods presented:</w:t>
      </w:r>
    </w:p>
    <w:p>
      <w:pPr>
        <w:pStyle w:val="TextBody"/>
        <w:bidi w:val="0"/>
        <w:spacing w:before="0" w:after="0"/>
        <w:jc w:val="both"/>
        <w:rPr/>
      </w:pPr>
      <w:r>
        <w:rPr/>
      </w:r>
    </w:p>
    <w:tbl>
      <w:tblPr>
        <w:tblW w:w="9461" w:type="dxa"/>
        <w:jc w:val="left"/>
        <w:tblInd w:w="0" w:type="dxa"/>
        <w:tblLayout w:type="fixed"/>
        <w:tblCellMar>
          <w:top w:w="28" w:type="dxa"/>
          <w:left w:w="28" w:type="dxa"/>
          <w:bottom w:w="28" w:type="dxa"/>
          <w:right w:w="28" w:type="dxa"/>
        </w:tblCellMar>
      </w:tblPr>
      <w:tblGrid>
        <w:gridCol w:w="1058"/>
        <w:gridCol w:w="932"/>
        <w:gridCol w:w="934"/>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Originations,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0"/>
              </w:rPr>
              <w:t>Unsecured Lending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2,635,470 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3,638,446 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4,663,625 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588,728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290,381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994,786</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2,820,398 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4,227,174 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4,954,006 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7,672,316 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color w:val="000000"/>
                <w:sz w:val="20"/>
              </w:rPr>
              <w:t>Originations, Number of Loans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0"/>
              </w:rPr>
              <w:t>Unsecured Lending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366,423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535,191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946,045</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37,325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372,599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613,305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983,370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Note 14. Segment Information</w:t>
      </w:r>
      <w:r>
        <w:rPr>
          <w:color w:val="000000"/>
        </w:rPr>
        <w:t xml:space="preserve">” </w:t>
      </w:r>
      <w:r>
        <w:rPr>
          <w:rFonts w:ascii="Times New Roman;serif" w:hAnsi="Times New Roman;serif"/>
          <w:b w:val="false"/>
          <w:color w:val="000000"/>
          <w:sz w:val="16"/>
        </w:rPr>
        <w:t>in our Quarterly Report on Form 10-Q for the quarter ended June 30, 2026 for additional information regarding our Unsecured Lending segment and related Contribution Profit.</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(2)Includes Auto Lending and Other operating segments, which did not meet the separate reporting or aggregation criteria under GAAP.</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(3)Originations, Number of Loans, is shown in ones for the periods presented.</w:t>
      </w:r>
    </w:p>
    <w:p>
      <w:pPr>
        <w:pStyle w:val="TextBody"/>
        <w:bidi w:val="0"/>
        <w:spacing w:before="0" w:after="0"/>
        <w:ind w:left="0" w:right="0" w:hanging="180"/>
        <w:jc w:val="both"/>
        <w:rPr/>
      </w:pPr>
      <w:r>
        <w:rPr/>
      </w:r>
    </w:p>
    <w:p>
      <w:pPr>
        <w:pStyle w:val="TextBody"/>
        <w:bidi w:val="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Operating and Non-GAAP Financial Metrics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and ratios,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including Contribution Profit, for our Unsecured Lending segment:</w:t>
      </w:r>
    </w:p>
    <w:p>
      <w:pPr>
        <w:pStyle w:val="TextBody"/>
        <w:bidi w:val="0"/>
        <w:spacing w:before="0" w:after="0"/>
        <w:jc w:val="both"/>
        <w:rPr/>
      </w:pPr>
      <w:r>
        <w:rPr/>
      </w:r>
    </w:p>
    <w:tbl>
      <w:tblPr>
        <w:tblW w:w="9552" w:type="dxa"/>
        <w:jc w:val="left"/>
        <w:tblInd w:w="0" w:type="dxa"/>
        <w:tblLayout w:type="fixed"/>
        <w:tblCellMar>
          <w:top w:w="28" w:type="dxa"/>
          <w:left w:w="28" w:type="dxa"/>
          <w:bottom w:w="28" w:type="dxa"/>
          <w:right w:w="28" w:type="dxa"/>
        </w:tblCellMar>
      </w:tblPr>
      <w:tblGrid>
        <w:gridCol w:w="1308"/>
        <w:gridCol w:w="1152"/>
        <w:gridCol w:w="115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Unsecured Lending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for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(1)Beginning in the second quarter of 2026, we renamed our Personal Lending operating segment to Unsecured Lending. The name change was administrative in nature and had no impact to the segment results or our condensed consolidated financial statements.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Contribution Profit to Net income before income taxes: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548"/>
        <w:gridCol w:w="1356"/>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4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Contribution Profit/(Loss) - Other Segments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(24,426)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(16,278)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(173,972)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(156,448)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acquisition costs were $60.9 million and $102.3 million for the three months ended June 30, 2025 and 2026, respectively, and were $109.5 million and $194.5 million for the six months ended June 30, 2025 and 2026, respectively. Borrower acquisition costs consist of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verification and servicing costs were $39.3 million and $52.6 million for the three months ended June 30, 2025 and 2026, respectively, and were $73.8 million and $100.1 million 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and ratios,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19"/>
        <w:gridCol w:w="1098"/>
        <w:gridCol w:w="1102"/>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1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24,426 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16,278 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(47,840)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193,131 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330,405 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(1)Borrower acquisition costs were $60.9 million and </w:t>
      </w:r>
      <w:r>
        <w:rPr>
          <w:rFonts w:ascii="Times New Roman;serif" w:hAnsi="Times New Roman;serif"/>
          <w:b w:val="false"/>
          <w:color w:val="000000"/>
          <w:sz w:val="16"/>
          <w:shd w:fill="FFFFFF" w:val="clear"/>
        </w:rPr>
        <w:t>$102.3 million</w:t>
      </w:r>
      <w:r>
        <w:rPr>
          <w:color w:val="000000"/>
        </w:rPr>
        <w:t xml:space="preserve"> </w:t>
      </w:r>
      <w:r>
        <w:rPr>
          <w:rFonts w:ascii="Times New Roman;serif" w:hAnsi="Times New Roman;serif"/>
          <w:b w:val="false"/>
          <w:color w:val="000000"/>
          <w:sz w:val="16"/>
        </w:rPr>
        <w:t xml:space="preserve">for the three months ended June 30, 2025 and 2026, respectively, and were $109.5 million and </w:t>
      </w:r>
      <w:r>
        <w:rPr>
          <w:rFonts w:ascii="Times New Roman;serif" w:hAnsi="Times New Roman;serif"/>
          <w:b w:val="false"/>
          <w:color w:val="000000"/>
          <w:sz w:val="16"/>
          <w:shd w:fill="FFFFFF" w:val="clear"/>
        </w:rPr>
        <w:t>$194.5 million</w:t>
      </w:r>
      <w:r>
        <w:rPr>
          <w:color w:val="000000"/>
        </w:rPr>
        <w:t xml:space="preserve"> </w:t>
      </w:r>
      <w:r>
        <w:rPr>
          <w:rFonts w:ascii="Times New Roman;serif" w:hAnsi="Times New Roman;serif"/>
          <w:b w:val="false"/>
          <w:color w:val="000000"/>
          <w:sz w:val="16"/>
        </w:rPr>
        <w:t>for the six months ended June 30, 2025 and 2026,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ind w:left="0" w:right="0" w:hanging="540"/>
        <w:jc w:val="both"/>
        <w:rPr/>
      </w:pPr>
      <w:r>
        <w:rPr>
          <w:rFonts w:ascii="Times New Roman;serif" w:hAnsi="Times New Roman;serif"/>
          <w:b w:val="false"/>
          <w:color w:val="000000"/>
          <w:sz w:val="16"/>
        </w:rPr>
        <w:t xml:space="preserve">(2)Borrower verification and servicing costs were $39.3 million and </w:t>
      </w:r>
      <w:r>
        <w:rPr>
          <w:rFonts w:ascii="Times New Roman;serif" w:hAnsi="Times New Roman;serif"/>
          <w:b w:val="false"/>
          <w:color w:val="000000"/>
          <w:sz w:val="16"/>
          <w:shd w:fill="FFFFFF" w:val="clear"/>
        </w:rPr>
        <w:t>$52.6 million</w:t>
      </w:r>
      <w:r>
        <w:rPr>
          <w:color w:val="000000"/>
        </w:rPr>
        <w:t xml:space="preserve"> </w:t>
      </w:r>
      <w:r>
        <w:rPr>
          <w:rFonts w:ascii="Times New Roman;serif" w:hAnsi="Times New Roman;serif"/>
          <w:b w:val="false"/>
          <w:color w:val="000000"/>
          <w:sz w:val="16"/>
        </w:rPr>
        <w:t xml:space="preserve">for the three months ended June 30, 2025 and 2026, respectively, and were $73.8 million and </w:t>
      </w:r>
      <w:r>
        <w:rPr>
          <w:rFonts w:ascii="Times New Roman;serif" w:hAnsi="Times New Roman;serif"/>
          <w:b w:val="false"/>
          <w:color w:val="000000"/>
          <w:sz w:val="16"/>
          <w:shd w:fill="FFFFFF" w:val="clear"/>
        </w:rPr>
        <w:t>$100.1 million</w:t>
      </w:r>
      <w:r>
        <w:rPr>
          <w:color w:val="000000"/>
        </w:rPr>
        <w:t xml:space="preserve"> </w:t>
      </w:r>
      <w:r>
        <w:rPr>
          <w:rFonts w:ascii="Times New Roman;serif" w:hAnsi="Times New Roman;serif"/>
          <w:b w:val="false"/>
          <w:color w:val="000000"/>
          <w:sz w:val="16"/>
        </w:rPr>
        <w:t>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and ratios, or as noted)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67"/>
        <w:gridCol w:w="1073"/>
        <w:gridCol w:w="1079"/>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81,993 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Expense on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117,374 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ind w:left="0" w:right="0" w:firstLine="9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5028</Words>
  <Characters>29105</Characters>
  <CharactersWithSpaces>33535</CharactersWithSpaces>
  <Paragraphs>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