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5"/>
          <w:szCs w:val="15"/>
          <w:color w:val="auto"/>
        </w:rPr>
        <w:t>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(Mark One)</w:t>
      </w:r>
    </w:p>
    <w:p>
      <w:pPr>
        <w:spacing w:after="0" w:line="150" w:lineRule="exact"/>
        <w:rPr>
          <w:sz w:val="24"/>
          <w:szCs w:val="24"/>
          <w:color w:val="auto"/>
        </w:rPr>
      </w:pPr>
    </w:p>
    <w:p>
      <w:pPr>
        <w:ind w:left="4180" w:right="2400" w:hanging="3616"/>
        <w:spacing w:after="0" w:line="220" w:lineRule="auto"/>
        <w:tabs>
          <w:tab w:leader="none" w:pos="1395"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15"/>
          <w:szCs w:val="15"/>
          <w:color w:val="auto"/>
        </w:rPr>
        <w:t>QUARTERLY REPORT PURSUANT TO SECTION 13 OR 15(d) OF THE SECURITIES EXCHANGE ACT OF 1934 For the quarterly period ended March 31, 2022</w:t>
      </w:r>
    </w:p>
    <w:p>
      <w:pPr>
        <w:spacing w:after="0" w:line="6" w:lineRule="exact"/>
        <w:rPr>
          <w:rFonts w:ascii="MS PGothic" w:cs="MS PGothic" w:eastAsia="MS PGothic" w:hAnsi="MS PGothic"/>
          <w:sz w:val="27"/>
          <w:szCs w:val="27"/>
          <w:color w:val="auto"/>
        </w:rPr>
      </w:pPr>
    </w:p>
    <w:p>
      <w:pPr>
        <w:ind w:left="5520"/>
        <w:spacing w:after="0"/>
        <w:rPr>
          <w:rFonts w:ascii="MS PGothic" w:cs="MS PGothic" w:eastAsia="MS PGothic" w:hAnsi="MS PGothic"/>
          <w:sz w:val="27"/>
          <w:szCs w:val="27"/>
          <w:color w:val="auto"/>
        </w:rPr>
      </w:pPr>
      <w:r>
        <w:rPr>
          <w:rFonts w:ascii="Times New Roman" w:cs="Times New Roman" w:eastAsia="Times New Roman" w:hAnsi="Times New Roman"/>
          <w:sz w:val="15"/>
          <w:szCs w:val="15"/>
          <w:color w:val="auto"/>
        </w:rPr>
        <w:t>OR</w:t>
      </w:r>
    </w:p>
    <w:p>
      <w:pPr>
        <w:spacing w:after="0" w:line="80" w:lineRule="exact"/>
        <w:rPr>
          <w:sz w:val="24"/>
          <w:szCs w:val="24"/>
          <w:color w:val="auto"/>
        </w:rPr>
      </w:pPr>
    </w:p>
    <w:p>
      <w:pPr>
        <w:ind w:left="1380" w:hanging="816"/>
        <w:spacing w:after="0"/>
        <w:tabs>
          <w:tab w:leader="none" w:pos="1380" w:val="left"/>
        </w:tabs>
        <w:numPr>
          <w:ilvl w:val="0"/>
          <w:numId w:val="2"/>
        </w:numPr>
        <w:rPr>
          <w:rFonts w:ascii="MS PGothic" w:cs="MS PGothic" w:eastAsia="MS PGothic" w:hAnsi="MS PGothic"/>
          <w:sz w:val="27"/>
          <w:szCs w:val="27"/>
          <w:color w:val="auto"/>
        </w:rPr>
      </w:pPr>
      <w:r>
        <w:rPr>
          <w:rFonts w:ascii="Times New Roman" w:cs="Times New Roman" w:eastAsia="Times New Roman" w:hAnsi="Times New Roman"/>
          <w:sz w:val="15"/>
          <w:szCs w:val="15"/>
          <w:color w:val="auto"/>
        </w:rPr>
        <w:t>TRANSITION REPORT PURSUANT TO SECTION 13 OR 15(d) OF THE SECURITIES EXCHANGE ACT OF 1934</w:t>
      </w:r>
    </w:p>
    <w:p>
      <w:pPr>
        <w:spacing w:after="0" w:line="53" w:lineRule="exact"/>
        <w:rPr>
          <w:rFonts w:ascii="MS PGothic" w:cs="MS PGothic" w:eastAsia="MS PGothic" w:hAnsi="MS PGothic"/>
          <w:sz w:val="27"/>
          <w:szCs w:val="27"/>
          <w:color w:val="auto"/>
        </w:rPr>
      </w:pPr>
    </w:p>
    <w:p>
      <w:pPr>
        <w:ind w:left="3880"/>
        <w:spacing w:after="0"/>
        <w:rPr>
          <w:rFonts w:ascii="MS PGothic" w:cs="MS PGothic" w:eastAsia="MS PGothic" w:hAnsi="MS PGothic"/>
          <w:sz w:val="27"/>
          <w:szCs w:val="27"/>
          <w:color w:val="auto"/>
        </w:rPr>
      </w:pPr>
      <w:r>
        <w:rPr>
          <w:rFonts w:ascii="Times New Roman" w:cs="Times New Roman" w:eastAsia="Times New Roman" w:hAnsi="Times New Roman"/>
          <w:sz w:val="15"/>
          <w:szCs w:val="15"/>
          <w:b w:val="1"/>
          <w:bCs w:val="1"/>
          <w:color w:val="auto"/>
        </w:rPr>
        <w:t>For the transition period from</w:t>
      </w:r>
      <w:r>
        <w:rPr>
          <w:rFonts w:ascii="Times New Roman" w:cs="Times New Roman" w:eastAsia="Times New Roman" w:hAnsi="Times New Roman"/>
          <w:sz w:val="15"/>
          <w:szCs w:val="15"/>
          <w:b w:val="1"/>
          <w:bCs w:val="1"/>
          <w:u w:val="single" w:color="auto"/>
          <w:color w:val="auto"/>
        </w:rPr>
        <w:t>_________</w:t>
      </w:r>
      <w:r>
        <w:rPr>
          <w:rFonts w:ascii="Times New Roman" w:cs="Times New Roman" w:eastAsia="Times New Roman" w:hAnsi="Times New Roman"/>
          <w:sz w:val="15"/>
          <w:szCs w:val="15"/>
          <w:b w:val="1"/>
          <w:bCs w:val="1"/>
          <w:color w:val="auto"/>
        </w:rPr>
        <w:t xml:space="preserve">to </w:t>
      </w:r>
      <w:r>
        <w:rPr>
          <w:rFonts w:ascii="Times New Roman" w:cs="Times New Roman" w:eastAsia="Times New Roman" w:hAnsi="Times New Roman"/>
          <w:sz w:val="15"/>
          <w:szCs w:val="15"/>
          <w:b w:val="1"/>
          <w:bCs w:val="1"/>
          <w:u w:val="single" w:color="auto"/>
          <w:color w:val="auto"/>
        </w:rPr>
        <w:t>________</w:t>
      </w:r>
    </w:p>
    <w:p>
      <w:pPr>
        <w:spacing w:after="0" w:line="59" w:lineRule="exact"/>
        <w:rPr>
          <w:rFonts w:ascii="MS PGothic" w:cs="MS PGothic" w:eastAsia="MS PGothic" w:hAnsi="MS PGothic"/>
          <w:sz w:val="27"/>
          <w:szCs w:val="27"/>
          <w:color w:val="auto"/>
        </w:rPr>
      </w:pPr>
    </w:p>
    <w:p>
      <w:pPr>
        <w:ind w:left="4400"/>
        <w:spacing w:after="0"/>
        <w:rPr>
          <w:rFonts w:ascii="MS PGothic" w:cs="MS PGothic" w:eastAsia="MS PGothic" w:hAnsi="MS PGothic"/>
          <w:sz w:val="27"/>
          <w:szCs w:val="27"/>
          <w:color w:val="auto"/>
        </w:rPr>
      </w:pPr>
      <w:r>
        <w:rPr>
          <w:rFonts w:ascii="Times New Roman" w:cs="Times New Roman" w:eastAsia="Times New Roman" w:hAnsi="Times New Roman"/>
          <w:sz w:val="15"/>
          <w:szCs w:val="15"/>
          <w:b w:val="1"/>
          <w:bCs w:val="1"/>
          <w:color w:val="auto"/>
        </w:rPr>
        <w:t>Commission File Number: 001-39797</w:t>
      </w:r>
    </w:p>
    <w:p>
      <w:pPr>
        <w:spacing w:after="0" w:line="87" w:lineRule="exact"/>
        <w:rPr>
          <w:sz w:val="24"/>
          <w:szCs w:val="24"/>
          <w:color w:val="auto"/>
        </w:rPr>
      </w:pPr>
    </w:p>
    <w:tbl>
      <w:tblPr>
        <w:tblLayout w:type="fixed"/>
        <w:tblInd w:w="1520" w:type="dxa"/>
        <w:tblCellMar>
          <w:top w:w="0" w:type="dxa"/>
          <w:left w:w="0" w:type="dxa"/>
          <w:bottom w:w="0" w:type="dxa"/>
          <w:right w:w="0" w:type="dxa"/>
        </w:tblCellMar>
      </w:tblPr>
      <w:tr>
        <w:trPr>
          <w:trHeight w:val="364"/>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29"/>
                <w:szCs w:val="29"/>
                <w:b w:val="1"/>
                <w:bCs w:val="1"/>
                <w:color w:val="auto"/>
              </w:rPr>
              <w:t>Upstart Holdings, Inc.</w:t>
            </w:r>
          </w:p>
        </w:tc>
        <w:tc>
          <w:tcPr>
            <w:tcW w:w="2480" w:type="dxa"/>
            <w:vAlign w:val="bottom"/>
          </w:tcPr>
          <w:p>
            <w:pPr>
              <w:spacing w:after="0"/>
              <w:rPr>
                <w:sz w:val="24"/>
                <w:szCs w:val="24"/>
                <w:color w:val="auto"/>
              </w:rPr>
            </w:pPr>
          </w:p>
        </w:tc>
      </w:tr>
      <w:tr>
        <w:trPr>
          <w:trHeight w:val="180"/>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c>
          <w:tcPr>
            <w:tcW w:w="2480" w:type="dxa"/>
            <w:vAlign w:val="bottom"/>
          </w:tcPr>
          <w:p>
            <w:pPr>
              <w:spacing w:after="0"/>
              <w:rPr>
                <w:sz w:val="15"/>
                <w:szCs w:val="15"/>
                <w:color w:val="auto"/>
              </w:rPr>
            </w:pPr>
          </w:p>
        </w:tc>
      </w:tr>
      <w:tr>
        <w:trPr>
          <w:trHeight w:val="200"/>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_________________________</w:t>
            </w:r>
          </w:p>
        </w:tc>
        <w:tc>
          <w:tcPr>
            <w:tcW w:w="2480" w:type="dxa"/>
            <w:vAlign w:val="bottom"/>
          </w:tcPr>
          <w:p>
            <w:pPr>
              <w:spacing w:after="0"/>
              <w:rPr>
                <w:sz w:val="17"/>
                <w:szCs w:val="17"/>
                <w:color w:val="auto"/>
              </w:rPr>
            </w:pPr>
          </w:p>
        </w:tc>
      </w:tr>
      <w:tr>
        <w:trPr>
          <w:trHeight w:val="419"/>
        </w:trPr>
        <w:tc>
          <w:tcPr>
            <w:tcW w:w="700" w:type="dxa"/>
            <w:vAlign w:val="bottom"/>
          </w:tcPr>
          <w:p>
            <w:pPr>
              <w:spacing w:after="0"/>
              <w:rPr>
                <w:sz w:val="24"/>
                <w:szCs w:val="24"/>
                <w:color w:val="auto"/>
              </w:rPr>
            </w:pPr>
          </w:p>
        </w:tc>
        <w:tc>
          <w:tcPr>
            <w:tcW w:w="1760" w:type="dxa"/>
            <w:vAlign w:val="bottom"/>
            <w:gridSpan w:val="2"/>
          </w:tcPr>
          <w:p>
            <w:pPr>
              <w:jc w:val="center"/>
              <w:ind w:right="191"/>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80" w:type="dxa"/>
            <w:vAlign w:val="bottom"/>
          </w:tcPr>
          <w:p>
            <w:pPr>
              <w:jc w:val="center"/>
              <w:ind w:left="286"/>
              <w:spacing w:after="0"/>
              <w:rPr>
                <w:sz w:val="20"/>
                <w:szCs w:val="20"/>
                <w:color w:val="auto"/>
              </w:rPr>
            </w:pPr>
            <w:r>
              <w:rPr>
                <w:rFonts w:ascii="Times New Roman" w:cs="Times New Roman" w:eastAsia="Times New Roman" w:hAnsi="Times New Roman"/>
                <w:sz w:val="15"/>
                <w:szCs w:val="15"/>
                <w:b w:val="1"/>
                <w:bCs w:val="1"/>
                <w:color w:val="auto"/>
              </w:rPr>
              <w:t>46-4332431</w:t>
            </w:r>
          </w:p>
        </w:tc>
      </w:tr>
      <w:tr>
        <w:trPr>
          <w:trHeight w:val="155"/>
        </w:trPr>
        <w:tc>
          <w:tcPr>
            <w:tcW w:w="2460" w:type="dxa"/>
            <w:vAlign w:val="bottom"/>
            <w:gridSpan w:val="3"/>
          </w:tcPr>
          <w:p>
            <w:pPr>
              <w:jc w:val="center"/>
              <w:ind w:left="386"/>
              <w:spacing w:after="0" w:line="155" w:lineRule="exact"/>
              <w:rPr>
                <w:sz w:val="20"/>
                <w:szCs w:val="20"/>
                <w:color w:val="auto"/>
              </w:rPr>
            </w:pPr>
            <w:r>
              <w:rPr>
                <w:rFonts w:ascii="Times New Roman" w:cs="Times New Roman" w:eastAsia="Times New Roman" w:hAnsi="Times New Roman"/>
                <w:sz w:val="15"/>
                <w:szCs w:val="15"/>
                <w:color w:val="auto"/>
              </w:rPr>
              <w:t>(State or other jurisdiction of</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80" w:type="dxa"/>
            <w:vAlign w:val="bottom"/>
          </w:tcPr>
          <w:p>
            <w:pPr>
              <w:jc w:val="center"/>
              <w:ind w:left="286"/>
              <w:spacing w:after="0" w:line="155" w:lineRule="exact"/>
              <w:rPr>
                <w:sz w:val="20"/>
                <w:szCs w:val="20"/>
                <w:color w:val="auto"/>
              </w:rPr>
            </w:pPr>
            <w:r>
              <w:rPr>
                <w:rFonts w:ascii="Times New Roman" w:cs="Times New Roman" w:eastAsia="Times New Roman" w:hAnsi="Times New Roman"/>
                <w:sz w:val="15"/>
                <w:szCs w:val="15"/>
                <w:color w:val="auto"/>
              </w:rPr>
              <w:t>(I.R.S. Employer</w:t>
            </w:r>
          </w:p>
        </w:tc>
      </w:tr>
      <w:tr>
        <w:trPr>
          <w:trHeight w:val="200"/>
        </w:trPr>
        <w:tc>
          <w:tcPr>
            <w:tcW w:w="2460" w:type="dxa"/>
            <w:vAlign w:val="bottom"/>
            <w:gridSpan w:val="3"/>
          </w:tcPr>
          <w:p>
            <w:pPr>
              <w:jc w:val="center"/>
              <w:ind w:left="366"/>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jc w:val="center"/>
              <w:ind w:left="286"/>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309"/>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Upstart Holdings, Inc.</w:t>
            </w:r>
          </w:p>
        </w:tc>
        <w:tc>
          <w:tcPr>
            <w:tcW w:w="2480" w:type="dxa"/>
            <w:vAlign w:val="bottom"/>
          </w:tcPr>
          <w:p>
            <w:pPr>
              <w:spacing w:after="0"/>
              <w:rPr>
                <w:sz w:val="24"/>
                <w:szCs w:val="24"/>
                <w:color w:val="auto"/>
              </w:rPr>
            </w:pPr>
          </w:p>
        </w:tc>
      </w:tr>
      <w:tr>
        <w:trPr>
          <w:trHeight w:val="20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2950 S. Delaware Street, Suite 300</w:t>
            </w:r>
          </w:p>
        </w:tc>
        <w:tc>
          <w:tcPr>
            <w:tcW w:w="248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San Mateo, California 94403</w:t>
            </w:r>
          </w:p>
        </w:tc>
        <w:tc>
          <w:tcPr>
            <w:tcW w:w="248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(650) 204-1000</w:t>
            </w:r>
          </w:p>
        </w:tc>
        <w:tc>
          <w:tcPr>
            <w:tcW w:w="2480" w:type="dxa"/>
            <w:vAlign w:val="bottom"/>
          </w:tcPr>
          <w:p>
            <w:pPr>
              <w:spacing w:after="0"/>
              <w:rPr>
                <w:sz w:val="17"/>
                <w:szCs w:val="17"/>
                <w:color w:val="auto"/>
              </w:rPr>
            </w:pPr>
          </w:p>
        </w:tc>
      </w:tr>
      <w:tr>
        <w:trPr>
          <w:trHeight w:val="178"/>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(Address of principal executive offices, including zip code)</w:t>
            </w:r>
          </w:p>
        </w:tc>
        <w:tc>
          <w:tcPr>
            <w:tcW w:w="2480" w:type="dxa"/>
            <w:vAlign w:val="bottom"/>
          </w:tcPr>
          <w:p>
            <w:pPr>
              <w:spacing w:after="0"/>
              <w:rPr>
                <w:sz w:val="15"/>
                <w:szCs w:val="15"/>
                <w:color w:val="auto"/>
              </w:rPr>
            </w:pPr>
          </w:p>
        </w:tc>
      </w:tr>
      <w:tr>
        <w:trPr>
          <w:trHeight w:val="288"/>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_________________________</w:t>
            </w:r>
          </w:p>
        </w:tc>
        <w:tc>
          <w:tcPr>
            <w:tcW w:w="2480" w:type="dxa"/>
            <w:vAlign w:val="bottom"/>
          </w:tcPr>
          <w:p>
            <w:pPr>
              <w:spacing w:after="0"/>
              <w:rPr>
                <w:sz w:val="24"/>
                <w:szCs w:val="24"/>
                <w:color w:val="auto"/>
              </w:rPr>
            </w:pPr>
          </w:p>
        </w:tc>
      </w:tr>
      <w:tr>
        <w:trPr>
          <w:trHeight w:val="396"/>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80" w:type="dxa"/>
            <w:vAlign w:val="bottom"/>
            <w:gridSpan w:val="5"/>
          </w:tcPr>
          <w:p>
            <w:pPr>
              <w:jc w:val="center"/>
              <w:ind w:right="1686"/>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r>
      <w:tr>
        <w:trPr>
          <w:trHeight w:val="177"/>
        </w:trPr>
        <w:tc>
          <w:tcPr>
            <w:tcW w:w="7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color w:val="auto"/>
                <w:w w:val="96"/>
              </w:rPr>
              <w:t>Trading 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02"/>
        </w:trPr>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Common Stock, par value $0.0001 per share</w:t>
            </w:r>
          </w:p>
        </w:tc>
        <w:tc>
          <w:tcPr>
            <w:tcW w:w="1200" w:type="dxa"/>
            <w:vAlign w:val="bottom"/>
          </w:tcPr>
          <w:p>
            <w:pPr>
              <w:spacing w:after="0"/>
              <w:rPr>
                <w:sz w:val="17"/>
                <w:szCs w:val="17"/>
                <w:color w:val="auto"/>
              </w:rPr>
            </w:pPr>
          </w:p>
        </w:tc>
        <w:tc>
          <w:tcPr>
            <w:tcW w:w="20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color w:val="auto"/>
                <w:w w:val="99"/>
              </w:rPr>
              <w:t>UPST</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Nasdaq Global Select Market</w:t>
            </w:r>
          </w:p>
        </w:tc>
      </w:tr>
    </w:tbl>
    <w:p>
      <w:pPr>
        <w:spacing w:after="0" w:line="183"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0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5"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ind w:right="4820"/>
        <w:spacing w:after="0" w:line="23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April 29, 2022 there were 84,773,724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836295</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16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0160" w:type="dxa"/>
            <w:vAlign w:val="bottom"/>
            <w:gridSpan w:val="21"/>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84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5660" w:type="dxa"/>
            <w:vAlign w:val="bottom"/>
            <w:gridSpan w:val="9"/>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Income</w:t>
            </w:r>
          </w:p>
        </w:tc>
        <w:tc>
          <w:tcPr>
            <w:tcW w:w="3000" w:type="dxa"/>
            <w:vAlign w:val="bottom"/>
            <w:gridSpan w:val="2"/>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640" w:type="dxa"/>
            <w:vAlign w:val="bottom"/>
            <w:tcBorders>
              <w:top w:val="single" w:sz="8" w:color="0000FF"/>
            </w:tcBorders>
            <w:gridSpan w:val="4"/>
          </w:tcPr>
          <w:p>
            <w:pPr>
              <w:spacing w:after="0"/>
              <w:rPr>
                <w:sz w:val="17"/>
                <w:szCs w:val="17"/>
                <w:color w:val="auto"/>
              </w:rPr>
            </w:pPr>
          </w:p>
        </w:tc>
        <w:tc>
          <w:tcPr>
            <w:tcW w:w="4280" w:type="dxa"/>
            <w:vAlign w:val="bottom"/>
            <w:gridSpan w:val="3"/>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Notes to the Condensed Consolidated Financial Statements</w:t>
            </w:r>
          </w:p>
        </w:tc>
        <w:tc>
          <w:tcPr>
            <w:tcW w:w="4400" w:type="dxa"/>
            <w:vAlign w:val="bottom"/>
            <w:gridSpan w:val="6"/>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61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300" w:type="dxa"/>
            <w:vAlign w:val="bottom"/>
            <w:gridSpan w:val="4"/>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780" w:type="dxa"/>
            <w:vAlign w:val="bottom"/>
            <w:gridSpan w:val="11"/>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457"/>
        </w:trPr>
        <w:tc>
          <w:tcPr>
            <w:tcW w:w="1016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84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400" w:type="dxa"/>
            <w:vAlign w:val="bottom"/>
            <w:tcBorders>
              <w:top w:val="single" w:sz="8" w:color="0000FF"/>
            </w:tcBorders>
            <w:gridSpan w:val="4"/>
          </w:tcPr>
          <w:p>
            <w:pPr>
              <w:spacing w:after="0"/>
              <w:rPr>
                <w:sz w:val="17"/>
                <w:szCs w:val="17"/>
                <w:color w:val="auto"/>
              </w:rPr>
            </w:pPr>
          </w:p>
        </w:tc>
        <w:tc>
          <w:tcPr>
            <w:tcW w:w="7200" w:type="dxa"/>
            <w:vAlign w:val="bottom"/>
            <w:gridSpan w:val="13"/>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84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4320" w:type="dxa"/>
            <w:vAlign w:val="bottom"/>
            <w:gridSpan w:val="5"/>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20" w:type="dxa"/>
            <w:vAlign w:val="bottom"/>
            <w:tcBorders>
              <w:top w:val="single" w:sz="8" w:color="0000FF"/>
            </w:tcBorders>
          </w:tcPr>
          <w:p>
            <w:pPr>
              <w:spacing w:after="0"/>
              <w:rPr>
                <w:sz w:val="17"/>
                <w:szCs w:val="17"/>
                <w:color w:val="auto"/>
              </w:rPr>
            </w:pPr>
          </w:p>
        </w:tc>
        <w:tc>
          <w:tcPr>
            <w:tcW w:w="6260" w:type="dxa"/>
            <w:vAlign w:val="bottom"/>
            <w:gridSpan w:val="10"/>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84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84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640" w:type="dxa"/>
            <w:vAlign w:val="bottom"/>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3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3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09" w:lineRule="exact"/>
        <w:rPr>
          <w:sz w:val="20"/>
          <w:szCs w:val="20"/>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our expectations regarding our revenue, our operating expenses, our ability to determine reserves and our ability to remain profitable;</w:t>
      </w:r>
    </w:p>
    <w:p>
      <w:pPr>
        <w:spacing w:after="0" w:line="86"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improve the effectiveness and predictiveness of our AI models and our expectations that improvements in our AI models can lead to higher approval rates and lower interest rates;</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the volume of loans facilitated by our AI lending platform;</w:t>
      </w:r>
    </w:p>
    <w:p>
      <w:pPr>
        <w:spacing w:after="0" w:line="152"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maintain a diversified loan funding strategy, including bank partnerships and whole loan sales and securitization transactions;</w:t>
      </w:r>
    </w:p>
    <w:p>
      <w:pPr>
        <w:spacing w:after="0" w:line="86"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competitive interest rates offered to borrowers on our platform, while enabling our bank partners to achieve an adequate return over their cost of funding;</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build our brand and protect our reputation from negative publicity;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the effectiveness of our marketing strategies, including our direct consumer marketing initiatives;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 and any associated economic downturn on our business and results of operations;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management of future growth, including expanding the number of potential borrowers;</w:t>
      </w:r>
    </w:p>
    <w:p>
      <w:pPr>
        <w:spacing w:after="0" w:line="152"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adjust our proprietary AI models, products and services in a timely manner in response to changing macroeconomic conditions and fluctuations in the credit market;</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applicable local, state and federal laws;</w:t>
      </w:r>
    </w:p>
    <w:p>
      <w:pPr>
        <w:spacing w:after="0" w:line="139"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and successfully adapt to complex and evolving regulatory environments, including regulation of artificial intelligence and machine learning technology;</w:t>
      </w:r>
    </w:p>
    <w:p>
      <w:pPr>
        <w:spacing w:after="0" w:line="86"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regulatory support of our approach to AI-based lending, including our ongoing discussions with the Consumer Financial Protection Bureau, or CFPB;</w:t>
      </w:r>
    </w:p>
    <w:p>
      <w:pPr>
        <w:spacing w:after="0" w:line="86"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success of our strategic investments and acquisitions, including the integration of acquired operations, products, technology, internal controls and personnel;</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concerning relationships with third parties;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against increasingly sophisticated fraudulent borrowing and online theft;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loans and the ability of third-party collection agents, to pursue collection of delinquent and defaulted loans;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compete with companies that are currently in, or may in the future enter,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right="38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new and evolving markets and our ability to enter into new markets and introduce new products and services, such as our introduction of auto loans and small dollar loans;</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secure and maintain the confidentiality of the information received, accessed, stored, provided and used across our systems;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obtain and maintain corporate funding and liquidity to support continued growth and for general corporate purposes;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allocation plans, including expected allocations of cash and timing for any share repurchases and other investments;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integrate and retain qualified employees;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 effective system of disclosure controls and internal control over financial reporting and operations;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and expand the capabilities of our operations teams, outsourcing relationships and other business operations;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outstanding litigation and regulatory investigations;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the increased expenses associated with being a public company.</w:t>
      </w:r>
    </w:p>
    <w:p>
      <w:pPr>
        <w:spacing w:after="0" w:line="24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caution you that the foregoing list may not contain all of the forward-looking statements made in this report.</w:t>
      </w:r>
    </w:p>
    <w:p>
      <w:pPr>
        <w:spacing w:after="0" w:line="24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Each of the terms the “Company,” “we,” “our,” “us” and similar terms used herein refer collectively to Upstart Holdings, Inc., a Delaware corporation, and its consolidated subsidiaries,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1. FINANCIAL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data)</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986,608</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757,828</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254,866</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(at fair value)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597,981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equipment, and software,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29,816</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93,219</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Non-marketable equity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41,000</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67,062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18,837</w:t>
            </w:r>
          </w:p>
        </w:tc>
        <w:tc>
          <w:tcPr>
            <w:tcW w:w="0" w:type="dxa"/>
            <w:vAlign w:val="bottom"/>
          </w:tcPr>
          <w:p>
            <w:pPr>
              <w:spacing w:after="0"/>
              <w:rPr>
                <w:sz w:val="1"/>
                <w:szCs w:val="1"/>
                <w:color w:val="auto"/>
              </w:rPr>
            </w:pPr>
          </w:p>
        </w:tc>
      </w:tr>
      <w:tr>
        <w:trPr>
          <w:trHeight w:val="168"/>
        </w:trPr>
        <w:tc>
          <w:tcPr>
            <w:tcW w:w="78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assets (includes $26,676 and $34,344 at fair value as of December 31, 2021 and March 31, 2022,</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129,392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126,982</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440"/>
              <w:spacing w:after="0" w:line="212" w:lineRule="exact"/>
              <w:rPr>
                <w:sz w:val="20"/>
                <w:szCs w:val="20"/>
                <w:color w:val="auto"/>
              </w:rPr>
            </w:pPr>
            <w:r>
              <w:rPr>
                <w:rFonts w:ascii="Times New Roman" w:cs="Times New Roman" w:eastAsia="Times New Roman" w:hAnsi="Times New Roman"/>
                <w:sz w:val="17"/>
                <w:szCs w:val="17"/>
                <w:color w:val="auto"/>
              </w:rPr>
              <w:t>Total assets</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1,820,455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1,987,591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6,563</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10,289</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Payable to investors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139,802</w:t>
            </w:r>
          </w:p>
        </w:tc>
        <w:tc>
          <w:tcPr>
            <w:tcW w:w="0" w:type="dxa"/>
            <w:vAlign w:val="bottom"/>
          </w:tcPr>
          <w:p>
            <w:pPr>
              <w:spacing w:after="0"/>
              <w:rPr>
                <w:sz w:val="1"/>
                <w:szCs w:val="1"/>
                <w:color w:val="auto"/>
              </w:rPr>
            </w:pPr>
          </w:p>
        </w:tc>
      </w:tr>
      <w:tr>
        <w:trPr>
          <w:trHeight w:val="219"/>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695,432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769,222</w:t>
            </w:r>
          </w:p>
        </w:tc>
        <w:tc>
          <w:tcPr>
            <w:tcW w:w="0" w:type="dxa"/>
            <w:vAlign w:val="bottom"/>
          </w:tcPr>
          <w:p>
            <w:pPr>
              <w:spacing w:after="0"/>
              <w:rPr>
                <w:sz w:val="1"/>
                <w:szCs w:val="1"/>
                <w:color w:val="auto"/>
              </w:rPr>
            </w:pPr>
          </w:p>
        </w:tc>
      </w:tr>
      <w:tr>
        <w:trPr>
          <w:trHeight w:val="168"/>
        </w:trPr>
        <w:tc>
          <w:tcPr>
            <w:tcW w:w="788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Accrued expenses and other liabilities (includes $13,095 and $13,531 at fair value as of December 31, 2021</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and March 31, 2022, respectively)</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91,723</w:t>
            </w: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100,366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100,051</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440"/>
              <w:spacing w:after="0" w:line="212" w:lineRule="exact"/>
              <w:rPr>
                <w:sz w:val="20"/>
                <w:szCs w:val="20"/>
                <w:color w:val="auto"/>
              </w:rPr>
            </w:pPr>
            <w:r>
              <w:rPr>
                <w:rFonts w:ascii="Times New Roman" w:cs="Times New Roman" w:eastAsia="Times New Roman" w:hAnsi="Times New Roman"/>
                <w:sz w:val="17"/>
                <w:szCs w:val="17"/>
                <w:color w:val="auto"/>
              </w:rPr>
              <w:t>Total liabilities</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1,013,377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1,111,087</w:t>
            </w:r>
          </w:p>
        </w:tc>
        <w:tc>
          <w:tcPr>
            <w:tcW w:w="0" w:type="dxa"/>
            <w:vAlign w:val="bottom"/>
          </w:tcPr>
          <w:p>
            <w:pPr>
              <w:spacing w:after="0"/>
              <w:rPr>
                <w:sz w:val="1"/>
                <w:szCs w:val="1"/>
                <w:color w:val="auto"/>
              </w:rPr>
            </w:pPr>
          </w:p>
        </w:tc>
      </w:tr>
      <w:tr>
        <w:trPr>
          <w:trHeight w:val="19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$0.0001 par value; 700,000,000 shares authorized; 83,659,665 and 84,676,746, shares issued and</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2021 and March 31, 2022, respectively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740,849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777,582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66,221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98,913</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807,078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876,504</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1,820,455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1,987,591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13" w:lineRule="exact"/>
        <w:rPr>
          <w:sz w:val="20"/>
          <w:szCs w:val="20"/>
          <w:color w:val="auto"/>
        </w:rPr>
      </w:pPr>
    </w:p>
    <w:p>
      <w:pPr>
        <w:jc w:val="both"/>
        <w:ind w:left="320" w:hanging="317"/>
        <w:spacing w:after="0" w:line="217" w:lineRule="auto"/>
        <w:tabs>
          <w:tab w:leader="none" w:pos="315"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table presents information on assets and liabilities related to variable interest entities (“VIEs”) that are consolidated by Upstart Holdings, Inc. at December 31, 2021 and March 31, 2022.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6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(In thousands, except share data)</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75,527</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(at fair value)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245,972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591,554</w:t>
            </w:r>
          </w:p>
        </w:tc>
      </w:tr>
      <w:tr>
        <w:trPr>
          <w:trHeight w:val="168"/>
        </w:trPr>
        <w:tc>
          <w:tcPr>
            <w:tcW w:w="78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assets (includes $7,571 and $5,840 at fair value as of December 31, 2021 and March 31, 2022,</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3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8,792</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8,485</w:t>
            </w:r>
          </w:p>
        </w:tc>
      </w:tr>
      <w:tr>
        <w:trPr>
          <w:trHeight w:val="212"/>
        </w:trPr>
        <w:tc>
          <w:tcPr>
            <w:tcW w:w="7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342,025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675,973</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1"/>
        </w:trPr>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Borrowings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121,551</w:t>
            </w:r>
          </w:p>
        </w:tc>
      </w:tr>
      <w:tr>
        <w:trPr>
          <w:trHeight w:val="21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w:t>
            </w:r>
          </w:p>
        </w:tc>
      </w:tr>
      <w:tr>
        <w:trPr>
          <w:trHeight w:val="237"/>
        </w:trPr>
        <w:tc>
          <w:tcPr>
            <w:tcW w:w="7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49,314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122,228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11240"/>
          </w:cols>
          <w:pgMar w:left="320" w:top="175" w:right="339" w:bottom="8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857"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thousands, except share and per share data)</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7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Revenue from fees, net</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116,170</w:t>
            </w:r>
          </w:p>
        </w:tc>
        <w:tc>
          <w:tcPr>
            <w:tcW w:w="8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313,982</w:t>
            </w:r>
          </w:p>
        </w:tc>
      </w:tr>
      <w:tr>
        <w:trPr>
          <w:trHeight w:val="219"/>
        </w:trPr>
        <w:tc>
          <w:tcPr>
            <w:tcW w:w="7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income and fair value adjustments,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(3,846)</w:t>
            </w:r>
          </w:p>
        </w:tc>
      </w:tr>
      <w:tr>
        <w:trPr>
          <w:trHeight w:val="212"/>
        </w:trPr>
        <w:tc>
          <w:tcPr>
            <w:tcW w:w="73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revenue</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121,345</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310,136</w:t>
            </w:r>
          </w:p>
        </w:tc>
      </w:tr>
      <w:tr>
        <w:trPr>
          <w:trHeight w:val="19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9"/>
        </w:trPr>
        <w:tc>
          <w:tcPr>
            <w:tcW w:w="7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49,376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133,449</w:t>
            </w:r>
          </w:p>
        </w:tc>
      </w:tr>
      <w:tr>
        <w:trPr>
          <w:trHeight w:val="219"/>
        </w:trPr>
        <w:tc>
          <w:tcPr>
            <w:tcW w:w="7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 operations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48,407</w:t>
            </w:r>
          </w:p>
        </w:tc>
      </w:tr>
      <w:tr>
        <w:trPr>
          <w:trHeight w:val="219"/>
        </w:trPr>
        <w:tc>
          <w:tcPr>
            <w:tcW w:w="7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49,991</w:t>
            </w:r>
          </w:p>
        </w:tc>
      </w:tr>
      <w:tr>
        <w:trPr>
          <w:trHeight w:val="219"/>
        </w:trPr>
        <w:tc>
          <w:tcPr>
            <w:tcW w:w="7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43,456</w:t>
            </w:r>
          </w:p>
        </w:tc>
      </w:tr>
      <w:tr>
        <w:trPr>
          <w:trHeight w:val="212"/>
        </w:trPr>
        <w:tc>
          <w:tcPr>
            <w:tcW w:w="73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105,771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275,303</w:t>
            </w: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34,833</w:t>
            </w:r>
          </w:p>
        </w:tc>
      </w:tr>
      <w:tr>
        <w:trPr>
          <w:trHeight w:val="21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before income taxes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32,711</w:t>
            </w:r>
          </w:p>
        </w:tc>
      </w:tr>
      <w:tr>
        <w:trPr>
          <w:trHeight w:val="21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 basic</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 diluted</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8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outstanding used in computing net income per share, basic</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73,629,122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84,230,445</w:t>
            </w: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outstanding used in computing net income per share, diluted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91,449,571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95,457,776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and per share data)</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40" w:type="dxa"/>
            <w:vAlign w:val="bottom"/>
            <w:gridSpan w:val="8"/>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 Paid-in</w:t>
            </w:r>
          </w:p>
        </w:tc>
        <w:tc>
          <w:tcPr>
            <w:tcW w:w="220" w:type="dxa"/>
            <w:vAlign w:val="bottom"/>
          </w:tcPr>
          <w:p>
            <w:pPr>
              <w:spacing w:after="0"/>
              <w:rPr>
                <w:sz w:val="18"/>
                <w:szCs w:val="18"/>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8"/>
              </w:rPr>
              <w:t>Total Stockholders’</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700" w:type="dxa"/>
            <w:vAlign w:val="bottom"/>
          </w:tcPr>
          <w:p>
            <w:pPr>
              <w:spacing w:after="0"/>
              <w:rPr>
                <w:sz w:val="15"/>
                <w:szCs w:val="15"/>
                <w:color w:val="auto"/>
              </w:rPr>
            </w:pP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20" w:type="dxa"/>
            <w:vAlign w:val="bottom"/>
          </w:tcPr>
          <w:p>
            <w:pPr>
              <w:spacing w:after="0"/>
              <w:rPr>
                <w:sz w:val="15"/>
                <w:szCs w:val="15"/>
                <w:color w:val="auto"/>
              </w:rPr>
            </w:pP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73,314,026</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369,467</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(69,222)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300,252</w:t>
            </w:r>
          </w:p>
        </w:tc>
        <w:tc>
          <w:tcPr>
            <w:tcW w:w="0" w:type="dxa"/>
            <w:vAlign w:val="bottom"/>
          </w:tcPr>
          <w:p>
            <w:pPr>
              <w:spacing w:after="0"/>
              <w:rPr>
                <w:sz w:val="1"/>
                <w:szCs w:val="1"/>
                <w:color w:val="auto"/>
              </w:rPr>
            </w:pPr>
          </w:p>
        </w:tc>
      </w:tr>
      <w:tr>
        <w:trPr>
          <w:trHeight w:val="17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521,511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upon settlement of restricted stock</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72,407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w:t>
            </w:r>
          </w:p>
        </w:tc>
        <w:tc>
          <w:tcPr>
            <w:tcW w:w="0" w:type="dxa"/>
            <w:vAlign w:val="bottom"/>
          </w:tcPr>
          <w:p>
            <w:pPr>
              <w:spacing w:after="0"/>
              <w:rPr>
                <w:sz w:val="1"/>
                <w:szCs w:val="1"/>
                <w:color w:val="auto"/>
              </w:rPr>
            </w:pPr>
          </w:p>
        </w:tc>
      </w:tr>
      <w:tr>
        <w:trPr>
          <w:trHeight w:val="186"/>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w:t>
            </w:r>
          </w:p>
        </w:tc>
        <w:tc>
          <w:tcPr>
            <w:tcW w:w="0" w:type="dxa"/>
            <w:vAlign w:val="bottom"/>
          </w:tcPr>
          <w:p>
            <w:pPr>
              <w:spacing w:after="0"/>
              <w:rPr>
                <w:sz w:val="1"/>
                <w:szCs w:val="1"/>
                <w:color w:val="auto"/>
              </w:rPr>
            </w:pPr>
          </w:p>
        </w:tc>
      </w:tr>
      <w:tr>
        <w:trPr>
          <w:trHeight w:val="21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73,908,252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379,703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(59,120)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320,590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40" w:type="dxa"/>
            <w:vAlign w:val="bottom"/>
            <w:gridSpan w:val="8"/>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Three Months Ended March 31, 2022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 Paid-in</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8"/>
              </w:rPr>
              <w:t>Total Stockholders’</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700" w:type="dxa"/>
            <w:vAlign w:val="bottom"/>
          </w:tcPr>
          <w:p>
            <w:pPr>
              <w:spacing w:after="0"/>
              <w:rPr>
                <w:sz w:val="15"/>
                <w:szCs w:val="15"/>
                <w:color w:val="auto"/>
              </w:rPr>
            </w:pPr>
          </w:p>
        </w:tc>
        <w:tc>
          <w:tcPr>
            <w:tcW w:w="15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83,659,665</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740,849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66,221</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807,078</w:t>
            </w:r>
          </w:p>
        </w:tc>
        <w:tc>
          <w:tcPr>
            <w:tcW w:w="0" w:type="dxa"/>
            <w:vAlign w:val="bottom"/>
          </w:tcPr>
          <w:p>
            <w:pPr>
              <w:spacing w:after="0"/>
              <w:rPr>
                <w:sz w:val="1"/>
                <w:szCs w:val="1"/>
                <w:color w:val="auto"/>
              </w:rPr>
            </w:pPr>
          </w:p>
        </w:tc>
      </w:tr>
      <w:tr>
        <w:trPr>
          <w:trHeight w:val="179"/>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888,961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0" w:type="dxa"/>
            <w:vAlign w:val="bottom"/>
          </w:tcPr>
          <w:p>
            <w:pPr>
              <w:spacing w:after="0"/>
              <w:rPr>
                <w:sz w:val="1"/>
                <w:szCs w:val="1"/>
                <w:color w:val="auto"/>
              </w:rPr>
            </w:pPr>
          </w:p>
        </w:tc>
      </w:tr>
      <w:tr>
        <w:trPr>
          <w:trHeight w:val="136"/>
        </w:trPr>
        <w:tc>
          <w:tcPr>
            <w:tcW w:w="37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 common stock upon settlement of restricted stock</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80,226</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47,894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4,431</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26,677</w:t>
            </w:r>
          </w:p>
        </w:tc>
        <w:tc>
          <w:tcPr>
            <w:tcW w:w="0" w:type="dxa"/>
            <w:vAlign w:val="bottom"/>
          </w:tcPr>
          <w:p>
            <w:pPr>
              <w:spacing w:after="0"/>
              <w:rPr>
                <w:sz w:val="1"/>
                <w:szCs w:val="1"/>
                <w:color w:val="auto"/>
              </w:rPr>
            </w:pPr>
          </w:p>
        </w:tc>
      </w:tr>
      <w:tr>
        <w:trPr>
          <w:trHeight w:val="186"/>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32,692</w:t>
            </w:r>
          </w:p>
        </w:tc>
        <w:tc>
          <w:tcPr>
            <w:tcW w:w="0" w:type="dxa"/>
            <w:vAlign w:val="bottom"/>
          </w:tcPr>
          <w:p>
            <w:pPr>
              <w:spacing w:after="0"/>
              <w:rPr>
                <w:sz w:val="1"/>
                <w:szCs w:val="1"/>
                <w:color w:val="auto"/>
              </w:rPr>
            </w:pPr>
          </w:p>
        </w:tc>
      </w:tr>
      <w:tr>
        <w:trPr>
          <w:trHeight w:val="21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84,676,746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777,582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98,913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876,504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32,692</w:t>
            </w:r>
          </w:p>
        </w:tc>
      </w:tr>
      <w:tr>
        <w:trPr>
          <w:trHeight w:val="238"/>
        </w:trPr>
        <w:tc>
          <w:tcPr>
            <w:tcW w:w="7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19"/>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 of financial instruments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18,356</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25,050</w:t>
            </w:r>
          </w:p>
        </w:tc>
      </w:tr>
      <w:tr>
        <w:trPr>
          <w:trHeight w:val="219"/>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(gain) on loan servicing arrangement, net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(8,705)</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w:t>
            </w:r>
          </w:p>
        </w:tc>
      </w:tr>
      <w:tr>
        <w:trPr>
          <w:trHeight w:val="219"/>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changes in operating assets and liabilities: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Purchase of loans for immediate resale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(1,294,634)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(3,014,594)</w:t>
            </w:r>
          </w:p>
        </w:tc>
      </w:tr>
      <w:tr>
        <w:trPr>
          <w:trHeight w:val="219"/>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Proceeds from immediate resale of loans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1,294,634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3,014,594</w:t>
            </w:r>
          </w:p>
        </w:tc>
      </w:tr>
      <w:tr>
        <w:trPr>
          <w:trHeight w:val="219"/>
        </w:trPr>
        <w:tc>
          <w:tcPr>
            <w:tcW w:w="7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Purchase of loans held-for-sale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(443,190)</w:t>
            </w:r>
          </w:p>
        </w:tc>
      </w:tr>
      <w:tr>
        <w:trPr>
          <w:trHeight w:val="219"/>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Principal payments received for loans held-for-sale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20,328</w:t>
            </w:r>
          </w:p>
        </w:tc>
      </w:tr>
      <w:tr>
        <w:trPr>
          <w:trHeight w:val="219"/>
        </w:trPr>
        <w:tc>
          <w:tcPr>
            <w:tcW w:w="7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sale of loans held-for-sale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50,764</w:t>
            </w:r>
          </w:p>
        </w:tc>
      </w:tr>
      <w:tr>
        <w:trPr>
          <w:trHeight w:val="219"/>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7,287</w:t>
            </w:r>
          </w:p>
        </w:tc>
      </w:tr>
      <w:tr>
        <w:trPr>
          <w:trHeight w:val="219"/>
        </w:trPr>
        <w:tc>
          <w:tcPr>
            <w:tcW w:w="7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Operating lease liability and right-of-use asset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w:t>
            </w:r>
          </w:p>
        </w:tc>
      </w:tr>
      <w:tr>
        <w:trPr>
          <w:trHeight w:val="219"/>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w:t>
            </w:r>
          </w:p>
        </w:tc>
      </w:tr>
      <w:tr>
        <w:trPr>
          <w:trHeight w:val="219"/>
        </w:trPr>
        <w:tc>
          <w:tcPr>
            <w:tcW w:w="7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Payable to investors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32,204</w:t>
            </w:r>
          </w:p>
        </w:tc>
      </w:tr>
      <w:tr>
        <w:trPr>
          <w:trHeight w:val="219"/>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(11,093)</w:t>
            </w:r>
          </w:p>
        </w:tc>
      </w:tr>
      <w:tr>
        <w:trPr>
          <w:trHeight w:val="212"/>
        </w:trPr>
        <w:tc>
          <w:tcPr>
            <w:tcW w:w="7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(266,795)</w:t>
            </w:r>
          </w:p>
        </w:tc>
      </w:tr>
      <w:tr>
        <w:trPr>
          <w:trHeight w:val="186"/>
        </w:trPr>
        <w:tc>
          <w:tcPr>
            <w:tcW w:w="7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sale of loans held-for-investment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payments received for loans held-for-investment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9,397</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payments received for notes receivable and repayments of residual certificates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w:t>
            </w:r>
          </w:p>
        </w:tc>
      </w:tr>
      <w:tr>
        <w:trPr>
          <w:trHeight w:val="219"/>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loans held-for-investment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non-marketable equity security</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Capitalized software costs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w:t>
            </w:r>
          </w:p>
        </w:tc>
      </w:tr>
      <w:tr>
        <w:trPr>
          <w:trHeight w:val="212"/>
        </w:trPr>
        <w:tc>
          <w:tcPr>
            <w:tcW w:w="77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5,177</w:t>
            </w:r>
          </w:p>
        </w:tc>
      </w:tr>
      <w:tr>
        <w:trPr>
          <w:trHeight w:val="186"/>
        </w:trPr>
        <w:tc>
          <w:tcPr>
            <w:tcW w:w="7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borrowings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80,004</w:t>
            </w:r>
          </w:p>
        </w:tc>
      </w:tr>
      <w:tr>
        <w:trPr>
          <w:trHeight w:val="219"/>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Repayments of borrowings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(6,990)</w:t>
            </w:r>
          </w:p>
        </w:tc>
      </w:tr>
      <w:tr>
        <w:trPr>
          <w:trHeight w:val="21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issuance of common stock under employee stock purchase plan</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w:t>
            </w:r>
          </w:p>
        </w:tc>
      </w:tr>
      <w:tr>
        <w:trPr>
          <w:trHeight w:val="219"/>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5,626</w:t>
            </w:r>
          </w:p>
        </w:tc>
      </w:tr>
      <w:tr>
        <w:trPr>
          <w:trHeight w:val="212"/>
        </w:trPr>
        <w:tc>
          <w:tcPr>
            <w:tcW w:w="7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83,071</w:t>
            </w: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restricted cash</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(178,547)</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1,191,241</w:t>
            </w: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restricted cash at end of period</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336,066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1,012,694</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2"/>
        </w:trPr>
        <w:tc>
          <w:tcPr>
            <w:tcW w:w="7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3540" w:type="dxa"/>
            <w:vAlign w:val="bottom"/>
            <w:tcBorders>
              <w:bottom w:val="single" w:sz="8" w:color="auto"/>
            </w:tcBorders>
            <w:gridSpan w:val="5"/>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7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6"/>
        </w:trPr>
        <w:tc>
          <w:tcPr>
            <w:tcW w:w="77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stock-based compensation expense</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of loans held-for-investment to held-for-sale</w:t>
            </w:r>
          </w:p>
        </w:tc>
        <w:tc>
          <w:tcPr>
            <w:tcW w:w="1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40" w:hanging="618"/>
        <w:spacing w:after="0"/>
        <w:tabs>
          <w:tab w:leader="none" w:pos="12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Significant Accounting Policies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Upstart Holdings, Inc. and its subsidiaries (together “Upstart”, the “Company”, “we”, or “our”) apply modern data science and technology to the process of originating consumer credit. The Company helps originate credit, including personal and auto loans, by providing bank partners with a proprietary, cloud-based, artificial intelligence lending platform. As the Company’s technology continues to improve and additional banks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on the same basis as the annual consolidated financial statements included in our Annual Report on Form 10-K and in the opinion of management, reflect all adjustments, which include only normal recurring adjustments, necessary to state fairly the Company’s financial position, results of operations, comprehensive income and cash flows for the periods presented, but are not necessarily indicative of the results of operations to be anticipated of any future annual or interim periods.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information and disclosures normally included in the financial statements prepared in accordance with GAAP have been condensed or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2021.</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(iv) provision for income taxes, net of valuation allowance for deferred tax assets; and (v) the evaluation for impairment of goodwill and acquired intangible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issues stock options, restricted stock units (“RSUs”), performance-based restricted stock units (“PRSUs”), and restricted stock to employees and non-employees, including directors and third-party service providers, and employee stock purchase rights granted under the Company’s employee stock purchase plan (“ESPP”). Stock options and employee stock purchase rights granted under the ESPP are initially measured at fair value at the date of grant using the Black-Scholes option-pricing model. RSUs and restricted stock are measured at the fair market value of our common stock at the grant date. PRSUs are initially measured at fair value using a Monte Carlo simulation model. Stock-based compensation expenses are recognized based on their respective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fair values. Forfeitures are estimated at the time of grant and revised, as necessary, in subsequent periods if actual forfeitures differ from initial estimates.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is recorded net of estimated forfeitures, such that the expense is recorded only for those awards that are expected to vest.</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adopt any new accounting standards during the three months ended March 31, 2022.</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4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Reporting </w:t>
      </w:r>
      <w:r>
        <w:rPr>
          <w:rFonts w:ascii="Times New Roman" w:cs="Times New Roman" w:eastAsia="Times New Roman" w:hAnsi="Times New Roman"/>
          <w:sz w:val="17"/>
          <w:szCs w:val="17"/>
          <w:color w:val="auto"/>
        </w:rPr>
        <w:t>followed by ASU 2021-01,</w:t>
      </w:r>
      <w:r>
        <w:rPr>
          <w:rFonts w:ascii="Times New Roman" w:cs="Times New Roman" w:eastAsia="Times New Roman" w:hAnsi="Times New Roman"/>
          <w:sz w:val="17"/>
          <w:szCs w:val="17"/>
          <w:i w:val="1"/>
          <w:iCs w:val="1"/>
          <w:color w:val="auto"/>
        </w:rPr>
        <w:t xml:space="preserve"> Reference Rate Reform, Scop</w:t>
      </w:r>
      <w:r>
        <w:rPr>
          <w:rFonts w:ascii="Times New Roman" w:cs="Times New Roman" w:eastAsia="Times New Roman" w:hAnsi="Times New Roman"/>
          <w:sz w:val="17"/>
          <w:szCs w:val="17"/>
          <w:color w:val="auto"/>
        </w:rPr>
        <w:t>e issued in January 2021. ASU 2020-04 and ASU 2021-01 provide temporary optional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expedients and exceptions for applying U.S. GAAP to contracts, hedging relationships, and other transactions that reference the London Interbank Offered Rate or another reference rate expected to be discontinued because of reference rate reform, if certain criteria are met. The optional guidance in ASU 2020-04 and ASU 2021-01 is effective for a limited period of time through December 31, 2022 and may be applied prospectively to contract modifications and hedging relationships. The Company does not expect the adoption of this guidance will have a material impact on the Company’s condensed consolidated financial statements or related disclosures.</w:t>
      </w:r>
    </w:p>
    <w:p>
      <w:pPr>
        <w:spacing w:after="0" w:line="20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(Topic 805): Accounting for Contract Assets and Contract Liabilities from Contracts with Customers. The new guidance requires contract assets and contract liabilities acquired in a business combination to be recognized and measured by the acquirer on the acquisition date in accordance with ASC 606, Revenue from Contracts with Customers, as if it had originated the contracts. Under the current business combinations guidance, such assets and liabilities are recognized by the acquirer at fair value on the acquisition date. The ASU is effective for fiscal years beginning after December 15, 2022, with early adoption permitted. The ASU is to be applied prospectively to business combinations occurring on or after the effective date of the amendment (or if adopted early as of an interim period, as of the beginning of the fiscal year that includes the interim period of early application). This standard has no impact on acquired contract assets or liabilities from business combinations occurring prior to the effective date of adoption. The Company is currently assessing the impact the standard will have on its condensed consolidated financial statements and related disclosures.</w:t>
      </w:r>
    </w:p>
    <w:p>
      <w:pPr>
        <w:spacing w:after="0" w:line="200" w:lineRule="exact"/>
        <w:rPr>
          <w:sz w:val="20"/>
          <w:szCs w:val="20"/>
          <w:color w:val="auto"/>
        </w:rPr>
      </w:pPr>
    </w:p>
    <w:p>
      <w:pPr>
        <w:spacing w:after="0" w:line="203" w:lineRule="exact"/>
        <w:rPr>
          <w:sz w:val="20"/>
          <w:szCs w:val="20"/>
          <w:color w:val="auto"/>
        </w:rPr>
      </w:pPr>
    </w:p>
    <w:p>
      <w:pPr>
        <w:ind w:left="1240" w:hanging="618"/>
        <w:spacing w:after="0"/>
        <w:tabs>
          <w:tab w:leader="none" w:pos="12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 from fees,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disaggregates revenue from fees by type of service for the periods presented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3540" w:type="dxa"/>
            <w:vAlign w:val="bottom"/>
            <w:tcBorders>
              <w:bottom w:val="single" w:sz="8" w:color="auto"/>
            </w:tcBorders>
            <w:gridSpan w:val="5"/>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7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fees, net:</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Platform and referral fees, net</w:t>
            </w: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106,953</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271,812</w:t>
            </w:r>
          </w:p>
        </w:tc>
      </w:tr>
      <w:tr>
        <w:trPr>
          <w:trHeight w:val="219"/>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Servicing and other fees, net</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42,170</w:t>
            </w:r>
          </w:p>
        </w:tc>
      </w:tr>
      <w:tr>
        <w:trPr>
          <w:trHeight w:val="212"/>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 from fees, net</w:t>
            </w: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116,170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313,982</w:t>
            </w: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Platform and referral fees, net</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enters into contracts with bank partners to provide access to a cloud-based artificial intelligence lending platform developed by the Company (the “Upstart platform”) to enable banks to originate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unsecured personal and secured auto loans. The Upstart platform includes a cloud-based application (through Upstart.com or a bank-branded program) for submitting loan applications, verifying information provided within submitted applications, risk underwriting (through a series of proprietary technology 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After origination, Upstart-powered loans are either retained by bank partners, purchased by the Company for immediate resale to institutional investors under loan sale agreements, or purchased and held by the Company. For loans purchased by the Company, Upstart pays bank partners a one-time loan premium fee upon completion of the minimum contractual holding period. Upstart also pays bank partners monthly loan trailing fees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condensed consolidated statements of operations and comprehensive income. The Company recognized $3.6 million and $8.7 million of loan premium fees and loan trailing fees as contra-revenue within platform and referral fees, net during the three months ended March 31, 2021 and 2022, respectively.</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2021 and March 31, 2022, the Company recorded $4.3 million and $5.2 million of loan trailing fee liability, respectively, which is recorded at fair value and included within accrued expenses and other liabilities on the Company’s condensed consolidated balance sheets. Refer to “</w:t>
      </w:r>
      <w:r>
        <w:rPr>
          <w:rFonts w:ascii="Times New Roman" w:cs="Times New Roman" w:eastAsia="Times New Roman" w:hAnsi="Times New Roman"/>
          <w:sz w:val="17"/>
          <w:szCs w:val="17"/>
          <w:i w:val="1"/>
          <w:iCs w:val="1"/>
          <w:color w:val="auto"/>
        </w:rPr>
        <w:t>Note 4. 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Value Measurement</w:t>
      </w:r>
      <w:r>
        <w:rPr>
          <w:rFonts w:ascii="Times New Roman" w:cs="Times New Roman" w:eastAsia="Times New Roman" w:hAnsi="Times New Roman"/>
          <w:sz w:val="17"/>
          <w:szCs w:val="17"/>
          <w:color w:val="auto"/>
        </w:rPr>
        <w:t>” for additional information on changes in fair value associated with trailing fee liabilities.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Platform and referral services are typically provided under a fixed or declining (tier-based) price per unit based on volume or as a percentage of the total value of loans originated each period with certain bank partners subject to minimum fees; however, pricing for these services may also be based on usage fees, calculated as a percentage of each loan originated. Tier-based pricing, when offered, resets on a monthly basis and does not accumulate. Given that the nature of the Company’s promise is to stand-ready and provide continuous access to and process transactions through the platform, tier-based pricing based on usage represents variable consideration.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did not recognize revenue from performance obligations related to prior periods for the periods presented. The Company had no material contract assets, contract liabilities, or deferred contract costs recorded as of December 31, 2021 and March 31, 2022. The Company had $44.8 million and $33.8 million of accounts receivable that are included in other assets on the condensed consolidated balance sheets related to contracts with customers as of December 31, 2021 and March 31, 2022, respectively. The standard payment terms on accounts receivable are 30 days. The Company’s allowance for bad debt and bad debt expense were immaterial for the periods presented.</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capitalizes incremental costs of obtaining a contract with a customer, which are certain sales commissions paid to acquire bank partners. Capitalized costs are amortized over the expected period of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which we have determined, based on an analysis, to be three years. The Company applies the practical expedient to expense costs to obtain contracts with customers if the amortization period is one year or less. As of December 31, 2021 and March 31, 2022, the Company had an immaterial amount of contract costs capitalized within other assets on the condensed consolidated balance sheets. The Company amortized an immaterial amount of capitalized contracts costs to sales and marketing in the condensed consolidated statements of operations and comprehensive income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Customers accounting for greater than 10% of total revenue were as follows:</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7"/>
        </w:trPr>
        <w:tc>
          <w:tcPr>
            <w:tcW w:w="6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620" w:type="dxa"/>
            <w:vAlign w:val="bottom"/>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r>
      <w:tr>
        <w:trPr>
          <w:trHeight w:val="251"/>
        </w:trPr>
        <w:tc>
          <w:tcPr>
            <w:tcW w:w="620" w:type="dxa"/>
            <w:vAlign w:val="bottom"/>
          </w:tcPr>
          <w:p>
            <w:pPr>
              <w:spacing w:after="0"/>
              <w:rPr>
                <w:sz w:val="21"/>
                <w:szCs w:val="21"/>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A</w:t>
            </w:r>
          </w:p>
        </w:tc>
        <w:tc>
          <w:tcPr>
            <w:tcW w:w="234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21"/>
                <w:szCs w:val="21"/>
                <w:color w:val="auto"/>
              </w:rPr>
            </w:pPr>
          </w:p>
        </w:tc>
      </w:tr>
      <w:tr>
        <w:trPr>
          <w:trHeight w:val="223"/>
        </w:trPr>
        <w:tc>
          <w:tcPr>
            <w:tcW w:w="620" w:type="dxa"/>
            <w:vAlign w:val="bottom"/>
          </w:tcPr>
          <w:p>
            <w:pPr>
              <w:spacing w:after="0"/>
              <w:rPr>
                <w:sz w:val="19"/>
                <w:szCs w:val="19"/>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B</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r>
      <w:tr>
        <w:trPr>
          <w:trHeight w:val="525"/>
        </w:trPr>
        <w:tc>
          <w:tcPr>
            <w:tcW w:w="62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7"/>
                <w:szCs w:val="17"/>
                <w:color w:val="auto"/>
              </w:rPr>
              <w:t>Customers accounting for greater than 10% of accounts receivable were as follows: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6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3640" w:type="dxa"/>
            <w:vAlign w:val="bottom"/>
            <w:gridSpan w:val="7"/>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620" w:type="dxa"/>
            <w:vAlign w:val="bottom"/>
            <w:tcBorders>
              <w:bottom w:val="single" w:sz="8" w:color="CCEEFF"/>
            </w:tcBorders>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2"/>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C</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r>
      <w:tr>
        <w:trPr>
          <w:trHeight w:val="22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 D</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right="534"/>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r>
    </w:tbl>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Less than 10%</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Servicing and other fees, net</w:t>
      </w:r>
    </w:p>
    <w:p>
      <w:pPr>
        <w:spacing w:after="0" w:line="247" w:lineRule="exact"/>
        <w:rPr>
          <w:sz w:val="20"/>
          <w:szCs w:val="20"/>
          <w:color w:val="auto"/>
        </w:rPr>
      </w:pPr>
    </w:p>
    <w:p>
      <w:pPr>
        <w:jc w:val="both"/>
        <w:ind w:right="100" w:firstLine="619"/>
        <w:spacing w:after="0" w:line="260" w:lineRule="auto"/>
        <w:rPr>
          <w:sz w:val="20"/>
          <w:szCs w:val="20"/>
          <w:color w:val="auto"/>
        </w:rPr>
      </w:pPr>
      <w:r>
        <w:rPr>
          <w:rFonts w:ascii="Times New Roman" w:cs="Times New Roman" w:eastAsia="Times New Roman" w:hAnsi="Times New Roman"/>
          <w:sz w:val="17"/>
          <w:szCs w:val="17"/>
          <w:color w:val="auto"/>
        </w:rPr>
        <w:t>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and are accounted for under ASC 860, Transfers and Servicing.</w:t>
      </w:r>
    </w:p>
    <w:p>
      <w:pPr>
        <w:spacing w:after="0" w:line="199" w:lineRule="exact"/>
        <w:rPr>
          <w:sz w:val="20"/>
          <w:szCs w:val="20"/>
          <w:color w:val="auto"/>
        </w:rPr>
      </w:pPr>
    </w:p>
    <w:p>
      <w:pPr>
        <w:jc w:val="both"/>
        <w:ind w:right="100" w:firstLine="619"/>
        <w:spacing w:after="0" w:line="261" w:lineRule="auto"/>
        <w:rPr>
          <w:sz w:val="20"/>
          <w:szCs w:val="20"/>
          <w:color w:val="auto"/>
        </w:rPr>
      </w:pPr>
      <w:r>
        <w:rPr>
          <w:rFonts w:ascii="Times New Roman" w:cs="Times New Roman" w:eastAsia="Times New Roman" w:hAnsi="Times New Roman"/>
          <w:sz w:val="17"/>
          <w:szCs w:val="17"/>
          <w:color w:val="auto"/>
        </w:rPr>
        <w:t>Servicing and other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in the periods presented. Refer to “</w:t>
      </w:r>
      <w:r>
        <w:rPr>
          <w:rFonts w:ascii="Times New Roman" w:cs="Times New Roman" w:eastAsia="Times New Roman" w:hAnsi="Times New Roman"/>
          <w:sz w:val="17"/>
          <w:szCs w:val="17"/>
          <w:i w:val="1"/>
          <w:iCs w:val="1"/>
          <w:color w:val="auto"/>
        </w:rPr>
        <w:t>Note 4. Fair Value Measurement</w:t>
      </w:r>
      <w:r>
        <w:rPr>
          <w:rFonts w:ascii="Times New Roman" w:cs="Times New Roman" w:eastAsia="Times New Roman" w:hAnsi="Times New Roman"/>
          <w:sz w:val="17"/>
          <w:szCs w:val="17"/>
          <w:color w:val="auto"/>
        </w:rPr>
        <w:t>” for additional information on changes in fair value associated with servicing assets and liabilities.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recognized a net gain (loss) related to loan servicing rights upon loan sales for the periods presented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12"/>
        </w:trPr>
        <w:tc>
          <w:tcPr>
            <w:tcW w:w="77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 (loss) related to loan servicing rights</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generally outsources borrower payment collections for loans that are more than 30 days past due or charged off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fees inclusive of late payment fees and ACH fail fees. Revenue from collection agency fees and borrower fees are included in servicing and other fees, net as part of revenue from fees, net in the Company’s condensed consolidated statements of operations and comprehensive income. The total fees charged by collection agencies are also recognized in the period incurred and reported as part of customer operations expenses.</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recognized collection agency fees and borrower fees, which are included in servicing and other fees, net for the periods presented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12"/>
        </w:trPr>
        <w:tc>
          <w:tcPr>
            <w:tcW w:w="77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Collection agency fees</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Borrower fees</w:t>
            </w:r>
          </w:p>
        </w:tc>
        <w:tc>
          <w:tcPr>
            <w:tcW w:w="122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00" w:type="dxa"/>
            <w:vAlign w:val="bottom"/>
          </w:tcPr>
          <w:p>
            <w:pPr>
              <w:spacing w:after="0"/>
              <w:rPr>
                <w:sz w:val="19"/>
                <w:szCs w:val="19"/>
                <w:color w:val="auto"/>
              </w:rPr>
            </w:pPr>
          </w:p>
        </w:tc>
        <w:tc>
          <w:tcPr>
            <w:tcW w:w="120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5,230</w:t>
            </w:r>
          </w:p>
        </w:tc>
      </w:tr>
    </w:tbl>
    <w:p>
      <w:pPr>
        <w:spacing w:after="0" w:line="2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and Fair Value Adjustments, Net</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Interest income and fair value adjustments, net is comprised of interest income, interest expense and net changes in the fair value of financial instruments, held in the Company’s normal course of business at fair value, including loans and notes receivable and residual certificates.</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table below presents components of the interest income and fair value adjustments, net presented in the Company’s condensed consolidated statements of operations and comprehensive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3540" w:type="dxa"/>
            <w:vAlign w:val="bottom"/>
            <w:tcBorders>
              <w:bottom w:val="single" w:sz="8" w:color="auto"/>
            </w:tcBorders>
            <w:gridSpan w:val="5"/>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7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and fair value adjustments, net:</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income</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9"/>
              </w:rPr>
              <w:t>3,405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15,134</w:t>
            </w:r>
          </w:p>
        </w:tc>
      </w:tr>
      <w:tr>
        <w:trPr>
          <w:trHeight w:val="219"/>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r>
      <w:tr>
        <w:trPr>
          <w:trHeight w:val="219"/>
        </w:trPr>
        <w:tc>
          <w:tcPr>
            <w:tcW w:w="7700" w:type="dxa"/>
            <w:vAlign w:val="bottom"/>
            <w:tcBorders>
              <w:bottom w:val="single" w:sz="8" w:color="CCEEFF"/>
            </w:tcBorders>
          </w:tcPr>
          <w:p>
            <w:pPr>
              <w:ind w:left="320"/>
              <w:spacing w:after="0" w:line="219" w:lineRule="exact"/>
              <w:rPr>
                <w:sz w:val="20"/>
                <w:szCs w:val="20"/>
                <w:color w:val="auto"/>
              </w:rPr>
            </w:pPr>
            <w:r>
              <w:rPr>
                <w:rFonts w:ascii="Times New Roman" w:cs="Times New Roman" w:eastAsia="Times New Roman" w:hAnsi="Times New Roman"/>
                <w:sz w:val="17"/>
                <w:szCs w:val="17"/>
                <w:color w:val="auto"/>
              </w:rPr>
              <w:t>Fair value and other adjustments, net</w:t>
            </w:r>
            <w:r>
              <w:rPr>
                <w:rFonts w:ascii="Times New Roman" w:cs="Times New Roman" w:eastAsia="Times New Roman" w:hAnsi="Times New Roman"/>
                <w:sz w:val="22"/>
                <w:szCs w:val="22"/>
                <w:color w:val="auto"/>
                <w:vertAlign w:val="superscript"/>
              </w:rPr>
              <w:t>(1)(2)</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7"/>
                <w:szCs w:val="17"/>
                <w:color w:val="auto"/>
                <w:w w:val="99"/>
              </w:rPr>
              <w:t>2,800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(18,021)</w:t>
            </w:r>
          </w:p>
        </w:tc>
      </w:tr>
      <w:tr>
        <w:trPr>
          <w:trHeight w:val="23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income and fair value adjustments, net</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9"/>
              </w:rPr>
              <w:t>5,175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ind w:left="460" w:hanging="457"/>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 million and $1.3 million of realized gain on sale of loans for the three months ended March 31, 2021 and 2022, respectively.</w:t>
      </w:r>
    </w:p>
    <w:p>
      <w:pPr>
        <w:spacing w:after="0" w:line="3"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 million of income from capital market programs, net for the three months ended March 31, 2021.</w:t>
      </w:r>
    </w:p>
    <w:p>
      <w:pPr>
        <w:spacing w:after="0" w:line="3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Interest income is recognized based on the terms of the underlying agreements with borrowers for loans held on the Company’s condensed consolidated balance sheets and is earned over the life of a loan.</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2021 and March 31, 2022, the Company has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 million and $5.0 million of accrued interest income in loans on the condensed consolidated balance sheets, respectively.</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expense is primarily related to interest recorded on the Company’s borrowings on warehouse credit facilities and risk retention funding loans.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includes accrued interest incurred but not paid. Accrued interest expenses were immaterial as of December 31, 2021 and March 31, 2022.</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Fair value and other adjustments, net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Fair value and other adjustments, net include changes in fair value of financial instruments, other than loan servicing assets and liabilities. These adjustments are recorded in the Company’s condensed consolidated statements of operations and comprehensive income and include both realized and unrealized changes to the value of related assets and liabilities. Refer to “</w:t>
      </w:r>
      <w:r>
        <w:rPr>
          <w:rFonts w:ascii="Times New Roman" w:cs="Times New Roman" w:eastAsia="Times New Roman" w:hAnsi="Times New Roman"/>
          <w:sz w:val="17"/>
          <w:szCs w:val="17"/>
          <w:i w:val="1"/>
          <w:iCs w:val="1"/>
          <w:color w:val="auto"/>
        </w:rPr>
        <w:t>Note 4. Fair Value Measurement</w:t>
      </w:r>
      <w:r>
        <w:rPr>
          <w:rFonts w:ascii="Times New Roman" w:cs="Times New Roman" w:eastAsia="Times New Roman" w:hAnsi="Times New Roman"/>
          <w:sz w:val="17"/>
          <w:szCs w:val="17"/>
          <w:color w:val="auto"/>
        </w:rPr>
        <w:t>” for additional information.</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Fair value and other adjustments, net also include gains received through our securitization programs and amounts received from borrowers for previously charged-off loans held on the Company’s condensed consolidated balance sheets. These amounts are recognized in the period received.</w:t>
      </w:r>
    </w:p>
    <w:p>
      <w:pPr>
        <w:spacing w:after="0" w:line="173" w:lineRule="exact"/>
        <w:rPr>
          <w:sz w:val="20"/>
          <w:szCs w:val="20"/>
          <w:color w:val="auto"/>
        </w:rPr>
      </w:pPr>
    </w:p>
    <w:p>
      <w:pPr>
        <w:ind w:left="1240" w:hanging="618"/>
        <w:spacing w:after="0"/>
        <w:tabs>
          <w:tab w:leader="none" w:pos="1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Variable Interest Entities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Consolidated VIEs</w:t>
      </w:r>
    </w:p>
    <w:p>
      <w:pPr>
        <w:spacing w:after="0" w:line="24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3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Warehouse Entities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established Upstart Loan Trust and Upstart Auto Warehouse Trust to enter into warehouse credit facilities for the purpose of purchasing Upstart-powered loans. See “</w:t>
      </w:r>
      <w:r>
        <w:rPr>
          <w:rFonts w:ascii="Times New Roman" w:cs="Times New Roman" w:eastAsia="Times New Roman" w:hAnsi="Times New Roman"/>
          <w:sz w:val="17"/>
          <w:szCs w:val="17"/>
          <w:i w:val="1"/>
          <w:iCs w:val="1"/>
          <w:color w:val="auto"/>
        </w:rPr>
        <w:t>Note 7. Borrowings”</w:t>
      </w:r>
      <w:r>
        <w:rPr>
          <w:rFonts w:ascii="Times New Roman" w:cs="Times New Roman" w:eastAsia="Times New Roman" w:hAnsi="Times New Roman"/>
          <w:sz w:val="17"/>
          <w:szCs w:val="17"/>
          <w:color w:val="auto"/>
        </w:rPr>
        <w:t xml:space="preserve"> for additional information. The entities are Delaware statutory trusts that are structured to be bankruptcy-remote, with third-party banks operating as trustees.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Consolidated VIEs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Upstart Loan Trust 2, a Delaware statutory trust, holds personal and auto loans facilitated through the Upstart platform. These loans include, but are not limited to, loans not pledged or eligible to be pledged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Company’s warehouse credit facilities or loans that were the result of the Company’s repurchases of loans for breaches of representations and warranties made to institutional investors.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a summary of financial assets and liabilities from the Company’s involvement with consolidated VIEs: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Net Assets</w:t>
            </w:r>
          </w:p>
        </w:tc>
      </w:tr>
      <w:tr>
        <w:trPr>
          <w:trHeight w:val="19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consolidated VIEs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342,025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49,314</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292,711</w:t>
            </w:r>
          </w:p>
        </w:tc>
      </w:tr>
      <w:tr>
        <w:trPr>
          <w:trHeight w:val="563"/>
        </w:trPr>
        <w:tc>
          <w:tcPr>
            <w:tcW w:w="6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80" w:type="dxa"/>
            <w:vAlign w:val="bottom"/>
          </w:tcPr>
          <w:p>
            <w:pPr>
              <w:spacing w:after="0"/>
              <w:rPr>
                <w:sz w:val="24"/>
                <w:szCs w:val="24"/>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Net Assets</w:t>
            </w:r>
          </w:p>
        </w:tc>
      </w:tr>
      <w:tr>
        <w:trPr>
          <w:trHeight w:val="19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consolidated VIEs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675,973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122,228</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553,745</w:t>
            </w:r>
          </w:p>
        </w:tc>
      </w:tr>
    </w:tbl>
    <w:p>
      <w:pPr>
        <w:spacing w:after="0" w:line="28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Unconsolidated VIEs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transactions with unconsolidated VIEs include securitizations of unsecured personal whole loans and sales of whole loans to VIEs. While the Company continues to be involved with the unconsolidated VIEs in its role as the sponsor and the servicer of these transactions, the Company does not hold a significant economic interest in these entities and has determined that it is not the primary beneficiary of these entities. The Company’s unconsolidated VIEs include entities established as the issuers and grantor trusts for the 2018-2, 2019-1, and 2019-2 securitization transactions.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summarize the aggregate value of assets and liabilities of unconsolidated VIEs in which the Company holds a variable interest but is not the primary beneficiary: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80" w:type="dxa"/>
            <w:vAlign w:val="bottom"/>
          </w:tcPr>
          <w:p>
            <w:pPr>
              <w:spacing w:after="0"/>
              <w:rPr>
                <w:sz w:val="16"/>
                <w:szCs w:val="16"/>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Net Assets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Maximum Exposure</w:t>
            </w:r>
          </w:p>
        </w:tc>
        <w:tc>
          <w:tcPr>
            <w:tcW w:w="0" w:type="dxa"/>
            <w:vAlign w:val="bottom"/>
          </w:tcPr>
          <w:p>
            <w:pPr>
              <w:spacing w:after="0"/>
              <w:rPr>
                <w:sz w:val="1"/>
                <w:szCs w:val="1"/>
                <w:color w:val="auto"/>
              </w:rPr>
            </w:pPr>
          </w:p>
        </w:tc>
      </w:tr>
      <w:tr>
        <w:trPr>
          <w:trHeight w:val="227"/>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 Losses</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Securitizations and other</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217,321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160,248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57,073</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Pr>
          <w:p>
            <w:pPr>
              <w:spacing w:after="0"/>
              <w:rPr>
                <w:sz w:val="17"/>
                <w:szCs w:val="17"/>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80" w:type="dxa"/>
            <w:vAlign w:val="bottom"/>
          </w:tcPr>
          <w:p>
            <w:pPr>
              <w:spacing w:after="0"/>
              <w:rPr>
                <w:sz w:val="17"/>
                <w:szCs w:val="17"/>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Net Assets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Maximum Exposure</w:t>
            </w:r>
          </w:p>
        </w:tc>
        <w:tc>
          <w:tcPr>
            <w:tcW w:w="0" w:type="dxa"/>
            <w:vAlign w:val="bottom"/>
          </w:tcPr>
          <w:p>
            <w:pPr>
              <w:spacing w:after="0"/>
              <w:rPr>
                <w:sz w:val="1"/>
                <w:szCs w:val="1"/>
                <w:color w:val="auto"/>
              </w:rPr>
            </w:pPr>
          </w:p>
        </w:tc>
      </w:tr>
      <w:tr>
        <w:trPr>
          <w:trHeight w:val="232"/>
        </w:trPr>
        <w:tc>
          <w:tcPr>
            <w:tcW w:w="4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 Losses</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Securitizations and other</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165,716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116,886</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48,830</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13,599</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carrying value of assets that relate to variable interests in unconsolidated VIEs consists of $8.3 million and $6.4 million of securitization notes and residual certificates which are included in other assets on the condensed consolidated balance sheets as of December 31, 2021 and March 31, 2022, respectively. The Company also had $7.2 million of cash deposits made to reserve accounts for related securitizations, included in other assets on the condensed consolidated balance sheets as of December 31, 2021 and March 31, 2022.</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Retained Interest in Unconsolidated VIEs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majority-owned affiliates are subject principally to the credit and prepayment risk stemming from the underlying unsecured personal whole loans.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Loans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routinely contributes loans to securitization transactions which it co-sponsors as a non-retaining sponsor. As a non-retaining sponsor and a servicer of these transactions, the Company does not retain economic risk in these deals. Contributions of loans to these securitizations are recognized as transfers under Topic 860, Transfers and Servicing.</w:t>
      </w:r>
    </w:p>
    <w:p>
      <w:pPr>
        <w:spacing w:after="0" w:line="393" w:lineRule="exact"/>
        <w:rPr>
          <w:sz w:val="20"/>
          <w:szCs w:val="20"/>
          <w:color w:val="auto"/>
        </w:rPr>
      </w:pPr>
    </w:p>
    <w:p>
      <w:pPr>
        <w:ind w:left="1240" w:hanging="618"/>
        <w:spacing w:after="0"/>
        <w:tabs>
          <w:tab w:leader="none" w:pos="124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assets and liabilities measured at fair value and categorized as Level 3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252,477</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597,981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receivable and residual certificates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6,384</w:t>
            </w: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Loan servicing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27,960</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279,153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632,325</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servicing liabilities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8,290</w:t>
            </w: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Trailing fee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5,241</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Financial instruments are categorized in the fair value hierarchy based on the significance of unobservable factors in the overall fair value measurement. Since the Company’s loans, notes receivable and residual certificates, loan servicing assets and liabilities, and trailing fee liabilities do not trade in an active market with readily observable prices, the Company uses significant unobservable inputs to measure the fair value of these assets and liabilities.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transfers between Level 1, Level 2 or Level 3 of the fair value hierarchy during the periods presented.</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Loans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Loans included in the Company’s condensed consolidated balance sheets are classified as either held-for-sale or held-for-investment. As of December 31, 2021, $142.7 million and $109.8 million of loans held on the Company’s condensed consolidated balance sheets were classified as held-for-sale and held-for-investment, respectively. As of January 1, 2022 the Company reclassified all loans previously classified as held-for-investment to held-for-sale due to the Company’s intent and ability to sell the loans prior to maturity. All loans purchased during the three months ended March 31, 2022 were classified as held-for-sale.</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Valuation Methodology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Inputs and Assumptions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quantitative information about the significant unobservable inputs used for the Company’s Level 3 fair value measurements for loans held-for-investment and held-for-sale: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340" w:type="dxa"/>
            <w:vAlign w:val="bottom"/>
          </w:tcPr>
          <w:p>
            <w:pPr>
              <w:spacing w:after="0"/>
              <w:rPr>
                <w:sz w:val="13"/>
                <w:szCs w:val="13"/>
                <w:color w:val="auto"/>
              </w:rPr>
            </w:pPr>
          </w:p>
        </w:tc>
        <w:tc>
          <w:tcPr>
            <w:tcW w:w="1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4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100" w:type="dxa"/>
            <w:vAlign w:val="bottom"/>
          </w:tcPr>
          <w:p>
            <w:pPr>
              <w:spacing w:after="0"/>
              <w:rPr>
                <w:sz w:val="13"/>
                <w:szCs w:val="13"/>
                <w:color w:val="auto"/>
              </w:rPr>
            </w:pPr>
          </w:p>
        </w:tc>
        <w:tc>
          <w:tcPr>
            <w:tcW w:w="1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4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168"/>
        </w:trPr>
        <w:tc>
          <w:tcPr>
            <w:tcW w:w="23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212"/>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3.42 %</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4.68 %</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7.53 %</w:t>
            </w:r>
          </w:p>
        </w:tc>
        <w:tc>
          <w:tcPr>
            <w:tcW w:w="0" w:type="dxa"/>
            <w:vAlign w:val="bottom"/>
          </w:tcPr>
          <w:p>
            <w:pPr>
              <w:spacing w:after="0"/>
              <w:rPr>
                <w:sz w:val="1"/>
                <w:szCs w:val="1"/>
                <w:color w:val="auto"/>
              </w:rPr>
            </w:pPr>
          </w:p>
        </w:tc>
      </w:tr>
      <w:tr>
        <w:trPr>
          <w:trHeight w:val="219"/>
        </w:trPr>
        <w:tc>
          <w:tcPr>
            <w:tcW w:w="23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Credit risk rate </w:t>
            </w:r>
            <w:r>
              <w:rPr>
                <w:rFonts w:ascii="Times New Roman" w:cs="Times New Roman" w:eastAsia="Times New Roman" w:hAnsi="Times New Roman"/>
                <w:sz w:val="22"/>
                <w:szCs w:val="22"/>
                <w:color w:val="auto"/>
                <w:vertAlign w:val="superscript"/>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55.79 %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79.09 %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14.65 %</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Prepayment rate </w:t>
            </w:r>
            <w:r>
              <w:rPr>
                <w:rFonts w:ascii="Times New Roman" w:cs="Times New Roman" w:eastAsia="Times New Roman" w:hAnsi="Times New Roman"/>
                <w:sz w:val="22"/>
                <w:szCs w:val="22"/>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88.12 %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91.56 %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41.49 %</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240" w:hanging="618"/>
        <w:spacing w:after="0"/>
        <w:tabs>
          <w:tab w:leader="none" w:pos="1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1" w:lineRule="exact"/>
        <w:rPr>
          <w:sz w:val="20"/>
          <w:szCs w:val="20"/>
          <w:color w:val="auto"/>
        </w:rPr>
      </w:pPr>
    </w:p>
    <w:p>
      <w:pPr>
        <w:ind w:left="1240" w:hanging="618"/>
        <w:spacing w:after="0"/>
        <w:tabs>
          <w:tab w:leader="none" w:pos="1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39"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Discount rates</w:t>
      </w:r>
      <w:r>
        <w:rPr>
          <w:rFonts w:ascii="Times New Roman" w:cs="Times New Roman" w:eastAsia="Times New Roman" w:hAnsi="Times New Roman"/>
          <w:sz w:val="17"/>
          <w:szCs w:val="17"/>
          <w:color w:val="auto"/>
        </w:rPr>
        <w:t>–The discount rates are rates of return used to discount future expected cash flows to arrive at a present value, which represents the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19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Credit risk rates</w:t>
      </w:r>
      <w:r>
        <w:rPr>
          <w:rFonts w:ascii="Times New Roman" w:cs="Times New Roman" w:eastAsia="Times New Roman" w:hAnsi="Times New Roman"/>
          <w:sz w:val="17"/>
          <w:szCs w:val="17"/>
          <w:color w:val="auto"/>
        </w:rPr>
        <w:t>–The credit risk rates are an estimate of the net cumulative principal payments that will not be repaid over the entire life of a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86"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Prepayment rates</w:t>
      </w:r>
      <w:r>
        <w:rPr>
          <w:rFonts w:ascii="Times New Roman" w:cs="Times New Roman" w:eastAsia="Times New Roman" w:hAnsi="Times New Roman"/>
          <w:sz w:val="17"/>
          <w:szCs w:val="17"/>
          <w:color w:val="auto"/>
        </w:rPr>
        <w:t>–Prepayment rates are an estimate of the cumulative principal prepayments that will occur over the entire life of a loan as a percentage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original principal amount of the loan. The assumption regarding cumulative prepayments impact the projected balances and expected terms of the loans.</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above inputs are similarly used in estimating fair value of related financial instruments. Refer to the Assets and Liabilities related to Securitization Transactions section below for more information.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Recurring Level 3 Fair Value Input Sensitivity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below table presents the sensitivity of the loans held-for-sale and held-for-investment to adverse changes in key assumptions used in the valuation model as of December 31, 2021 and March 31, 2022, respectively. The estimated fair value of these loans is not sensitive to adverse changes in expected prepayment rates as such changes would not result in a significant impact on the fair value in either periods.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of loans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252,477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597,981</w:t>
            </w:r>
          </w:p>
        </w:tc>
      </w:tr>
      <w:tr>
        <w:trPr>
          <w:trHeight w:val="19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100 basis point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(7,549)</w:t>
            </w:r>
          </w:p>
        </w:tc>
      </w:tr>
      <w:tr>
        <w:trPr>
          <w:trHeight w:val="219"/>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200 basis point increase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(14,941)</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credit loss rates on underlying loans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 adverse change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(8,915)</w:t>
            </w:r>
          </w:p>
        </w:tc>
      </w:tr>
      <w:tr>
        <w:trPr>
          <w:trHeight w:val="21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 adverse change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(17,790)</w:t>
            </w:r>
          </w:p>
        </w:tc>
      </w:tr>
    </w:tbl>
    <w:p>
      <w:pPr>
        <w:spacing w:after="0" w:line="200" w:lineRule="exact"/>
        <w:rPr>
          <w:sz w:val="20"/>
          <w:szCs w:val="20"/>
          <w:color w:val="auto"/>
        </w:rPr>
      </w:pPr>
    </w:p>
    <w:p>
      <w:pPr>
        <w:spacing w:after="0" w:line="3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Rollforward of Level 3 Fair Values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include a rollforward of the loans classified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Loans Held-for-</w:t>
            </w:r>
          </w:p>
        </w:tc>
        <w:tc>
          <w:tcPr>
            <w:tcW w:w="16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Loans Held-for-</w:t>
            </w:r>
          </w:p>
        </w:tc>
        <w:tc>
          <w:tcPr>
            <w:tcW w:w="380" w:type="dxa"/>
            <w:vAlign w:val="bottom"/>
          </w:tcPr>
          <w:p>
            <w:pPr>
              <w:spacing w:after="0"/>
              <w:rPr>
                <w:sz w:val="17"/>
                <w:szCs w:val="17"/>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Sale</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3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18,228</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78,460</w:t>
            </w:r>
          </w:p>
        </w:tc>
        <w:tc>
          <w:tcPr>
            <w:tcW w:w="0" w:type="dxa"/>
            <w:vAlign w:val="bottom"/>
          </w:tcPr>
          <w:p>
            <w:pPr>
              <w:spacing w:after="0"/>
              <w:rPr>
                <w:sz w:val="1"/>
                <w:szCs w:val="1"/>
                <w:color w:val="auto"/>
              </w:rPr>
            </w:pP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of loans from HFI to HFS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31,187</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(46,469)</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1,294,634</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(1,294,634)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(1,294,634)</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(5,639)</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March 31,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28,395</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57,189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Loans Held-for-</w:t>
            </w:r>
          </w:p>
        </w:tc>
        <w:tc>
          <w:tcPr>
            <w:tcW w:w="16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Loans Held-for-</w:t>
            </w:r>
          </w:p>
        </w:tc>
        <w:tc>
          <w:tcPr>
            <w:tcW w:w="380" w:type="dxa"/>
            <w:vAlign w:val="bottom"/>
          </w:tcPr>
          <w:p>
            <w:pPr>
              <w:spacing w:after="0"/>
              <w:rPr>
                <w:sz w:val="17"/>
                <w:szCs w:val="17"/>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Sale</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3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109,792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252,477</w:t>
            </w:r>
          </w:p>
        </w:tc>
        <w:tc>
          <w:tcPr>
            <w:tcW w:w="0" w:type="dxa"/>
            <w:vAlign w:val="bottom"/>
          </w:tcPr>
          <w:p>
            <w:pPr>
              <w:spacing w:after="0"/>
              <w:rPr>
                <w:sz w:val="1"/>
                <w:szCs w:val="1"/>
                <w:color w:val="auto"/>
              </w:rPr>
            </w:pP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of loans from HFI to HFS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(109,792)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443,190</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(50,764)</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3,014,594</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(3,014,594)</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(29,726)</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(19,511)</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0" w:type="dxa"/>
            <w:vAlign w:val="bottom"/>
          </w:tcPr>
          <w:p>
            <w:pPr>
              <w:spacing w:after="0"/>
              <w:rPr>
                <w:sz w:val="1"/>
                <w:szCs w:val="1"/>
                <w:color w:val="auto"/>
              </w:rPr>
            </w:pP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597,981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597,981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aggregate fair value and aggregate principal outstanding of all loans and loans that were 90 days or more past due included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7"/>
                <w:szCs w:val="17"/>
                <w:b w:val="1"/>
                <w:bCs w:val="1"/>
                <w:color w:val="auto"/>
              </w:rPr>
              <w:t>Loans</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Loans &gt; 90 Days Past Due</w:t>
            </w:r>
          </w:p>
        </w:tc>
      </w:tr>
      <w:tr>
        <w:trPr>
          <w:trHeight w:val="205"/>
        </w:trPr>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00" w:type="dxa"/>
            <w:vAlign w:val="bottom"/>
          </w:tcPr>
          <w:p>
            <w:pPr>
              <w:spacing w:after="0"/>
              <w:rPr>
                <w:sz w:val="17"/>
                <w:szCs w:val="17"/>
                <w:color w:val="auto"/>
              </w:rPr>
            </w:pPr>
          </w:p>
        </w:tc>
        <w:tc>
          <w:tcPr>
            <w:tcW w:w="132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7"/>
                <w:szCs w:val="17"/>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4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principal balance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277,228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636,132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w:t>
            </w:r>
          </w:p>
        </w:tc>
      </w:tr>
      <w:tr>
        <w:trPr>
          <w:trHeight w:val="21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fair value and accrued interest adjustments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(24,751)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w w:val="99"/>
              </w:rPr>
              <w:t>(38,151)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(2,970)</w:t>
            </w:r>
          </w:p>
        </w:tc>
      </w:tr>
      <w:tr>
        <w:trPr>
          <w:trHeight w:val="237"/>
        </w:trPr>
        <w:tc>
          <w:tcPr>
            <w:tcW w:w="442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Fair value</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252,477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597,981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ind w:left="460" w:hanging="457"/>
        <w:spacing w:after="0" w:line="255" w:lineRule="auto"/>
        <w:tabs>
          <w:tab w:leader="none" w:pos="37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$50.1 million and $230.8 million of auto loans as of December 31, 2021 and March 31, 2022, respectively, of which an immaterial amount is 90 days or more past due for each period presented.</w:t>
      </w:r>
    </w:p>
    <w:p>
      <w:pPr>
        <w:spacing w:after="0" w:line="215"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related to Securitization Transactions</w:t>
      </w:r>
    </w:p>
    <w:p>
      <w:pPr>
        <w:spacing w:after="0" w:line="249"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As of December 31, 2021 and March 31, 2022, the Company held notes receivable and residual certificates with an aggregate fair value of $8.3 million and $6.4 million, respectively, within other assets on the Company’s condensed consolidated balance sheets. The balances consist of securitization notes and residual certificates corresponding to the 5% economic risk retention the Company is required to maintain as the retaining sponsor of the unconsolidated securitizations.</w:t>
      </w: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Valuation Methodology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discounted cash flow methodology, which is used to estimate the fair value of notes receivable and residual certificates, uses the same projected net cash flows as their related loans. This model uses inputs that are inherently judgmental and reflect the Company’s best estimates of the assumptions a market participant would use to calculate fair value.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Inputs and Assumptions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quantitative information about the significant unobservable inputs used for the Company’s Level 3 fair value measurements of assets related to securitization transactions: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12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00" w:type="dxa"/>
            <w:vAlign w:val="bottom"/>
          </w:tcPr>
          <w:p>
            <w:pPr>
              <w:spacing w:after="0"/>
              <w:rPr>
                <w:sz w:val="13"/>
                <w:szCs w:val="13"/>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300" w:type="dxa"/>
            <w:vAlign w:val="bottom"/>
          </w:tcPr>
          <w:p>
            <w:pPr>
              <w:jc w:val="right"/>
              <w:ind w:right="174"/>
              <w:spacing w:after="0" w:line="161"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00" w:type="dxa"/>
            <w:vAlign w:val="bottom"/>
          </w:tcPr>
          <w:p>
            <w:pPr>
              <w:spacing w:after="0"/>
              <w:rPr>
                <w:sz w:val="13"/>
                <w:szCs w:val="13"/>
                <w:color w:val="auto"/>
              </w:rPr>
            </w:pPr>
          </w:p>
        </w:tc>
        <w:tc>
          <w:tcPr>
            <w:tcW w:w="1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300" w:type="dxa"/>
            <w:vAlign w:val="bottom"/>
          </w:tcPr>
          <w:p>
            <w:pPr>
              <w:jc w:val="right"/>
              <w:ind w:right="174"/>
              <w:spacing w:after="0" w:line="161"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400" w:type="dxa"/>
            <w:vAlign w:val="bottom"/>
            <w:gridSpan w:val="2"/>
          </w:tcPr>
          <w:p>
            <w:pPr>
              <w:jc w:val="right"/>
              <w:ind w:right="360"/>
              <w:spacing w:after="0" w:line="232" w:lineRule="exact"/>
              <w:rPr>
                <w:sz w:val="20"/>
                <w:szCs w:val="20"/>
                <w:color w:val="auto"/>
              </w:rPr>
            </w:pPr>
            <w:r>
              <w:rPr>
                <w:rFonts w:ascii="Times New Roman" w:cs="Times New Roman" w:eastAsia="Times New Roman" w:hAnsi="Times New Roman"/>
                <w:sz w:val="17"/>
                <w:szCs w:val="17"/>
                <w:b w:val="1"/>
                <w:bCs w:val="1"/>
                <w:color w:val="auto"/>
              </w:rPr>
              <w:t xml:space="preserve">Average </w:t>
            </w:r>
            <w:r>
              <w:rPr>
                <w:rFonts w:ascii="Times New Roman" w:cs="Times New Roman" w:eastAsia="Times New Roman" w:hAnsi="Times New Roman"/>
                <w:sz w:val="22"/>
                <w:szCs w:val="22"/>
                <w:b w:val="1"/>
                <w:bCs w:val="1"/>
                <w:color w:val="auto"/>
                <w:vertAlign w:val="superscript"/>
              </w:rPr>
              <w:t>(2)</w:t>
            </w:r>
          </w:p>
        </w:tc>
        <w:tc>
          <w:tcPr>
            <w:tcW w:w="1400" w:type="dxa"/>
            <w:vAlign w:val="bottom"/>
            <w:gridSpan w:val="2"/>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300" w:type="dxa"/>
            <w:vAlign w:val="bottom"/>
          </w:tcPr>
          <w:p>
            <w:pPr>
              <w:jc w:val="right"/>
              <w:ind w:right="174"/>
              <w:spacing w:after="0" w:line="232" w:lineRule="exact"/>
              <w:rPr>
                <w:sz w:val="20"/>
                <w:szCs w:val="20"/>
                <w:color w:val="auto"/>
              </w:rPr>
            </w:pPr>
            <w:r>
              <w:rPr>
                <w:rFonts w:ascii="Times New Roman" w:cs="Times New Roman" w:eastAsia="Times New Roman" w:hAnsi="Times New Roman"/>
                <w:sz w:val="17"/>
                <w:szCs w:val="17"/>
                <w:b w:val="1"/>
                <w:bCs w:val="1"/>
                <w:color w:val="auto"/>
              </w:rPr>
              <w:t xml:space="preserve">Average </w:t>
            </w:r>
            <w:r>
              <w:rPr>
                <w:rFonts w:ascii="Times New Roman" w:cs="Times New Roman" w:eastAsia="Times New Roman" w:hAnsi="Times New Roman"/>
                <w:sz w:val="22"/>
                <w:szCs w:val="22"/>
                <w:b w:val="1"/>
                <w:bCs w:val="1"/>
                <w:color w:val="auto"/>
                <w:vertAlign w:val="superscript"/>
              </w:rPr>
              <w:t>(2)</w:t>
            </w:r>
          </w:p>
        </w:tc>
        <w:tc>
          <w:tcPr>
            <w:tcW w:w="0" w:type="dxa"/>
            <w:vAlign w:val="bottom"/>
          </w:tcPr>
          <w:p>
            <w:pPr>
              <w:spacing w:after="0"/>
              <w:rPr>
                <w:sz w:val="1"/>
                <w:szCs w:val="1"/>
                <w:color w:val="auto"/>
              </w:rPr>
            </w:pPr>
          </w:p>
        </w:tc>
      </w:tr>
      <w:tr>
        <w:trPr>
          <w:trHeight w:val="192"/>
        </w:trPr>
        <w:tc>
          <w:tcPr>
            <w:tcW w:w="2960" w:type="dxa"/>
            <w:vAlign w:val="bottom"/>
            <w:tcBorders>
              <w:top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b w:val="1"/>
                <w:bCs w:val="1"/>
                <w:color w:val="auto"/>
              </w:rPr>
              <w:t>Notes receivable and residual</w:t>
            </w: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certificates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15.72 %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7.40 %</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Credit risk rate </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18.52 %</w:t>
            </w:r>
          </w:p>
        </w:tc>
        <w:tc>
          <w:tcPr>
            <w:tcW w:w="0" w:type="dxa"/>
            <w:vAlign w:val="bottom"/>
          </w:tcPr>
          <w:p>
            <w:pPr>
              <w:spacing w:after="0"/>
              <w:rPr>
                <w:sz w:val="1"/>
                <w:szCs w:val="1"/>
                <w:color w:val="auto"/>
              </w:rPr>
            </w:pPr>
          </w:p>
        </w:tc>
      </w:tr>
      <w:tr>
        <w:trPr>
          <w:trHeight w:val="295"/>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Prepayment rate </w:t>
            </w:r>
            <w:r>
              <w:rPr>
                <w:rFonts w:ascii="Times New Roman" w:cs="Times New Roman" w:eastAsia="Times New Roman" w:hAnsi="Times New Roman"/>
                <w:sz w:val="22"/>
                <w:szCs w:val="22"/>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36.08 %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27.77 %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6" w:lineRule="exact"/>
        <w:rPr>
          <w:sz w:val="20"/>
          <w:szCs w:val="20"/>
          <w:color w:val="auto"/>
        </w:rPr>
      </w:pPr>
    </w:p>
    <w:p>
      <w:pPr>
        <w:ind w:left="460" w:hanging="457"/>
        <w:spacing w:after="0"/>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 underlying the financial instruments</w:t>
      </w:r>
    </w:p>
    <w:p>
      <w:pPr>
        <w:spacing w:after="0" w:line="3"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Recurring Level 3 Fair Value Input Sensitivity</w:t>
      </w:r>
    </w:p>
    <w:p>
      <w:pPr>
        <w:spacing w:after="0" w:line="23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under a discounted cash flow methodology of 20% would result in a 10% decrease in the fair value of the residual certificates as of March 31, 2022. The remaining classes of securities, with the exception of those in 2018-2, are all overcollateralized such that changes in credit risk rates are not expected to have significant impacts on their fair values.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0.69% and 0.65% as of December 31, 2021 and March 31, 2022, respectively. On average, a hypothetical 200 basis point increase in discount rates results in a decrease in fair value of securitization notes and residual certificates of 1.37% and 1.28% as of December 31, 2021 and March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securitization notes and residual certificates are not sensitive to adverse changes in expected prepayment rates as such changes would not result in a significant impact on the fair value as of December 31, 2021 and March 31, 2022.</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Rollforward of Level 3 Fair Values</w:t>
      </w:r>
    </w:p>
    <w:p>
      <w:pPr>
        <w:spacing w:after="0" w:line="23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include a rollforward of the notes receivable and residual certificates related to securitization transactions classified by the Company within Level 3 of the fair value hierarchy: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Notes Receivable and</w:t>
            </w:r>
          </w:p>
        </w:tc>
      </w:tr>
      <w:tr>
        <w:trPr>
          <w:trHeight w:val="227"/>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Residual Certificates</w:t>
            </w:r>
          </w:p>
        </w:tc>
      </w:tr>
      <w:tr>
        <w:trPr>
          <w:trHeight w:val="21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2020</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19,074</w:t>
            </w:r>
          </w:p>
        </w:tc>
      </w:tr>
      <w:tr>
        <w:trPr>
          <w:trHeight w:val="212"/>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(3,119)</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12"/>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March 31, 2021</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16,033</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Notes Receivable and</w:t>
            </w:r>
          </w:p>
        </w:tc>
      </w:tr>
      <w:tr>
        <w:trPr>
          <w:trHeight w:val="230"/>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Residual Certificates</w:t>
            </w:r>
          </w:p>
        </w:tc>
      </w:tr>
      <w:tr>
        <w:trPr>
          <w:trHeight w:val="215"/>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8,288</w:t>
            </w:r>
          </w:p>
        </w:tc>
      </w:tr>
      <w:tr>
        <w:trPr>
          <w:trHeight w:val="212"/>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12"/>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March 31, 2022</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6,384</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Loan Servicing Assets and Liabilities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Valuation Methodology</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Inputs and Assumptions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quantitative information about the significant unobservable inputs used for the Company’s Level 3 fair value measurements for loan servicing assets and liabilities: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34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38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50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80" w:type="dxa"/>
            <w:vAlign w:val="bottom"/>
          </w:tcPr>
          <w:p>
            <w:pPr>
              <w:spacing w:after="0"/>
              <w:rPr>
                <w:sz w:val="13"/>
                <w:szCs w:val="13"/>
                <w:color w:val="auto"/>
              </w:rPr>
            </w:pPr>
          </w:p>
        </w:tc>
        <w:tc>
          <w:tcPr>
            <w:tcW w:w="134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38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48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17.69 %</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17.56 %</w:t>
            </w:r>
          </w:p>
        </w:tc>
        <w:tc>
          <w:tcPr>
            <w:tcW w:w="0" w:type="dxa"/>
            <w:vAlign w:val="bottom"/>
          </w:tcPr>
          <w:p>
            <w:pPr>
              <w:spacing w:after="0"/>
              <w:rPr>
                <w:sz w:val="1"/>
                <w:szCs w:val="1"/>
                <w:color w:val="auto"/>
              </w:rPr>
            </w:pPr>
          </w:p>
        </w:tc>
      </w:tr>
      <w:tr>
        <w:trPr>
          <w:trHeight w:val="219"/>
        </w:trPr>
        <w:tc>
          <w:tcPr>
            <w:tcW w:w="2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Credit risk rate </w:t>
            </w:r>
            <w:r>
              <w:rPr>
                <w:rFonts w:ascii="Times New Roman" w:cs="Times New Roman" w:eastAsia="Times New Roman" w:hAnsi="Times New Roman"/>
                <w:sz w:val="22"/>
                <w:szCs w:val="22"/>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52.78 %</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18.36 %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62.06 %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17.84 %</w:t>
            </w:r>
          </w:p>
        </w:tc>
        <w:tc>
          <w:tcPr>
            <w:tcW w:w="0" w:type="dxa"/>
            <w:vAlign w:val="bottom"/>
          </w:tcPr>
          <w:p>
            <w:pPr>
              <w:spacing w:after="0"/>
              <w:rPr>
                <w:sz w:val="1"/>
                <w:szCs w:val="1"/>
                <w:color w:val="auto"/>
              </w:rPr>
            </w:pPr>
          </w:p>
        </w:tc>
      </w:tr>
      <w:tr>
        <w:trPr>
          <w:trHeight w:val="245"/>
        </w:trPr>
        <w:tc>
          <w:tcPr>
            <w:tcW w:w="274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Market-servicing rate </w:t>
            </w:r>
            <w:r>
              <w:rPr>
                <w:rFonts w:ascii="Times New Roman" w:cs="Times New Roman" w:eastAsia="Times New Roman" w:hAnsi="Times New Roman"/>
                <w:sz w:val="22"/>
                <w:szCs w:val="22"/>
                <w:color w:val="auto"/>
                <w:vertAlign w:val="superscript"/>
              </w:rPr>
              <w:t>(3)(4)(5)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0.62 %</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0.62 %</w:t>
            </w:r>
          </w:p>
        </w:tc>
        <w:tc>
          <w:tcPr>
            <w:tcW w:w="0" w:type="dxa"/>
            <w:vAlign w:val="bottom"/>
          </w:tcPr>
          <w:p>
            <w:pPr>
              <w:spacing w:after="0"/>
              <w:rPr>
                <w:sz w:val="1"/>
                <w:szCs w:val="1"/>
                <w:color w:val="auto"/>
              </w:rPr>
            </w:pPr>
          </w:p>
        </w:tc>
      </w:tr>
      <w:tr>
        <w:trPr>
          <w:trHeight w:val="295"/>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Prepayment rate </w:t>
            </w:r>
            <w:r>
              <w:rPr>
                <w:rFonts w:ascii="Times New Roman" w:cs="Times New Roman" w:eastAsia="Times New Roman" w:hAnsi="Times New Roman"/>
                <w:sz w:val="22"/>
                <w:szCs w:val="22"/>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91.43 %</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36.39 %</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92.72 %</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38.54 %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1" w:lineRule="exact"/>
        <w:rPr>
          <w:sz w:val="20"/>
          <w:szCs w:val="20"/>
          <w:color w:val="auto"/>
        </w:rPr>
      </w:pPr>
    </w:p>
    <w:p>
      <w:pPr>
        <w:ind w:left="460" w:hanging="457"/>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 underlying the servicing arrangement</w:t>
      </w:r>
    </w:p>
    <w:p>
      <w:pPr>
        <w:spacing w:after="0" w:line="17"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6" w:lineRule="exact"/>
        <w:rPr>
          <w:rFonts w:ascii="Times New Roman" w:cs="Times New Roman" w:eastAsia="Times New Roman" w:hAnsi="Times New Roman"/>
          <w:sz w:val="14"/>
          <w:szCs w:val="14"/>
          <w:color w:val="auto"/>
        </w:rPr>
      </w:pPr>
    </w:p>
    <w:p>
      <w:pPr>
        <w:ind w:left="460" w:hanging="457"/>
        <w:spacing w:after="0" w:line="235"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ind w:left="460" w:hanging="457"/>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of the loan</w:t>
      </w:r>
    </w:p>
    <w:p>
      <w:pPr>
        <w:spacing w:after="0" w:line="3"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personal loans and auto loans</w:t>
      </w:r>
    </w:p>
    <w:p>
      <w:pPr>
        <w:spacing w:after="0" w:line="228"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Discount rates</w:t>
      </w:r>
      <w:r>
        <w:rPr>
          <w:rFonts w:ascii="Times New Roman" w:cs="Times New Roman" w:eastAsia="Times New Roman" w:hAnsi="Times New Roman"/>
          <w:sz w:val="17"/>
          <w:szCs w:val="17"/>
          <w:color w:val="auto"/>
        </w:rPr>
        <w:t>–The discount rates are the Company’s estimate of the rates of return that market participants in servicing rights would require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Credit risk rate</w:t>
      </w:r>
      <w:r>
        <w:rPr>
          <w:rFonts w:ascii="Times New Roman" w:cs="Times New Roman" w:eastAsia="Times New Roman" w:hAnsi="Times New Roman"/>
          <w:sz w:val="17"/>
          <w:szCs w:val="17"/>
          <w:color w:val="auto"/>
        </w:rPr>
        <w:t>s–The credit risk rates are the Company’s estimate of the net cumulative principal payments that will not be repaid over the entire life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expressed as a percentage of the original principal amount of the loan. The assumption regarding net cumulative losses impact the projected balances and expected terms of the loans, which are used to project future servicing revenues.</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Market-servicing rates</w:t>
      </w:r>
      <w:r>
        <w:rPr>
          <w:rFonts w:ascii="Times New Roman" w:cs="Times New Roman" w:eastAsia="Times New Roman" w:hAnsi="Times New Roman"/>
          <w:sz w:val="17"/>
          <w:szCs w:val="17"/>
          <w:color w:val="auto"/>
        </w:rPr>
        <w:t>–Market-servicing rate is an estimated measure of adequate compensation for a market participant, if one was required. The rate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Prepayment rates</w:t>
      </w:r>
      <w:r>
        <w:rPr>
          <w:rFonts w:ascii="Times New Roman" w:cs="Times New Roman" w:eastAsia="Times New Roman" w:hAnsi="Times New Roman"/>
          <w:sz w:val="17"/>
          <w:szCs w:val="17"/>
          <w:color w:val="auto"/>
        </w:rPr>
        <w:t>–Prepayment rates are the Company’s estimate of the cumulative principal prepayments that will occur over the entire life of a loan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percentage of the original principal amount of the loan. The assumption regarding cumulative prepayments impact the projected balances and expected terms of the loans, which are used to project future servicing revenues.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Recurring Level 3 Fair Value Input Sensitivity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table below presents the fair value sensitivity of loan servicing assets and liabilities to adverse changes in key assumptions. The fair value of loan servicing assets and liabilities is not sensitive to adverse changes in discount rates and prepayment rates as such changes would not result in a significant impact on the fair value as of December 31, 2021 and March 31, 2022,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of loan servicing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27,960</w:t>
            </w:r>
          </w:p>
        </w:tc>
      </w:tr>
      <w:tr>
        <w:trPr>
          <w:trHeight w:val="19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market-servicing rates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(8,150)</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 market-servicing rates increase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(16,236)</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5"/>
        </w:trPr>
        <w:tc>
          <w:tcPr>
            <w:tcW w:w="7880" w:type="dxa"/>
            <w:vAlign w:val="bottom"/>
            <w:shd w:val="clear" w:color="auto" w:fill="CCEEFF"/>
          </w:tcPr>
          <w:p>
            <w:pPr>
              <w:jc w:val="right"/>
              <w:ind w:right="5074"/>
              <w:spacing w:after="0"/>
              <w:rPr>
                <w:sz w:val="20"/>
                <w:szCs w:val="20"/>
                <w:color w:val="auto"/>
              </w:rPr>
            </w:pPr>
            <w:r>
              <w:rPr>
                <w:rFonts w:ascii="Times New Roman" w:cs="Times New Roman" w:eastAsia="Times New Roman" w:hAnsi="Times New Roman"/>
                <w:sz w:val="17"/>
                <w:szCs w:val="17"/>
                <w:b w:val="1"/>
                <w:bCs w:val="1"/>
                <w:color w:val="auto"/>
              </w:rPr>
              <w:t>Fair value of loan servicing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8,290</w:t>
            </w:r>
          </w:p>
        </w:tc>
      </w:tr>
      <w:tr>
        <w:trPr>
          <w:trHeight w:val="219"/>
        </w:trPr>
        <w:tc>
          <w:tcPr>
            <w:tcW w:w="7880" w:type="dxa"/>
            <w:vAlign w:val="bottom"/>
          </w:tcPr>
          <w:p>
            <w:pPr>
              <w:jc w:val="right"/>
              <w:ind w:right="5554"/>
              <w:spacing w:after="0"/>
              <w:rPr>
                <w:sz w:val="20"/>
                <w:szCs w:val="20"/>
                <w:color w:val="auto"/>
              </w:rPr>
            </w:pPr>
            <w:r>
              <w:rPr>
                <w:rFonts w:ascii="Times New Roman" w:cs="Times New Roman" w:eastAsia="Times New Roman" w:hAnsi="Times New Roman"/>
                <w:sz w:val="17"/>
                <w:szCs w:val="17"/>
                <w:color w:val="auto"/>
              </w:rPr>
              <w:t>Expected market-servicing rates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7880" w:type="dxa"/>
            <w:vAlign w:val="bottom"/>
            <w:shd w:val="clear" w:color="auto" w:fill="CCEEFF"/>
          </w:tcPr>
          <w:p>
            <w:pPr>
              <w:jc w:val="right"/>
              <w:ind w:right="5074"/>
              <w:spacing w:after="0"/>
              <w:rPr>
                <w:sz w:val="20"/>
                <w:szCs w:val="20"/>
                <w:color w:val="auto"/>
              </w:rPr>
            </w:pPr>
            <w:r>
              <w:rPr>
                <w:rFonts w:ascii="Times New Roman" w:cs="Times New Roman" w:eastAsia="Times New Roman" w:hAnsi="Times New Roman"/>
                <w:sz w:val="17"/>
                <w:szCs w:val="17"/>
                <w:color w:val="auto"/>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4,938</w:t>
            </w:r>
          </w:p>
        </w:tc>
      </w:tr>
      <w:tr>
        <w:trPr>
          <w:trHeight w:val="223"/>
        </w:trPr>
        <w:tc>
          <w:tcPr>
            <w:tcW w:w="7880" w:type="dxa"/>
            <w:vAlign w:val="bottom"/>
          </w:tcPr>
          <w:p>
            <w:pPr>
              <w:jc w:val="right"/>
              <w:ind w:right="5074"/>
              <w:spacing w:after="0"/>
              <w:rPr>
                <w:sz w:val="20"/>
                <w:szCs w:val="20"/>
                <w:color w:val="auto"/>
              </w:rPr>
            </w:pPr>
            <w:r>
              <w:rPr>
                <w:rFonts w:ascii="Times New Roman" w:cs="Times New Roman" w:eastAsia="Times New Roman" w:hAnsi="Times New Roman"/>
                <w:sz w:val="17"/>
                <w:szCs w:val="17"/>
                <w:color w:val="auto"/>
              </w:rPr>
              <w:t>20% market-servicing rates increase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9,940</w:t>
            </w:r>
          </w:p>
        </w:tc>
      </w:tr>
    </w:tbl>
    <w:p>
      <w:pPr>
        <w:spacing w:after="0" w:line="200" w:lineRule="exact"/>
        <w:rPr>
          <w:sz w:val="20"/>
          <w:szCs w:val="20"/>
          <w:color w:val="auto"/>
        </w:rPr>
      </w:pPr>
    </w:p>
    <w:p>
      <w:pPr>
        <w:spacing w:after="0" w:line="3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Rollforward of Level 3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a rollforward of the loan servicing assets and liabilities classified by the Company within Level 3 of the fair value hierarchy: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 Servicing</w:t>
            </w:r>
          </w:p>
        </w:tc>
        <w:tc>
          <w:tcPr>
            <w:tcW w:w="200" w:type="dxa"/>
            <w:vAlign w:val="bottom"/>
          </w:tcPr>
          <w:p>
            <w:pPr>
              <w:spacing w:after="0"/>
              <w:rPr>
                <w:sz w:val="17"/>
                <w:szCs w:val="17"/>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Loan Servicing</w:t>
            </w:r>
          </w:p>
        </w:tc>
      </w:tr>
      <w:tr>
        <w:trPr>
          <w:trHeight w:val="227"/>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19"/>
                <w:szCs w:val="19"/>
                <w:color w:val="auto"/>
              </w:rPr>
            </w:pPr>
          </w:p>
        </w:tc>
        <w:tc>
          <w:tcPr>
            <w:tcW w:w="14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12"/>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center"/>
              <w:ind w:left="834"/>
              <w:spacing w:after="0"/>
              <w:rPr>
                <w:sz w:val="20"/>
                <w:szCs w:val="20"/>
                <w:color w:val="auto"/>
              </w:rPr>
            </w:pPr>
            <w:r>
              <w:rPr>
                <w:rFonts w:ascii="Times New Roman" w:cs="Times New Roman" w:eastAsia="Times New Roman" w:hAnsi="Times New Roman"/>
                <w:sz w:val="17"/>
                <w:szCs w:val="17"/>
                <w:color w:val="auto"/>
                <w:w w:val="99"/>
              </w:rPr>
              <w:t>6,831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8,254</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jc w:val="center"/>
              <w:ind w:left="834"/>
              <w:spacing w:after="0"/>
              <w:rPr>
                <w:sz w:val="20"/>
                <w:szCs w:val="20"/>
                <w:color w:val="auto"/>
              </w:rPr>
            </w:pPr>
            <w:r>
              <w:rPr>
                <w:rFonts w:ascii="Times New Roman" w:cs="Times New Roman" w:eastAsia="Times New Roman" w:hAnsi="Times New Roman"/>
                <w:sz w:val="17"/>
                <w:szCs w:val="17"/>
                <w:color w:val="auto"/>
                <w:w w:val="99"/>
              </w:rPr>
              <w:t>3,452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3,519</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834"/>
              <w:spacing w:after="0"/>
              <w:rPr>
                <w:sz w:val="20"/>
                <w:szCs w:val="20"/>
                <w:color w:val="auto"/>
              </w:rPr>
            </w:pPr>
            <w:r>
              <w:rPr>
                <w:rFonts w:ascii="Times New Roman" w:cs="Times New Roman" w:eastAsia="Times New Roman" w:hAnsi="Times New Roman"/>
                <w:sz w:val="17"/>
                <w:szCs w:val="17"/>
                <w:color w:val="auto"/>
              </w:rPr>
              <w:t>(1,549)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March 31, 2021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center"/>
              <w:ind w:left="834"/>
              <w:spacing w:after="0"/>
              <w:rPr>
                <w:sz w:val="20"/>
                <w:szCs w:val="20"/>
                <w:color w:val="auto"/>
              </w:rPr>
            </w:pPr>
            <w:r>
              <w:rPr>
                <w:rFonts w:ascii="Times New Roman" w:cs="Times New Roman" w:eastAsia="Times New Roman" w:hAnsi="Times New Roman"/>
                <w:sz w:val="17"/>
                <w:szCs w:val="17"/>
                <w:color w:val="auto"/>
                <w:w w:val="99"/>
              </w:rPr>
              <w:t>8,734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10,853</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Loan Servicing</w:t>
            </w:r>
          </w:p>
        </w:tc>
        <w:tc>
          <w:tcPr>
            <w:tcW w:w="200" w:type="dxa"/>
            <w:vAlign w:val="bottom"/>
          </w:tcPr>
          <w:p>
            <w:pPr>
              <w:spacing w:after="0"/>
              <w:rPr>
                <w:sz w:val="17"/>
                <w:szCs w:val="17"/>
                <w:color w:val="auto"/>
              </w:rPr>
            </w:pPr>
          </w:p>
        </w:tc>
        <w:tc>
          <w:tcPr>
            <w:tcW w:w="144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Loan Servicing</w:t>
            </w:r>
          </w:p>
        </w:tc>
      </w:tr>
      <w:tr>
        <w:trPr>
          <w:trHeight w:val="230"/>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19"/>
                <w:szCs w:val="19"/>
                <w:color w:val="auto"/>
              </w:rPr>
            </w:pPr>
          </w:p>
        </w:tc>
        <w:tc>
          <w:tcPr>
            <w:tcW w:w="144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15"/>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18,388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bottom w:val="single" w:sz="8" w:color="auto"/>
            </w:tcBorders>
            <w:shd w:val="clear" w:color="auto" w:fill="CCEEFF"/>
          </w:tcPr>
          <w:p>
            <w:pPr>
              <w:jc w:val="center"/>
              <w:ind w:left="834"/>
              <w:spacing w:after="0"/>
              <w:rPr>
                <w:sz w:val="20"/>
                <w:szCs w:val="20"/>
                <w:color w:val="auto"/>
              </w:rPr>
            </w:pPr>
            <w:r>
              <w:rPr>
                <w:rFonts w:ascii="Times New Roman" w:cs="Times New Roman" w:eastAsia="Times New Roman" w:hAnsi="Times New Roman"/>
                <w:sz w:val="17"/>
                <w:szCs w:val="17"/>
                <w:color w:val="auto"/>
              </w:rPr>
              <w:t>8,780</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10,610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834"/>
              <w:spacing w:after="0"/>
              <w:rPr>
                <w:sz w:val="20"/>
                <w:szCs w:val="20"/>
                <w:color w:val="auto"/>
              </w:rPr>
            </w:pPr>
            <w:r>
              <w:rPr>
                <w:rFonts w:ascii="Times New Roman" w:cs="Times New Roman" w:eastAsia="Times New Roman" w:hAnsi="Times New Roman"/>
                <w:sz w:val="17"/>
                <w:szCs w:val="17"/>
                <w:color w:val="auto"/>
              </w:rPr>
              <w:t>1,905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(1,038)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7"/>
                <w:szCs w:val="17"/>
                <w:color w:val="auto"/>
              </w:rPr>
              <w:t>(2,395)</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March 31,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27,960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center"/>
              <w:ind w:left="834"/>
              <w:spacing w:after="0"/>
              <w:rPr>
                <w:sz w:val="20"/>
                <w:szCs w:val="20"/>
                <w:color w:val="auto"/>
              </w:rPr>
            </w:pPr>
            <w:r>
              <w:rPr>
                <w:rFonts w:ascii="Times New Roman" w:cs="Times New Roman" w:eastAsia="Times New Roman" w:hAnsi="Times New Roman"/>
                <w:sz w:val="17"/>
                <w:szCs w:val="17"/>
                <w:color w:val="auto"/>
              </w:rPr>
              <w:t>8,290</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Trailing Fee Liabilities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3.42% to 16.49% and credit risk rates of 0.08% to 55.79% as of December 31, 2021 and discount rates of 4.68% to 16.95% and credit risk rates of 0.01% to 79.09% as of and March 31, 2022.</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sensitivity of trailing fee liabilities to adverse changes in key assumptions would not result in a material impact on the Company’s financial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position.</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Rollforward of Level 3 Fair Values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include a rollforward of trailing fee liabilities classified by the Company within Level 3 of the fair value hierarchy: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Trailing Fee</w:t>
            </w:r>
          </w:p>
        </w:tc>
      </w:tr>
      <w:tr>
        <w:trPr>
          <w:trHeight w:val="230"/>
        </w:trPr>
        <w:tc>
          <w:tcPr>
            <w:tcW w:w="9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1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2020</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w:t>
            </w: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and settlements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March 31, 2021</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1,775</w:t>
            </w:r>
          </w:p>
        </w:tc>
      </w:tr>
      <w:tr>
        <w:trPr>
          <w:trHeight w:val="20"/>
        </w:trPr>
        <w:tc>
          <w:tcPr>
            <w:tcW w:w="9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0000FF"/>
        </w:rPr>
        <w:t>Table of Contents</w:t>
      </w:r>
    </w:p>
    <w:tbl>
      <w:tblPr>
        <w:tblLayout w:type="fixed"/>
        <w:tblInd w:w="0" w:type="dxa"/>
        <w:tblCellMar>
          <w:top w:w="0" w:type="dxa"/>
          <w:left w:w="0" w:type="dxa"/>
          <w:bottom w:w="0" w:type="dxa"/>
          <w:right w:w="0" w:type="dxa"/>
        </w:tblCellMar>
      </w:tblPr>
      <w:tr>
        <w:trPr>
          <w:trHeight w:val="243"/>
        </w:trPr>
        <w:tc>
          <w:tcPr>
            <w:tcW w:w="1220" w:type="dxa"/>
            <w:vAlign w:val="bottom"/>
            <w:tcBorders>
              <w:top w:val="single" w:sz="8" w:color="0000FF"/>
            </w:tcBorders>
          </w:tcPr>
          <w:p>
            <w:pPr>
              <w:spacing w:after="0"/>
              <w:rPr>
                <w:sz w:val="21"/>
                <w:szCs w:val="21"/>
                <w:color w:val="auto"/>
              </w:rPr>
            </w:pPr>
          </w:p>
        </w:tc>
        <w:tc>
          <w:tcPr>
            <w:tcW w:w="8380" w:type="dxa"/>
            <w:vAlign w:val="bottom"/>
          </w:tcPr>
          <w:p>
            <w:pPr>
              <w:jc w:val="center"/>
              <w:ind w:left="334"/>
              <w:spacing w:after="0"/>
              <w:rPr>
                <w:sz w:val="20"/>
                <w:szCs w:val="20"/>
                <w:color w:val="auto"/>
              </w:rPr>
            </w:pPr>
            <w:r>
              <w:rPr>
                <w:rFonts w:ascii="Times New Roman" w:cs="Times New Roman" w:eastAsia="Times New Roman" w:hAnsi="Times New Roman"/>
                <w:sz w:val="17"/>
                <w:szCs w:val="17"/>
                <w:b w:val="1"/>
                <w:bCs w:val="1"/>
                <w:color w:val="auto"/>
              </w:rPr>
              <w:t>Upstart Holdings, Inc.</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8380" w:type="dxa"/>
            <w:vAlign w:val="bottom"/>
          </w:tcPr>
          <w:p>
            <w:pPr>
              <w:jc w:val="center"/>
              <w:ind w:left="334"/>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83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220" w:type="dxa"/>
            <w:vAlign w:val="bottom"/>
          </w:tcPr>
          <w:p>
            <w:pPr>
              <w:spacing w:after="0"/>
              <w:rPr>
                <w:sz w:val="21"/>
                <w:szCs w:val="21"/>
                <w:color w:val="auto"/>
              </w:rPr>
            </w:pPr>
          </w:p>
        </w:tc>
        <w:tc>
          <w:tcPr>
            <w:tcW w:w="838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(Unaudited)</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7"/>
        </w:trPr>
        <w:tc>
          <w:tcPr>
            <w:tcW w:w="12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Trailing Fee</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0" w:type="dxa"/>
            <w:vAlign w:val="bottom"/>
          </w:tcPr>
          <w:p>
            <w:pPr>
              <w:spacing w:after="0"/>
              <w:rPr>
                <w:sz w:val="1"/>
                <w:szCs w:val="1"/>
                <w:color w:val="auto"/>
              </w:rPr>
            </w:pPr>
          </w:p>
        </w:tc>
      </w:tr>
      <w:tr>
        <w:trPr>
          <w:trHeight w:val="215"/>
        </w:trPr>
        <w:tc>
          <w:tcPr>
            <w:tcW w:w="9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2021</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0" w:type="dxa"/>
            <w:vAlign w:val="bottom"/>
          </w:tcPr>
          <w:p>
            <w:pPr>
              <w:spacing w:after="0"/>
              <w:rPr>
                <w:sz w:val="1"/>
                <w:szCs w:val="1"/>
                <w:color w:val="auto"/>
              </w:rPr>
            </w:pPr>
          </w:p>
        </w:tc>
      </w:tr>
      <w:tr>
        <w:trPr>
          <w:trHeight w:val="225"/>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Issuances</w:t>
            </w:r>
          </w:p>
        </w:tc>
        <w:tc>
          <w:tcPr>
            <w:tcW w:w="8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19"/>
        </w:trPr>
        <w:tc>
          <w:tcPr>
            <w:tcW w:w="9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and settlements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0" w:type="dxa"/>
            <w:vAlign w:val="bottom"/>
          </w:tcPr>
          <w:p>
            <w:pPr>
              <w:spacing w:after="0"/>
              <w:rPr>
                <w:sz w:val="1"/>
                <w:szCs w:val="1"/>
                <w:color w:val="auto"/>
              </w:rPr>
            </w:pPr>
          </w:p>
        </w:tc>
      </w:tr>
      <w:tr>
        <w:trPr>
          <w:trHeight w:val="219"/>
        </w:trPr>
        <w:tc>
          <w:tcPr>
            <w:tcW w:w="9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37"/>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March 31, 2022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5,241</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b w:val="1"/>
                <w:bCs w:val="1"/>
                <w:color w:val="auto"/>
              </w:rPr>
              <w:t>5.</w:t>
            </w:r>
          </w:p>
        </w:tc>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Goodwill and Intangible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220" w:type="dxa"/>
            <w:vAlign w:val="bottom"/>
            <w:vMerge w:val="continue"/>
          </w:tcPr>
          <w:p>
            <w:pPr>
              <w:spacing w:after="0"/>
              <w:rPr>
                <w:sz w:val="24"/>
                <w:szCs w:val="24"/>
                <w:color w:val="auto"/>
              </w:rPr>
            </w:pPr>
          </w:p>
        </w:tc>
        <w:tc>
          <w:tcPr>
            <w:tcW w:w="8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2022, there were no changes in the carrying amount of goodwill of $67.1 million on the Company’s condensed consolidated balance sheets.</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Acquired intangible assets subject to amortization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1034"/>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0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20" w:type="dxa"/>
            <w:vAlign w:val="bottom"/>
          </w:tcPr>
          <w:p>
            <w:pPr>
              <w:spacing w:after="0"/>
              <w:rPr>
                <w:sz w:val="14"/>
                <w:szCs w:val="14"/>
                <w:color w:val="auto"/>
              </w:rPr>
            </w:pPr>
          </w:p>
        </w:tc>
        <w:tc>
          <w:tcPr>
            <w:tcW w:w="142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80" w:type="dxa"/>
            <w:vAlign w:val="bottom"/>
          </w:tcPr>
          <w:p>
            <w:pPr>
              <w:spacing w:after="0"/>
              <w:rPr>
                <w:sz w:val="14"/>
                <w:szCs w:val="14"/>
                <w:color w:val="auto"/>
              </w:rPr>
            </w:pPr>
          </w:p>
        </w:tc>
        <w:tc>
          <w:tcPr>
            <w:tcW w:w="1640" w:type="dxa"/>
            <w:vAlign w:val="bottom"/>
          </w:tcPr>
          <w:p>
            <w:pPr>
              <w:jc w:val="center"/>
              <w:spacing w:after="0" w:line="166" w:lineRule="exact"/>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Useful</w:t>
            </w:r>
          </w:p>
        </w:tc>
        <w:tc>
          <w:tcPr>
            <w:tcW w:w="0" w:type="dxa"/>
            <w:vAlign w:val="bottom"/>
          </w:tcPr>
          <w:p>
            <w:pPr>
              <w:spacing w:after="0"/>
              <w:rPr>
                <w:sz w:val="1"/>
                <w:szCs w:val="1"/>
                <w:color w:val="auto"/>
              </w:rPr>
            </w:pPr>
          </w:p>
        </w:tc>
      </w:tr>
      <w:tr>
        <w:trPr>
          <w:trHeight w:val="219"/>
        </w:trPr>
        <w:tc>
          <w:tcPr>
            <w:tcW w:w="4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20" w:type="dxa"/>
            <w:vAlign w:val="bottom"/>
          </w:tcPr>
          <w:p>
            <w:pPr>
              <w:spacing w:after="0"/>
              <w:rPr>
                <w:sz w:val="19"/>
                <w:szCs w:val="19"/>
                <w:color w:val="auto"/>
              </w:rPr>
            </w:pPr>
          </w:p>
        </w:tc>
        <w:tc>
          <w:tcPr>
            <w:tcW w:w="14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Life (Years)</w:t>
            </w:r>
          </w:p>
        </w:tc>
        <w:tc>
          <w:tcPr>
            <w:tcW w:w="0" w:type="dxa"/>
            <w:vAlign w:val="bottom"/>
          </w:tcPr>
          <w:p>
            <w:pPr>
              <w:spacing w:after="0"/>
              <w:rPr>
                <w:sz w:val="1"/>
                <w:szCs w:val="1"/>
                <w:color w:val="auto"/>
              </w:rPr>
            </w:pPr>
          </w:p>
        </w:tc>
      </w:tr>
      <w:tr>
        <w:trPr>
          <w:trHeight w:val="212"/>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6,267</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12,558</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18,825</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Amortization expense was $1.1 million for the three months ended March 31, 2022. There were no intangible assets subject to amortization for the three months ended March 31,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Expected future amortization expense for intangible assets as of March 31, 2022 is as follows: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7"/>
        </w:trPr>
        <w:tc>
          <w:tcPr>
            <w:tcW w:w="9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w:t>
            </w:r>
          </w:p>
        </w:tc>
      </w:tr>
      <w:tr>
        <w:trPr>
          <w:trHeight w:val="219"/>
        </w:trPr>
        <w:tc>
          <w:tcPr>
            <w:tcW w:w="9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4,275</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r>
      <w:tr>
        <w:trPr>
          <w:trHeight w:val="219"/>
        </w:trPr>
        <w:tc>
          <w:tcPr>
            <w:tcW w:w="9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w:t>
            </w:r>
          </w:p>
        </w:tc>
      </w:tr>
      <w:tr>
        <w:trPr>
          <w:trHeight w:val="21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7,135</w:t>
            </w:r>
          </w:p>
        </w:tc>
      </w:tr>
      <w:tr>
        <w:trPr>
          <w:trHeight w:val="237"/>
        </w:trPr>
        <w:tc>
          <w:tcPr>
            <w:tcW w:w="9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2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6.</w:t>
            </w:r>
          </w:p>
        </w:tc>
        <w:tc>
          <w:tcPr>
            <w:tcW w:w="6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 Components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13"/>
        </w:trPr>
        <w:tc>
          <w:tcPr>
            <w:tcW w:w="7800" w:type="dxa"/>
            <w:vAlign w:val="bottom"/>
            <w:gridSpan w:val="2"/>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78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Other assets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3"/>
        </w:trPr>
        <w:tc>
          <w:tcPr>
            <w:tcW w:w="12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00" w:type="dxa"/>
            <w:vAlign w:val="bottom"/>
          </w:tcPr>
          <w:p>
            <w:pPr>
              <w:spacing w:after="0"/>
              <w:rPr>
                <w:sz w:val="24"/>
                <w:szCs w:val="24"/>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12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and other receivables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48,620</w:t>
            </w:r>
          </w:p>
        </w:tc>
      </w:tr>
      <w:tr>
        <w:trPr>
          <w:trHeight w:val="219"/>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6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8,818</w:t>
            </w:r>
          </w:p>
        </w:tc>
      </w:tr>
      <w:tr>
        <w:trPr>
          <w:trHeight w:val="21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6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28,877</w:t>
            </w:r>
          </w:p>
        </w:tc>
      </w:tr>
      <w:tr>
        <w:trPr>
          <w:trHeight w:val="21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Loan servicing assets (at fair value)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27,960</w:t>
            </w:r>
          </w:p>
        </w:tc>
      </w:tr>
      <w:tr>
        <w:trPr>
          <w:trHeight w:val="21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receivable and residual certificates (at fair value)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6,384</w:t>
            </w:r>
          </w:p>
        </w:tc>
      </w:tr>
      <w:tr>
        <w:trPr>
          <w:trHeight w:val="219"/>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6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6,323</w:t>
            </w:r>
          </w:p>
        </w:tc>
      </w:tr>
      <w:tr>
        <w:trPr>
          <w:trHeight w:val="237"/>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Total other assets</w:t>
            </w:r>
          </w:p>
        </w:tc>
        <w:tc>
          <w:tcPr>
            <w:tcW w:w="6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129,392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126,982</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Servicing fees and other receivables represent amounts recognized as revenue but not yet collected in relation to servicing and other agreements with institutional investors and bank partners.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Property, Equipment, and Software, Net</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8"/>
        </w:trPr>
        <w:tc>
          <w:tcPr>
            <w:tcW w:w="78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equipment, and software, net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43"/>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00" w:type="dxa"/>
            <w:vAlign w:val="bottom"/>
          </w:tcPr>
          <w:p>
            <w:pPr>
              <w:spacing w:after="0"/>
              <w:rPr>
                <w:sz w:val="24"/>
                <w:szCs w:val="24"/>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23,020</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and networking equipment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4,535</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8,689</w:t>
            </w:r>
          </w:p>
        </w:tc>
      </w:tr>
      <w:tr>
        <w:trPr>
          <w:trHeight w:val="21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property, equipment, and software</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39,449</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(9,633)</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equipment, and software,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2021 and 2022, depreciation and amortization expense on property, equipment, and software was immaterial. Capitalized internally developed software balances, net of accumulated amortization, were $13.5 million and $17.8 million as of December 31, 2021 and March 31, 2022, respectively.</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Liabilities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Accrued expenses and other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00" w:type="dxa"/>
            <w:vAlign w:val="bottom"/>
          </w:tcPr>
          <w:p>
            <w:pPr>
              <w:spacing w:after="0"/>
              <w:rPr>
                <w:sz w:val="19"/>
                <w:szCs w:val="19"/>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54,972</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servicing liabilities (at fair value)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8,290</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Trailing fee liability (at fair value)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5,241</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8,398</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accrued expenses and other liabilities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103,418</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91,723</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240" w:hanging="618"/>
        <w:spacing w:after="0"/>
        <w:tabs>
          <w:tab w:leader="none" w:pos="12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Borrowings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aggregate principal outstanding of all loans mentioned in this note that are included in the 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1220" w:type="dxa"/>
            <w:vAlign w:val="bottom"/>
            <w:tcBorders>
              <w:bottom w:val="single" w:sz="8" w:color="auto"/>
            </w:tcBorders>
          </w:tcPr>
          <w:p>
            <w:pPr>
              <w:spacing w:after="0"/>
              <w:rPr>
                <w:sz w:val="19"/>
                <w:szCs w:val="19"/>
                <w:color w:val="auto"/>
              </w:rPr>
            </w:pPr>
          </w:p>
        </w:tc>
      </w:tr>
      <w:tr>
        <w:trPr>
          <w:trHeight w:val="205"/>
        </w:trPr>
        <w:tc>
          <w:tcPr>
            <w:tcW w:w="7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420" w:type="dxa"/>
            <w:vAlign w:val="bottom"/>
          </w:tcPr>
          <w:p>
            <w:pPr>
              <w:spacing w:after="0"/>
              <w:rPr>
                <w:sz w:val="17"/>
                <w:szCs w:val="17"/>
                <w:color w:val="auto"/>
              </w:rPr>
            </w:pPr>
          </w:p>
        </w:tc>
        <w:tc>
          <w:tcPr>
            <w:tcW w:w="12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121,551</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 retention funding loan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661,250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661,250</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payments due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709,787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782,801</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debt discount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(13,579)</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borrowings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695,432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769,222</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Warehouse Credit Facilities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Upstart Loan Trust Credit Facility</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and further amended in June 2021. Under the revolving credit and security agreement, as amended from time to time, ULT may borrow up to $100.0 million (subject to a borrowing base calculation) until the earlier of June 15, 2023 or the occurrence of an accelerated amortization event. An accelerated amortization event includes, but are not limited to, failure to satisfy certain loan performance metrics or the occurrence of an event of default. The proceeds may only be used to purchase unsecured personal loans from Upstart’s platform and to pay fees and expenses related to the credit facility. The ULT Warehouse Credit Facility matures on the earlier of June 15, 2024 or acceleration of the facility following an event of default, upon which date 100% of the outstanding principal amount, together with any accrued and unpaid interest, becomes due and payable. The entire amount of the outstanding principal and interest may be prepaid at any time without penalty. The ULT Warehouse Credit Facility bears a floating interest rate of LIBOR (the “ULT Benchmark Rate”) plus a spread ranging from 1.90% to 4.00% per annum, due and payable monthly in arrears. In the event that LIBOR ceases to be available, the ULT Benchmark Rate will be replaced with an alternative rate such as the Secured Overnight Financing Rate (“SOFR”). The Company is subject to additional interest payments under a minimum utilization requirement of $30 million, as well as a monthly unused fee ranging from 0.10% to 1.00% per annum on the undrawn balance. The maximum advance rate under the ULT Warehouse Credit Facility on outstanding principal of loans held by ULT was 85% as of December 31, 2021 and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ULT Warehouse Credit Facility contains certain financial covenants. As of December 31, 2021 and March 31, 2022,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includes the aggregate balances held by ULT that were pledged as collateral for the ULT Warehouse Credit Facility and included in loans at fair value and restricted cash in the 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ULT Warehouse Credit Facility</w:t>
            </w:r>
          </w:p>
        </w:tc>
        <w:tc>
          <w:tcPr>
            <w:tcW w:w="0" w:type="dxa"/>
            <w:vAlign w:val="bottom"/>
          </w:tcPr>
          <w:p>
            <w:pPr>
              <w:spacing w:after="0"/>
              <w:rPr>
                <w:sz w:val="1"/>
                <w:szCs w:val="1"/>
                <w:color w:val="auto"/>
              </w:rPr>
            </w:pPr>
          </w:p>
        </w:tc>
      </w:tr>
      <w:tr>
        <w:trPr>
          <w:trHeight w:val="167"/>
        </w:trPr>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320" w:type="dxa"/>
            <w:vAlign w:val="bottom"/>
          </w:tcPr>
          <w:p>
            <w:pPr>
              <w:spacing w:after="0"/>
              <w:rPr>
                <w:sz w:val="14"/>
                <w:szCs w:val="14"/>
                <w:color w:val="auto"/>
              </w:rPr>
            </w:pPr>
          </w:p>
        </w:tc>
        <w:tc>
          <w:tcPr>
            <w:tcW w:w="1480" w:type="dxa"/>
            <w:vAlign w:val="bottom"/>
          </w:tcPr>
          <w:p>
            <w:pPr>
              <w:jc w:val="right"/>
              <w:ind w:right="434"/>
              <w:spacing w:after="0" w:line="167"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32"/>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25"/>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48,030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90,113</w:t>
            </w:r>
          </w:p>
        </w:tc>
        <w:tc>
          <w:tcPr>
            <w:tcW w:w="0" w:type="dxa"/>
            <w:vAlign w:val="bottom"/>
          </w:tcPr>
          <w:p>
            <w:pPr>
              <w:spacing w:after="0"/>
              <w:rPr>
                <w:sz w:val="1"/>
                <w:szCs w:val="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outstanding principal of loans pledged as collateral</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123,362</w:t>
            </w:r>
          </w:p>
        </w:tc>
        <w:tc>
          <w:tcPr>
            <w:tcW w:w="0" w:type="dxa"/>
            <w:vAlign w:val="bottom"/>
          </w:tcPr>
          <w:p>
            <w:pPr>
              <w:spacing w:after="0"/>
              <w:rPr>
                <w:sz w:val="1"/>
                <w:szCs w:val="1"/>
                <w:color w:val="auto"/>
              </w:rPr>
            </w:pPr>
          </w:p>
        </w:tc>
      </w:tr>
      <w:tr>
        <w:trPr>
          <w:trHeight w:val="25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fair value of loans purchased and held by ULT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262,601</w:t>
            </w:r>
          </w:p>
        </w:tc>
        <w:tc>
          <w:tcPr>
            <w:tcW w:w="0" w:type="dxa"/>
            <w:vAlign w:val="bottom"/>
          </w:tcPr>
          <w:p>
            <w:pPr>
              <w:spacing w:after="0"/>
              <w:rPr>
                <w:sz w:val="1"/>
                <w:szCs w:val="1"/>
                <w:color w:val="auto"/>
              </w:rPr>
            </w:pPr>
          </w:p>
        </w:tc>
      </w:tr>
      <w:tr>
        <w:trPr>
          <w:trHeight w:val="23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pledged as collateral</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34,996</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Upstart Auto Warehouse Trust Credit Facility</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December 2021, the Company’s consolidated VIE, Upstart Auto Warehouse Trust (“UAWT”), entered into a revolving credit and security agreement with a third-party lender (the “UAWT Warehouse Credit Facility”). Under the revolving credit and security agreement, UAWT may borrow up to $100.0 million until the earlier of December 2022 or the occurrence of an accelerated amortization event. An accelerated amortization event includes, but are not limited to, failure to satisfy certain loan performance metrics or the occurrence of an event of default. The proceeds may only be used to purchase secured auto loans originated using Upstart’s platform and to pay fees and expenses related to the credit facility. The UAWT Warehouse Credit Facility matures in December 2023. The entire amount of the outstanding principal and accrued interest and fees may be prepaid at any time without penalty. Borrowings under the UAWT Warehouse Credit Facility bears interest per annum at a rate equivalent to the weighted-average cost of commercial paper notes issued by the lender (the “UAWT Benchmark Rate”), plus a spread ranging from 1.8% to 3.5%. In the event the UAWT Benchmark Rate cannot be adequately ascertained or available, the UAWT Benchmark Rate will be replaced with an alternative rate such as SOFR. In addition, the UAWT Warehouse Credit Facility is also subject to a monthly unused fee of 0.50% per annum on the undrawn balance. The maximum advance rate under the UAWT Auto Warehouse Trust Credit Facility on outstanding principal of loans held by UAWT was 82.5% as of December 31, 2021 and March 31, 2022.</w:t>
      </w:r>
    </w:p>
    <w:p>
      <w:pPr>
        <w:spacing w:after="0" w:line="2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UAWT Warehouse Credit Facility contains certain financial covenants. As of December 31, 2021 and March 31, 2022, UAWT was in compliance with all applicable covenants under the UAWT Warehouse Credit Facility. The creditors of UAWT have no recourse to the general credit of the Company, except for certain limited obligations of UAWT to its creditors that are guaranteed by the Company.</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includes the aggregate balances held by UAWT that were pledged as collateral for the UAWT Warehouse Credit Facility and included in loans at fair value and restricted cash in the condensed consolidated balance sheets as of March 31, 2022. The Company had no outstanding borrowings or loans owned by UAWT that were pledged as collateral under the UAWT Warehouse Credit Facility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UAWT Warehouse Credit Facility</w:t>
            </w:r>
          </w:p>
        </w:tc>
      </w:tr>
      <w:tr>
        <w:trPr>
          <w:trHeight w:val="180"/>
        </w:trPr>
        <w:tc>
          <w:tcPr>
            <w:tcW w:w="7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20" w:type="dxa"/>
            <w:vAlign w:val="bottom"/>
          </w:tcPr>
          <w:p>
            <w:pPr>
              <w:jc w:val="right"/>
              <w:ind w:right="1374"/>
              <w:spacing w:after="0" w:line="181"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0"/>
        </w:trPr>
        <w:tc>
          <w:tcPr>
            <w:tcW w:w="75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1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31,438</w:t>
            </w: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outstanding principal of loans pledged as collateral</w:t>
            </w:r>
          </w:p>
        </w:tc>
        <w:tc>
          <w:tcPr>
            <w:tcW w:w="64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38,533</w:t>
            </w:r>
          </w:p>
        </w:tc>
      </w:tr>
      <w:tr>
        <w:trPr>
          <w:trHeight w:val="25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fair value of loans purchased and held by UAWT</w:t>
            </w:r>
          </w:p>
        </w:tc>
        <w:tc>
          <w:tcPr>
            <w:tcW w:w="640" w:type="dxa"/>
            <w:vAlign w:val="bottom"/>
            <w:shd w:val="clear" w:color="auto" w:fill="CCEEFF"/>
          </w:tcPr>
          <w:p>
            <w:pPr>
              <w:spacing w:after="0"/>
              <w:rPr>
                <w:sz w:val="21"/>
                <w:szCs w:val="21"/>
                <w:color w:val="auto"/>
              </w:rPr>
            </w:pP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57,549</w:t>
            </w:r>
          </w:p>
        </w:tc>
      </w:tr>
      <w:tr>
        <w:trPr>
          <w:trHeight w:val="23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pledged as collateral</w:t>
            </w:r>
          </w:p>
        </w:tc>
        <w:tc>
          <w:tcPr>
            <w:tcW w:w="64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r>
    </w:tbl>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Risk Retention Funding Loan</w:t>
      </w:r>
    </w:p>
    <w:p>
      <w:pPr>
        <w:spacing w:after="0" w:line="23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September 2019, Upstart RR Funding 2019-2, LLC (the “2019-2 RR entity”), a consolidated VIE of UNI, entered into a loan and security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2021 the outstanding principal balance under the 2019-2 RR Financing Agreement was $0.5 million. In February 2022, the Company repaid the outstanding principal and accrued interest in full.</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borrowings are solely the obligations of the 2019-2 RR entity and the Company is not obligated thereon. The securities and other assets owned by the 2019-2 RR entity are not available to settle the claims of creditors of the Company. Assets pledged as collateral for the risk retention funding loans include $4.8 million of securities held for risk retention for 2019-2 securitization transactions, included in other assets on the consolidated balance sheets as of December 31, 2021.</w:t>
      </w: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 The estimated fair value of the Notes as of December 31, 2021 and March 31, 2022 was approximately $627.5 million and $564.2 million, respectively, which represent Level 2 valuations in the fair value hierarchy. The estimated fair value was determined based on the estimated or actual bids and offers of the Notes in an over-the-counter market. The carrying value of the Notes of December 31, 2021 and March 31, 2022 was $646.9 million and $647.7 million, respectively.</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Holders may convert their Notes at their option any time prior to the close of business on the business day immediately preceding May 15, 2026 only under the following circumstances:</w:t>
      </w:r>
    </w:p>
    <w:p>
      <w:pPr>
        <w:spacing w:after="0" w:line="177" w:lineRule="exact"/>
        <w:rPr>
          <w:sz w:val="20"/>
          <w:szCs w:val="20"/>
          <w:color w:val="auto"/>
        </w:rPr>
      </w:pPr>
    </w:p>
    <w:p>
      <w:pPr>
        <w:jc w:val="both"/>
        <w:ind w:firstLine="622"/>
        <w:spacing w:after="0" w:line="270" w:lineRule="auto"/>
        <w:tabs>
          <w:tab w:leader="none" w:pos="88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91" w:lineRule="exact"/>
        <w:rPr>
          <w:rFonts w:ascii="Times New Roman" w:cs="Times New Roman" w:eastAsia="Times New Roman" w:hAnsi="Times New Roman"/>
          <w:sz w:val="17"/>
          <w:szCs w:val="17"/>
          <w:color w:val="auto"/>
        </w:rPr>
      </w:pPr>
    </w:p>
    <w:p>
      <w:pPr>
        <w:jc w:val="both"/>
        <w:ind w:firstLine="622"/>
        <w:spacing w:after="0" w:line="270" w:lineRule="auto"/>
        <w:tabs>
          <w:tab w:leader="none" w:pos="86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191" w:lineRule="exact"/>
        <w:rPr>
          <w:rFonts w:ascii="Times New Roman" w:cs="Times New Roman" w:eastAsia="Times New Roman" w:hAnsi="Times New Roman"/>
          <w:sz w:val="17"/>
          <w:szCs w:val="17"/>
          <w:color w:val="auto"/>
        </w:rPr>
      </w:pPr>
    </w:p>
    <w:p>
      <w:pPr>
        <w:ind w:firstLine="622"/>
        <w:spacing w:after="0" w:line="287" w:lineRule="auto"/>
        <w:tabs>
          <w:tab w:leader="none" w:pos="86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call any or all of the Notes for redemption, at any time prior to the close of business on the second scheduled trading day immediately preceding the redemption date; or</w:t>
      </w:r>
    </w:p>
    <w:p>
      <w:pPr>
        <w:spacing w:after="0" w:line="177"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corporate events.</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For the three months ended March 31, 2022, the Company recorded $0.4 million of coupon interest expense and amortization of debt issuance costs of $0.8 million within other expense on the condensed consolidated statements of operations and comprehensive income. The effective interest rate of the Notes is 0.7%.</w:t>
      </w: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Capped Call Transactions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aggregate amount of maturities of all borrowings as of March 31,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17"/>
                <w:szCs w:val="17"/>
                <w:color w:val="auto"/>
              </w:rPr>
            </w:pPr>
          </w:p>
        </w:tc>
        <w:tc>
          <w:tcPr>
            <w:tcW w:w="8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30"/>
        </w:trPr>
        <w:tc>
          <w:tcPr>
            <w:tcW w:w="1200" w:type="dxa"/>
            <w:vAlign w:val="bottom"/>
            <w:tcBorders>
              <w:bottom w:val="single" w:sz="8" w:color="CCEEFF"/>
            </w:tcBorders>
          </w:tcPr>
          <w:p>
            <w:pPr>
              <w:spacing w:after="0"/>
              <w:rPr>
                <w:sz w:val="19"/>
                <w:szCs w:val="19"/>
                <w:color w:val="auto"/>
              </w:rPr>
            </w:pPr>
          </w:p>
        </w:tc>
        <w:tc>
          <w:tcPr>
            <w:tcW w:w="8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84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31,438</w:t>
            </w:r>
          </w:p>
        </w:tc>
      </w:tr>
      <w:tr>
        <w:trPr>
          <w:trHeight w:val="21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90,113</w:t>
            </w:r>
          </w:p>
        </w:tc>
      </w:tr>
      <w:tr>
        <w:trPr>
          <w:trHeight w:val="219"/>
        </w:trPr>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661,250</w:t>
            </w:r>
          </w:p>
        </w:tc>
      </w:tr>
      <w:tr>
        <w:trPr>
          <w:trHeight w:val="219"/>
        </w:trPr>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1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8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782,801</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707"/>
        </w:trPr>
        <w:tc>
          <w:tcPr>
            <w:tcW w:w="12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8.</w:t>
            </w:r>
          </w:p>
        </w:tc>
        <w:tc>
          <w:tcPr>
            <w:tcW w:w="8680" w:type="dxa"/>
            <w:vAlign w:val="bottom"/>
            <w:gridSpan w:val="2"/>
          </w:tcPr>
          <w:p>
            <w:pPr>
              <w:jc w:val="right"/>
              <w:ind w:right="6994"/>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360" w:type="dxa"/>
            <w:vAlign w:val="bottom"/>
          </w:tcPr>
          <w:p>
            <w:pPr>
              <w:spacing w:after="0"/>
              <w:rPr>
                <w:sz w:val="24"/>
                <w:szCs w:val="24"/>
                <w:color w:val="auto"/>
              </w:rPr>
            </w:pPr>
          </w:p>
        </w:tc>
      </w:tr>
    </w:tbl>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Common Stock Reserved for Future Issuance</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authorizes the issuance of 700,000,000 shares of common stock with a par value of $0.0001 per share. Shares of common stock reserved for issuance, on an as-converted basis,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78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issued and outstanding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12,785,176</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12,098,735</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outstanding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1,508,615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2,047,575</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PRSUs outstanding</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687,500</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available for future issuance under 2020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9,979,700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12,653,410</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available for issuance under ESPP</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1,869,302</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2,657,991</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26,142,793</w:t>
            </w:r>
          </w:p>
        </w:tc>
        <w:tc>
          <w:tcPr>
            <w:tcW w:w="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30,145,211</w:t>
            </w:r>
          </w:p>
        </w:tc>
      </w:tr>
      <w:tr>
        <w:trPr>
          <w:trHeight w:val="20"/>
        </w:trPr>
        <w:tc>
          <w:tcPr>
            <w:tcW w:w="7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without prior notice. During the three months ended March 31, 2022, the Company did not repurchase any shares under the program.</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Company's 2020 Equity Incentive Plan authorizes grants of ISOs, NSOs, stock appreciation rights, restricted stock, RSUs, and performance awards to eligible participants.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summarized stock option activity for the three months ended March 31, 2022: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Weighted-Average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240" w:type="dxa"/>
            <w:vAlign w:val="bottom"/>
          </w:tcPr>
          <w:p>
            <w:pPr>
              <w:spacing w:after="0"/>
              <w:rPr>
                <w:sz w:val="17"/>
                <w:szCs w:val="17"/>
                <w:color w:val="auto"/>
              </w:rPr>
            </w:pPr>
          </w:p>
        </w:tc>
        <w:tc>
          <w:tcPr>
            <w:tcW w:w="12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58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Number of Options</w:t>
            </w:r>
          </w:p>
        </w:tc>
        <w:tc>
          <w:tcPr>
            <w:tcW w:w="100" w:type="dxa"/>
            <w:vAlign w:val="bottom"/>
          </w:tcPr>
          <w:p>
            <w:pPr>
              <w:spacing w:after="0"/>
              <w:rPr>
                <w:sz w:val="14"/>
                <w:szCs w:val="14"/>
                <w:color w:val="auto"/>
              </w:rPr>
            </w:pPr>
          </w:p>
        </w:tc>
        <w:tc>
          <w:tcPr>
            <w:tcW w:w="1580" w:type="dxa"/>
            <w:vAlign w:val="bottom"/>
            <w:gridSpan w:val="3"/>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5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Contractual Life</w:t>
            </w:r>
          </w:p>
        </w:tc>
        <w:tc>
          <w:tcPr>
            <w:tcW w:w="240" w:type="dxa"/>
            <w:vAlign w:val="bottom"/>
          </w:tcPr>
          <w:p>
            <w:pPr>
              <w:spacing w:after="0"/>
              <w:rPr>
                <w:sz w:val="14"/>
                <w:szCs w:val="14"/>
                <w:color w:val="auto"/>
              </w:rPr>
            </w:pPr>
          </w:p>
        </w:tc>
        <w:tc>
          <w:tcPr>
            <w:tcW w:w="126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b w:val="1"/>
                <w:bCs w:val="1"/>
                <w:color w:val="auto"/>
              </w:rPr>
              <w:t>Intrinsic</w:t>
            </w:r>
          </w:p>
        </w:tc>
        <w:tc>
          <w:tcPr>
            <w:tcW w:w="0" w:type="dxa"/>
            <w:vAlign w:val="bottom"/>
          </w:tcPr>
          <w:p>
            <w:pPr>
              <w:spacing w:after="0"/>
              <w:rPr>
                <w:sz w:val="1"/>
                <w:szCs w:val="1"/>
                <w:color w:val="auto"/>
              </w:rPr>
            </w:pPr>
          </w:p>
        </w:tc>
      </w:tr>
      <w:tr>
        <w:trPr>
          <w:trHeight w:val="232"/>
        </w:trPr>
        <w:tc>
          <w:tcPr>
            <w:tcW w:w="50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(years)</w:t>
            </w:r>
          </w:p>
        </w:tc>
        <w:tc>
          <w:tcPr>
            <w:tcW w:w="240" w:type="dxa"/>
            <w:vAlign w:val="bottom"/>
          </w:tcPr>
          <w:p>
            <w:pPr>
              <w:spacing w:after="0"/>
              <w:rPr>
                <w:sz w:val="20"/>
                <w:szCs w:val="20"/>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December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12,785,176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1,803,812</w:t>
            </w:r>
          </w:p>
        </w:tc>
        <w:tc>
          <w:tcPr>
            <w:tcW w:w="0" w:type="dxa"/>
            <w:vAlign w:val="bottom"/>
          </w:tcPr>
          <w:p>
            <w:pPr>
              <w:spacing w:after="0"/>
              <w:rPr>
                <w:sz w:val="1"/>
                <w:szCs w:val="1"/>
                <w:color w:val="auto"/>
              </w:rPr>
            </w:pPr>
          </w:p>
        </w:tc>
      </w:tr>
      <w:tr>
        <w:trPr>
          <w:trHeight w:val="21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263,757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129.61</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Options cancelled and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12,098,735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1,174,625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Options exercisable – March 31,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777,194</w:t>
            </w:r>
          </w:p>
        </w:tc>
        <w:tc>
          <w:tcPr>
            <w:tcW w:w="0" w:type="dxa"/>
            <w:vAlign w:val="bottom"/>
          </w:tcPr>
          <w:p>
            <w:pPr>
              <w:spacing w:after="0" w:line="20" w:lineRule="exact"/>
              <w:rPr>
                <w:sz w:val="1"/>
                <w:szCs w:val="1"/>
                <w:color w:val="auto"/>
              </w:rPr>
            </w:pPr>
          </w:p>
        </w:tc>
      </w:tr>
      <w:tr>
        <w:trPr>
          <w:trHeight w:val="191"/>
        </w:trPr>
        <w:tc>
          <w:tcPr>
            <w:tcW w:w="5000" w:type="dxa"/>
            <w:vAlign w:val="bottom"/>
            <w:vMerge w:val="continue"/>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7,386,004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Options vested and expected to vest – March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12,010,095</w:t>
            </w:r>
          </w:p>
        </w:tc>
        <w:tc>
          <w:tcPr>
            <w:tcW w:w="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1,170,468</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aggregate intrinsic value is calculated as the difference between the exercise price of the underlying awards and the fair value of the Company’s stock as of March 31, 2022. The aggregate intrinsic value of options exercised for the three months ended March 31, 2021 and 2022, was $65.7 million and $105.2 million, respectively. The weighted-average grant date fair value of options granted during the three months ended March 31, 2021 and 2022, was $61.67, and $63.78 per share, respectively. The total fair value of options vested for the three months ended March 31, 2021 and 2022, was $3.6 million, and $6.7 million, respectively.</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2022, total unrecognized stock-based compensation expense related to unvested stock options was $64.6 million, which is expected to be recognized over a remaining weighted-average period of 1.8 years.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grants RSUs to employees and nonemployees. RSUs vest upon satisfaction of a service-based condition, which is generally satisfied over four years. The following table summarized RSU activity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7"/>
                <w:szCs w:val="17"/>
                <w:color w:val="auto"/>
              </w:rPr>
            </w:pPr>
          </w:p>
        </w:tc>
        <w:tc>
          <w:tcPr>
            <w:tcW w:w="2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220" w:type="dxa"/>
            <w:vAlign w:val="bottom"/>
          </w:tcPr>
          <w:p>
            <w:pPr>
              <w:spacing w:after="0"/>
              <w:rPr>
                <w:sz w:val="17"/>
                <w:szCs w:val="17"/>
                <w:color w:val="auto"/>
              </w:rPr>
            </w:pPr>
          </w:p>
        </w:tc>
        <w:tc>
          <w:tcPr>
            <w:tcW w:w="21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2"/>
        </w:trPr>
        <w:tc>
          <w:tcPr>
            <w:tcW w:w="67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Date Fair Value Per Share</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1,508,615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140.10</w:t>
            </w:r>
          </w:p>
        </w:tc>
        <w:tc>
          <w:tcPr>
            <w:tcW w:w="0" w:type="dxa"/>
            <w:vAlign w:val="bottom"/>
          </w:tcPr>
          <w:p>
            <w:pPr>
              <w:spacing w:after="0"/>
              <w:rPr>
                <w:sz w:val="1"/>
                <w:szCs w:val="1"/>
                <w:color w:val="auto"/>
              </w:rPr>
            </w:pPr>
          </w:p>
        </w:tc>
      </w:tr>
      <w:tr>
        <w:trPr>
          <w:trHeight w:val="212"/>
        </w:trPr>
        <w:tc>
          <w:tcPr>
            <w:tcW w:w="6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RSUs granted</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661,064</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127.55</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RSUs vested</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(80,226)</w:t>
            </w: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96.81</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RSUs cancelled and forfeited</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(41,878)</w:t>
            </w:r>
          </w:p>
        </w:tc>
        <w:tc>
          <w:tcPr>
            <w:tcW w:w="2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136.98</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March 31,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2,047,575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137.81</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2022, total unrecognized stock-based compensation expense related to outstanding unvested RSUs was $242.5 million, which is expected to be recognized over a remaining weighted-average period of 3.0 years.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connection with the Prodigy acquisition in April 2021, 82,201 shares of the Company’s restricted stock were issued to certain Prodigy employees. The restricted stock is subject to restrictions which lapse on a quarterly basis over two years.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summarized Restricted Stock activity for the three months ended March 31,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7"/>
                <w:szCs w:val="17"/>
                <w:color w:val="auto"/>
              </w:rPr>
            </w:pPr>
          </w:p>
        </w:tc>
        <w:tc>
          <w:tcPr>
            <w:tcW w:w="2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220" w:type="dxa"/>
            <w:vAlign w:val="bottom"/>
          </w:tcPr>
          <w:p>
            <w:pPr>
              <w:spacing w:after="0"/>
              <w:rPr>
                <w:sz w:val="17"/>
                <w:szCs w:val="17"/>
                <w:color w:val="auto"/>
              </w:rPr>
            </w:pPr>
          </w:p>
        </w:tc>
        <w:tc>
          <w:tcPr>
            <w:tcW w:w="21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32"/>
        </w:trPr>
        <w:tc>
          <w:tcPr>
            <w:tcW w:w="67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Date Fair Value Per Share</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121.65</w:t>
            </w:r>
          </w:p>
        </w:tc>
        <w:tc>
          <w:tcPr>
            <w:tcW w:w="0" w:type="dxa"/>
            <w:vAlign w:val="bottom"/>
          </w:tcPr>
          <w:p>
            <w:pPr>
              <w:spacing w:after="0"/>
              <w:rPr>
                <w:sz w:val="1"/>
                <w:szCs w:val="1"/>
                <w:color w:val="auto"/>
              </w:rPr>
            </w:pPr>
          </w:p>
        </w:tc>
      </w:tr>
      <w:tr>
        <w:trPr>
          <w:trHeight w:val="212"/>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10,275</w:t>
            </w:r>
          </w:p>
        </w:tc>
        <w:tc>
          <w:tcPr>
            <w:tcW w:w="2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121.65</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March 31,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2022, total unrecognized stock-based compensation expense related to restricted stock was $5.2 million, which is expected to be recognized over a remaining weighted-average period of 1.1 years.</w:t>
      </w:r>
    </w:p>
    <w:p>
      <w:pPr>
        <w:spacing w:after="0" w:line="3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Restricted Stock Units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February 18, 2022, the Compensation Committee of the Board of Directors, after extensive consultation with its independent compensation consultants, approved the grant of a PRSU award to an executive for 687,500 shares that will generally vest at the end of a period of seven years based on the achievement of certain stock price targets for the Company’s common stock.</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Except as otherwise provided in the Performance Award Agreement, the PRSU award will vest only if the executive is employed on a full-time basis through January 1, 2029 (the “Final Measurement Date”) and only to the extent that the company stock price targets are met. The first time that performance will be measured is on January 1, 2027 and achievement will be determined based on the average closing price of the Company’s stock on the 60 consecutive trading days ending immediately prior to that date. If any company stock price target is met at that time, up to 40% of the cumulative PRSUs possible for such company stock price target will become eligible to vest. One year later on January 1, 2028, the same procedure will be followed and if any higher company stock price target is met, up to 80% of the cumulative PRSUs possible for such company stock price target, less any PRSUs that previously vested, will vest. On the Final Measurement Date, the same procedure will be followed and the cumulative PRSUs possible for the highest company stock price target met at such time, less any PRSUs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previously became eligible to vest, will become eligible to vest. All PRSUs which did not meet the Company stock price targets on the Final Measurement Date will be forfeited.</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ability to become eligible to vest only in up to 40% of the cumulative PRSUs possible after five years and only up to 80% of the cumulative PRSUs possible after six years was intentionally structured to ensure that sustained long-term stock price performance must be achieved. The 40% and 80% limitations do not apply in the case of a change in control prior to the Final Measurement Date.</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Compensation expense associated with the PRSUs is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As of March 31, 2022, total unrecognized stock-based compensation expense related to outstanding unvested PRSUs was $46.3 million, which is expected to be recognized over a remaining weighted-average period of 5.4 years.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2020 Employee Stock Purchase Plan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three months ended March 31, 2022, 47,894 shares of common stock were purchased under the ESPP.</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March 31, 2022, total unrecognized stock-based compensation expense related to the ESPP was $2.3 million, which is expected to be recognized over a remaining weighted-average period of 0.4 years.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Fair Value of Awards Granted</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determining the fair value of stock-based awards, the Company uses a Black-Scholes option-pricing model for its options granted and ESPP purchase rights and a Monte Carlo simulation model for its PRSUs. The inputs used for estimating the fair values of options granted, ESPP purchase rights and PRSUs granted during the period include:</w:t>
      </w:r>
    </w:p>
    <w:p>
      <w:pPr>
        <w:spacing w:after="0" w:line="18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Fair Value of Common Stock</w:t>
      </w:r>
      <w:r>
        <w:rPr>
          <w:rFonts w:ascii="Times New Roman" w:cs="Times New Roman" w:eastAsia="Times New Roman" w:hAnsi="Times New Roman"/>
          <w:sz w:val="17"/>
          <w:szCs w:val="17"/>
          <w:color w:val="auto"/>
        </w:rPr>
        <w:t>–The fair value of the Company’s common stock is determined by the closing price, on the date of grant, of its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which is traded on the Nasdaq Global Select Market.</w:t>
      </w:r>
    </w:p>
    <w:p>
      <w:pPr>
        <w:spacing w:after="0" w:line="169"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–The expected term represents the period that the Company’s stock options and ESPP purchase rights are expected to be outstanding.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 the expected term based on the simplified method, which is the weighted-average time to vesting and the contractual maturity. The expected term for PRSUs is the simulation term, the time period from the valuation date to the end of the performance measurement period.</w:t>
      </w:r>
    </w:p>
    <w:p>
      <w:pPr>
        <w:spacing w:after="0" w:line="186"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Volatility</w:t>
      </w:r>
      <w:r>
        <w:rPr>
          <w:rFonts w:ascii="Times New Roman" w:cs="Times New Roman" w:eastAsia="Times New Roman" w:hAnsi="Times New Roman"/>
          <w:sz w:val="17"/>
          <w:szCs w:val="17"/>
          <w:color w:val="auto"/>
        </w:rPr>
        <w:t>–Because the Company has not had an active trading market for its common stock for a sufficient period of time, the expected volatility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based on the average volatility for comparable publicly-traded companies, over a period equal to the expected term of the stock option grants.</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–The risk-free interest rate assumption is based on the U.S. Treasury zero coupon issues in effect at the time of grant for periods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corresponding with the expected term of the option.</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–The Company has never paid dividends on its common stock and does not anticipate paying dividends on common stock. Therefore,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uses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assumptions were used to estimate the fair value of options granted:</w:t>
      </w:r>
    </w:p>
    <w:p>
      <w:pPr>
        <w:spacing w:after="0" w:line="25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 w:type="dxa"/>
            <w:vAlign w:val="bottom"/>
            <w:tcBorders>
              <w:bottom w:val="single" w:sz="8" w:color="CCEEFF"/>
            </w:tcBorders>
          </w:tcPr>
          <w:p>
            <w:pPr>
              <w:spacing w:after="0"/>
              <w:rPr>
                <w:sz w:val="18"/>
                <w:szCs w:val="18"/>
                <w:color w:val="auto"/>
              </w:rPr>
            </w:pPr>
          </w:p>
        </w:tc>
        <w:tc>
          <w:tcPr>
            <w:tcW w:w="67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8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8"/>
                <w:szCs w:val="18"/>
                <w:color w:val="auto"/>
              </w:rPr>
            </w:pPr>
          </w:p>
        </w:tc>
      </w:tr>
      <w:tr>
        <w:trPr>
          <w:trHeight w:val="212"/>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7"/>
                <w:szCs w:val="17"/>
                <w:color w:val="auto"/>
              </w:rPr>
              <w:t>5.3 – 6.9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5.2 – 7.0</w:t>
            </w:r>
          </w:p>
        </w:tc>
        <w:tc>
          <w:tcPr>
            <w:tcW w:w="100" w:type="dxa"/>
            <w:vAlign w:val="bottom"/>
          </w:tcPr>
          <w:p>
            <w:pPr>
              <w:spacing w:after="0"/>
              <w:rPr>
                <w:sz w:val="18"/>
                <w:szCs w:val="18"/>
                <w:color w:val="auto"/>
              </w:rPr>
            </w:pPr>
          </w:p>
        </w:tc>
      </w:tr>
      <w:tr>
        <w:trPr>
          <w:trHeight w:val="219"/>
        </w:trPr>
        <w:tc>
          <w:tcPr>
            <w:tcW w:w="7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63.12% – 65.01%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47.58% – 48.72%</w:t>
            </w:r>
          </w:p>
        </w:tc>
        <w:tc>
          <w:tcPr>
            <w:tcW w:w="100" w:type="dxa"/>
            <w:vAlign w:val="bottom"/>
          </w:tcPr>
          <w:p>
            <w:pPr>
              <w:spacing w:after="0"/>
              <w:rPr>
                <w:sz w:val="19"/>
                <w:szCs w:val="19"/>
                <w:color w:val="auto"/>
              </w:rPr>
            </w:pPr>
          </w:p>
        </w:tc>
      </w:tr>
      <w:tr>
        <w:trPr>
          <w:trHeight w:val="219"/>
        </w:trPr>
        <w:tc>
          <w:tcPr>
            <w:tcW w:w="7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6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7"/>
                <w:szCs w:val="17"/>
                <w:color w:val="auto"/>
              </w:rPr>
              <w:t>0.62% – 1.14%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1.70% – 2.16%</w:t>
            </w:r>
          </w:p>
        </w:tc>
        <w:tc>
          <w:tcPr>
            <w:tcW w:w="100" w:type="dxa"/>
            <w:vAlign w:val="bottom"/>
          </w:tcPr>
          <w:p>
            <w:pPr>
              <w:spacing w:after="0"/>
              <w:rPr>
                <w:sz w:val="19"/>
                <w:szCs w:val="19"/>
                <w:color w:val="auto"/>
              </w:rPr>
            </w:pPr>
          </w:p>
        </w:tc>
      </w:tr>
      <w:tr>
        <w:trPr>
          <w:trHeight w:val="223"/>
        </w:trPr>
        <w:tc>
          <w:tcPr>
            <w:tcW w:w="7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525"/>
        </w:trPr>
        <w:tc>
          <w:tcPr>
            <w:tcW w:w="620" w:type="dxa"/>
            <w:vAlign w:val="bottom"/>
          </w:tcPr>
          <w:p>
            <w:pPr>
              <w:spacing w:after="0"/>
              <w:rPr>
                <w:sz w:val="24"/>
                <w:szCs w:val="24"/>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assumptions were used to estimate the fair value of the February 2022 PRSUs granted:</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620" w:type="dxa"/>
            <w:vAlign w:val="bottom"/>
          </w:tcPr>
          <w:p>
            <w:pPr>
              <w:spacing w:after="0"/>
              <w:rPr>
                <w:sz w:val="22"/>
                <w:szCs w:val="22"/>
                <w:color w:val="auto"/>
              </w:rPr>
            </w:pPr>
          </w:p>
        </w:tc>
        <w:tc>
          <w:tcPr>
            <w:tcW w:w="69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9"/>
        </w:trPr>
        <w:tc>
          <w:tcPr>
            <w:tcW w:w="620" w:type="dxa"/>
            <w:vAlign w:val="bottom"/>
          </w:tcPr>
          <w:p>
            <w:pPr>
              <w:spacing w:after="0"/>
              <w:rPr>
                <w:sz w:val="19"/>
                <w:szCs w:val="19"/>
                <w:color w:val="auto"/>
              </w:rPr>
            </w:pPr>
          </w:p>
        </w:tc>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w w:val="93"/>
              </w:rPr>
              <w:t>6.9</w:t>
            </w:r>
          </w:p>
        </w:tc>
        <w:tc>
          <w:tcPr>
            <w:tcW w:w="100" w:type="dxa"/>
            <w:vAlign w:val="bottom"/>
            <w:shd w:val="clear" w:color="auto" w:fill="CCEEFF"/>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7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3"/>
          </w:tcPr>
          <w:p>
            <w:pPr>
              <w:jc w:val="center"/>
              <w:ind w:left="1274"/>
              <w:spacing w:after="0"/>
              <w:rPr>
                <w:sz w:val="20"/>
                <w:szCs w:val="20"/>
                <w:color w:val="auto"/>
              </w:rPr>
            </w:pPr>
            <w:r>
              <w:rPr>
                <w:rFonts w:ascii="Times New Roman" w:cs="Times New Roman" w:eastAsia="Times New Roman" w:hAnsi="Times New Roman"/>
                <w:sz w:val="17"/>
                <w:szCs w:val="17"/>
                <w:color w:val="auto"/>
                <w:w w:val="99"/>
              </w:rPr>
              <w:t>48.43%</w:t>
            </w:r>
          </w:p>
        </w:tc>
        <w:tc>
          <w:tcPr>
            <w:tcW w:w="10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left="1274"/>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70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center"/>
              <w:ind w:left="1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512"/>
        </w:trPr>
        <w:tc>
          <w:tcPr>
            <w:tcW w:w="620" w:type="dxa"/>
            <w:vAlign w:val="bottom"/>
          </w:tcPr>
          <w:p>
            <w:pPr>
              <w:spacing w:after="0"/>
              <w:rPr>
                <w:sz w:val="24"/>
                <w:szCs w:val="24"/>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assumptions were used to estimate the fair value of ESPP purchase rights:</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1"/>
        </w:trPr>
        <w:tc>
          <w:tcPr>
            <w:tcW w:w="6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00" w:type="dxa"/>
            <w:vAlign w:val="bottom"/>
          </w:tcPr>
          <w:p>
            <w:pPr>
              <w:spacing w:after="0"/>
              <w:rPr>
                <w:sz w:val="24"/>
                <w:szCs w:val="24"/>
                <w:color w:val="auto"/>
              </w:rPr>
            </w:pPr>
          </w:p>
        </w:tc>
      </w:tr>
      <w:tr>
        <w:trPr>
          <w:trHeight w:val="212"/>
        </w:trPr>
        <w:tc>
          <w:tcPr>
            <w:tcW w:w="6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80" w:type="dxa"/>
            <w:vAlign w:val="bottom"/>
          </w:tcPr>
          <w:p>
            <w:pPr>
              <w:spacing w:after="0"/>
              <w:rPr>
                <w:sz w:val="18"/>
                <w:szCs w:val="18"/>
                <w:color w:val="auto"/>
              </w:rPr>
            </w:pPr>
          </w:p>
        </w:tc>
        <w:tc>
          <w:tcPr>
            <w:tcW w:w="1920" w:type="dxa"/>
            <w:vAlign w:val="bottom"/>
            <w:gridSpan w:val="3"/>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8"/>
                <w:szCs w:val="18"/>
                <w:color w:val="auto"/>
              </w:rPr>
            </w:pPr>
          </w:p>
        </w:tc>
      </w:tr>
      <w:tr>
        <w:trPr>
          <w:trHeight w:val="212"/>
        </w:trPr>
        <w:tc>
          <w:tcPr>
            <w:tcW w:w="75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0.5</w:t>
            </w:r>
          </w:p>
        </w:tc>
        <w:tc>
          <w:tcPr>
            <w:tcW w:w="100" w:type="dxa"/>
            <w:vAlign w:val="bottom"/>
          </w:tcPr>
          <w:p>
            <w:pPr>
              <w:spacing w:after="0"/>
              <w:rPr>
                <w:sz w:val="18"/>
                <w:szCs w:val="18"/>
                <w:color w:val="auto"/>
              </w:rPr>
            </w:pPr>
          </w:p>
        </w:tc>
      </w:tr>
      <w:tr>
        <w:trPr>
          <w:trHeight w:val="219"/>
        </w:trPr>
        <w:tc>
          <w:tcPr>
            <w:tcW w:w="7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61.65%</w:t>
            </w:r>
          </w:p>
        </w:tc>
        <w:tc>
          <w:tcPr>
            <w:tcW w:w="80" w:type="dxa"/>
            <w:vAlign w:val="bottom"/>
          </w:tcPr>
          <w:p>
            <w:pPr>
              <w:spacing w:after="0"/>
              <w:rPr>
                <w:sz w:val="19"/>
                <w:szCs w:val="19"/>
                <w:color w:val="auto"/>
              </w:rPr>
            </w:pPr>
          </w:p>
        </w:tc>
        <w:tc>
          <w:tcPr>
            <w:tcW w:w="1920" w:type="dxa"/>
            <w:vAlign w:val="bottom"/>
            <w:gridSpan w:val="3"/>
          </w:tcPr>
          <w:p>
            <w:pPr>
              <w:jc w:val="center"/>
              <w:ind w:left="34"/>
              <w:spacing w:after="0"/>
              <w:rPr>
                <w:sz w:val="20"/>
                <w:szCs w:val="20"/>
                <w:color w:val="auto"/>
              </w:rPr>
            </w:pPr>
            <w:r>
              <w:rPr>
                <w:rFonts w:ascii="Times New Roman" w:cs="Times New Roman" w:eastAsia="Times New Roman" w:hAnsi="Times New Roman"/>
                <w:sz w:val="17"/>
                <w:szCs w:val="17"/>
                <w:color w:val="auto"/>
                <w:w w:val="99"/>
              </w:rPr>
              <w:t>91.98%</w:t>
            </w:r>
          </w:p>
        </w:tc>
        <w:tc>
          <w:tcPr>
            <w:tcW w:w="100" w:type="dxa"/>
            <w:vAlign w:val="bottom"/>
          </w:tcPr>
          <w:p>
            <w:pPr>
              <w:spacing w:after="0"/>
              <w:rPr>
                <w:sz w:val="19"/>
                <w:szCs w:val="19"/>
                <w:color w:val="auto"/>
              </w:rPr>
            </w:pPr>
          </w:p>
        </w:tc>
      </w:tr>
      <w:tr>
        <w:trPr>
          <w:trHeight w:val="219"/>
        </w:trPr>
        <w:tc>
          <w:tcPr>
            <w:tcW w:w="76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0.72%</w:t>
            </w:r>
          </w:p>
        </w:tc>
        <w:tc>
          <w:tcPr>
            <w:tcW w:w="100" w:type="dxa"/>
            <w:vAlign w:val="bottom"/>
          </w:tcPr>
          <w:p>
            <w:pPr>
              <w:spacing w:after="0"/>
              <w:rPr>
                <w:sz w:val="19"/>
                <w:szCs w:val="19"/>
                <w:color w:val="auto"/>
              </w:rPr>
            </w:pPr>
          </w:p>
        </w:tc>
      </w:tr>
      <w:tr>
        <w:trPr>
          <w:trHeight w:val="223"/>
        </w:trPr>
        <w:tc>
          <w:tcPr>
            <w:tcW w:w="76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36"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Company recorded stock-based compensation in the following expense categories in its condensed consolidated statements of operations and comprehensive income for employees and nonemployees: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0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00" w:type="dxa"/>
            <w:vAlign w:val="bottom"/>
            <w:tcBorders>
              <w:bottom w:val="single" w:sz="8" w:color="CCEEFF"/>
            </w:tcBorders>
          </w:tcPr>
          <w:p>
            <w:pPr>
              <w:spacing w:after="0"/>
              <w:rPr>
                <w:sz w:val="18"/>
                <w:szCs w:val="18"/>
                <w:color w:val="auto"/>
              </w:rPr>
            </w:pPr>
          </w:p>
        </w:tc>
        <w:tc>
          <w:tcPr>
            <w:tcW w:w="6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2,238</w:t>
            </w:r>
          </w:p>
        </w:tc>
        <w:tc>
          <w:tcPr>
            <w:tcW w:w="0" w:type="dxa"/>
            <w:vAlign w:val="bottom"/>
          </w:tcPr>
          <w:p>
            <w:pPr>
              <w:spacing w:after="0"/>
              <w:rPr>
                <w:sz w:val="1"/>
                <w:szCs w:val="1"/>
                <w:color w:val="auto"/>
              </w:rPr>
            </w:pPr>
          </w:p>
        </w:tc>
      </w:tr>
      <w:tr>
        <w:trPr>
          <w:trHeight w:val="219"/>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 operations</w:t>
            </w: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0" w:type="dxa"/>
            <w:vAlign w:val="bottom"/>
          </w:tcPr>
          <w:p>
            <w:pPr>
              <w:spacing w:after="0"/>
              <w:rPr>
                <w:sz w:val="1"/>
                <w:szCs w:val="1"/>
                <w:color w:val="auto"/>
              </w:rPr>
            </w:pPr>
          </w:p>
        </w:tc>
      </w:tr>
      <w:tr>
        <w:trPr>
          <w:trHeight w:val="219"/>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13,634</w:t>
            </w:r>
          </w:p>
        </w:tc>
        <w:tc>
          <w:tcPr>
            <w:tcW w:w="0" w:type="dxa"/>
            <w:vAlign w:val="bottom"/>
          </w:tcPr>
          <w:p>
            <w:pPr>
              <w:spacing w:after="0"/>
              <w:rPr>
                <w:sz w:val="1"/>
                <w:szCs w:val="1"/>
                <w:color w:val="auto"/>
              </w:rPr>
            </w:pPr>
          </w:p>
        </w:tc>
      </w:tr>
      <w:tr>
        <w:trPr>
          <w:trHeight w:val="219"/>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2,810</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7,559</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67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8,622</w:t>
            </w: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25,050</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b w:val="1"/>
                <w:bCs w:val="1"/>
                <w:color w:val="auto"/>
              </w:rPr>
              <w:t>9.</w:t>
            </w:r>
          </w:p>
        </w:tc>
        <w:tc>
          <w:tcPr>
            <w:tcW w:w="67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1000" w:type="dxa"/>
            <w:vAlign w:val="bottom"/>
            <w:vMerge w:val="continue"/>
          </w:tcPr>
          <w:p>
            <w:pPr>
              <w:spacing w:after="0"/>
              <w:rPr>
                <w:sz w:val="24"/>
                <w:szCs w:val="24"/>
                <w:color w:val="auto"/>
              </w:rPr>
            </w:pPr>
          </w:p>
        </w:tc>
        <w:tc>
          <w:tcPr>
            <w:tcW w:w="67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operating leases expire between 2027 and 2032 and are primarily for its corporate headquarters in San Mateo, California and Columbus, Ohio, as well as additional office space for origination and servicing operations in Columbus, Ohio. Certain leases have rent abatement, escalating rent payment provisions, lease renewal options, and tenant allowances. Rent expense is recognized on a straight-line basis over the non-cancelable lease term, except when it is reasonably certain that the renewal option will be exercised. For leases where the Company is reasonably certain to exercise a renewal option, such option periods have been included in the determination of the Company’s ROU assets and lease liabilities on our condensed consolidated balance sheets.</w:t>
      </w:r>
    </w:p>
    <w:p>
      <w:pPr>
        <w:spacing w:after="0" w:line="200"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condensed consolidated balance sheets.</w:t>
      </w:r>
    </w:p>
    <w:p>
      <w:pPr>
        <w:spacing w:after="0" w:line="3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31, 2022, future minimum lease payments are as follows: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9,139</w:t>
            </w:r>
          </w:p>
        </w:tc>
      </w:tr>
      <w:tr>
        <w:trPr>
          <w:trHeight w:val="219"/>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14,741</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16,574</w:t>
            </w:r>
          </w:p>
        </w:tc>
      </w:tr>
      <w:tr>
        <w:trPr>
          <w:trHeight w:val="219"/>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17,050</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17,546</w:t>
            </w:r>
          </w:p>
        </w:tc>
      </w:tr>
      <w:tr>
        <w:trPr>
          <w:trHeight w:val="21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51,954</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127,004</w:t>
            </w:r>
          </w:p>
        </w:tc>
      </w:tr>
      <w:tr>
        <w:trPr>
          <w:trHeight w:val="219"/>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Tenant improvement receivables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(8,109)</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Present value adjustment</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(18,844)</w:t>
            </w: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100,051</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did not have any material finance leases in any period presented. The Company’s operating lease expense consists of rent and variable lease payments. Variable lease payments such as common area maintenance and parking fees, were included in operating expenses. Rent expense for the Company’s short-term leases was immaterial for the periods presented. Operating lease expense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12"/>
        </w:trPr>
        <w:tc>
          <w:tcPr>
            <w:tcW w:w="7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 expense</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payments</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tcPr>
          <w:p>
            <w:pPr>
              <w:spacing w:after="0"/>
              <w:rPr>
                <w:sz w:val="19"/>
                <w:szCs w:val="19"/>
                <w:color w:val="auto"/>
              </w:rPr>
            </w:pPr>
          </w:p>
        </w:tc>
        <w:tc>
          <w:tcPr>
            <w:tcW w:w="1200" w:type="dxa"/>
            <w:vAlign w:val="bottom"/>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cash flow and non-cash information related to the Company’s operating leases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12"/>
        </w:trPr>
        <w:tc>
          <w:tcPr>
            <w:tcW w:w="7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w:t>
            </w: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balance sheet information related to the Company’s operating leases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6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7"/>
        </w:trPr>
        <w:tc>
          <w:tcPr>
            <w:tcW w:w="1040" w:type="dxa"/>
            <w:vAlign w:val="bottom"/>
            <w:tcBorders>
              <w:bottom w:val="single" w:sz="8" w:color="CCEEFF"/>
            </w:tcBorders>
          </w:tcPr>
          <w:p>
            <w:pPr>
              <w:spacing w:after="0"/>
              <w:rPr>
                <w:sz w:val="19"/>
                <w:szCs w:val="19"/>
                <w:color w:val="auto"/>
              </w:rPr>
            </w:pPr>
          </w:p>
        </w:tc>
        <w:tc>
          <w:tcPr>
            <w:tcW w:w="85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212"/>
        </w:trPr>
        <w:tc>
          <w:tcPr>
            <w:tcW w:w="9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7.82</w:t>
            </w:r>
          </w:p>
        </w:tc>
      </w:tr>
      <w:tr>
        <w:trPr>
          <w:trHeight w:val="223"/>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3.83%</w:t>
            </w:r>
          </w:p>
        </w:tc>
      </w:tr>
      <w:tr>
        <w:trPr>
          <w:trHeight w:val="731"/>
        </w:trPr>
        <w:tc>
          <w:tcPr>
            <w:tcW w:w="10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10.</w:t>
            </w:r>
          </w:p>
        </w:tc>
        <w:tc>
          <w:tcPr>
            <w:tcW w:w="85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640" w:type="dxa"/>
            <w:vAlign w:val="bottom"/>
          </w:tcPr>
          <w:p>
            <w:pPr>
              <w:spacing w:after="0"/>
              <w:rPr>
                <w:sz w:val="24"/>
                <w:szCs w:val="24"/>
                <w:color w:val="auto"/>
              </w:rPr>
            </w:pPr>
          </w:p>
        </w:tc>
      </w:tr>
    </w:tbl>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Loan Purchase Obligation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Under the Company’s loan agreements with certain bank partners, the banks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2021 and March 31, 2022, the total loan purchase commitment included outstanding principal balance of $111.3 million and $114.2 million, respectively.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Repurchase and Indemnification Contingency</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maximum potential amount of future payments associated under this obligation is the outstanding balances of the loans sold to the investors, which at December 31, 2021 and March 31, 2022 is $12,905.5 million and $15,422.3 million, respectively. Actual payments made relating to the Company’s repurchase and indemnification obligations were immaterial historically. The Company has recorded contingent liabilities as of December 31, 2021 and March 31, 2022 of immaterial amounts to cover estimated future obligations related to these contractual terms. These amounts are included in accrued expenses and other liabilities on the Company’s condensed consolidated balance sheets.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Legal</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2021 and March 31, 2022, no loss contingency has been recorded in connection with legal proceedings arising in the ordinary course of business.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actions that, if resolved unfavorably, would have a material impact on its condensed consolidated financial statements.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w:t>
      </w:r>
    </w:p>
    <w:p>
      <w:pPr>
        <w:spacing w:after="0" w:line="196" w:lineRule="exact"/>
        <w:rPr>
          <w:sz w:val="20"/>
          <w:szCs w:val="20"/>
          <w:color w:val="auto"/>
        </w:rPr>
      </w:pPr>
    </w:p>
    <w:p>
      <w:pPr>
        <w:ind w:left="1220" w:hanging="598"/>
        <w:spacing w:after="0"/>
        <w:tabs>
          <w:tab w:leader="none" w:pos="12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effective tax rates for the three months ended March 31, 2021 and 2022,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00" w:type="dxa"/>
            <w:vAlign w:val="bottom"/>
          </w:tcPr>
          <w:p>
            <w:pPr>
              <w:spacing w:after="0"/>
              <w:rPr>
                <w:sz w:val="19"/>
                <w:szCs w:val="19"/>
                <w:color w:val="auto"/>
              </w:rPr>
            </w:pPr>
          </w:p>
        </w:tc>
        <w:tc>
          <w:tcPr>
            <w:tcW w:w="31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600" w:type="dxa"/>
            <w:vAlign w:val="bottom"/>
            <w:tcBorders>
              <w:bottom w:val="single" w:sz="8" w:color="auto"/>
            </w:tcBorders>
          </w:tcPr>
          <w:p>
            <w:pPr>
              <w:spacing w:after="0"/>
              <w:rPr>
                <w:sz w:val="19"/>
                <w:szCs w:val="19"/>
                <w:color w:val="auto"/>
              </w:rPr>
            </w:pPr>
          </w:p>
        </w:tc>
      </w:tr>
      <w:tr>
        <w:trPr>
          <w:trHeight w:val="212"/>
        </w:trPr>
        <w:tc>
          <w:tcPr>
            <w:tcW w:w="75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0.06 %</w:t>
            </w:r>
          </w:p>
        </w:tc>
      </w:tr>
    </w:tbl>
    <w:p>
      <w:pPr>
        <w:spacing w:after="0" w:line="7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tax provision and the resulting effective tax rate for interim periods is determined based upon its estimated annual effective tax rate adjusted for the effect of discrete items arising in that quarter. The decrease in the effective tax rate for the three months ended March 31, 2022, compared to the three months ended March 31, 2021, was primarily driven by an increase in the separate filing states’ valuation allowance.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40" w:hanging="618"/>
        <w:spacing w:after="0"/>
        <w:tabs>
          <w:tab w:leader="none" w:pos="12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Income Per Share</w:t>
      </w:r>
    </w:p>
    <w:p>
      <w:pPr>
        <w:spacing w:after="0" w:line="24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Basic net income per common share is based on the weighted-average common shares outstanding during the relevant period. Diluted net income per share is based on the weighted-average common shares outstanding during the relevant period adjusted for the dilutive effect of share-based awards and convertible debt.</w:t>
      </w:r>
    </w:p>
    <w:p>
      <w:pPr>
        <w:spacing w:after="0" w:line="39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periods in which the Company reports net losses, basic and diluted net loss per share are the same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12"/>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99"/>
        </w:trPr>
        <w:tc>
          <w:tcPr>
            <w:tcW w:w="7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32,692</w:t>
            </w:r>
          </w:p>
        </w:tc>
        <w:tc>
          <w:tcPr>
            <w:tcW w:w="0" w:type="dxa"/>
            <w:vAlign w:val="bottom"/>
          </w:tcPr>
          <w:p>
            <w:pPr>
              <w:spacing w:after="0"/>
              <w:rPr>
                <w:sz w:val="1"/>
                <w:szCs w:val="1"/>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used to calculate net income per share, basic</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73,629,122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84,230,445</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Weighted-average effect of dilutive securities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17,820,449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11,227,331</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used to calculate net income per share, diluted</w:t>
            </w: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91,449,571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95,457,776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 basic</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 diluted</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securities were excluded from the computation of diluted net income per share for the periods presented, because including them would have been anti-dilutive. These amounts represent the number of instruments outstanding at the end of each respective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Pr>
          <w:p>
            <w:pPr>
              <w:spacing w:after="0"/>
              <w:rPr>
                <w:sz w:val="19"/>
                <w:szCs w:val="19"/>
                <w:color w:val="auto"/>
              </w:rPr>
            </w:pPr>
          </w:p>
        </w:tc>
        <w:tc>
          <w:tcPr>
            <w:tcW w:w="354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7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617,424</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718,911</w:t>
            </w: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RSUs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737,682</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1,077,703</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PRSUs</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687,500</w:t>
            </w: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rights committed under the ESPP</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debt</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2,318,078</w:t>
            </w:r>
          </w:p>
        </w:tc>
      </w:tr>
      <w:tr>
        <w:trPr>
          <w:trHeight w:val="212"/>
        </w:trPr>
        <w:tc>
          <w:tcPr>
            <w:tcW w:w="7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1,355,106</w:t>
            </w:r>
          </w:p>
        </w:tc>
        <w:tc>
          <w:tcPr>
            <w:tcW w:w="10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4,804,812</w:t>
            </w:r>
          </w:p>
        </w:tc>
      </w:tr>
      <w:tr>
        <w:trPr>
          <w:trHeight w:val="20"/>
        </w:trPr>
        <w:tc>
          <w:tcPr>
            <w:tcW w:w="77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1240" w:hanging="618"/>
        <w:spacing w:after="0"/>
        <w:tabs>
          <w:tab w:leader="none" w:pos="124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evaluated the impact of events that have occurred subsequent to March 31, 2022, through May 9, 2022, the date the condensed consolidated financial statements were filed with the SEC. Based on the evaluation, other than any items recorded or disclosed within the condensed consolidated financial statements and related notes,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541"/>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providing them with an exceptional AI lending platform that they can configure as they originate consumer loans under their own brand, according to their own business and regulatory requirements.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Consumers can obtain Upstart-powered loans in one of two ways: either by referral from Upstart.com to one of our bank partners, or directly through our bank partners’ own websites, where our lending technology and experience is bank-branded. Our direct bank partner channel represents a small but growing portion of our overall volume, and we believe this portion will continue to grow over time as we onboard new bank partners.</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bank partners can retain loans that align with their business and risk objectives. For loans that are not retained by our bank partners, we help diversify the funding of these loans to a broad base of institutional investors that invest in Upstart-powered loans. Over the last few years, the percentage of loans funded through our balance sheet has generally decreased, while the percentage of loans purchased by institutional investors has generally increased. However, in the first quarter of 2022 we saw an increase in the percentage of loans retained by Upstart. These loans were primarily originated for research and development purposes to support both our auto lending platform and expand our personal unsecured loan offering to borrowers of different risk tiers. Upstart has also at times utilized its balance sheet to support short-term funding requirements of loans that would otherwise be held by institutional investors.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Economic Model</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Upstart’s revenues are primarily earned in the form of two separate usage-based fees, which can be either dollar or percentage based depending on the contractual arrangement. We charge our bank partners a referral fee each time we refer a borrower who obtains a loan. Separately, we charge bank partners a platform fee each time they originate a loan using our platform. These fees are contracted for and charged separately, although they are combined for accounting purposes as they represent a single performance obligation. We do not charge the borrowers on our platform any referral, platform or other similar fees for our loan matching services.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also charge the holder of the loan (either a bank or institutional investor) an ongoing annualized servicing fee based on the outstanding principal over the lifetime of the loan for ongoing servicing of the loan. In addition, we earn a small portion of our revenue from interest income and gains generated through our securitization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Loans on our platform today are predominantly sourced from Upstart.com. For these loans, we incur variable costs in the form of borrower acquisition costs and borrower verification and servicing costs. Borrower acquisition costs and borrower verification and servicing costs are highly correlated with the Transaction Volume, Number of Loans on our platform have trended upwards on a period-by-period basis. The continued improvements to our level of automation and Conversion Rate achieved through our increasingly sophisticated risk models and our evolving channel mix contribute to improving loan unit economics over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 Pandemic Impact</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Starting in the second half of March 2020, the COVID-19 pandemic impacted origination volumes on our platform. The rapid rise in unemployment in the United States led to a reduction in originations by bank partners and a temporary pause in loan funding from institutional investors and capital markets.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the peak of the COVID-19 pandemic, we made certain operational changes, including temporary reductions in our marketing activities and certain operational expenses. In order to support borrowers suffering from income loss due to the pandemic, Upstart also worked with its bank partners to offer hardship plans that, among other things, allowed affected borrowers to defer loan payments for up to two months. At the peak, 5.6% of borrowers on our platform had enrolled in a hardship program, less than half the rate of online lending industry benchmarks, and 95% of those impacted borrowers eventually exited the hardship program and resumed making loan payments. Origination volumes on our platform normalized by year-end 2020, with bank partners increasing originations and institutional investors and capital markets resuming loan funding.</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level of government assistance that was made available to consumers starting in the second quarter of 2020 was unprecedented, driving significant reduction in loan default rates and resulting in strong credit performance of Upstart-powered loans from the second quarter of 2020 through the third quarter of 2021. Since then, most government assistance programs have expired and the default rates of borrowers on our platform have returned to pre-pandemic levels.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Continued Improvements to Our AI Models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Bank and Market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Banks play two key roles in Upstart’s ecosystem: funding loans and acquiring new customers. Traditional lenders, such as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 our platform.</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To provide funding support for our bank partners, we have built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Expansion and Innovation</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intend to continue developing new financial products that address a broader set of consumer needs over time. In the third quarter of 2020, we announced our entry into the auto lending market and in April 2021, we acquired Prodigy Software, Inc. or Prodigy, a leader in automotive commerce software solutions. Prodigy provides a modern multi-channel car buying experience, helping dealerships serve consumers with a holistic software solution that integrates legacy systems. In addition to modernizing the car buying experience, Prodigy is helping bring Upstart's AI enabled auto loans to dealerships across the country where the vast majority of auto loans are transacted. In October 2021, we announced the launch of Upstart Auto Retail software, a cloud-based solution that enables dealerships to provide consumers with access to Upstart-powered auto loans by combining Prodigy Software and Upstart intellectual property.</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that significant growth opportunities exist to apply our evolving technology to additional segments of credit, such as small business loans, small dollar loans, mortgage loans, and beyond. In addition, we aim to serve a broader role of technology enablement for banks, which we believe will seek more comprehensive technology solutions from their suppliers. We will incur expenses and opportunity cost to develop and launch new products. Monetization prospects for new products are uncertain, and costs associated with integrating, developing and marketing new products might not be recovered, which could weigh on our top-line growth and profitability.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Macroeconomic Cycles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Economic cycles can impact our financial performance and related metrics, including increasing the rate of returns our bank partners and institutional investors are willing to accept, which in turn would generally increase interest rates offered to borrowers causing lower borrower demand. In a potential downturn, we believe consumer lending will generally contract, including the volume transacted on our own platform. However, the performance of Upstart-powered loans through an economic downturn will be important in further validating our AI models with banks and institutional investors. If we are able to continue demonstrating the resilience of Upstart-powered loans through future macroeconomic cycles relative to general consumer credit, it could strengthen our competitive positioning as we emerge from such downturns.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Key Operating and Non-GAAP Financial Metrics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focus on several key operating and Non-GAAP financial metrics to measure the performance of our business and help determine strategic direction.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presents our key operating and financial metrics: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3700" w:type="dxa"/>
            <w:vAlign w:val="bottom"/>
            <w:tcBorders>
              <w:bottom w:val="single" w:sz="8" w:color="auto"/>
            </w:tcBorders>
            <w:gridSpan w:val="5"/>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5"/>
        </w:trPr>
        <w:tc>
          <w:tcPr>
            <w:tcW w:w="7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
        </w:trPr>
        <w:tc>
          <w:tcPr>
            <w:tcW w:w="75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Volume, Dollars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4,535</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 Volume, Number of Loans</w:t>
            </w:r>
          </w:p>
        </w:tc>
        <w:tc>
          <w:tcPr>
            <w:tcW w:w="11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169,750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465,537</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Conversion Rate</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21.4%</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Loans Fully Automated</w:t>
            </w:r>
          </w:p>
        </w:tc>
        <w:tc>
          <w:tcPr>
            <w:tcW w:w="11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74%</w:t>
            </w:r>
          </w:p>
        </w:tc>
      </w:tr>
      <w:tr>
        <w:trPr>
          <w:trHeight w:val="206"/>
        </w:trPr>
        <w:tc>
          <w:tcPr>
            <w:tcW w:w="7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75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Contribution Profit</w:t>
            </w:r>
            <w:r>
              <w:rPr>
                <w:rFonts w:ascii="Times New Roman" w:cs="Times New Roman" w:eastAsia="Times New Roman" w:hAnsi="Times New Roman"/>
                <w:sz w:val="22"/>
                <w:szCs w:val="22"/>
                <w:color w:val="auto"/>
                <w:vertAlign w:val="superscript"/>
              </w:rPr>
              <w:t>(1)</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55,786</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147,841</w:t>
            </w:r>
          </w:p>
        </w:tc>
      </w:tr>
      <w:tr>
        <w:trPr>
          <w:trHeight w:val="219"/>
        </w:trPr>
        <w:tc>
          <w:tcPr>
            <w:tcW w:w="75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i w:val="1"/>
                <w:iCs w:val="1"/>
                <w:color w:val="auto"/>
              </w:rPr>
              <w:t>Contribution Margin</w:t>
            </w:r>
            <w:r>
              <w:rPr>
                <w:rFonts w:ascii="Times New Roman" w:cs="Times New Roman" w:eastAsia="Times New Roman" w:hAnsi="Times New Roman"/>
                <w:sz w:val="22"/>
                <w:szCs w:val="22"/>
                <w:i w:val="1"/>
                <w:iCs w:val="1"/>
                <w:color w:val="auto"/>
                <w:vertAlign w:val="superscript"/>
              </w:rPr>
              <w:t>(1)</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754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20,999</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62,590</w:t>
            </w:r>
          </w:p>
        </w:tc>
      </w:tr>
      <w:tr>
        <w:trPr>
          <w:trHeight w:val="219"/>
        </w:trPr>
        <w:tc>
          <w:tcPr>
            <w:tcW w:w="754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7"/>
                <w:szCs w:val="17"/>
                <w:i w:val="1"/>
                <w:iCs w:val="1"/>
                <w:color w:val="auto"/>
              </w:rPr>
              <w:t>Adjusted EBITDA Margin</w:t>
            </w:r>
            <w:r>
              <w:rPr>
                <w:rFonts w:ascii="Times New Roman" w:cs="Times New Roman" w:eastAsia="Times New Roman" w:hAnsi="Times New Roman"/>
                <w:sz w:val="22"/>
                <w:szCs w:val="22"/>
                <w:i w:val="1"/>
                <w:iCs w:val="1"/>
                <w:color w:val="auto"/>
                <w:vertAlign w:val="superscript"/>
              </w:rPr>
              <w:t>(1)</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75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Adjusted Net Income</w:t>
            </w:r>
            <w:r>
              <w:rPr>
                <w:rFonts w:ascii="Times New Roman" w:cs="Times New Roman" w:eastAsia="Times New Roman" w:hAnsi="Times New Roman"/>
                <w:sz w:val="22"/>
                <w:szCs w:val="22"/>
                <w:color w:val="auto"/>
                <w:vertAlign w:val="superscript"/>
              </w:rPr>
              <w:t>(1)</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19,944</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58,621</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per Share:</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540" w:type="dxa"/>
            <w:vAlign w:val="bottom"/>
          </w:tcPr>
          <w:p>
            <w:pPr>
              <w:ind w:left="220"/>
              <w:spacing w:after="0" w:line="219" w:lineRule="exact"/>
              <w:rPr>
                <w:sz w:val="20"/>
                <w:szCs w:val="20"/>
                <w:color w:val="auto"/>
              </w:rPr>
            </w:pPr>
            <w:r>
              <w:rPr>
                <w:rFonts w:ascii="Times New Roman" w:cs="Times New Roman" w:eastAsia="Times New Roman" w:hAnsi="Times New Roman"/>
                <w:sz w:val="17"/>
                <w:szCs w:val="17"/>
                <w:color w:val="auto"/>
              </w:rPr>
              <w:t>Basic</w:t>
            </w:r>
            <w:r>
              <w:rPr>
                <w:rFonts w:ascii="Times New Roman" w:cs="Times New Roman" w:eastAsia="Times New Roman" w:hAnsi="Times New Roman"/>
                <w:sz w:val="22"/>
                <w:szCs w:val="22"/>
                <w:color w:val="auto"/>
                <w:vertAlign w:val="superscript"/>
              </w:rPr>
              <w:t>(1)</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0.70</w:t>
            </w:r>
          </w:p>
        </w:tc>
      </w:tr>
      <w:tr>
        <w:trPr>
          <w:trHeight w:val="219"/>
        </w:trPr>
        <w:tc>
          <w:tcPr>
            <w:tcW w:w="75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Diluted</w:t>
            </w:r>
            <w:r>
              <w:rPr>
                <w:rFonts w:ascii="Times New Roman" w:cs="Times New Roman" w:eastAsia="Times New Roman" w:hAnsi="Times New Roman"/>
                <w:sz w:val="22"/>
                <w:szCs w:val="22"/>
                <w:color w:val="auto"/>
                <w:vertAlign w:val="superscript"/>
              </w:rPr>
              <w:t>(1)</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0.61</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w:t>
      </w:r>
    </w:p>
    <w:p>
      <w:pPr>
        <w:spacing w:after="0" w:line="8" w:lineRule="exact"/>
        <w:rPr>
          <w:sz w:val="20"/>
          <w:szCs w:val="20"/>
          <w:color w:val="auto"/>
        </w:rPr>
      </w:pPr>
    </w:p>
    <w:p>
      <w:pPr>
        <w:ind w:left="460" w:hanging="457"/>
        <w:spacing w:after="0" w:line="255" w:lineRule="auto"/>
        <w:tabs>
          <w:tab w:leader="none" w:pos="45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Measures</w:t>
      </w:r>
      <w:r>
        <w:rPr>
          <w:rFonts w:ascii="Times New Roman" w:cs="Times New Roman" w:eastAsia="Times New Roman" w:hAnsi="Times New Roman"/>
          <w:sz w:val="14"/>
          <w:szCs w:val="14"/>
          <w:color w:val="auto"/>
        </w:rPr>
        <w:t>”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Volume</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define Transaction Volume, Dollars as the total principal of loans transacted on our platform between a borrower and the originating bank during the period presented. We define Transaction Volume, Number of Loans as the number of loans facilitated on our platform between a borrower and the originating bank during the period presented. We believe these metrics are good proxies for our overall scale and reach as a platform.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Rate</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Percentage of Loans Fully Automated</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 driver of our Contribution Margin and operating efficiency is the Percentage of Loans Fully Automated, which is defined as the total number of loans in a given period originated end-to-end (from initial rate request to final funding) with no human involvement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auto loans, may cause fluctuations of such percentage from quarter to quarter depending on the loan offering mix.</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Contribution Profit and Contribution Margin</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To derive Contribution Profit, we subtract from revenue from fees, net from our borrower acquisition costs as well as our borrower verification and servicing costs. To calculate Contribution Margin we divide Contribution Profit by revenue from fees,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provides a calculation of Contribution Profit and Contribution Margin:</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7320" w:type="dxa"/>
            <w:vAlign w:val="bottom"/>
          </w:tcPr>
          <w:p>
            <w:pPr>
              <w:spacing w:after="0"/>
              <w:rPr>
                <w:sz w:val="24"/>
                <w:szCs w:val="24"/>
                <w:color w:val="auto"/>
              </w:rPr>
            </w:pPr>
          </w:p>
        </w:tc>
        <w:tc>
          <w:tcPr>
            <w:tcW w:w="392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0" w:type="dxa"/>
            <w:vAlign w:val="bottom"/>
          </w:tcPr>
          <w:p>
            <w:pPr>
              <w:spacing w:after="0"/>
              <w:rPr>
                <w:sz w:val="1"/>
                <w:szCs w:val="1"/>
                <w:color w:val="auto"/>
              </w:rPr>
            </w:pPr>
          </w:p>
        </w:tc>
      </w:tr>
      <w:tr>
        <w:trPr>
          <w:trHeight w:val="225"/>
        </w:trPr>
        <w:tc>
          <w:tcPr>
            <w:tcW w:w="7320" w:type="dxa"/>
            <w:vAlign w:val="bottom"/>
          </w:tcPr>
          <w:p>
            <w:pPr>
              <w:spacing w:after="0"/>
              <w:rPr>
                <w:sz w:val="19"/>
                <w:szCs w:val="19"/>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5"/>
        </w:trPr>
        <w:tc>
          <w:tcPr>
            <w:tcW w:w="7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fees, net</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7"/>
              </w:rPr>
              <w:t>116,170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313,982</w:t>
            </w:r>
          </w:p>
        </w:tc>
        <w:tc>
          <w:tcPr>
            <w:tcW w:w="0" w:type="dxa"/>
            <w:vAlign w:val="bottom"/>
          </w:tcPr>
          <w:p>
            <w:pPr>
              <w:spacing w:after="0"/>
              <w:rPr>
                <w:sz w:val="1"/>
                <w:szCs w:val="1"/>
                <w:color w:val="auto"/>
              </w:rPr>
            </w:pPr>
          </w:p>
        </w:tc>
      </w:tr>
      <w:tr>
        <w:trPr>
          <w:trHeight w:val="219"/>
        </w:trPr>
        <w:tc>
          <w:tcPr>
            <w:tcW w:w="732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Borrower acquisition costs</w:t>
            </w:r>
            <w:r>
              <w:rPr>
                <w:rFonts w:ascii="Times New Roman" w:cs="Times New Roman" w:eastAsia="Times New Roman" w:hAnsi="Times New Roman"/>
                <w:sz w:val="22"/>
                <w:szCs w:val="22"/>
                <w:color w:val="auto"/>
                <w:vertAlign w:val="superscript"/>
              </w:rPr>
              <w:t>(1)</w:t>
            </w:r>
          </w:p>
        </w:tc>
        <w:tc>
          <w:tcPr>
            <w:tcW w:w="1140" w:type="dxa"/>
            <w:vAlign w:val="bottom"/>
          </w:tcPr>
          <w:p>
            <w:pPr>
              <w:spacing w:after="0"/>
              <w:rPr>
                <w:sz w:val="19"/>
                <w:szCs w:val="19"/>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9"/>
              </w:rPr>
              <w:t>(46,122)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(123,814)</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Borrower verification and servicing costs</w:t>
            </w:r>
            <w:r>
              <w:rPr>
                <w:rFonts w:ascii="Times New Roman" w:cs="Times New Roman" w:eastAsia="Times New Roman" w:hAnsi="Times New Roman"/>
                <w:sz w:val="22"/>
                <w:szCs w:val="22"/>
                <w:color w:val="auto"/>
                <w:vertAlign w:val="superscript"/>
              </w:rPr>
              <w:t>(2)</w:t>
            </w: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9"/>
              </w:rPr>
              <w:t>(14,262)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(42,327)</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direct expenses</w:t>
            </w: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9"/>
              </w:rPr>
              <w:t>(60,384)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(166,141)</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 Profit</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55,786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147,841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Contribution Margin</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86"/>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_______</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60" w:hanging="457"/>
        <w:spacing w:after="0" w:line="237" w:lineRule="auto"/>
        <w:tabs>
          <w:tab w:leader="none" w:pos="45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Times New Roman" w:cs="Times New Roman" w:eastAsia="Times New Roman" w:hAnsi="Times New Roman"/>
          <w:sz w:val="14"/>
          <w:szCs w:val="14"/>
          <w:color w:val="auto"/>
        </w:rPr>
      </w:pPr>
    </w:p>
    <w:p>
      <w:pPr>
        <w:jc w:val="both"/>
        <w:ind w:left="460" w:hanging="457"/>
        <w:spacing w:after="0" w:line="254" w:lineRule="auto"/>
        <w:tabs>
          <w:tab w:leader="none" w:pos="453"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1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Operations—Reconciliation of Non-GAAP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Measures</w:t>
      </w:r>
      <w:r>
        <w:rPr>
          <w:rFonts w:ascii="Times New Roman" w:cs="Times New Roman" w:eastAsia="Times New Roman" w:hAnsi="Times New Roman"/>
          <w:sz w:val="17"/>
          <w:szCs w:val="17"/>
          <w:color w:val="auto"/>
        </w:rPr>
        <w:t>” for a reconciliation of income from operations to Contribution Profit.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Adjusted EBITDA Margin</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calculate Adjusted EBITDA as net income adjusted to exclude stock-based compensation expense and certain payroll tax expenses, depreciation and amortization, expense on convertible notes, provision for income taxes and acquisition-related costs.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 w:cs="Times New Roman" w:eastAsia="Times New Roman" w:hAnsi="Times New Roman"/>
          <w:sz w:val="17"/>
          <w:szCs w:val="17"/>
          <w:i w:val="1"/>
          <w:iCs w:val="1"/>
          <w:color w:val="auto"/>
        </w:rPr>
        <w:t>Management’s Discussion and Analysis of Financial Condition and Results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Operations—Reconciliation of Non-GAAP Financial Measures</w:t>
      </w:r>
      <w:r>
        <w:rPr>
          <w:rFonts w:ascii="Times New Roman" w:cs="Times New Roman" w:eastAsia="Times New Roman" w:hAnsi="Times New Roman"/>
          <w:sz w:val="17"/>
          <w:szCs w:val="17"/>
          <w:color w:val="auto"/>
        </w:rPr>
        <w:t>” for a reconciliation of net income to Adjusted EBITDA and Adjusted EBITDA Margin.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 and Adjusted Net Income Per Share</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define Adjusted Net Income as net income exclusive of stock-based compensation expense and certain payroll tax expenses and acquisition-related costs. Adjusted Net Income Per Share is calculated by dividing Adjusted Net Income Per Share by the weighted-average common shares outstanding. See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7"/>
          <w:szCs w:val="17"/>
          <w:color w:val="auto"/>
        </w:rPr>
        <w:t>” for a reconciliation of net income to Adjusted Net Income and Adjusted Net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from Fees, Net</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Platform and Referral Fees, Net</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These fees are charged net of any fees the bank partner charges Upstart. Upstart pays these bank partners a one-time loan premium fee upon completion of the minimum holding periods. Upstart also pays bank partners monthly loan trailing fees based on the amount and timing of principal and interest payments made by borrowers of the underlying loans. See “</w:t>
      </w:r>
      <w:r>
        <w:rPr>
          <w:rFonts w:ascii="Times New Roman" w:cs="Times New Roman" w:eastAsia="Times New Roman" w:hAnsi="Times New Roman"/>
          <w:sz w:val="17"/>
          <w:szCs w:val="17"/>
          <w:i w:val="1"/>
          <w:iCs w:val="1"/>
          <w:color w:val="auto"/>
        </w:rPr>
        <w:t>Note 2. Revenue</w:t>
      </w:r>
      <w:r>
        <w:rPr>
          <w:rFonts w:ascii="Times New Roman" w:cs="Times New Roman" w:eastAsia="Times New Roman" w:hAnsi="Times New Roman"/>
          <w:sz w:val="17"/>
          <w:szCs w:val="17"/>
          <w:color w:val="auto"/>
        </w:rPr>
        <w:t>” to our condensed consolidated financial statements in Part I, Item 1 of this Quarterly Report on Form 10-Q for more information about loan premium fees and trailing fees.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Servicing and Other Fees, Net</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loan-servicer for substantially all outstanding loans facilitated through the Upstart platform. Borrower payment collections for loans that are more than 30 days past due or charged off are generally outsourced to third-party collection agencies. Upstart charges bank partners and institutional investors for collection agency fees related to their outstanding loan portfolio. Upstart also receives certain ancillary fees on a per transaction basis inclusive of late payment fees and ACH fail fees.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and Fair Value Adjustments, Net</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Interest income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and fair value adjustments, net also includes income from our capital market programs and realized gain on the sale of loans. Interest income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Transaction Volume, Number of Loans.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Engineering and Product Development</w:t>
      </w:r>
    </w:p>
    <w:p>
      <w:pPr>
        <w:spacing w:after="0" w:line="24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Administrative and Other</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Other expense primarily consists of a voluntarily repayment during the three months ended March 31, 2021 of funds received under the Paycheck Protection Program. During the three months ended March 31, 2022 other expense primarily consists of interest expense on our convertible notes and charitable donations.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historical consolidated statements of operations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640" w:type="dxa"/>
            <w:vAlign w:val="bottom"/>
          </w:tcPr>
          <w:p>
            <w:pPr>
              <w:spacing w:after="0"/>
              <w:rPr>
                <w:sz w:val="19"/>
                <w:szCs w:val="19"/>
                <w:color w:val="auto"/>
              </w:rPr>
            </w:pPr>
          </w:p>
        </w:tc>
      </w:tr>
      <w:tr>
        <w:trPr>
          <w:trHeight w:val="25"/>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5"/>
        </w:trPr>
        <w:tc>
          <w:tcPr>
            <w:tcW w:w="7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40" w:type="dxa"/>
            <w:vAlign w:val="bottom"/>
          </w:tcPr>
          <w:p>
            <w:pPr>
              <w:spacing w:after="0"/>
              <w:rPr>
                <w:sz w:val="19"/>
                <w:szCs w:val="19"/>
                <w:color w:val="auto"/>
              </w:rPr>
            </w:pPr>
          </w:p>
        </w:tc>
      </w:tr>
      <w:tr>
        <w:trPr>
          <w:trHeight w:val="25"/>
        </w:trPr>
        <w:tc>
          <w:tcPr>
            <w:tcW w:w="7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7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Revenue from fees, net</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116,170</w:t>
            </w:r>
          </w:p>
        </w:tc>
        <w:tc>
          <w:tcPr>
            <w:tcW w:w="100" w:type="dxa"/>
            <w:vAlign w:val="bottom"/>
          </w:tcPr>
          <w:p>
            <w:pPr>
              <w:spacing w:after="0"/>
              <w:rPr>
                <w:sz w:val="19"/>
                <w:szCs w:val="19"/>
                <w:color w:val="auto"/>
              </w:rPr>
            </w:pP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313,982</w:t>
            </w:r>
          </w:p>
        </w:tc>
      </w:tr>
      <w:tr>
        <w:trPr>
          <w:trHeight w:val="219"/>
        </w:trPr>
        <w:tc>
          <w:tcPr>
            <w:tcW w:w="7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income and fair value adjustments, net</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(3,846)</w:t>
            </w:r>
          </w:p>
        </w:tc>
      </w:tr>
      <w:tr>
        <w:trPr>
          <w:trHeight w:val="212"/>
        </w:trPr>
        <w:tc>
          <w:tcPr>
            <w:tcW w:w="754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7"/>
                <w:szCs w:val="17"/>
                <w:color w:val="auto"/>
              </w:rPr>
              <w:t>Total revenue</w:t>
            </w: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121,345</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310,136</w:t>
            </w:r>
          </w:p>
        </w:tc>
      </w:tr>
      <w:tr>
        <w:trPr>
          <w:trHeight w:val="199"/>
        </w:trPr>
        <w:tc>
          <w:tcPr>
            <w:tcW w:w="754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9"/>
        </w:trPr>
        <w:tc>
          <w:tcPr>
            <w:tcW w:w="7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49,376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133,449</w:t>
            </w:r>
          </w:p>
        </w:tc>
      </w:tr>
      <w:tr>
        <w:trPr>
          <w:trHeight w:val="219"/>
        </w:trPr>
        <w:tc>
          <w:tcPr>
            <w:tcW w:w="7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 operations</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48,407</w:t>
            </w:r>
          </w:p>
        </w:tc>
      </w:tr>
      <w:tr>
        <w:trPr>
          <w:trHeight w:val="219"/>
        </w:trPr>
        <w:tc>
          <w:tcPr>
            <w:tcW w:w="75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49,991</w:t>
            </w:r>
          </w:p>
        </w:tc>
      </w:tr>
      <w:tr>
        <w:trPr>
          <w:trHeight w:val="219"/>
        </w:trPr>
        <w:tc>
          <w:tcPr>
            <w:tcW w:w="7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43,456</w:t>
            </w:r>
          </w:p>
        </w:tc>
      </w:tr>
      <w:tr>
        <w:trPr>
          <w:trHeight w:val="212"/>
        </w:trPr>
        <w:tc>
          <w:tcPr>
            <w:tcW w:w="754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105,771</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275,303</w:t>
            </w: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34,833</w:t>
            </w:r>
          </w:p>
        </w:tc>
      </w:tr>
      <w:tr>
        <w:trPr>
          <w:trHeight w:val="21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(2,122)</w:t>
            </w: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before income taxes</w:t>
            </w: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32,711</w:t>
            </w:r>
          </w:p>
        </w:tc>
      </w:tr>
      <w:tr>
        <w:trPr>
          <w:trHeight w:val="21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w:t>
      </w:r>
    </w:p>
    <w:p>
      <w:pPr>
        <w:spacing w:after="0" w:line="21" w:lineRule="exact"/>
        <w:rPr>
          <w:sz w:val="20"/>
          <w:szCs w:val="20"/>
          <w:color w:val="auto"/>
        </w:rPr>
      </w:pPr>
    </w:p>
    <w:p>
      <w:pPr>
        <w:ind w:left="460" w:hanging="457"/>
        <w:spacing w:after="0"/>
        <w:tabs>
          <w:tab w:leader="none" w:pos="4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31"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22860</wp:posOffset>
            </wp:positionV>
            <wp:extent cx="21367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6775" cy="82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265" w:lineRule="exact"/>
        <w:rPr>
          <w:sz w:val="20"/>
          <w:szCs w:val="20"/>
          <w:color w:val="auto"/>
        </w:rPr>
      </w:pPr>
    </w:p>
    <w:p>
      <w:pPr>
        <w:ind w:left="20"/>
        <w:spacing w:after="0"/>
        <w:tabs>
          <w:tab w:leader="none" w:pos="7880" w:val="left"/>
        </w:tabs>
        <w:rPr>
          <w:sz w:val="20"/>
          <w:szCs w:val="20"/>
          <w:color w:val="auto"/>
        </w:rPr>
      </w:pPr>
      <w:r>
        <w:rPr>
          <w:rFonts w:ascii="Times New Roman" w:cs="Times New Roman" w:eastAsia="Times New Roman" w:hAnsi="Times New Roman"/>
          <w:sz w:val="17"/>
          <w:szCs w:val="17"/>
          <w:color w:val="auto"/>
        </w:rPr>
        <w:t>Sales and marketing</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47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Customer operations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Engineering and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63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General, administrative, and other</w:t>
      </w:r>
    </w:p>
    <w:p>
      <w:pPr>
        <w:spacing w:after="0" w:line="62" w:lineRule="exact"/>
        <w:rPr>
          <w:sz w:val="20"/>
          <w:szCs w:val="20"/>
          <w:color w:val="auto"/>
        </w:rPr>
      </w:pPr>
    </w:p>
    <w:p>
      <w:pPr>
        <w:ind w:left="20"/>
        <w:spacing w:after="0"/>
        <w:tabs>
          <w:tab w:leader="none" w:pos="7880" w:val="left"/>
        </w:tabs>
        <w:rPr>
          <w:sz w:val="20"/>
          <w:szCs w:val="20"/>
          <w:color w:val="auto"/>
        </w:rPr>
      </w:pPr>
      <w:r>
        <w:rPr>
          <w:rFonts w:ascii="Times New Roman" w:cs="Times New Roman" w:eastAsia="Times New Roman" w:hAnsi="Times New Roman"/>
          <w:sz w:val="17"/>
          <w:szCs w:val="17"/>
          <w:color w:val="auto"/>
        </w:rPr>
        <w:t>Total stock-based compensation</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63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from Fees,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 forth our revenue from fees, net in the periods shown:</w:t>
      </w:r>
    </w:p>
    <w:p>
      <w:pPr>
        <w:spacing w:after="0" w:line="290"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22860</wp:posOffset>
            </wp:positionV>
            <wp:extent cx="21202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line="22" w:lineRule="exact"/>
        <w:rPr>
          <w:sz w:val="20"/>
          <w:szCs w:val="20"/>
          <w:color w:val="auto"/>
        </w:rPr>
      </w:pPr>
    </w:p>
    <w:p>
      <w:pPr>
        <w:jc w:val="both"/>
        <w:ind w:left="5940"/>
        <w:spacing w:after="0"/>
        <w:tabs>
          <w:tab w:leader="none" w:pos="7640" w:val="left"/>
        </w:tabs>
        <w:rPr>
          <w:sz w:val="20"/>
          <w:szCs w:val="20"/>
          <w:color w:val="auto"/>
        </w:rPr>
      </w:pPr>
      <w:r>
        <w:rPr>
          <w:rFonts w:ascii="Times New Roman" w:cs="Times New Roman" w:eastAsia="Times New Roman" w:hAnsi="Times New Roman"/>
          <w:sz w:val="17"/>
          <w:szCs w:val="17"/>
          <w:b w:val="1"/>
          <w:bCs w:val="1"/>
          <w:color w:val="auto"/>
        </w:rPr>
        <w:t>2021</w:t>
      </w:r>
      <w:r>
        <w:rPr>
          <w:sz w:val="20"/>
          <w:szCs w:val="20"/>
          <w:color w:val="auto"/>
        </w:rPr>
        <w:tab/>
      </w:r>
      <w:r>
        <w:rPr>
          <w:rFonts w:ascii="Times New Roman" w:cs="Times New Roman" w:eastAsia="Times New Roman" w:hAnsi="Times New Roman"/>
          <w:sz w:val="17"/>
          <w:szCs w:val="17"/>
          <w:b w:val="1"/>
          <w:bCs w:val="1"/>
          <w:color w:val="auto"/>
        </w:rPr>
        <w:t>2022</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80" w:type="dxa"/>
            <w:vAlign w:val="bottom"/>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6"/>
        </w:trPr>
        <w:tc>
          <w:tcPr>
            <w:tcW w:w="10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753</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w:t>
            </w:r>
          </w:p>
        </w:tc>
        <w:tc>
          <w:tcPr>
            <w:tcW w:w="0" w:type="dxa"/>
            <w:vAlign w:val="bottom"/>
          </w:tcPr>
          <w:p>
            <w:pPr>
              <w:spacing w:after="0"/>
              <w:rPr>
                <w:sz w:val="1"/>
                <w:szCs w:val="1"/>
                <w:color w:val="auto"/>
              </w:rPr>
            </w:pPr>
          </w:p>
        </w:tc>
      </w:tr>
      <w:tr>
        <w:trPr>
          <w:trHeight w:val="229"/>
        </w:trPr>
        <w:tc>
          <w:tcPr>
            <w:tcW w:w="10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752</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w:t>
            </w:r>
          </w:p>
        </w:tc>
        <w:tc>
          <w:tcPr>
            <w:tcW w:w="0" w:type="dxa"/>
            <w:vAlign w:val="bottom"/>
          </w:tcPr>
          <w:p>
            <w:pPr>
              <w:spacing w:after="0"/>
              <w:rPr>
                <w:sz w:val="1"/>
                <w:szCs w:val="1"/>
                <w:color w:val="auto"/>
              </w:rPr>
            </w:pPr>
          </w:p>
        </w:tc>
      </w:tr>
      <w:tr>
        <w:trPr>
          <w:trHeight w:val="258"/>
        </w:trPr>
        <w:tc>
          <w:tcPr>
            <w:tcW w:w="10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4,307</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13,634</w:t>
            </w:r>
          </w:p>
        </w:tc>
        <w:tc>
          <w:tcPr>
            <w:tcW w:w="0" w:type="dxa"/>
            <w:vAlign w:val="bottom"/>
          </w:tcPr>
          <w:p>
            <w:pPr>
              <w:spacing w:after="0"/>
              <w:rPr>
                <w:sz w:val="1"/>
                <w:szCs w:val="1"/>
                <w:color w:val="auto"/>
              </w:rPr>
            </w:pPr>
          </w:p>
        </w:tc>
      </w:tr>
      <w:tr>
        <w:trPr>
          <w:trHeight w:val="258"/>
        </w:trPr>
        <w:tc>
          <w:tcPr>
            <w:tcW w:w="10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2,810</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7,559</w:t>
            </w:r>
          </w:p>
        </w:tc>
        <w:tc>
          <w:tcPr>
            <w:tcW w:w="0" w:type="dxa"/>
            <w:vAlign w:val="bottom"/>
          </w:tcPr>
          <w:p>
            <w:pPr>
              <w:spacing w:after="0"/>
              <w:rPr>
                <w:sz w:val="1"/>
                <w:szCs w:val="1"/>
                <w:color w:val="auto"/>
              </w:rPr>
            </w:pPr>
          </w:p>
        </w:tc>
      </w:tr>
      <w:tr>
        <w:trPr>
          <w:trHeight w:val="25"/>
        </w:trPr>
        <w:tc>
          <w:tcPr>
            <w:tcW w:w="10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rPr>
              <w:t>8,622</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0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25,050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-7620</wp:posOffset>
            </wp:positionV>
            <wp:extent cx="10394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19685</wp:posOffset>
            </wp:positionV>
            <wp:extent cx="15963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17" w:lineRule="exact"/>
        <w:rPr>
          <w:sz w:val="20"/>
          <w:szCs w:val="20"/>
          <w:color w:val="auto"/>
        </w:rPr>
      </w:pPr>
    </w:p>
    <w:p>
      <w:pPr>
        <w:ind w:left="2000" w:hanging="1258"/>
        <w:spacing w:after="0"/>
        <w:tabs>
          <w:tab w:leader="none" w:pos="200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t>
      </w:r>
    </w:p>
    <w:p>
      <w:pPr>
        <w:spacing w:after="0" w:line="29" w:lineRule="exact"/>
        <w:rPr>
          <w:sz w:val="20"/>
          <w:szCs w:val="20"/>
          <w:color w:val="auto"/>
        </w:rPr>
      </w:pPr>
    </w:p>
    <w:p>
      <w:pPr>
        <w:sectPr>
          <w:pgSz w:w="11900" w:h="16838" w:orient="portrait"/>
          <w:cols w:equalWidth="0" w:num="2">
            <w:col w:w="8000" w:space="520"/>
            <w:col w:w="272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Platform and referral fees, net</w:t>
            </w: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106,953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271,812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164,859</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154 %</w:t>
            </w:r>
          </w:p>
        </w:tc>
      </w:tr>
      <w:tr>
        <w:trPr>
          <w:trHeight w:val="258"/>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Servicing and other fees, net</w:t>
            </w:r>
          </w:p>
        </w:tc>
        <w:tc>
          <w:tcPr>
            <w:tcW w:w="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42,170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32,953</w:t>
            </w:r>
          </w:p>
        </w:tc>
        <w:tc>
          <w:tcPr>
            <w:tcW w:w="8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358 %</w:t>
            </w:r>
          </w:p>
        </w:tc>
      </w:tr>
      <w:tr>
        <w:trPr>
          <w:trHeight w:val="237"/>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 from fees, net</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116,170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313,982</w:t>
            </w:r>
          </w:p>
        </w:tc>
        <w:tc>
          <w:tcPr>
            <w:tcW w:w="40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197,812</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Revenue from fees, net increased $197.8 million, or 170%, in the three months ended March 31, 2022, compared to the same period in 2021, which included an increase of $164.9 million in revenue from platform and referral fees, net and an increase of $33.0 million in servicing fees, net. The increase of the platform and referral fees, net was primarily driven by a 174% increase in the Transaction Volume, Number of Loans from 169,750 in the three months ended March 31, 2021 to 465,537 in the same period in 2022 as well as an increase in prices of our</w:t>
      </w:r>
    </w:p>
    <w:p>
      <w:pPr>
        <w:sectPr>
          <w:pgSz w:w="11900" w:h="16838" w:orient="portrait"/>
          <w:cols w:equalWidth="0" w:num="1">
            <w:col w:w="1124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services. The increase in the servicing fees, net was primarily due to an 149% increase in the outstanding principal of serviced loans.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and Fair Value Adjustments, Net</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320" w:type="dxa"/>
            <w:vAlign w:val="bottom"/>
          </w:tcPr>
          <w:p>
            <w:pPr>
              <w:spacing w:after="0"/>
              <w:rPr>
                <w:sz w:val="16"/>
                <w:szCs w:val="16"/>
                <w:color w:val="auto"/>
              </w:rPr>
            </w:pPr>
          </w:p>
        </w:tc>
        <w:tc>
          <w:tcPr>
            <w:tcW w:w="2700" w:type="dxa"/>
            <w:vAlign w:val="bottom"/>
            <w:gridSpan w:val="4"/>
          </w:tcPr>
          <w:p>
            <w:pPr>
              <w:jc w:val="center"/>
              <w:ind w:left="614"/>
              <w:spacing w:after="0" w:line="193"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3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3,405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344 %</w:t>
            </w:r>
          </w:p>
        </w:tc>
        <w:tc>
          <w:tcPr>
            <w:tcW w:w="0" w:type="dxa"/>
            <w:vAlign w:val="bottom"/>
          </w:tcPr>
          <w:p>
            <w:pPr>
              <w:spacing w:after="0"/>
              <w:rPr>
                <w:sz w:val="1"/>
                <w:szCs w:val="1"/>
                <w:color w:val="auto"/>
              </w:rPr>
            </w:pPr>
          </w:p>
        </w:tc>
      </w:tr>
      <w:tr>
        <w:trPr>
          <w:trHeight w:val="219"/>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net</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2,800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744 %</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income and fair value adjustments, net</w:t>
            </w: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5,175</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Interest income and fair value adjustments, net decreased $9.0 million, or 174% in the three months ended March 31, 2022, compared to the same period in 2021. The decrease was primarily driven by a $20.8 million decrease in fair value adjustments, partially offset by a $11.7 million increase in interest income due to an increase in unpaid principal balance of loans held on the condensed consolidated balance sheets. The decrease in fair value adjustments was primarily attributable to a $19.5 million downward valuation of our loan portfolio primarily due to rising market interest rates.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3660" w:type="dxa"/>
            <w:vAlign w:val="bottom"/>
            <w:gridSpan w:val="6"/>
          </w:tcPr>
          <w:p>
            <w:pPr>
              <w:ind w:left="6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20" w:type="dxa"/>
            <w:vAlign w:val="bottom"/>
          </w:tcPr>
          <w:p>
            <w:pPr>
              <w:spacing w:after="0"/>
              <w:rPr>
                <w:sz w:val="19"/>
                <w:szCs w:val="19"/>
                <w:color w:val="auto"/>
              </w:rPr>
            </w:pPr>
          </w:p>
        </w:tc>
        <w:tc>
          <w:tcPr>
            <w:tcW w:w="1200" w:type="dxa"/>
            <w:vAlign w:val="bottom"/>
            <w:gridSpan w:val="3"/>
          </w:tcPr>
          <w:p>
            <w:pPr>
              <w:ind w:left="5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20" w:type="dxa"/>
            <w:vAlign w:val="bottom"/>
          </w:tcPr>
          <w:p>
            <w:pPr>
              <w:spacing w:after="0"/>
              <w:rPr>
                <w:sz w:val="19"/>
                <w:szCs w:val="19"/>
                <w:color w:val="auto"/>
              </w:rPr>
            </w:pPr>
          </w:p>
        </w:tc>
      </w:tr>
      <w:tr>
        <w:trPr>
          <w:trHeight w:val="225"/>
        </w:trPr>
        <w:tc>
          <w:tcPr>
            <w:tcW w:w="52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8"/>
              </w:rPr>
              <w:t>49,376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133,449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170%</w:t>
            </w:r>
          </w:p>
        </w:tc>
      </w:tr>
      <w:tr>
        <w:trPr>
          <w:trHeight w:val="227"/>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of revenue</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41 %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8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Sales and marketing expenses increased by $84.1 million, or 170%, in the three months ended March 31, 2022 compared to the same period in 2021. The increase was primarily due to a $77.7 million increase in advertising and other traffic acquisition cost, as well as a $5.3 million increase in payroll and other personnel-related expenses driven by increased headcount. As a percentage of total revenue, sales and marketing expenses increased from 41% to 43%.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Operations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3660" w:type="dxa"/>
            <w:vAlign w:val="bottom"/>
            <w:gridSpan w:val="6"/>
          </w:tcPr>
          <w:p>
            <w:pPr>
              <w:ind w:left="6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20" w:type="dxa"/>
            <w:vAlign w:val="bottom"/>
          </w:tcPr>
          <w:p>
            <w:pPr>
              <w:spacing w:after="0"/>
              <w:rPr>
                <w:sz w:val="19"/>
                <w:szCs w:val="19"/>
                <w:color w:val="auto"/>
              </w:rPr>
            </w:pPr>
          </w:p>
        </w:tc>
        <w:tc>
          <w:tcPr>
            <w:tcW w:w="1200" w:type="dxa"/>
            <w:vAlign w:val="bottom"/>
            <w:gridSpan w:val="3"/>
          </w:tcPr>
          <w:p>
            <w:pPr>
              <w:ind w:left="5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20" w:type="dxa"/>
            <w:vAlign w:val="bottom"/>
          </w:tcPr>
          <w:p>
            <w:pPr>
              <w:spacing w:after="0"/>
              <w:rPr>
                <w:sz w:val="19"/>
                <w:szCs w:val="19"/>
                <w:color w:val="auto"/>
              </w:rPr>
            </w:pPr>
          </w:p>
        </w:tc>
      </w:tr>
      <w:tr>
        <w:trPr>
          <w:trHeight w:val="225"/>
        </w:trPr>
        <w:tc>
          <w:tcPr>
            <w:tcW w:w="52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operations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8"/>
              </w:rPr>
              <w:t>17,388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48,407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178%</w:t>
            </w:r>
          </w:p>
        </w:tc>
      </w:tr>
      <w:tr>
        <w:trPr>
          <w:trHeight w:val="227"/>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of revenue</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14 %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00" w:lineRule="exact"/>
        <w:rPr>
          <w:sz w:val="20"/>
          <w:szCs w:val="20"/>
          <w:color w:val="auto"/>
        </w:rPr>
      </w:pPr>
    </w:p>
    <w:p>
      <w:pPr>
        <w:spacing w:after="0" w:line="201" w:lineRule="exact"/>
        <w:rPr>
          <w:sz w:val="20"/>
          <w:szCs w:val="20"/>
          <w:color w:val="auto"/>
        </w:rPr>
      </w:pPr>
    </w:p>
    <w:p>
      <w:pPr>
        <w:jc w:val="both"/>
        <w:ind w:firstLine="526"/>
        <w:spacing w:after="0" w:line="254" w:lineRule="auto"/>
        <w:rPr>
          <w:sz w:val="20"/>
          <w:szCs w:val="20"/>
          <w:color w:val="auto"/>
        </w:rPr>
      </w:pPr>
      <w:r>
        <w:rPr>
          <w:rFonts w:ascii="Times New Roman" w:cs="Times New Roman" w:eastAsia="Times New Roman" w:hAnsi="Times New Roman"/>
          <w:sz w:val="17"/>
          <w:szCs w:val="17"/>
          <w:color w:val="auto"/>
        </w:rPr>
        <w:t>Customer operations expenses increased by $31.0 million, or 178%, in the three months ended March 31, 2022, compared to the same period in 2021. The increase was primarily due to an increase of $19.2 million in payroll and other personnel-related expenses due to an increase in headcount as well as increased spending of $10.5 million on information verification and platform operations due to a growing volume of loans facilitated through our platform. As a percentage of total revenue, customer operations expenses increased from 14% to 16%.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Engineering and Product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3660" w:type="dxa"/>
            <w:vAlign w:val="bottom"/>
            <w:gridSpan w:val="6"/>
          </w:tcPr>
          <w:p>
            <w:pPr>
              <w:ind w:left="6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20" w:type="dxa"/>
            <w:vAlign w:val="bottom"/>
          </w:tcPr>
          <w:p>
            <w:pPr>
              <w:spacing w:after="0"/>
              <w:rPr>
                <w:sz w:val="19"/>
                <w:szCs w:val="19"/>
                <w:color w:val="auto"/>
              </w:rPr>
            </w:pPr>
          </w:p>
        </w:tc>
        <w:tc>
          <w:tcPr>
            <w:tcW w:w="1200" w:type="dxa"/>
            <w:vAlign w:val="bottom"/>
            <w:gridSpan w:val="3"/>
          </w:tcPr>
          <w:p>
            <w:pPr>
              <w:ind w:left="5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20" w:type="dxa"/>
            <w:vAlign w:val="bottom"/>
          </w:tcPr>
          <w:p>
            <w:pPr>
              <w:spacing w:after="0"/>
              <w:rPr>
                <w:sz w:val="19"/>
                <w:szCs w:val="19"/>
                <w:color w:val="auto"/>
              </w:rPr>
            </w:pPr>
          </w:p>
        </w:tc>
      </w:tr>
      <w:tr>
        <w:trPr>
          <w:trHeight w:val="225"/>
        </w:trPr>
        <w:tc>
          <w:tcPr>
            <w:tcW w:w="52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8"/>
              </w:rPr>
              <w:t>18,988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49,991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163%</w:t>
            </w:r>
          </w:p>
        </w:tc>
      </w:tr>
      <w:tr>
        <w:trPr>
          <w:trHeight w:val="227"/>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of revenue</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16 %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9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Engineering and product development expenses increased by $31.0 million, or 163%, For the three months ended March 31, 2022, compared to the same period in 2021. The increase was primarily due to an increase of $24.7 million in payroll and other personnel-related expenses driven by an increase in headcount, as well as increased spending of $6.1 million on engineering infrastructure, support services, and consultants. As a percentage of total revenue, engineering and product development expenses remained flat at 16%.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Administrative, and Other</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631"/>
        </w:trPr>
        <w:tc>
          <w:tcPr>
            <w:tcW w:w="5160" w:type="dxa"/>
            <w:vAlign w:val="bottom"/>
          </w:tcPr>
          <w:p>
            <w:pPr>
              <w:spacing w:after="0"/>
              <w:rPr>
                <w:sz w:val="24"/>
                <w:szCs w:val="24"/>
                <w:color w:val="auto"/>
              </w:rPr>
            </w:pPr>
          </w:p>
        </w:tc>
        <w:tc>
          <w:tcPr>
            <w:tcW w:w="3620" w:type="dxa"/>
            <w:vAlign w:val="bottom"/>
            <w:gridSpan w:val="6"/>
          </w:tcPr>
          <w:p>
            <w:pPr>
              <w:ind w:left="5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320" w:type="dxa"/>
            <w:vAlign w:val="bottom"/>
          </w:tcPr>
          <w:p>
            <w:pPr>
              <w:spacing w:after="0"/>
              <w:rPr>
                <w:sz w:val="24"/>
                <w:szCs w:val="24"/>
                <w:color w:val="auto"/>
              </w:rPr>
            </w:pPr>
          </w:p>
        </w:tc>
        <w:tc>
          <w:tcPr>
            <w:tcW w:w="1320" w:type="dxa"/>
            <w:vAlign w:val="bottom"/>
            <w:gridSpan w:val="3"/>
          </w:tcPr>
          <w:p>
            <w:pPr>
              <w:ind w:left="6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20" w:type="dxa"/>
            <w:vAlign w:val="bottom"/>
          </w:tcPr>
          <w:p>
            <w:pPr>
              <w:spacing w:after="0"/>
              <w:rPr>
                <w:sz w:val="24"/>
                <w:szCs w:val="24"/>
                <w:color w:val="auto"/>
              </w:rPr>
            </w:pPr>
          </w:p>
        </w:tc>
      </w:tr>
      <w:tr>
        <w:trPr>
          <w:trHeight w:val="251"/>
        </w:trPr>
        <w:tc>
          <w:tcPr>
            <w:tcW w:w="5160" w:type="dxa"/>
            <w:vAlign w:val="bottom"/>
            <w:tcBorders>
              <w:bottom w:val="single" w:sz="8" w:color="CCEEFF"/>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4"/>
              </w:rPr>
              <w:t>20,019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43,456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117 %</w:t>
            </w:r>
          </w:p>
        </w:tc>
      </w:tr>
      <w:tr>
        <w:trPr>
          <w:trHeight w:val="227"/>
        </w:trPr>
        <w:tc>
          <w:tcPr>
            <w:tcW w:w="51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 of revenue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16 %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14 %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8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General, administrative, and other expenses increased by $23.4 million, or 117%, in the three months ended March 31, 2022, compared to the same period in 2021. The increase was primarily due to an increase of $14.4 million in payroll and personnel-related costs as a result of increased headcount; an increase of $3.0 million in office and administrative operation related expenses; and an increase of $2.2 million in professional fees. As a percentage of total revenue, general, administrative, and other expenses decreased from 16% to 14%.</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631"/>
        </w:trPr>
        <w:tc>
          <w:tcPr>
            <w:tcW w:w="5320" w:type="dxa"/>
            <w:vAlign w:val="bottom"/>
          </w:tcPr>
          <w:p>
            <w:pPr>
              <w:spacing w:after="0"/>
              <w:rPr>
                <w:sz w:val="24"/>
                <w:szCs w:val="24"/>
                <w:color w:val="auto"/>
              </w:rPr>
            </w:pPr>
          </w:p>
        </w:tc>
        <w:tc>
          <w:tcPr>
            <w:tcW w:w="33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80" w:type="dxa"/>
            <w:vAlign w:val="bottom"/>
          </w:tcPr>
          <w:p>
            <w:pPr>
              <w:spacing w:after="0"/>
              <w:rPr>
                <w:sz w:val="24"/>
                <w:szCs w:val="24"/>
                <w:color w:val="auto"/>
              </w:rPr>
            </w:pPr>
          </w:p>
        </w:tc>
        <w:tc>
          <w:tcPr>
            <w:tcW w:w="16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40" w:type="dxa"/>
            <w:vAlign w:val="bottom"/>
            <w:tcBorders>
              <w:bottom w:val="single" w:sz="8" w:color="auto"/>
            </w:tcBorders>
          </w:tcPr>
          <w:p>
            <w:pPr>
              <w:spacing w:after="0"/>
              <w:rPr>
                <w:sz w:val="24"/>
                <w:szCs w:val="24"/>
                <w:color w:val="auto"/>
              </w:rPr>
            </w:pPr>
          </w:p>
        </w:tc>
      </w:tr>
      <w:tr>
        <w:trPr>
          <w:trHeight w:val="251"/>
        </w:trPr>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10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r>
    </w:tbl>
    <w:p>
      <w:pPr>
        <w:spacing w:after="0" w:line="30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the three months ended March 31, 2022, other expense decreased by $3.1 million, or 60%, compared to the same period in 2021. The decrease was primarily due to our voluntary repayment of proceeds received from the PPP loan of $5.3 million during the three months ended March 31, 2021. The decrease was partially offset by $1.2 million of interest expense incurred on convertible notes and a $1.0 million charitable donation during the three months ended March 31, 2022.</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To supplement our condensed consolidated financial statements prepared and presented in accordance with GAAP, we use the non-GAAP financial measures of Contribution Profit, Contribution Margin, Adjusted EBITDA, Adjusted EBITDA Margin, and Adjusted Net Income and Adjusted Net Income Per Share to provide investors with additional information about our financial performance and to enhance the overall understanding of our past performance and future prospects. We are presenting these non-GAAP financial measures because we believe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provide an additional tool for investors to use in comparing our core financial performance over multiple periods with the performance of other companies.</w:t>
      </w:r>
    </w:p>
    <w:p>
      <w:pPr>
        <w:spacing w:after="0" w:line="243"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To address these limitations, we provide a reconciliation of Contribution Profit, Contribution Margin, Adjusted EBITDA, Adjusted EBITDA Margin, and Adjusted Net Income and Adjusted Net Income Per Share to income from operations and net income, respectively. We encourage investors and others to review our financial information in its entirety, not to rely on any single financial measure and to view Contribution Profit, Contribution Margin, Adjusted EBITDA, Adjusted EBITDA Margin, Adjusted Net Income, and Adjusted Net Income Per Share in conjunction with their respective related GAAP financial measures.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Contribution Profit and Contribution Margin</w:t>
      </w:r>
    </w:p>
    <w:p>
      <w:pPr>
        <w:spacing w:after="0" w:line="23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a reconciliation of income from operations to Contribution Profit and Contribution Margin. We define Operating Margin as our income from operations divided by revenue from fees,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tcPr>
          <w:p>
            <w:pPr>
              <w:spacing w:after="0"/>
              <w:rPr>
                <w:sz w:val="19"/>
                <w:szCs w:val="19"/>
                <w:color w:val="auto"/>
              </w:rPr>
            </w:pPr>
          </w:p>
        </w:tc>
        <w:tc>
          <w:tcPr>
            <w:tcW w:w="31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3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fees, net</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7"/>
              </w:rPr>
              <w:t>116,170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7"/>
              </w:rPr>
              <w:t>313,982</w:t>
            </w:r>
          </w:p>
        </w:tc>
        <w:tc>
          <w:tcPr>
            <w:tcW w:w="0" w:type="dxa"/>
            <w:vAlign w:val="bottom"/>
          </w:tcPr>
          <w:p>
            <w:pPr>
              <w:spacing w:after="0"/>
              <w:rPr>
                <w:sz w:val="1"/>
                <w:szCs w:val="1"/>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4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15,574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34,833</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Operating Margin</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19"/>
        </w:trPr>
        <w:tc>
          <w:tcPr>
            <w:tcW w:w="73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Sales and marketing, net of borrower acquisition costs</w:t>
            </w:r>
            <w:r>
              <w:rPr>
                <w:rFonts w:ascii="Times New Roman" w:cs="Times New Roman" w:eastAsia="Times New Roman" w:hAnsi="Times New Roman"/>
                <w:sz w:val="22"/>
                <w:szCs w:val="22"/>
                <w:color w:val="auto"/>
                <w:vertAlign w:val="superscript"/>
              </w:rPr>
              <w:t>(1)</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3,254</w:t>
            </w:r>
          </w:p>
        </w:tc>
        <w:tc>
          <w:tcPr>
            <w:tcW w:w="100" w:type="dxa"/>
            <w:vAlign w:val="bottom"/>
          </w:tcPr>
          <w:p>
            <w:pPr>
              <w:spacing w:after="0"/>
              <w:rPr>
                <w:sz w:val="19"/>
                <w:szCs w:val="19"/>
                <w:color w:val="auto"/>
              </w:rPr>
            </w:pP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9,635</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Customer operations, net of borrower verification and servicing costs</w:t>
            </w:r>
            <w:r>
              <w:rPr>
                <w:rFonts w:ascii="Times New Roman" w:cs="Times New Roman" w:eastAsia="Times New Roman" w:hAnsi="Times New Roman"/>
                <w:sz w:val="22"/>
                <w:szCs w:val="22"/>
                <w:color w:val="auto"/>
                <w:vertAlign w:val="superscript"/>
              </w:rPr>
              <w:t>(2)</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3,126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6,080</w:t>
            </w:r>
          </w:p>
        </w:tc>
        <w:tc>
          <w:tcPr>
            <w:tcW w:w="0" w:type="dxa"/>
            <w:vAlign w:val="bottom"/>
          </w:tcPr>
          <w:p>
            <w:pPr>
              <w:spacing w:after="0"/>
              <w:rPr>
                <w:sz w:val="1"/>
                <w:szCs w:val="1"/>
                <w:color w:val="auto"/>
              </w:rPr>
            </w:pPr>
          </w:p>
        </w:tc>
      </w:tr>
      <w:tr>
        <w:trPr>
          <w:trHeight w:val="21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114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18,988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49,991</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20,019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43,456</w:t>
            </w:r>
          </w:p>
        </w:tc>
        <w:tc>
          <w:tcPr>
            <w:tcW w:w="0" w:type="dxa"/>
            <w:vAlign w:val="bottom"/>
          </w:tcPr>
          <w:p>
            <w:pPr>
              <w:spacing w:after="0"/>
              <w:rPr>
                <w:sz w:val="1"/>
                <w:szCs w:val="1"/>
                <w:color w:val="auto"/>
              </w:rPr>
            </w:pPr>
          </w:p>
        </w:tc>
      </w:tr>
      <w:tr>
        <w:trPr>
          <w:trHeight w:val="21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 and fair value adjustments, net</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3,846</w:t>
            </w:r>
          </w:p>
        </w:tc>
        <w:tc>
          <w:tcPr>
            <w:tcW w:w="0" w:type="dxa"/>
            <w:vAlign w:val="bottom"/>
          </w:tcPr>
          <w:p>
            <w:pPr>
              <w:spacing w:after="0"/>
              <w:rPr>
                <w:sz w:val="1"/>
                <w:szCs w:val="1"/>
                <w:color w:val="auto"/>
              </w:rPr>
            </w:pPr>
          </w:p>
        </w:tc>
      </w:tr>
      <w:tr>
        <w:trPr>
          <w:trHeight w:val="237"/>
        </w:trPr>
        <w:tc>
          <w:tcPr>
            <w:tcW w:w="7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Contribution Profit</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55,786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7"/>
              </w:rPr>
              <w:t>147,841</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i w:val="1"/>
                <w:iCs w:val="1"/>
                <w:color w:val="auto"/>
              </w:rPr>
              <w:t>Contribution Margin</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0" w:type="dxa"/>
            <w:vAlign w:val="bottom"/>
          </w:tcPr>
          <w:p>
            <w:pPr>
              <w:spacing w:after="0"/>
              <w:rPr>
                <w:sz w:val="1"/>
                <w:szCs w:val="1"/>
                <w:color w:val="auto"/>
              </w:rPr>
            </w:pPr>
          </w:p>
        </w:tc>
      </w:tr>
      <w:tr>
        <w:trPr>
          <w:trHeight w:val="286"/>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_________</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60" w:hanging="457"/>
        <w:spacing w:after="0" w:line="241" w:lineRule="auto"/>
        <w:tabs>
          <w:tab w:leader="none" w:pos="45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$46.1 million and $123.8 million for the three months ended March 31, 2021 and 2022,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Times New Roman" w:cs="Times New Roman" w:eastAsia="Times New Roman" w:hAnsi="Times New Roman"/>
          <w:sz w:val="14"/>
          <w:szCs w:val="14"/>
          <w:color w:val="auto"/>
        </w:rPr>
      </w:pPr>
    </w:p>
    <w:p>
      <w:pPr>
        <w:jc w:val="both"/>
        <w:ind w:left="460" w:hanging="457"/>
        <w:spacing w:after="0" w:line="254" w:lineRule="auto"/>
        <w:tabs>
          <w:tab w:leader="none" w:pos="45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were $14.3 million and $42.3 million for the three months ended March 31, 2021 and 2022,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Adjusted EBITDA Margin</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believe that Adjusted EBITDA and Adjusted EBITDA Margin are useful for investors to use in comparing our financial performance with the performance of other companies for the following reasons:</w:t>
      </w:r>
    </w:p>
    <w:p>
      <w:pPr>
        <w:spacing w:after="0" w:line="48" w:lineRule="exact"/>
        <w:rPr>
          <w:sz w:val="20"/>
          <w:szCs w:val="20"/>
          <w:color w:val="auto"/>
        </w:rPr>
      </w:pPr>
    </w:p>
    <w:p>
      <w:pPr>
        <w:jc w:val="both"/>
        <w:ind w:left="940" w:hanging="318"/>
        <w:spacing w:after="0" w:line="262"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5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eliminate the impact of certain items such as stock-based compensation expense and certain payroll tax expense, warrant expense and acquisition-related costs that may obscure trends in the underlying performance of our business; and</w:t>
      </w:r>
    </w:p>
    <w:p>
      <w:pPr>
        <w:spacing w:after="0" w:line="35"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190"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48" w:lineRule="exact"/>
        <w:rPr>
          <w:sz w:val="20"/>
          <w:szCs w:val="20"/>
          <w:color w:val="auto"/>
        </w:rPr>
      </w:pPr>
    </w:p>
    <w:p>
      <w:pPr>
        <w:ind w:left="940" w:hanging="318"/>
        <w:spacing w:after="0" w:line="271"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48" w:lineRule="exact"/>
        <w:rPr>
          <w:rFonts w:ascii="Times New Roman" w:cs="Times New Roman" w:eastAsia="Times New Roman" w:hAnsi="Times New Roman"/>
          <w:sz w:val="17"/>
          <w:szCs w:val="17"/>
          <w:color w:val="auto"/>
        </w:rPr>
      </w:pPr>
    </w:p>
    <w:p>
      <w:pPr>
        <w:jc w:val="both"/>
        <w:ind w:left="940" w:hanging="318"/>
        <w:spacing w:after="0" w:line="254"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which not correlate to the operation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91" w:lineRule="exact"/>
        <w:rPr>
          <w:sz w:val="20"/>
          <w:szCs w:val="20"/>
          <w:color w:val="auto"/>
        </w:rPr>
      </w:pPr>
    </w:p>
    <w:p>
      <w:pPr>
        <w:jc w:val="both"/>
        <w:ind w:left="940" w:hanging="318"/>
        <w:spacing w:after="0" w:line="262"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55" w:lineRule="exact"/>
        <w:rPr>
          <w:rFonts w:ascii="Times New Roman" w:cs="Times New Roman" w:eastAsia="Times New Roman" w:hAnsi="Times New Roman"/>
          <w:sz w:val="17"/>
          <w:szCs w:val="17"/>
          <w:color w:val="auto"/>
        </w:rPr>
      </w:pPr>
    </w:p>
    <w:p>
      <w:pPr>
        <w:jc w:val="both"/>
        <w:ind w:left="940" w:hanging="318"/>
        <w:spacing w:after="0" w:line="269"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387" w:lineRule="exact"/>
        <w:rPr>
          <w:sz w:val="20"/>
          <w:szCs w:val="20"/>
          <w:color w:val="auto"/>
        </w:rPr>
      </w:pPr>
    </w:p>
    <w:p>
      <w:pPr>
        <w:jc w:val="both"/>
        <w:ind w:firstLine="541"/>
        <w:spacing w:after="0" w:line="256" w:lineRule="auto"/>
        <w:rPr>
          <w:sz w:val="20"/>
          <w:szCs w:val="20"/>
          <w:color w:val="auto"/>
        </w:rPr>
      </w:pPr>
      <w:r>
        <w:rPr>
          <w:rFonts w:ascii="Times New Roman" w:cs="Times New Roman" w:eastAsia="Times New Roman" w:hAnsi="Times New Roman"/>
          <w:sz w:val="17"/>
          <w:szCs w:val="17"/>
          <w:color w:val="auto"/>
        </w:rPr>
        <w:t>Because of these limitations, Adjusted EBITDA and Adjusted EBITDA Margin should be considered along with other operating and financial performance measures presented in accordance with GAAP. The following table provides a reconciliation of net income and net income margin to Adjusted EBITDA Margin. We define Net Income Margin as net income divided by total revenue.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20" w:type="dxa"/>
            <w:vAlign w:val="bottom"/>
          </w:tcPr>
          <w:p>
            <w:pPr>
              <w:spacing w:after="0"/>
              <w:rPr>
                <w:sz w:val="19"/>
                <w:szCs w:val="19"/>
                <w:color w:val="auto"/>
              </w:rPr>
            </w:pPr>
          </w:p>
        </w:tc>
        <w:tc>
          <w:tcPr>
            <w:tcW w:w="3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780" w:type="dxa"/>
            <w:vAlign w:val="bottom"/>
            <w:tcBorders>
              <w:bottom w:val="single" w:sz="8" w:color="auto"/>
            </w:tcBorders>
          </w:tcPr>
          <w:p>
            <w:pPr>
              <w:spacing w:after="0"/>
              <w:rPr>
                <w:sz w:val="19"/>
                <w:szCs w:val="19"/>
                <w:color w:val="auto"/>
              </w:rPr>
            </w:pPr>
          </w:p>
        </w:tc>
      </w:tr>
      <w:tr>
        <w:trPr>
          <w:trHeight w:val="212"/>
        </w:trPr>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80" w:type="dxa"/>
            <w:vAlign w:val="bottom"/>
            <w:tcBorders>
              <w:bottom w:val="single" w:sz="8" w:color="auto"/>
            </w:tcBorders>
          </w:tcPr>
          <w:p>
            <w:pPr>
              <w:spacing w:after="0"/>
              <w:rPr>
                <w:sz w:val="18"/>
                <w:szCs w:val="18"/>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7"/>
              </w:rPr>
              <w:t>121,345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310,136</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10,102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32,692</w:t>
            </w:r>
          </w:p>
        </w:tc>
      </w:tr>
      <w:tr>
        <w:trPr>
          <w:trHeight w:val="219"/>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Net Income Margin</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to exclude the following:</w:t>
            </w: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9"/>
        </w:trPr>
        <w:tc>
          <w:tcPr>
            <w:tcW w:w="73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Stock-based compensation and certain payroll tax expenses</w:t>
            </w:r>
            <w:r>
              <w:rPr>
                <w:rFonts w:ascii="Times New Roman" w:cs="Times New Roman" w:eastAsia="Times New Roman" w:hAnsi="Times New Roman"/>
                <w:sz w:val="22"/>
                <w:szCs w:val="22"/>
                <w:color w:val="auto"/>
                <w:vertAlign w:val="superscript"/>
              </w:rPr>
              <w:t>(1)</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8,622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25,929</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4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816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2,781</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 on convertible notes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1,169</w:t>
            </w:r>
          </w:p>
        </w:tc>
      </w:tr>
      <w:tr>
        <w:trPr>
          <w:trHeight w:val="219"/>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14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costs</w:t>
            </w: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1,220</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20,999</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62,590</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1"/>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Adjusted EBITDA Margin</w:t>
            </w: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ind w:left="460" w:hanging="457"/>
        <w:spacing w:after="0" w:line="237" w:lineRule="auto"/>
        <w:tabs>
          <w:tab w:leader="none" w:pos="4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amount of employer payroll tax-related expense on employee stock transactions, as the amount is dependent on our stock price and other factors that are beyond our control and do not correlate to the operation of our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 and Adjusted Net Income Per Share</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define Adjusted Net Income as net income exclusive of stock-based compensation expense and certain payroll tax expense and acquisition-related costs. Adjusted Net Income Per Share is calculated by dividing Adjusted Net Income Per Share by the weighted-average common shares outstanding. We believe Adjusted Net Income and Adjusted Net Income Per Share are useful measures for investors in evaluating our ability to generate earnings, more readily compare between past and future periods, and provide comparability of our performance with the performance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12"/>
        </w:trPr>
        <w:tc>
          <w:tcPr>
            <w:tcW w:w="75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32,692</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to exclude the following:</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54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Stock-based compensation and certain payroll tax expenses</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25,929</w:t>
            </w:r>
          </w:p>
        </w:tc>
      </w:tr>
      <w:tr>
        <w:trPr>
          <w:trHeight w:val="219"/>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Acquisition-related costs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58,621</w:t>
            </w:r>
          </w:p>
        </w:tc>
      </w:tr>
      <w:tr>
        <w:trPr>
          <w:trHeight w:val="19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0.39</w:t>
            </w:r>
          </w:p>
        </w:tc>
      </w:tr>
      <w:tr>
        <w:trPr>
          <w:trHeight w:val="219"/>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0.34</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per Share: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r>
      <w:tr>
        <w:trPr>
          <w:trHeight w:val="21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73,629,122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84,230,445</w:t>
            </w:r>
          </w:p>
        </w:tc>
      </w:tr>
      <w:tr>
        <w:trPr>
          <w:trHeight w:val="223"/>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91,449,571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95,457,776</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ind w:left="460" w:hanging="457"/>
        <w:spacing w:after="0" w:line="237" w:lineRule="auto"/>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the amount of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Cash</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Since inception, we have financed our operations, corporate investments, and capital expenditures primarily through the sale of convertible preferred stock, convertible promissory notes, term loans and draws on our revolving credit facilities, and cash generated from operations.</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December 2020, we completed our IPO which resulted in $167.4 million of proceeds, net of underwriting discounts and commissions, and before deducting deferred offering costs of $7.9 million. In April 2021, we completed a follow-on offering, in which 2,300,000 shares of common stock (including the exercise in full of the underwriters option to purchase 300,000 shares) were issued and sold at $120.00 per share. We received net proceeds of $263.9 million after deducting underwriting discounts and commissions of $11.0 million and offering expenses of $1.0 million. In August 2021, we issued $661.3 million aggregate principal amount of 0.25% convertible senior notes due 2026, or the Notes, (including the exercise in full of the initial purchasers’ option of an additional $86.3 million aggregate principal of additional Notes) in a private placement to qualified institutional buyers. The net proceeds from the sale of the Notes were $645.5 million after deducting debt issuance costs.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March 31, 2022, our primary source of liquidity was cash of $757.8 million. Changes in the balance of cash are generally a result of working capital fluctuations or the timing of purchases and sales of loans facilitated through our platform. To finance purchases of certain loans facilitated through our platform, we rely on our warehouse credit facilities through the special-purpose trusts, or the warehouse trusts. We may borrow up to $100.0 million under the ULT Credit Facility to purchase unsecured personal loans and we may borrow up to $100.0 million under the UAWT Credit Facility to purchase secured auto loans. Loans purchased by these trusts are classified as held-for-sale and can be sold to third-party investors or in securitization transactions to generate additional liquidity.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Cash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current and long-term material cash requirements as of March 31, 2022 consist of convertible senior notes, warehouse credit facilities, operating leases, and purchase commitments.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convertible senior notes have a principal balance of $661.3 million and bear interest at a rate of 0.25% per year, payable semiannually in arrears on February 15 and August 15 of each year. The Notes mature on August 15, 2026 unless earlier converted, redeemed, or repurchased in accordance with their terms. See “</w:t>
      </w:r>
      <w:r>
        <w:rPr>
          <w:rFonts w:ascii="Times New Roman" w:cs="Times New Roman" w:eastAsia="Times New Roman" w:hAnsi="Times New Roman"/>
          <w:sz w:val="17"/>
          <w:szCs w:val="17"/>
          <w:i w:val="1"/>
          <w:iCs w:val="1"/>
          <w:color w:val="auto"/>
        </w:rPr>
        <w:t>Note 7. Borrowings</w:t>
      </w:r>
      <w:r>
        <w:rPr>
          <w:rFonts w:ascii="Times New Roman" w:cs="Times New Roman" w:eastAsia="Times New Roman" w:hAnsi="Times New Roman"/>
          <w:sz w:val="17"/>
          <w:szCs w:val="17"/>
          <w:color w:val="auto"/>
        </w:rPr>
        <w:t>” in Part I, Item 1 of this Form 10-Q for further details on our Notes.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warehouse credit facilities, which allow us to borrow up to an aggregate of $200.0 million, mature between 2023 and 2024. As of March 31, 2022, we have drawn an aggregate of $121.6 million on our warehouse credit facilities. See “</w:t>
      </w:r>
      <w:r>
        <w:rPr>
          <w:rFonts w:ascii="Times New Roman" w:cs="Times New Roman" w:eastAsia="Times New Roman" w:hAnsi="Times New Roman"/>
          <w:sz w:val="17"/>
          <w:szCs w:val="17"/>
          <w:i w:val="1"/>
          <w:iCs w:val="1"/>
          <w:color w:val="auto"/>
        </w:rPr>
        <w:t>Note 7. Borrowings</w:t>
      </w:r>
      <w:r>
        <w:rPr>
          <w:rFonts w:ascii="Times New Roman" w:cs="Times New Roman" w:eastAsia="Times New Roman" w:hAnsi="Times New Roman"/>
          <w:sz w:val="17"/>
          <w:szCs w:val="17"/>
          <w:color w:val="auto"/>
        </w:rPr>
        <w:t>” in Part I, Item 1 of this Form 10-Q for further details on our warehouse credit facilities.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lease office facilities under operating lease agreements which expire between 2027 and 2032. Our cash requirements related to these lease agreements are $127.0 million, of which $12.8 million is expected to be paid within the next 12 months. See “</w:t>
      </w:r>
      <w:r>
        <w:rPr>
          <w:rFonts w:ascii="Times New Roman" w:cs="Times New Roman" w:eastAsia="Times New Roman" w:hAnsi="Times New Roman"/>
          <w:sz w:val="17"/>
          <w:szCs w:val="17"/>
          <w:i w:val="1"/>
          <w:iCs w:val="1"/>
          <w:color w:val="auto"/>
        </w:rPr>
        <w:t>Note 9. Leases</w:t>
      </w:r>
      <w:r>
        <w:rPr>
          <w:rFonts w:ascii="Times New Roman" w:cs="Times New Roman" w:eastAsia="Times New Roman" w:hAnsi="Times New Roman"/>
          <w:sz w:val="17"/>
          <w:szCs w:val="17"/>
          <w:color w:val="auto"/>
        </w:rPr>
        <w:t>” in Part I, Item 1 of this Form 10-Q for further details on our operating lease obligations.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committed to purchase loans from certain bank partners at the conclusion of the required holding period, which is generally equal to three business days. As of March 31, 2022, the total loan purchase commitment was $114.2 million. See “</w:t>
      </w:r>
      <w:r>
        <w:rPr>
          <w:rFonts w:ascii="Times New Roman" w:cs="Times New Roman" w:eastAsia="Times New Roman" w:hAnsi="Times New Roman"/>
          <w:sz w:val="17"/>
          <w:szCs w:val="17"/>
          <w:i w:val="1"/>
          <w:iCs w:val="1"/>
          <w:color w:val="auto"/>
        </w:rPr>
        <w:t>Note 10. Commitments and Contingencies</w:t>
      </w:r>
      <w:r>
        <w:rPr>
          <w:rFonts w:ascii="Times New Roman" w:cs="Times New Roman" w:eastAsia="Times New Roman" w:hAnsi="Times New Roman"/>
          <w:sz w:val="17"/>
          <w:szCs w:val="17"/>
          <w:color w:val="auto"/>
        </w:rPr>
        <w:t>” in Part I, Item 1 of this Form 10-Q for further details on our loan purchase obligations.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3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engage in activities that are not reflected on our condensed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When we are the retaining sponsor,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7"/>
          <w:szCs w:val="17"/>
          <w:i w:val="1"/>
          <w:iCs w:val="1"/>
          <w:color w:val="auto"/>
        </w:rPr>
        <w:t>Note 3. Securitizations and Variable Interest Entities</w:t>
      </w:r>
      <w:r>
        <w:rPr>
          <w:rFonts w:ascii="Times New Roman" w:cs="Times New Roman" w:eastAsia="Times New Roman" w:hAnsi="Times New Roman"/>
          <w:sz w:val="17"/>
          <w:szCs w:val="17"/>
          <w:color w:val="auto"/>
        </w:rPr>
        <w:t>” in Part I, Item 1 of this Quarterly Report on Form 10-Q.</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during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3700" w:type="dxa"/>
            <w:vAlign w:val="bottom"/>
            <w:gridSpan w:val="5"/>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5"/>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5"/>
        </w:trPr>
        <w:tc>
          <w:tcPr>
            <w:tcW w:w="7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
        </w:trPr>
        <w:tc>
          <w:tcPr>
            <w:tcW w:w="7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(266,795)</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83,071</w:t>
            </w:r>
          </w:p>
        </w:tc>
      </w:tr>
      <w:tr>
        <w:trPr>
          <w:trHeight w:val="212"/>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increase (decrease) in cash and restricted cash</w:t>
            </w: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24,733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(178,547)</w:t>
            </w:r>
          </w:p>
        </w:tc>
      </w:tr>
      <w:tr>
        <w:trPr>
          <w:trHeight w:val="20"/>
        </w:trPr>
        <w:tc>
          <w:tcPr>
            <w:tcW w:w="7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from Operating Activities</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main sources of cash provided by operating activities are our revenue from fees earned under contracts with bank partners and loan investors and interest income we receive for loans held on our balance sheet.</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main uses of cash in our operating activities include payments to marketing partners, vendor payments, payroll and other personnel-related expenses, payments for facilities, and other general business expenditures.</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Net cash used in operating activities was $266.8 million for the three months ended March 31, 2022, which primarily consisted of a decrease of $337.7 million in net operating assets and liabilities, adjustments for non-cash items of $38.3 million, and net income of $32.7 million. The decrease in net operating assets and liabilities was primarily related to $443.2 million in purchases of loans held-for-sale, partially offset by $71.1 million principal payment and proceeds from the sale of loans classified as held-for-sale, a $32.2 million increase in payable to investors, and a $7.3 million decrease in operating assets, which was predominately driven by an decrease in servicing fees and other receivables.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from Investing Activities</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Net cash provided by investing activities was $5.2 million for the three months ended March 31, 2022 as a result of $9.4 million principal payments received for loans held-for-investment, partially offset by $3.7 million in capitalized software costs and $1.6 million in purchases of property and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from Financing Activities</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Net cash provided by financing activities was $83.1 million for the three months ended March 31, 2022 as a result of $80.0 million proceeds from borrowings, partially offset by a $7.0 million in payments on borrowings.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93"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Our significant accounting policies are described in Part II, Item 7, “</w:t>
      </w:r>
      <w:r>
        <w:rPr>
          <w:rFonts w:ascii="Times New Roman" w:cs="Times New Roman" w:eastAsia="Times New Roman" w:hAnsi="Times New Roman"/>
          <w:sz w:val="17"/>
          <w:szCs w:val="17"/>
          <w:i w:val="1"/>
          <w:iCs w:val="1"/>
          <w:color w:val="auto"/>
        </w:rPr>
        <w:t>Critical Accounting Policies and Estimates</w:t>
      </w:r>
      <w:r>
        <w:rPr>
          <w:rFonts w:ascii="Times New Roman" w:cs="Times New Roman" w:eastAsia="Times New Roman" w:hAnsi="Times New Roman"/>
          <w:sz w:val="17"/>
          <w:szCs w:val="17"/>
          <w:color w:val="auto"/>
        </w:rPr>
        <w:t>” in our Annual Report on Form 10-K for the year ended December 31, 2021. There have been no material changes in the three months ended March 31, 2022 to these policies and estimates since our Quarterly Report on Form 10-Q for the year ended December 31, 2021, except for the estimated fair value of performance-based restricted stock as described in “</w:t>
      </w:r>
      <w:r>
        <w:rPr>
          <w:rFonts w:ascii="Times New Roman" w:cs="Times New Roman" w:eastAsia="Times New Roman" w:hAnsi="Times New Roman"/>
          <w:sz w:val="17"/>
          <w:szCs w:val="17"/>
          <w:i w:val="1"/>
          <w:iCs w:val="1"/>
          <w:color w:val="auto"/>
        </w:rPr>
        <w:t>Note 1. Description of Business and Significant Accounting Policies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Note 9. Stockholders’ Equity</w:t>
      </w:r>
      <w:r>
        <w:rPr>
          <w:rFonts w:ascii="Times New Roman" w:cs="Times New Roman" w:eastAsia="Times New Roman" w:hAnsi="Times New Roman"/>
          <w:sz w:val="17"/>
          <w:szCs w:val="17"/>
          <w:color w:val="auto"/>
        </w:rPr>
        <w:t>” in Part I, Item 1 of this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Note 1. Description of Business and Significant Accounting Policies</w:t>
      </w:r>
      <w:r>
        <w:rPr>
          <w:rFonts w:ascii="Times New Roman" w:cs="Times New Roman" w:eastAsia="Times New Roman" w:hAnsi="Times New Roman"/>
          <w:sz w:val="17"/>
          <w:szCs w:val="17"/>
          <w:color w:val="auto"/>
        </w:rPr>
        <w:t>” in Part I, Item 1 of this Form 10-Q for recently adopted accounting pronouncements and recently issued accounting pronouncements not yet adopted as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investor demand for unsecured personal loans and secured auto loans facilitated through our platform, and availability of funding under our current credit facilities and term loans. Such fluctuations to date have not been significant.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Discount Rate Risk</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Discount rate sensitivity refers to the risk of loss to future earnings, values or future cash flows that may result from changes in market discount rates.</w:t>
      </w:r>
    </w:p>
    <w:p>
      <w:pPr>
        <w:spacing w:after="0" w:line="23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Loans at Fair Value</w:t>
      </w:r>
      <w:r>
        <w:rPr>
          <w:rFonts w:ascii="Times New Roman" w:cs="Times New Roman" w:eastAsia="Times New Roman" w:hAnsi="Times New Roman"/>
          <w:sz w:val="17"/>
          <w:szCs w:val="17"/>
          <w:color w:val="auto"/>
        </w:rPr>
        <w:t>—As of December 31, 2021 and March 31, 2022, we were exposed to market discount rate risk on $252.5 million and $598.0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of loans held on our condensed consolidated balance sheets. The fair value of these loans is estimated using a discounted cash flow methodology, where the discount rate represents an estimate of the required rate of return by market participants. The discount rates for loans facilitated through our platform may change due to changes in expected loan performance or changes in the expected returns of similar financial instruments available in the market. Any gains and losses from discount rate changes are recorded in earnings. A hypothetical 100 basis point and 200 basis point increase in the discount rate would result in a $3.4 million and $6.7 million decrease, respectively, in the fair value of loans held on our condensed consolidated balance sheet as of December 31, 2021 and a $7.5 million and $14.9 million decrease, respectively, as of March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condensed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7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Loans, at Fair Value</w:t>
      </w:r>
      <w:r>
        <w:rPr>
          <w:rFonts w:ascii="Times New Roman" w:cs="Times New Roman" w:eastAsia="Times New Roman" w:hAnsi="Times New Roman"/>
          <w:sz w:val="17"/>
          <w:szCs w:val="17"/>
          <w:color w:val="auto"/>
        </w:rPr>
        <w:t>—As of December 31, 2021 and March 31, 2022, we were exposed to credit risk on $252.5 million and $598.0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loans held on our condensed consolidated balance sheet. These loans bear fixed interest rates and are carried on our condensed consolidated balance sheets at fair value. As of December 31, 2021, a hypothetical 10% and 20% increase in credit risk would result in a $4.0 million and $7.9 million decrease, and as of March 31, 2022, a hypothetical 10% and 20% increase in credit risk would result in a $8.9 million and $17.8 million decrease in the fair value of loans held on the Company’s condensed consolidated balance sheets, respectively.</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2021 and March 31, 2022, we are exposed to credit risk of $1,191.2 million and $1,012.7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and restricted cash in reputable institutions.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38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w:t>
      </w:r>
    </w:p>
    <w:p>
      <w:pPr>
        <w:spacing w:after="0" w:line="19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Warehouse Credit Facilities</w:t>
      </w:r>
      <w:r>
        <w:rPr>
          <w:rFonts w:ascii="Times New Roman" w:cs="Times New Roman" w:eastAsia="Times New Roman" w:hAnsi="Times New Roman"/>
          <w:sz w:val="17"/>
          <w:szCs w:val="17"/>
          <w:color w:val="auto"/>
        </w:rPr>
        <w:t>—As of December 31, 2021 and March 31, 2022, we were exposed to interest rate risk on $48.0 million and $121.6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under our warehouse credit facilities, which bear floating interest rates. Changes in interest rates may impact our cost of borrowing. From time to time, we enter into interest rate hedges in connection with our warehouse credit facilities.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inability or failure to manage market risks could harm our business, financial condition or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Investment Risk</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non-marketable equity securities are subject to a wide variety of market-related risks that could substantially reduce or increase the carrying value of our investments.</w:t>
      </w:r>
    </w:p>
    <w:p>
      <w:pPr>
        <w:spacing w:after="0" w:line="17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income upon recognition of such adjustments or impairments. As of December 31, 2021 and March 31, 2022, the carrying value of our non-marketable equity securities, which do not have readily determinable fair values, totaled $40.0 million and $41.0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Evaluation of Disclosure Controls and Procedures</w:t>
      </w:r>
    </w:p>
    <w:p>
      <w:pPr>
        <w:spacing w:after="0" w:line="24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March 31, 2022,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25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that occurred during the quarter ended March 31, 2022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Limitations on Effectiveness of Controls and Procedures</w:t>
      </w:r>
    </w:p>
    <w:p>
      <w:pPr>
        <w:spacing w:after="0" w:line="24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II. OTHER INFORMATION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211" w:lineRule="exact"/>
        <w:rPr>
          <w:sz w:val="20"/>
          <w:szCs w:val="20"/>
          <w:color w:val="auto"/>
        </w:rPr>
      </w:pPr>
    </w:p>
    <w:p>
      <w:pPr>
        <w:ind w:firstLine="619"/>
        <w:spacing w:after="0" w:line="292" w:lineRule="auto"/>
        <w:rPr>
          <w:sz w:val="20"/>
          <w:szCs w:val="20"/>
          <w:color w:val="auto"/>
        </w:rPr>
      </w:pPr>
      <w:r>
        <w:rPr>
          <w:rFonts w:ascii="Times New Roman" w:cs="Times New Roman" w:eastAsia="Times New Roman" w:hAnsi="Times New Roman"/>
          <w:sz w:val="17"/>
          <w:szCs w:val="17"/>
          <w:color w:val="auto"/>
        </w:rPr>
        <w:t>For a description of our material pending legal proceedings, please see “</w:t>
      </w:r>
      <w:r>
        <w:rPr>
          <w:rFonts w:ascii="Times New Roman" w:cs="Times New Roman" w:eastAsia="Times New Roman" w:hAnsi="Times New Roman"/>
          <w:sz w:val="17"/>
          <w:szCs w:val="17"/>
          <w:i w:val="1"/>
          <w:iCs w:val="1"/>
          <w:color w:val="auto"/>
        </w:rPr>
        <w:t>Note 10. Commitments and Contingencie</w:t>
      </w:r>
      <w:r>
        <w:rPr>
          <w:rFonts w:ascii="Times New Roman" w:cs="Times New Roman" w:eastAsia="Times New Roman" w:hAnsi="Times New Roman"/>
          <w:sz w:val="17"/>
          <w:szCs w:val="17"/>
          <w:color w:val="auto"/>
        </w:rPr>
        <w:t>s” in Part I, Item 1 of this Quarterly Report on Form 10-Q and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RISK FACTORS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material risks that may affect our business, financial condition or results of operations include, but are not limited to, those relating to the following:</w:t>
      </w:r>
    </w:p>
    <w:p>
      <w:pPr>
        <w:spacing w:after="0" w:line="114" w:lineRule="exact"/>
        <w:rPr>
          <w:sz w:val="20"/>
          <w:szCs w:val="20"/>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rapidly growing company with a relatively limited operating history, which may result in increased risks, uncertainties, expenses and difficulties, and makes it difficult to evaluate our future prospects.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growth rate and financial performance in recent periods may not be indicative of future performance and such growth may slow over time.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effectively manage our growth, our business, financial condition and results of operations could be adversely affected.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in the past, and we may not be able to maintain or increase our profitability in the future.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results are likely to fluctuate and as a result may adversely affect the trading price of our common stock.</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be adversely affected by economic conditions and other factors that we cannot control.</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Cross River Bank and one other bank partner account for a substantial portion of the total number of loans facilitated by our platform and our revenue.</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sales and onboarding process of new bank partners could take longer than expected, leading to fluctuations or variability in expected revenues and results of operations.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COVID-19 pandemic has harmed our business, financial condition and results of operations and the duration and extent to which it will impact our future results of operations and overall financial performance remains uncertain.</w:t>
      </w:r>
    </w:p>
    <w:p>
      <w:pPr>
        <w:spacing w:after="0" w:line="48" w:lineRule="exact"/>
        <w:rPr>
          <w:rFonts w:ascii="Times New Roman" w:cs="Times New Roman" w:eastAsia="Times New Roman" w:hAnsi="Times New Roman"/>
          <w:sz w:val="17"/>
          <w:szCs w:val="17"/>
          <w:b w:val="1"/>
          <w:bCs w:val="1"/>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620" w:hanging="307"/>
        <w:spacing w:after="0" w:line="270"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evaluate and potentially consummate acquisitions or investments in complementary businesses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maintain a diverse and robust loan funding program, our growth prospects, business, financial condition and results of operations could be adversely affected.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1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are a rapidly growing company with a relatively limited operating history, which may result in increased risks, uncertainties, expenses and difficulties, and makes it difficult to evaluate our future prospects.</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191"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the effectiveness and predictiveness of our AI models;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increase the volume of loans facilitated by our AI lending platform;</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new and maintain existing bank partnerships;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fund a sufficient quantity of our borrower loan demand with low cost bank funding to help keep interest rates offered to borrowers competitive;</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build our brand and protect our reputation from negative publicity;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effectiveness of our marketing strategies, including our direct consumer marketing initiatives;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expand the number of potential borrowers;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adjust our proprietary AI models, products and services in a timely manner in response to changing macroeconomic conditions and fluctuations in the credit market;</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and successfully adapt to complex and evolving regulatory environments;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against increasingly sophisticated fraudulent borrowing and online theft;</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compete with companies that are currently in, or may in the future enter, the business of providing online lending services to financial institutions or consumer financial services to borrowers;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new markets and introduce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secure and maintain the confidentiality of the information received, accessed, stored, provided and used across our systems;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obtain and maintain corporate funding and liquidity to support continued growth and for general corporate purposes;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realize the anticipated benefits of our acquisitions of or investments in complementary businesses and technologies;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integrate and retain qualified employees;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manage and expand the capabilities of our operations teams, outsourcing relationships and other business operations.</w:t>
      </w:r>
    </w:p>
    <w:p>
      <w:pPr>
        <w:spacing w:after="0" w:line="23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If we are not able to timely and effectively address these risks and difficulties as well as those described elsewhere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our business and results of operations may be harmed.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revenue growth rate and financial performance in recent years may not be indicative of future performance and such growth may slow over time.</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have grown rapidly over the last several years, and our recent revenue growth rate and financial performance may not be indicative of our future performance. In the three months ended March 31, 2021 and 2022, our revenue was $121.3 million, $310.1 million, respectively, representing a period-over-period growth rate of 156%. Our revenue for any previous quarterly or annual period should not be relied upon as any indication of our revenue or 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71% during the three months ended March 31, 2021 and increased to 74% during the three months ended March 31, 2022. We expect the Percentage of Loans Fully Automated to level off and remain relatively stable in the long term; however, the expansion of our loan offerings beyond unsecured personal loans, including auto loans, may cause fluctuations of such percentage from period to period depending on the loan offering mix. As a result of these factors, our revenue growth rates may slow, and our financial performance may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fail to effectively manage our growth, our business, financial condition and results of operations could be adversely affected.</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Over the last several years, we have experienced rapid growth in our business and the Transaction Volume, Number of Loans on our AI lending platform, and we expect to continue to experience growth in the future. The Transaction Volume, Number of Loans on our platform increased from 169,750 in the three months ended March 31, 2021 to 465,537 in the three months ended March 31, 2022, representing a compound annual growth rate of 174%.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These challenges may be heightened as we transition to a Digital First workforce.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have incurred net losses in the past, and we may not be able to maintain or increase our profitability in the future.</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For the three months ended March 31, 2021 and 2022, we experienced net income of $10.1 million and $32.7 million, respectively.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quarterly results are likely to fluctuate and as a result may adversely affect the trading price of our common stock.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quarterly results of operations, including the levels of our revenue, net income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68"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improve the effectiveness and predictiveness of our AI models;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bank partners and investors of our loan funding programs;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relationships with existing bank partners and investors of our loan funding programs;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increase loan volumes, and improve loan mix and the channels through which the loans, bank partners and loan funding are sourced;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effective relationships with loan aggregators from which prospective borrowers access our website;</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including economic slowdowns, recessions, inflation, and tightening of credit markets, including due to the ongoing economic impact of the COVID-19 pandemic or the Russia-Ukraine conflict;</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improvements to our AI models that negatively impact transaction volume, such as lower approval rates;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and prevent fraudulent activity and the impact of fraud prevention measures;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products and services;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direct marketing and other marketing channels;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cost of borrowing money and access to loan funding sources;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extent of loans facilitated on our platform that are subject to loan modifications and/or temporary assistance due to disasters or emergencies;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extent of prepayments of loans facilitated on our platform;</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fair value of assets and liabilities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outages or actual or perceived security breaches;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involvement in litigation or regulatory enforcement efforts (or the threat thereof) or those that impact our industry generally;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the onboarding process related to acquisitions of new bank partners;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that impact our business; and</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competitive dynamics of our industry, including consolidation among competitors or the development of competitive products by larger well-funded incumbents.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our growth and recent government stimulus programs provided to individuals in response to the COVID-19 pandemic have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20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harm our ability to maintain a diverse and robust loan funding program and could adversely affect our business, financial condition and results of operations.</w:t>
      </w:r>
    </w:p>
    <w:p>
      <w:pPr>
        <w:spacing w:after="0" w:line="2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Additionally, in the third quarter of 2021, we made changes to our AI models in response to an increase in fraudulent activity on our platform. These changes, while effective at preventing fraudulent loans from being transacted, have resulted, and may in the future result in, a decrease in our Conversion Rate.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may be adversely affected by economic conditions and other factors that we cannot control.</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but are not limited to, interest rates, unemployment levels, inflation, conditions in the housing market, immigration policies, gas prices, energy costs, government shutdowns, trade wars and delays in tax refunds, as well as events such as natural disasters, acts of war (including the recent Russia-Ukraine conflict), terrorism, catastrophes and pandemics.</w:t>
      </w:r>
    </w:p>
    <w:p>
      <w:pPr>
        <w:spacing w:after="0" w:line="19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For example, in response to the initial outbreak of the COVID-19 pandemic, bank partners tightened their credit requirements or paused originations, and investors in our loan funding programs temporarily suspended making investments in Upstart-powered loans.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 Additionally, increased interest rates may adversely impact the spending levels of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 Further, the federal government has discontinued most stimulus measures taken in response to the COVID-19 pandemic, which has led to, and may continue to lead to, increased delinquency and default rates of loans facilitated by our platform.</w:t>
      </w:r>
    </w:p>
    <w:p>
      <w:pPr>
        <w:spacing w:after="0" w:line="20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Many new consumers on the Upstart platform have limited or no credit history. Accordingly, such borrowers have historically been, and may in the future become, disproportionately affected by adverse macroeconomic conditions, such as the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foreclosures that result from economic downturns, may harm our ability to maintain a robust loan funding program, which would adversely affect our business, financial condition and results of operations.</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For example, the onset of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return to or remain at pre-pandemic levels in the near term. An increase in the unemployment rate or other adverse economic effects caused by the COVID-19 pandemic could increase the delinquency rate of borrowers of Upstart-powered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192"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Furthermore, the COVID-19 pandemic caused some borrowers on our platform to request a temporary extension or modification of the payment schedules of their loans under the temporary relief or loan modification programs, or hardship programs, offered by our bank partners and investors in our loan funding programs. In the future, our bank partners and investors may offer additional hardship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and current macroeconomic conditions,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For example, in response to the COVID-19 pandemic, the federal government quickly implemented stimulus measures. The subsequent discontinuation of those stimulus measures has increased, and may continue to increase, the delinquency and default rate of borrowers of Upstart-powered loans. In addition, the fair value of the loans on our balance sheet may decline in down-cycle economic conditions. Any of these factors could adversely affect our business, financial condition and results of operations.</w:t>
      </w:r>
    </w:p>
    <w:p>
      <w:pPr>
        <w:spacing w:after="0" w:line="2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three months ended March 31, 2022, 101% of our revenue was generated from platform, referral and servicing fees that we receive from our bank partners. If any of our bank partners were to suspend, limit or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have entered into separate agreements with each of our bank partners. Our agreements with our bank partners are nonexclusive, generally have 12-month terms that automatically renew, subject to certain early termination provisions, and may contain minimum fee amounts.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 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20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our bank partners may retain loans for their own customer base and balance sheet. In general, banks can fund loans at lower rates due to the lower cost of funds available to them from their deposit base than is otherwise available in the broader institutional investment markets. Accordingly, loans retained by the originating bank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195"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Cross River Bank and one other bank partner account for a substantial portion of the total number of loans facilitated by our platform and our revenue.</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Cross River Bank, or CRB, a New Jersey-chartered community bank, originates a substantial majority of the loans on our platform. In the three months ended March 31, 2021 and 2022, CRB originated 56% and 52%, respectively, of the Transaction Volume, Number of Loans. CRB also accounts for a large portion of our revenues. In the three months ended March 31, 2021 and 2022, fees received from CRB accounted for 60% and 46%,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judgment by a governmental entity, a material adverse effect, or a change of control whereby such party involved in such change of control provides 90 days’ notice to the other and payment of a termination fee of $450,000.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the three months ended March 31, 2021 and 2022, one of our other bank partners originated 34% and 38% of the Transaction Volume, Number of Loans, respectively. In the three months ended March 31, 2021 and 2022, the fees received from this bank partner accounted for 25% and 31% of our total revenue, respectively.</w:t>
      </w:r>
    </w:p>
    <w:p>
      <w:pPr>
        <w:spacing w:after="0" w:line="18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b w:val="1"/>
          <w:bCs w:val="1"/>
          <w:color w:val="auto"/>
        </w:rPr>
        <w:t>The sales and onboarding process of new bank partners could take longer than expected, leading to fluctuations or variability in expected revenues and results of operations.</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sales and onboarding process with new bank partners can be long and generally takes approximately three to 12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COVID-19 pandemic has harmed, and could continue to harm, our business, financial condition and results of operations and the duration and extent to which it will impact our future results of operations overall financial performance remains uncertain.</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The global macroeconomic effects of the COVID-19 pandemic and related impacts on our business may persist for an indefinite period. In particular, the impact of the COVID-19 pandemic on the finances of borrowers on our platform has been profound, as many have been, and despite widespread vaccination efforts in the United States may continue to be, impacted by unemployment, reduced earnings, inflation and/or elevated economic disruption and insecurity. For example, the Omicron variants of COVID-19, which appear to be the most transmissible variants to date, have spread in the United States. The impact of the Omicron variants, or future variants, cannot be predicted at this time, and could depend on numerous factors, including vaccination rates among the population, the effectiveness of COVID-19 vaccines against such variant and the response by governmental bodies and regulators.</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continuing crisis and the magnitude and duration of the resulting fluctuations in business activity cannot currently be estimated with any degree of certainty and has had several effects on our business and results of operations, including, among other things:</w:t>
      </w:r>
    </w:p>
    <w:p>
      <w:pPr>
        <w:spacing w:after="0" w:line="177"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temporary decreases in origination volumes on our platform;</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increased losses for new and existing Upstart-powered loans;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temporary reduction in the availability of loan funding and liquidity from institutional investors and the capital markets;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sales operations and marketing efforts, and a reduction in the effectiveness of such efforts in some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continue to monitor the ongoing impact of the COVID-19 pandemic to assess possible implications to our business and to take appropriate actions in an effort to mitigate the adverse consequences of the COVID-19 pandemic. However, there can be no assurances that our initiatives we take will be sufficient or successful.</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also took precautionary measures intended to reduce the risk of the virus spreading to our employees, bank partners, vendors, and the communities in which we operate, including temporarily closing our offices and virtualizing, postponing, or canceling partner bank, employee, or industry events. Furthermore, as a result of the COVID-19 pandemic, we required all employees who were able to do so to work remotely through the end of 2021 and have since continued to allow most employees the flexibility to work remotely going forward under our Digital First work model. It is possible that widespread remote work arrangements may have a negative impact on our business. See the risk factor titled “—We have a limited history of operating with a Digital First workforce and the long-term impact on our business, financial condition and results of operations is uncertain.”</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Further, in response to the market conditions caused by the COVID-19 pandemic, we made certain operational changes, including temporary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19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extent to which the COVID-19 pandemic continues to impact our business and results of operations will also depend on future developments that are highly uncertain and cannot be predicted, including the emergence of new COVID-19 variants, future spikes of COVID-19 infections resulting in additional preventive measures to contain or mitigate the spread of the virus, the impact on businesses and financial and capital markets, the extent and effectiveness of containment actions, the administration and efficacy of vaccination programs with respect to the prevalent COVID-19 variants or variant strains that will emerge in the future and the impact of further shelter-in-place or other government restrictions that may be imposed. For example, the termination of government stimulus measures reduced the ability of some individual borrowers to remain current on their obligations which we believe led to increased delinquencies, defaults, customer bankruptcies and charge-offs and decreasing recoveries for loans facilitated through the Upstart platform. We currently do not expect this to lead to a meaningful adverse effect on our business, but a continued rise in default rates, delinquencies, customer bankruptcies or charge-offs could lead to lower demand by our bank partners and institutional investors to fund loans facilitated by our platform, which would have an adverse effect on our business.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Since we launched our AI lending platform, we have been proactively working with the federal government and regulatory bodies to ensure that our AI lending platform and other services are in compliance with applicable laws and regulations. For example, after significant collaboration with the Consumer Financial Protection Bureau, or CFPB, the CFPB issued Upstart the first no-action letter in 2017 and, upon its expiration, we received a second no-action letter regarding the use of our Al model to underwrite and price unsecured closed-end loans. The current no-action letter expires on November 30, 2023, unless terminated by the CFPB earlier for one of the bases provided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by the no-action letter, and we can provide no assurance that the CFPB will continue to permit us to operate under its current no-action letter policies beyond that date, or will not change its position regarding supervisory or enforcement action against us in the future. Further, this no-action letter does not extend to credit products offered on Upstart’s platform other than unsecured closed-end loans.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20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the Equal Credit Opportunity Act, or ECOA. Further, the CFPB Director indicated in remarks in October 2021 that safeguarding against algorithmic bias is a priority for the CFPB under the new leadership. 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While we expanded the type of loan products offered on our platform to include auto loans in 2020, made significant investments in Upstart Auto Retail in 2021 and continue to invest in developing new loan products, the vast majority of loan originations currently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9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Further, because such personal loans are unsecured, there is a risk that borrowers will not prioritize repayment of such loans, particularly in any economic downcycle. To the extent borrowers have or incur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foregoing could lead to higher default rates and decreased demand by our bank partners and institutional investors to fund loans facilitated by our platform, which would adversely affect our business, financial condition and results of operations.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2021, we continued to work on our auto loan product and made significant investments in Upstart Auto Retail. We are continuing to invest in developing new loan products and service offerings, which may include small business loans, small dollar loans, mortgages and beyond.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1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reputation and brand are important to our success, and if we are unable to continue developing our reputation and brand, our ability to retain existing and attract new bank partners, our ability to attract borrowers to our platform and our ability to maintain and improve our relationship with regulators of our industry could be adversely affected.</w:t>
      </w:r>
    </w:p>
    <w:p>
      <w:pPr>
        <w:spacing w:after="0" w:line="19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 including the quality and reliability of our AI lending platform; the accuracy of our AI models; perceptions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regarding the application of artificial intelligence to consumer lending specifically;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19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high-rate,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21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Artificial intelligence and related technologies are subject to public debate and heightened regulatory scrutiny. For example, the CFPB Director indicated in remarks in October 2021 that safeguarding against algorithmic bias is a priority for the CFPB under the new leadership. Any negative publicity or negative public perception of artificial intelligence could 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entered into an agreement with the NAACP Legal Defense and Education Fund, or the LDF, and the Student Borrower Protection Center, or the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also prepares and makes public periodic reports that summarize any general findings, recommendations and best practices, as well as any aspects of our AI model that raise particular fair lending concerns or implicate novel insights on educational equity that serve the public interest. While we have input on these reports, and the agreement provides that the third-party firm and the parties to the agreement will collaborate to reach agreement on any recommendations, we could become involved in disagreements with the third-party firm, the LDF or the SBPC regarding the information we must provide,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raise questions about the use of AI or otherwise be viewed negatively for any reason, or if the third-party firm terminates its agreement with us and/or the agreement with the LDF and/or the SBPC is terminated for any reason, our brand and reputation and the overall market acceptance of, and trust in, our AI lending platform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20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Harm to our reputation can also arise from many other sources, including failure by us or our bank partners to meet minimum standards of service and quality,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193"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b w:val="1"/>
          <w:bCs w:val="1"/>
          <w:color w:val="auto"/>
        </w:rPr>
        <w:t>Misconduct and errors by our employees, former employees, vendors, or service providers could harm our reputation and subject us to significant legal liability.</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operate in an industry in which integrity and the confidence of our borrowers and bank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If any of our employees, vendors or service providers engage in illegal, improper, or suspicious activity or other misconduct, we could suffer serious harm to our reputation, financial condition, relationships with bank partners and borrowers, and our ability to attract new bank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bank partners, reputational damage, regulatory intervention, and financial harm, which could negatively impact our business, results of operations, financial condition, and future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compete effectively in our target markets, our business, results of operations and financial condition could be harmed.</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19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1"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7"/>
          <w:szCs w:val="17"/>
          <w:b w:val="1"/>
          <w:bCs w:val="1"/>
          <w:color w:val="auto"/>
        </w:rPr>
        <w:t>Our business is heavily concentrated in U.S. consumer credit, and therefore our results are more susceptible to fluctuations in that market than a more diversified company.</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unable to manage the risks associated with fraudulent activity, our brand and reputation, business, financial condition and results of operations could be adversely affected.</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For example, in the third quarter of 2021, we experienced a temporary increase in fraudulent activity.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success significantly depends on the continued service of our senior management team, including Dave Girouard, our Co-Founder and Chief Executive Officer, and Paul Gu, our Co-Founder and SVP of Product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Science, and other highly skilled personnel. Our success also depends on our ability to identify, hire, develop, motivate and retain highly qualified personnel for all areas of our organization.</w:t>
      </w:r>
    </w:p>
    <w:p>
      <w:pPr>
        <w:spacing w:after="0" w:line="17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Competition for highly skilled personnel, including engineering and data analytics personnel, is extremely intense,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may adversely affect our ability to attract or retain highly skilled technical, financial and marketing personnel.</w:t>
      </w:r>
    </w:p>
    <w:p>
      <w:pPr>
        <w:spacing w:after="0" w:line="20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Security breaches of borrowers’ confidential information that we store may harm our reputation, adversely affect our results of operations and expose us to liability.</w:t>
      </w:r>
    </w:p>
    <w:p>
      <w:pPr>
        <w:spacing w:after="0" w:line="17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While we continuously refine our security controls to address the evolving threat landscape,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Digital First working environment could increase the risks of security breaches and incidents. Significant disruptions of our, our bank partners and third-party vendors’ and/or other business partners’ information technology systems or other security incidents could adversely affect our business operations and result in the loss, misappropriation, or unauthorized access, use or disclosure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the prevention of access to, sensitive information, which could result in financial, legal, regulatory, business and reputational harm to us.</w:t>
      </w:r>
    </w:p>
    <w:p>
      <w:pPr>
        <w:spacing w:after="0" w:line="24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9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We are not aware of any information being compromised as a result of this error. We cannot provide any assurance that similar vulnerabilities will not arise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future as we continue to expand the features and functionalities of our platform and introduce new loan products on our platform, and we expect to continue investing substantially to protect against security vulnerabilities and incidents.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unable to manage the risks related to our loan servicing and collections obligations, our business, financial condition and results of operations could be adversely affected.</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20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loan servicing is a highly manual process and an intensely regulated activity. Errors in our servicing activities, or failures to comply with our servicing obligations, could affect our internal and external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reporting of the loans that we service, adversely affect our business and reputation and expose us to liability to borrowers, bank partners or investors in our loan funding programs. In addition, the laws and regulations governing these activities are subject to change. For example, at points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primarily rely on a small number of third party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19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68"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focus from operating our business to addressing acquisition integration challenges;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of our financial resources for acquisitions or investments that may fail to realize the anticipated benefits;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the acquired technologies, products or businesses to achieve expected levels of revenue, profitability, productivity or other benefits;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coordination of technology, product development and sales and marketing functions and integration of administrative systems;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transition of the acquired company’s borrowers to our systems;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employees from the acquired company;</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risks, including maintaining good standing with existing regulatory bodies or receiving any necessary approvals, as well as being subject to new regulators with oversight over an acquired business;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financing;</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cultural challenges associated with integrating employees from the acquired company into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2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or improve controls, procedures and policies at a business that prior to the acquisition may have lacked effective controls, procedures and policies;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write-offs of loans or intangibles or other assets acquired in such transactions that may have an adverse effect on our results of operations in a given period;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 of contractual obligations that contain terms that are not beneficial to us, require us to license or waive intellectual property or increase our risk for liability;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claims or other liabilities in connection with the acquired company.</w:t>
      </w:r>
    </w:p>
    <w:p>
      <w:pPr>
        <w:spacing w:after="0" w:line="2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Borrowers may prepay a loan at any time without penalty, which could reduce our servicing fees and deter our bank partners and investors from investing in loans facilitated by our platform.</w:t>
      </w:r>
    </w:p>
    <w:p>
      <w:pPr>
        <w:spacing w:after="0" w:line="19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marketing efforts and brand promotion activities may not be effective.</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bank-branded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Unfavorable outcomes in legal proceedings may harm our business and results of operations.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20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have a limited history of operating with a Digital First workforce, and the long-term impact on our business, financial condition and results of operations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95"/>
        <w:spacing w:after="0" w:line="261" w:lineRule="auto"/>
        <w:rPr>
          <w:sz w:val="20"/>
          <w:szCs w:val="20"/>
          <w:color w:val="auto"/>
        </w:rPr>
      </w:pPr>
      <w:r>
        <w:rPr>
          <w:rFonts w:ascii="Times New Roman" w:cs="Times New Roman" w:eastAsia="Times New Roman" w:hAnsi="Times New Roman"/>
          <w:sz w:val="17"/>
          <w:szCs w:val="17"/>
          <w:color w:val="auto"/>
        </w:rPr>
        <w:t>In June 2021, we announced a new Digital First work model pursuant to which remote work with less time in the office will become the primary experience for most of our employees, and we expect that our workforce will continue to become more distributed over time. However, we have a limited history of operating with a Digital First workforce and, although we anticipate that this shift will have a long-term positive impact on our business, financial condition and results of operations, the impact remains uncertain. There is no guarantee that we will realize any anticipated benefits to our business from this model, including cost savings, operational efficiencies, or productivity.</w:t>
      </w:r>
    </w:p>
    <w:p>
      <w:pPr>
        <w:spacing w:after="0" w:line="20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shift to a Digital First model could have a negative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 our understanding of applicable legal and regulatory requirements related to a remote workforce, as well as the latest guidance from regulatory authorities in connection with the COVID-19 pandemic,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is subject to the risks of natural disasters and other catastrophic events, and to interruption by man-made problems.</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had a significant impact on the global economy and consumer confidence. In the event that another COVID-19 resurgence occurs, it could adversely impact the economy and negatively impact consumer confidence, and could negatively impact our operations and our platform, which could seriously harm our business. Employees may have less capacity to work due to increased personal obligations (such as childcare, eldercare, or caring for family members who become sick), may become sick themselves and be unable to work, or may be otherwise negatively affected, mentally or physically, by the COVID-19 pandemic and prolonged social distancing. If a natural disaster, power outage, connectivity issue, or other event occurred that impacted our employees’ ability to work remotely, it may be difficult or, in certain cases, impossible, for us to continue our business for a substantial period of time. Further, one of our headquarters is located in the San Francisco Bay Area, a region known for seismic activity and wildfires, and our other headquarters is located in Columbus, Ohio, a region subject to blizzards.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acts of war and other armed conflicts, disruptions in global trade, travel restrictions and quarantines, terrorism and other civil, political and geo-political unrest, such as the ongoing Russia-Ukraine conflict,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sufficient financial reporting and accounting personnel with the technical expertise to appropriately account for certain transactions including loan servicing and securitizations. Between 2019 and 2021,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concluded that the previously-identified material weakness in our internal controls was remediated as of December 31, 2019.</w:t>
      </w:r>
    </w:p>
    <w:p>
      <w:pPr>
        <w:spacing w:after="0" w:line="199"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39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 AND PLATFORM DEVELOPMENT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 may be difficult and costly to protect our intellectual property rights, and we may not be able to ensure their protection.</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event of a system outage or other event resulting in data loss or corruption, our ability to process loan applications, service loans or otherwise facilitate loans on our platform would be adversely affected. We also rely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platform and internal systems rely on software that is highly technical, and if our software contains undetected errors, our business could be adversely affected.</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present or properly display regulatory disclosures to applicants for an extended period of time,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0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Some aspects of our business processes include open source software, and any failure to comply with the terms of one or more of these open source licenses could negatively affect our business.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Some open source licenses contain requirements that we make source code available at no cost for modifications or derivative works we create based upon the type of open source software we use.</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 significant number of consumers that apply for a loan on Upstart.com learn about and access Upstart.com through the website of a loan aggregator, typically with a hyperlink from such loan aggregator’s website to a landing page on our website. For example, a significant amount of our loan originations was derived from traffic from one of our partners,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Credit Karma has been directing more customer traffic to a program that hosts and aggregates the credit models of other loan providers directly on its platform for the purpose of giving credit offers. If traffic from Credit Karma decreases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require loan aggregators to make certain disclosures in connection with our bank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platform or increase the number of Upstart-powered loans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Failure by our third-party vendors or our failure to comply with legal or regulatory requirements or other contractual requirements could have an adverse effect on our business.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9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CFPB and other regulators have also issued regulatory guidance that has focused on the need for financial institutions to perform increased due diligence and ongoing monitoring of third-party vendor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0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0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21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Additionally, 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It is possible that other states may follow suit, instituting similar statutory “true lender” tests, which may impact the risk of true lender litigation in certain jurisdictions, as well as the tests applied by courts and regulators in determining the true lender. While such provisions provide additional clarity with respect to jurisdictional requirements, they may also result in increased usury and licensing risk. For example, Hawaii has broadened its oversight of installment lenders, and other states may take different paths to promulgate similar “true lender” restrictions, and if not through a legislative path, impacted parties may have little to no advance notice of new restrictions and compliance obligations.</w:t>
      </w:r>
    </w:p>
    <w:p>
      <w:pPr>
        <w:spacing w:after="0" w:line="20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19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true lender issue.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 This case has since been remanded to the Superior Court of the District of Columbia. Additionally, while this case has since been settled, in April 2021, the Washington DC Attorney General filed a similar complaint against online lender Opportunity Financial, LLC, alleging that it rather than a bank originated these loans and the loans were therefore in violation of Washington, DC usury laws. Also in April 2021, the Maryland Office of the Commissioner of Financial Regulation also alleged in the context of a civil suit that a state chartered bank and its fintech partners engaged in a bank partnership program that violated various state licensing and credit statutes.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CRB (Case No. 21-CV-985). There is an ongoing risk that government agencies and private plaintiffs will seek to challenge these types of relationships.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have taken steps to confirm that our business model conforms with the requirements of the Colorado safe harbor. We have also taken additional steps to facilitate compliance with that above-described law enacted in Maine.</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capped call transactions may affect the value of our common stock.</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issuance of the Notes (as defined below), we entered into capped call transactions with certain financial institutions as counterparties. The capped call transactions cover, subject to customary adjustments, the number of shares of our common stock initially underlying the Notes. The capped call transactions are expected generally to reduce the potential dilution to our common stock upon any conversion of the Notes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offset any cash payments we are required to make in excess of the principal amount of converted Notes, as the case may be.</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could also cause or prevent an increase or a decrease in the market price of our common stock or the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subject to counterparty risk with respect to the capped call transactions.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23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RISKS RELATED TO OUR REGULATORY ENVIRONMENT</w:t>
      </w:r>
    </w:p>
    <w:p>
      <w:pPr>
        <w:spacing w:after="0" w:line="2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Litigation, regulatory actions and compliance issues could subject us to significant fines, penalties, judgments, remediation costs and/or requirements resulting in increased expenses.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0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are subject to or facilitate compliance with a variety of federal, state, and local laws, including those related to consumer protection and loan financings.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and has appointed consumer-oriented regulators at federal agencies such as the CFPB and the OCC.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forbearance initiatives related to the COVID-19 pandemic, and could otherwise revise or create new regulatory requirements that apply to us (or our bank partners), impacting our business, operations, and profitability.</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Certain state laws generally regulate interest rates and other charges and require certain disclosures. In addition, other federal and state laws may apply to the origination, servicing and collection of loans originated on our platform, and the purchase and sale of whole loans or asset-backed securitizations. In particular, certain laws, regulations and rules we or our bank partners are subject to include:</w:t>
      </w:r>
    </w:p>
    <w:p>
      <w:pPr>
        <w:spacing w:after="0" w:line="62" w:lineRule="exact"/>
        <w:rPr>
          <w:sz w:val="20"/>
          <w:szCs w:val="20"/>
          <w:color w:val="auto"/>
        </w:rPr>
      </w:pPr>
    </w:p>
    <w:p>
      <w:pPr>
        <w:jc w:val="both"/>
        <w:ind w:left="620" w:hanging="307"/>
        <w:spacing w:after="0" w:line="264"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6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620" w:hanging="307"/>
        <w:spacing w:after="0" w:line="264"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6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ind w:left="620" w:right="280" w:hanging="307"/>
        <w:spacing w:after="0" w:line="25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78"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7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Bankruptcy Code, which limits the extent to which creditors may seek to enforce debts against parties who have filed for bankruptcy protection;</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6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obtain a consumer’s consent to electronically receive disclosures required under federal and state laws and regulations;</w:t>
      </w:r>
    </w:p>
    <w:p>
      <w:pPr>
        <w:spacing w:after="0" w:line="114" w:lineRule="exact"/>
        <w:rPr>
          <w:sz w:val="20"/>
          <w:szCs w:val="20"/>
          <w:color w:val="auto"/>
        </w:rPr>
      </w:pPr>
    </w:p>
    <w:p>
      <w:pPr>
        <w:ind w:left="620" w:hanging="307"/>
        <w:spacing w:after="0" w:line="287"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Financial Privacy Act and similar state laws enacted to provide the financial records of financial institution customers a reasonable amount of privacy from government scrutiny;</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Bank Secrecy Act and the USA PATRIOT Act, which relate to compliance with anti-money laundering, borrower due diligence and record-keeping policies and procedures;</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6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state-specific and local laws and regulations.</w:t>
      </w:r>
    </w:p>
    <w:p>
      <w:pPr>
        <w:spacing w:after="0" w:line="24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in March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20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Internet-based loan origination processes may give rise to greater risks than paper-based processes and may not always be allowed under state law.</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 auto loans issued under our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under our auto lending platform.</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found to be operating without having obtained necessary state or local licenses, our business, financial condition and results of operations could be adversely affected.</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as well as to our banking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banking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2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Our current no-action letter expires on November 30, 2023, unless terminated by the CFPB earlier for one of the bases provided for by the no-action letter, and there is no assurance that the CFPB will permit us to continue to operate under its current no-action letter policies or that it will not change its position regarding supervisory or enforcement action against us in the future. Further, this no-action letter does not extend to credit products offered on Upstart’s platform other than unsecured closed-end loans. 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new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newly appointed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have been in the past and may in the future be subject to federal and state regulatory inquiries regarding our business.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have, from time to time in the normal course of our business, received, and may in the future receive or be subject to, inquiries or investigations by state and federal regulatory agencies and bodies such as the CFPB, FTC,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are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We must also update the CFPB of material changes to information included in our no-action letter application or if our products or services are not performing as expected in a material way. Such no-action letter expires on November 30, 2023, unless terminated by the CFPB earlier for one of the bases provided for by the no-action letter. We can provide no assurance that the CFPB will continue to provide such relief, and it is possible the CFPB will change its position regarding supervisory or enforcement action against us in the future. Further, this no-action letter does not extend to other credit products offered on Upstart’s platform. Moreover, were we determined to be conducting business contrary to the facts presented to, and relied on, by the CFPB in issuing the no-action letter, we would be subject to heightened enforcement risk by the CFPB. We have also received an inquiry from the North Carolina Department of Justice regarding our role in facilitating the origination of loans for educational purposes. We have provided information in response to that inquiry, and cannot provide any assurances regarding the outcome of that inquiry.</w:t>
      </w:r>
    </w:p>
    <w:p>
      <w:pPr>
        <w:spacing w:after="0" w:line="20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0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Based upon statements by FTC officials, we believe this scrutiny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bank partners are prohibited from engaging in unfair and deceptive acts and practices, or UDAP.</w:t>
      </w:r>
    </w:p>
    <w:p>
      <w:pPr>
        <w:spacing w:after="0" w:line="20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which amends and purports to strengthen the CCPA and will create a state agency to enforce privacy laws. The CPRA creates obligations relating to consumer data beginning on January 1, 2023 (with a one-year lookback), with implementing regulations expected on or before July 1, 2022, and enforcement beginning July 1, 2023. Following the enactment of the CCPA, in 2021, Virginia enacted the Virginia Consumer Data Protection Act of 2021, or VCDPA, Colorado enacted the Colorado Privacy Act, or CPA and Utah, which in March 2022 enacted a Consumer Privacy Act that will go into effect December 31, 2023. Several other states are considering enacting similar legislation. Additionally, other U.S. states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0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As the regulatory framework for artificial intelligence and machine learning technology evolves, our business, financial condition and results of operations may be adversely affected.</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are required to register under the Investment Company Act, our ability to conduct business could be materially adversely affected.</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are required to register under the Investment Advisers Act, our ability to conduct business could be materially adversely affected.</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20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required to register with the SEC or under state securities laws as a broker-dealer, our ability to conduct business could be materially adversely affected.</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Anti-money laundering, anti-terrorism financing, anti-corruption and economic sanctions laws could have adverse consequences for us.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maintain a compliance program designed to enable us to comply with all applicable anti-money laundering and anti-terrorism financing laws and regulations, including the Bank Secrecy Act and the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and certain originating bank partners who contribute loans to the transactions receive cash and/or securities representing debt and equity interests in such SPE, which are the proceeds from the sale of the securities. The equity interests in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20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periods of financial disruption, such as the financial crisis that began in 2008 and the beginning of the COVID-19 pandemic in the spring of 2020, the securitization market was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it is not possible or economical for us to securitize loans in the future, we would need to seek alternative financing to support our loan funding programs and to meet our existing debt obligations. Such funding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gain on sale and related servicing fees generated by our whole loan sales, and the servicing fees based on sales of asset-backed securities, also represent a significant source of our earnings. We cannot assure you that our loan purchasers will continue to purchase loans or securities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68" w:lineRule="exact"/>
        <w:rPr>
          <w:sz w:val="20"/>
          <w:szCs w:val="20"/>
          <w:color w:val="auto"/>
        </w:rPr>
      </w:pPr>
    </w:p>
    <w:p>
      <w:pPr>
        <w:ind w:left="620" w:hanging="307"/>
        <w:spacing w:after="0" w:line="287"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servicing fees and other expenses may reduce overall net return on purchased pools of loans;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or perceived credit performance and loan grade and term mix of the portfolios of loans offered for sale;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purchasers’ sector and company investment diversification requirements and strategies;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yielding investment opportunities at a risk profile deemed similar to our sold loan portfolios;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prepayment behavior within the underlying pools;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investment practices related to maintaining net asset value, mark-to-market and similar metrics surrounding pools of purchased loans; and</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loan purchasers to access funding and liquidity channels, including warehouse financing and securitization markets, on terms they find acceptable to deliver an appropriate return net of funding costs, as well as general market trends that affect the appetite for loan financing investments.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securitizations are subject to regulation under federal law, and failure to comply with those laws could adversely affect our business.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comply, or should fall out of compliance with these rules, it could adversely affect our source of funding and our business.</w:t>
      </w:r>
    </w:p>
    <w:p>
      <w:pPr>
        <w:spacing w:after="0" w:line="24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19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RISKS RELATED TO LOAN FUNDING AND INDEBTEDNESS</w:t>
      </w:r>
    </w:p>
    <w:p>
      <w:pPr>
        <w:spacing w:after="0" w:line="2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unable to maintain a diverse and robust loan funding program, our growth prospects, business, financial condition and results of operations could be adversely affected.</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business depends on sourcing and maintaining a diverse and robust loan funding program to fund Upstart-powered loans that our bank partners are unable or unwilling to retain on their balance sheets. Our loan funding program includes whole loan sales and pass-through certificate issuances to institutional investors, asset-backed securitization transactions, and utilization of 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Further, events of default or breaches of financial, performance or other covenants, or worse than expected performance of certain pools of loans underpinning our pass-through certificate transactions,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capital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we may decide to utilize our balance sheet to support short-term funding requirements of loans that would otherwise be held by institutional investors. Any increase in the percentage of loans held on our balance sheet would divert capital resources and increase our exposure to the changes in the fair value of such loans.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our loan funding programs, including asset-backed securitizations, pass-through certificate transactions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March 31, 2022, the number of repurchased Upstart-powered loans as a result of inaccurate representations and warranties represents less than 0.14%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rely on borrowings under our warehouse credit facilities to fund certain aspects of our operations, and any inability to meet our obligations as they come due or to comply with various covenants could harm our business.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through our warehouse trust special purpose entities, have entered into warehouse credit facilities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Under our warehouse credit facility for personal, unsecured loans, we may borrow up to $100.0 million until June 2023, and any outstanding principal, together with any accrued and unpaid interest, are due and payable by the warehouse trust special purpose entity in June 2024. As of March 31, 2022, the amount borrowed under this credit facility was $90.1 million, and $123.4 million of aggregated fair value of loans purchased were pledged as collateral. Under our warehouse facility for auto loans, we may borrow up to $100.0 million until December 2022, and any outstanding principal, together with any accrued and unpaid interest, are due and payable by the warehouse trust special purpose entity twelve months after the determined amortization date. As of March 31, 2022, the amount borrowed under this credit facility was $31.4 million, and $38.5 million of aggregated fair value of loans purchased were pledged as collateral.</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warehouse credit facilities impose operating and financial covenants on the applicable warehouse trust special purpose entity, and under certain events of default, the lender could require that all outstanding borrowings become immediately due and payable or terminate their agreement with us. We have in the past, and may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20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On March 5, 2021, the FCA announced that all LIBOR settings will either cease to be provided by any administrator, or no longer be representative immediately after December 31, 2021, for all GBP, EUR, CHF and JPY LIBOR settings and one-week and two-month US dollar LIBOR settings, and immediately after June 30, 2023 for the remaining US dollar LIBOR settings, including three-month US dollar LIBOR. As a result, while the FCA and the submitting LIBOR banks have indicated they will support the LIBOR indices through 2021 to allow for an orderly transition to an alternative reference rate, it is possible that beginning in 2022, LIBOR will no longer be available as a reference rate. The Alternative Reference Rate Committee, a committee convened by the United States Federal Reserve Board and the Federal Reserve Bank of New York has identified the Secured Overnight Financing Rate, or SOFR, a new index calculated by short-term repurchase agreements, backed by United States Treasury securities, as its preferred alternative rate for LIBOR. At this time, it is not possible to predict how markets will respond to SOFR or other alternative reference rates as the transition away from the LIBOR benchmarks is anticipated in coming years. Accordingly, the outcome of these reforms is uncertain and any changes in the methods by which LIBOR is determined or regulatory activity related to LIBOR’s phaseout could cause LIBOR to perform differently than in the past or cease to exist. In particular, the interest rate of borrowings under our warehouse credit facility for personal, unsecured loans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may continue to make investments to support our business growth and may require additional funds to respond to business challenges, including the need to develop new loan products, enhance our AI models,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in August 2021, we issued $661.3 million aggregate principal amount of 0.25% convertible senior notes due 2026, or Notes (including the exercise in full of the initial purchasers’ option of an additional $86.3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million aggregate principal of additional Notes). We may not have the ability to raise the funds necessary to settle conversions of the Notes in cash, to repurchase the Notes upon a fundamental change or to repay the Notes in cash at their maturity (if not earlier converted, redeemed or repurchased), and our future debt may contain limitations on our ability to pay cash upon the conversion of the Notes at their maturity or to repurchase the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surrendered therefor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Provisions in the indenture for the Notes may deter or prevent a business combination that may be favorable to you.</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RISKS RELATED TO TAXES</w:t>
      </w:r>
    </w:p>
    <w:p>
      <w:pPr>
        <w:spacing w:after="0" w:line="2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ability to use our deferred tax assets to offset future taxable income may be subject to certain limitations, which may have a material impact on our result of operations.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March 31, 2022, a valuation allowance has been recorded to recognize only deferred tax assets that are more likely than not to be realized in the United States federal and state tax jurisdictions. Our net deferred tax assets are primarily related to net operating loss carryforwards, or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tax laws could have a material adverse effect on our business, financial condition and results of operations.</w:t>
      </w:r>
    </w:p>
    <w:p>
      <w:pPr>
        <w:spacing w:after="0" w:line="22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0" w:lineRule="exact"/>
        <w:rPr>
          <w:sz w:val="20"/>
          <w:szCs w:val="20"/>
          <w:color w:val="auto"/>
        </w:rPr>
      </w:pP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19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may face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trading price of our common stock may be volatile, and you could lose all or part of your investment.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62" w:lineRule="exact"/>
        <w:rPr>
          <w:sz w:val="20"/>
          <w:szCs w:val="20"/>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financial technology stocks;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financial technology companies and technology companies that offer services to financial institutions;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common stock by us or our stockholders;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prevailing interest rates;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fluctuations in demand for the loans we facilitate through our platform;</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trading volume of our shares or the size of our public float;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government policies or regulations;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any cease-and-desist orders from regulatory agencies that we are subject to;</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data security breaches or other data security incidents;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products, services, or technologies by us or our competitors;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recruitment or departure of key personnel;</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war, incidents of terrorism, political unrest, natural disasters, pandemics or responses to these events;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slow or negative growth of our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196" w:lineRule="exact"/>
        <w:rPr>
          <w:sz w:val="20"/>
          <w:szCs w:val="20"/>
          <w:color w:val="auto"/>
        </w:rPr>
      </w:pPr>
    </w:p>
    <w:p>
      <w:pPr>
        <w:ind w:right="800"/>
        <w:spacing w:after="0" w:line="292" w:lineRule="auto"/>
        <w:rPr>
          <w:sz w:val="20"/>
          <w:szCs w:val="20"/>
          <w:color w:val="auto"/>
        </w:rPr>
      </w:pPr>
      <w:r>
        <w:rPr>
          <w:rFonts w:ascii="Times New Roman" w:cs="Times New Roman" w:eastAsia="Times New Roman" w:hAnsi="Times New Roman"/>
          <w:sz w:val="17"/>
          <w:szCs w:val="17"/>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capped call transactions may affect the price of our common stock.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expected to offset the potential dilution and/or offset any cash payments we make in excess of the aggregate principal amount of converted Notes, as the case may be, as a result of conversion of the Notes.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This activity could also cause or prevent an increase or a decrease in the market price of our common stock.</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insiders have significant voting power, which could limit your ability to influence the outcome of key transactions, including a change of control.</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large number of shares of our capital stock eligible for public sale or subject to rights requiring us to register them for public sale could depress the market price of our common stock.</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common stock does not provide any rights directly related to the loans we hold.</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You may be diluted by the future issuance of additional common stock in connection with our equity incentive plans, acquisitions or otherwise.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us to issue 615,323,254 shares of authorized but unissued common stock and rights relating to common stock for the consideration and on the terms and conditions established by our Board of Directors in its sole discretion, whether in connection with acquisitions or otherwise. We have reserved 12,653,410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196"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7"/>
          <w:szCs w:val="17"/>
          <w:b w:val="1"/>
          <w:bCs w:val="1"/>
          <w:color w:val="auto"/>
        </w:rPr>
        <w:t>We have implemented “sell-to-cover” in which shares of our common stock are sold into the market on behalf of RSU holders upon vesting of RSUs to cover tax withholding liabilities and such sales will result in dilution to our stockholders.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Under U.S. tax laws, employment tax withholding and remittance obligations for restricted stock units, 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will be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but do cause dilution to our stockholders and, to the extent a large number of shares are sold in connection with any vesting event, such sales volume may cause our price to fluctuate.</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68" w:lineRule="exact"/>
        <w:rPr>
          <w:sz w:val="20"/>
          <w:szCs w:val="20"/>
          <w:color w:val="auto"/>
        </w:rPr>
      </w:pPr>
    </w:p>
    <w:p>
      <w:pPr>
        <w:ind w:left="620" w:hanging="307"/>
        <w:spacing w:after="0" w:line="287"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is classified into three classes of directors with staggered three-year terms and directors are only able to be removed from office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vacancies on our Board of Directors will be able to be filled only by our Board of Directors and not by stockholders;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the Chair of our Board of Directors, our Chief Executive Officer, or a majority of our entire Board of Directors are authorized to call a special meeting of stockholders;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litigation against us can only be brought in Delaware;</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 and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9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9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is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courts have exclusive jurisdiction. If a court were to find either exclusive-forum provision in our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restated bylaws to be inapplicable or unenforceable in an action, we may incur additional costs associated with resolving the dispute in other jurisdictions, which could harm our results of operations.</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common stock market price and trading volume could decline if equity or industry analysts do not publish research or publish inaccurate or unfavorable research about our business.</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requirements of being a public company may strain our resources, divert management’s attention and affect our ability to attract and retain qualified board members.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management team has limited experience managing a public company.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do not intend to pay dividends for the foreseeable future.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UNREGISTERED SALES OF EQUITY SECURITIES AND USE OF PROCEEDS</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DEFAULTS UPON SENIOR SECURITIES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 OTHER INFORMATION</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EXHIBITS</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exhibits listed below are filed as part of this Quarterly Report on Form 10-Q or are incorporated herein by reference, in each case as indicated below.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12529"/>
        </w:rPr>
        <w:t>EXHIBIT INDEX</w:t>
      </w:r>
    </w:p>
    <w:p>
      <w:pPr>
        <w:spacing w:after="0" w:line="29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p>
      <w:pPr>
        <w:sectPr>
          <w:pgSz w:w="11900" w:h="16838" w:orient="portrait"/>
          <w:cols w:equalWidth="0" w:num="1">
            <w:col w:w="11240"/>
          </w:cols>
          <w:pgMar w:left="320" w:top="175" w:right="339" w:bottom="1440" w:gutter="0" w:footer="0" w:header="0"/>
        </w:sectPr>
      </w:pP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p>
      <w:pPr>
        <w:jc w:val="right"/>
        <w:spacing w:after="0"/>
        <w:rPr>
          <w:sz w:val="20"/>
          <w:szCs w:val="20"/>
          <w:color w:val="auto"/>
        </w:rPr>
      </w:pPr>
      <w:r>
        <w:rPr>
          <w:rFonts w:ascii="Times New Roman" w:cs="Times New Roman" w:eastAsia="Times New Roman" w:hAnsi="Times New Roman"/>
          <w:sz w:val="17"/>
          <w:szCs w:val="17"/>
          <w:b w:val="1"/>
          <w:bCs w:val="1"/>
          <w:color w:val="auto"/>
        </w:rPr>
        <w:t>Number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31.1*</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31.2*</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32.1*</w:t>
      </w: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gridSpan w:val="7"/>
          </w:tcPr>
          <w:p>
            <w:pPr>
              <w:ind w:left="15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8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Date</w:t>
            </w:r>
          </w:p>
        </w:tc>
      </w:tr>
      <w:tr>
        <w:trPr>
          <w:trHeight w:val="186"/>
        </w:trPr>
        <w:tc>
          <w:tcPr>
            <w:tcW w:w="20" w:type="dxa"/>
            <w:vAlign w:val="bottom"/>
          </w:tcPr>
          <w:p>
            <w:pPr>
              <w:spacing w:after="0"/>
              <w:rPr>
                <w:sz w:val="16"/>
                <w:szCs w:val="16"/>
                <w:color w:val="auto"/>
              </w:rPr>
            </w:pPr>
          </w:p>
        </w:tc>
        <w:tc>
          <w:tcPr>
            <w:tcW w:w="4560" w:type="dxa"/>
            <w:vAlign w:val="bottom"/>
            <w:gridSpan w:val="9"/>
          </w:tcPr>
          <w:p>
            <w:pPr>
              <w:spacing w:after="0" w:line="186"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Performance Award Agreement between the registrant and Paul</w:t>
              </w:r>
            </w:hyperlink>
          </w:p>
        </w:tc>
        <w:tc>
          <w:tcPr>
            <w:tcW w:w="84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8-K</w:t>
            </w:r>
          </w:p>
        </w:tc>
        <w:tc>
          <w:tcPr>
            <w:tcW w:w="100" w:type="dxa"/>
            <w:vAlign w:val="bottom"/>
          </w:tcPr>
          <w:p>
            <w:pPr>
              <w:spacing w:after="0"/>
              <w:rPr>
                <w:sz w:val="16"/>
                <w:szCs w:val="16"/>
                <w:color w:val="auto"/>
              </w:rPr>
            </w:pPr>
          </w:p>
        </w:tc>
        <w:tc>
          <w:tcPr>
            <w:tcW w:w="1340" w:type="dxa"/>
            <w:vAlign w:val="bottom"/>
          </w:tcPr>
          <w:p>
            <w:pPr>
              <w:jc w:val="right"/>
              <w:ind w:right="214"/>
              <w:spacing w:after="0" w:line="186" w:lineRule="exact"/>
              <w:rPr>
                <w:sz w:val="20"/>
                <w:szCs w:val="20"/>
                <w:color w:val="auto"/>
              </w:rPr>
            </w:pPr>
            <w:r>
              <w:rPr>
                <w:rFonts w:ascii="Times New Roman" w:cs="Times New Roman" w:eastAsia="Times New Roman" w:hAnsi="Times New Roman"/>
                <w:sz w:val="17"/>
                <w:szCs w:val="17"/>
                <w:color w:val="auto"/>
              </w:rPr>
              <w:t>001-39797</w:t>
            </w:r>
          </w:p>
        </w:tc>
        <w:tc>
          <w:tcPr>
            <w:tcW w:w="100" w:type="dxa"/>
            <w:vAlign w:val="bottom"/>
          </w:tcPr>
          <w:p>
            <w:pPr>
              <w:spacing w:after="0"/>
              <w:rPr>
                <w:sz w:val="16"/>
                <w:szCs w:val="16"/>
                <w:color w:val="auto"/>
              </w:rPr>
            </w:pPr>
          </w:p>
        </w:tc>
        <w:tc>
          <w:tcPr>
            <w:tcW w:w="940" w:type="dxa"/>
            <w:vAlign w:val="bottom"/>
          </w:tcPr>
          <w:p>
            <w:pPr>
              <w:jc w:val="right"/>
              <w:ind w:right="234"/>
              <w:spacing w:after="0" w:line="186" w:lineRule="exact"/>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6"/>
                <w:szCs w:val="16"/>
                <w:color w:val="auto"/>
              </w:rPr>
            </w:pPr>
          </w:p>
        </w:tc>
        <w:tc>
          <w:tcPr>
            <w:tcW w:w="2080" w:type="dxa"/>
            <w:vAlign w:val="bottom"/>
          </w:tcPr>
          <w:p>
            <w:pPr>
              <w:jc w:val="center"/>
              <w:spacing w:after="0" w:line="186" w:lineRule="exact"/>
              <w:rPr>
                <w:sz w:val="20"/>
                <w:szCs w:val="20"/>
                <w:color w:val="auto"/>
              </w:rPr>
            </w:pPr>
            <w:r>
              <w:rPr>
                <w:rFonts w:ascii="Times New Roman" w:cs="Times New Roman" w:eastAsia="Times New Roman" w:hAnsi="Times New Roman"/>
                <w:sz w:val="17"/>
                <w:szCs w:val="17"/>
                <w:color w:val="auto"/>
              </w:rPr>
              <w:t>February 18, 2022</w:t>
            </w:r>
          </w:p>
        </w:tc>
      </w:tr>
      <w:tr>
        <w:trPr>
          <w:trHeight w:val="173"/>
        </w:trPr>
        <w:tc>
          <w:tcPr>
            <w:tcW w:w="20" w:type="dxa"/>
            <w:vAlign w:val="bottom"/>
          </w:tcPr>
          <w:p>
            <w:pPr>
              <w:spacing w:after="0"/>
              <w:rPr>
                <w:sz w:val="15"/>
                <w:szCs w:val="15"/>
                <w:color w:val="auto"/>
              </w:rPr>
            </w:pPr>
          </w:p>
        </w:tc>
        <w:tc>
          <w:tcPr>
            <w:tcW w:w="4380" w:type="dxa"/>
            <w:vAlign w:val="bottom"/>
            <w:tcBorders>
              <w:top w:val="single" w:sz="8" w:color="0000FF"/>
            </w:tcBorders>
            <w:gridSpan w:val="6"/>
          </w:tcPr>
          <w:p>
            <w:pPr>
              <w:spacing w:after="0" w:line="17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Gu.</w:t>
              </w:r>
            </w:hyperlink>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Borders>
              <w:bottom w:val="single" w:sz="8" w:color="0000FF"/>
            </w:tcBorders>
            <w:gridSpan w:val="3"/>
          </w:tcPr>
          <w:p>
            <w:pPr>
              <w:spacing w:after="0" w:line="173" w:lineRule="exact"/>
              <w:rPr>
                <w:sz w:val="20"/>
                <w:szCs w:val="20"/>
                <w:color w:val="auto"/>
              </w:rPr>
            </w:pPr>
            <w:r>
              <w:rPr>
                <w:rFonts w:ascii="Times New Roman" w:cs="Times New Roman" w:eastAsia="Times New Roman" w:hAnsi="Times New Roman"/>
                <w:sz w:val="17"/>
                <w:szCs w:val="17"/>
                <w:color w:val="0000FF"/>
              </w:rPr>
              <w:t>Exchange Act Rules 13a-14(a) and 15d-14(a), as adopted</w:t>
            </w:r>
          </w:p>
        </w:tc>
        <w:tc>
          <w:tcPr>
            <w:tcW w:w="62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560" w:type="dxa"/>
            <w:vAlign w:val="bottom"/>
            <w:gridSpan w:val="9"/>
          </w:tcPr>
          <w:p>
            <w:pPr>
              <w:spacing w:after="0" w:line="186"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41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w:t>
            </w:r>
          </w:p>
        </w:tc>
        <w:tc>
          <w:tcPr>
            <w:tcW w:w="460" w:type="dxa"/>
            <w:vAlign w:val="bottom"/>
            <w:gridSpan w:val="4"/>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Borders>
              <w:bottom w:val="single" w:sz="8" w:color="0000FF"/>
            </w:tcBorders>
            <w:gridSpan w:val="3"/>
          </w:tcPr>
          <w:p>
            <w:pPr>
              <w:spacing w:after="0" w:line="173" w:lineRule="exact"/>
              <w:rPr>
                <w:sz w:val="20"/>
                <w:szCs w:val="20"/>
                <w:color w:val="auto"/>
              </w:rPr>
            </w:pPr>
            <w:r>
              <w:rPr>
                <w:rFonts w:ascii="Times New Roman" w:cs="Times New Roman" w:eastAsia="Times New Roman" w:hAnsi="Times New Roman"/>
                <w:sz w:val="17"/>
                <w:szCs w:val="17"/>
                <w:color w:val="0000FF"/>
              </w:rPr>
              <w:t>Exchange Act Rules 13a-14(a) and 15d-14(a), as adopted</w:t>
            </w:r>
          </w:p>
        </w:tc>
        <w:tc>
          <w:tcPr>
            <w:tcW w:w="62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560" w:type="dxa"/>
            <w:vAlign w:val="bottom"/>
            <w:gridSpan w:val="9"/>
          </w:tcPr>
          <w:p>
            <w:pPr>
              <w:spacing w:after="0" w:line="186"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41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Certifications of Principal Executive Officer and Principal</w:t>
            </w:r>
          </w:p>
        </w:tc>
        <w:tc>
          <w:tcPr>
            <w:tcW w:w="46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148"/>
        </w:trPr>
        <w:tc>
          <w:tcPr>
            <w:tcW w:w="20" w:type="dxa"/>
            <w:vAlign w:val="bottom"/>
          </w:tcPr>
          <w:p>
            <w:pPr>
              <w:spacing w:after="0"/>
              <w:rPr>
                <w:sz w:val="12"/>
                <w:szCs w:val="12"/>
                <w:color w:val="auto"/>
              </w:rPr>
            </w:pPr>
          </w:p>
        </w:tc>
        <w:tc>
          <w:tcPr>
            <w:tcW w:w="4000" w:type="dxa"/>
            <w:vAlign w:val="bottom"/>
            <w:tcBorders>
              <w:top w:val="single" w:sz="8" w:color="0000FF"/>
            </w:tcBorders>
            <w:gridSpan w:val="4"/>
          </w:tcPr>
          <w:p>
            <w:pPr>
              <w:spacing w:after="0" w:line="148" w:lineRule="exact"/>
              <w:rPr>
                <w:sz w:val="20"/>
                <w:szCs w:val="20"/>
                <w:color w:val="auto"/>
              </w:rPr>
            </w:pPr>
            <w:r>
              <w:rPr>
                <w:rFonts w:ascii="Times New Roman" w:cs="Times New Roman" w:eastAsia="Times New Roman" w:hAnsi="Times New Roman"/>
                <w:sz w:val="17"/>
                <w:szCs w:val="17"/>
                <w:color w:val="0000FF"/>
              </w:rPr>
              <w:t>Financial Officer pursuant to 18 U.S.C. Section 1350 as</w:t>
            </w:r>
          </w:p>
        </w:tc>
        <w:tc>
          <w:tcPr>
            <w:tcW w:w="560" w:type="dxa"/>
            <w:vAlign w:val="bottom"/>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adopted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4420" w:type="dxa"/>
            <w:vAlign w:val="bottom"/>
            <w:tcBorders>
              <w:top w:val="single" w:sz="8" w:color="0000FF"/>
            </w:tcBorders>
            <w:gridSpan w:val="7"/>
          </w:tcPr>
          <w:p>
            <w:pPr>
              <w:spacing w:after="0" w:line="161"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1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38"/>
        </w:trPr>
        <w:tc>
          <w:tcPr>
            <w:tcW w:w="20" w:type="dxa"/>
            <w:vAlign w:val="bottom"/>
          </w:tcPr>
          <w:p>
            <w:pPr>
              <w:spacing w:after="0"/>
              <w:rPr>
                <w:sz w:val="20"/>
                <w:szCs w:val="20"/>
                <w:color w:val="auto"/>
              </w:rPr>
            </w:pPr>
          </w:p>
        </w:tc>
        <w:tc>
          <w:tcPr>
            <w:tcW w:w="41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460" w:type="dxa"/>
            <w:vAlign w:val="bottom"/>
            <w:gridSpan w:val="4"/>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-908050</wp:posOffset>
            </wp:positionV>
            <wp:extent cx="7138670" cy="409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8670" cy="40957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-139065</wp:posOffset>
            </wp:positionV>
            <wp:extent cx="7138670" cy="139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-1612265</wp:posOffset>
            </wp:positionV>
            <wp:extent cx="7138670" cy="294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-1866265</wp:posOffset>
            </wp:positionV>
            <wp:extent cx="28898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320"/>
            <w:col w:w="1006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32"/>
        </w:trPr>
        <w:tc>
          <w:tcPr>
            <w:tcW w:w="10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0" w:type="dxa"/>
            <w:vAlign w:val="bottom"/>
          </w:tcPr>
          <w:p>
            <w:pPr>
              <w:spacing w:after="0"/>
              <w:rPr>
                <w:sz w:val="1"/>
                <w:szCs w:val="1"/>
                <w:color w:val="auto"/>
              </w:rPr>
            </w:pPr>
          </w:p>
        </w:tc>
      </w:tr>
      <w:tr>
        <w:trPr>
          <w:trHeight w:val="155"/>
        </w:trPr>
        <w:tc>
          <w:tcPr>
            <w:tcW w:w="1020" w:type="dxa"/>
            <w:vAlign w:val="bottom"/>
          </w:tcPr>
          <w:p>
            <w:pPr>
              <w:ind w:left="280"/>
              <w:spacing w:after="0" w:line="154" w:lineRule="exact"/>
              <w:rPr>
                <w:sz w:val="20"/>
                <w:szCs w:val="20"/>
                <w:color w:val="auto"/>
              </w:rPr>
            </w:pPr>
            <w:r>
              <w:rPr>
                <w:rFonts w:ascii="Times New Roman" w:cs="Times New Roman" w:eastAsia="Times New Roman" w:hAnsi="Times New Roman"/>
                <w:sz w:val="17"/>
                <w:szCs w:val="17"/>
                <w:b w:val="1"/>
                <w:bCs w:val="1"/>
                <w:color w:val="auto"/>
              </w:rPr>
              <w:t>Exhibit</w:t>
            </w:r>
          </w:p>
        </w:tc>
        <w:tc>
          <w:tcPr>
            <w:tcW w:w="4700" w:type="dxa"/>
            <w:vAlign w:val="bottom"/>
            <w:vMerge w:val="restart"/>
          </w:tcPr>
          <w:p>
            <w:pPr>
              <w:ind w:left="19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520" w:type="dxa"/>
            <w:vAlign w:val="bottom"/>
            <w:vMerge w:val="restart"/>
          </w:tcPr>
          <w:p>
            <w:pPr>
              <w:ind w:left="5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9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0" w:type="dxa"/>
            <w:vAlign w:val="bottom"/>
          </w:tcPr>
          <w:p>
            <w:pPr>
              <w:spacing w:after="0"/>
              <w:rPr>
                <w:sz w:val="1"/>
                <w:szCs w:val="1"/>
                <w:color w:val="auto"/>
              </w:rPr>
            </w:pPr>
          </w:p>
        </w:tc>
      </w:tr>
      <w:tr>
        <w:trPr>
          <w:trHeight w:val="229"/>
        </w:trPr>
        <w:tc>
          <w:tcPr>
            <w:tcW w:w="102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47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0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101.CAL*</w:t>
            </w:r>
          </w:p>
        </w:tc>
        <w:tc>
          <w:tcPr>
            <w:tcW w:w="470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9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020" w:type="dxa"/>
            <w:vAlign w:val="bottom"/>
            <w:shd w:val="clear" w:color="auto" w:fill="CCEEFF"/>
          </w:tcPr>
          <w:p>
            <w:pPr>
              <w:spacing w:after="0"/>
              <w:rPr>
                <w:sz w:val="20"/>
                <w:szCs w:val="20"/>
                <w:color w:val="auto"/>
              </w:rPr>
            </w:pPr>
          </w:p>
        </w:tc>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Document</w:t>
            </w:r>
          </w:p>
        </w:tc>
        <w:tc>
          <w:tcPr>
            <w:tcW w:w="9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101.DEF*</w:t>
            </w:r>
          </w:p>
        </w:tc>
        <w:tc>
          <w:tcPr>
            <w:tcW w:w="470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Document</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9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0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101.PRE*</w:t>
            </w:r>
          </w:p>
        </w:tc>
        <w:tc>
          <w:tcPr>
            <w:tcW w:w="470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Document</w:t>
            </w: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w:t>
      </w:r>
    </w:p>
    <w:p>
      <w:pPr>
        <w:spacing w:after="0" w:line="2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212529"/>
        </w:rPr>
        <w:t>*</w:t>
        <w:tab/>
        <w:t>Filed herewith.</w:t>
      </w:r>
    </w:p>
    <w:p>
      <w:pPr>
        <w:spacing w:after="0" w:line="1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color w:val="212529"/>
        </w:rPr>
        <w:t>+</w:t>
        <w:tab/>
        <w:t>Indicates management contract or compensatory plan.</w:t>
      </w:r>
    </w:p>
    <w:p>
      <w:pPr>
        <w:spacing w:after="0" w:line="11" w:lineRule="exact"/>
        <w:rPr>
          <w:sz w:val="20"/>
          <w:szCs w:val="20"/>
          <w:color w:val="auto"/>
        </w:rPr>
      </w:pPr>
    </w:p>
    <w:p>
      <w:pPr>
        <w:ind w:left="620" w:right="120" w:hanging="617"/>
        <w:spacing w:after="0" w:line="266" w:lineRule="auto"/>
        <w:tabs>
          <w:tab w:leader="none" w:pos="254" w:val="left"/>
        </w:tabs>
        <w:numPr>
          <w:ilvl w:val="0"/>
          <w:numId w:val="47"/>
        </w:numPr>
        <w:rPr>
          <w:rFonts w:ascii="Times New Roman" w:cs="Times New Roman" w:eastAsia="Times New Roman" w:hAnsi="Times New Roman"/>
          <w:sz w:val="17"/>
          <w:szCs w:val="17"/>
          <w:color w:val="212529"/>
        </w:rPr>
      </w:pPr>
      <w:r>
        <w:rPr>
          <w:rFonts w:ascii="Times New Roman" w:cs="Times New Roman" w:eastAsia="Times New Roman" w:hAnsi="Times New Roman"/>
          <w:sz w:val="17"/>
          <w:szCs w:val="17"/>
          <w:color w:val="auto"/>
        </w:rPr>
        <w:t>Portions of this exhibit (indicated by asterisk) have been excluded because such information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4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1760" w:type="dxa"/>
            <w:vAlign w:val="bottom"/>
          </w:tcPr>
          <w:p>
            <w:pPr>
              <w:spacing w:after="0"/>
              <w:rPr>
                <w:sz w:val="19"/>
                <w:szCs w:val="19"/>
                <w:color w:val="auto"/>
              </w:rPr>
            </w:pPr>
          </w:p>
        </w:tc>
        <w:tc>
          <w:tcPr>
            <w:tcW w:w="930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Upstart Holdings, Inc.</w:t>
            </w:r>
          </w:p>
        </w:tc>
      </w:tr>
      <w:tr>
        <w:trPr>
          <w:trHeight w:val="219"/>
        </w:trPr>
        <w:tc>
          <w:tcPr>
            <w:tcW w:w="1760" w:type="dxa"/>
            <w:vAlign w:val="bottom"/>
          </w:tcPr>
          <w:p>
            <w:pPr>
              <w:spacing w:after="0"/>
              <w:rPr>
                <w:sz w:val="19"/>
                <w:szCs w:val="19"/>
                <w:color w:val="auto"/>
              </w:rPr>
            </w:pPr>
          </w:p>
        </w:tc>
        <w:tc>
          <w:tcPr>
            <w:tcW w:w="93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(Registrant)</w:t>
            </w:r>
          </w:p>
        </w:tc>
      </w:tr>
      <w:tr>
        <w:trPr>
          <w:trHeight w:val="223"/>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Date: May 9, 2022</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By:</w:t>
            </w:r>
          </w:p>
        </w:tc>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Dave Girouard</w:t>
            </w:r>
          </w:p>
        </w:tc>
      </w:tr>
      <w:tr>
        <w:trPr>
          <w:trHeight w:val="209"/>
        </w:trPr>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Dave Girouard</w:t>
            </w:r>
          </w:p>
        </w:tc>
      </w:tr>
      <w:tr>
        <w:trPr>
          <w:trHeight w:val="215"/>
        </w:trPr>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27"/>
        </w:trPr>
        <w:tc>
          <w:tcPr>
            <w:tcW w:w="1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64"/>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Date: May 9, 2022</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By:</w:t>
            </w:r>
          </w:p>
        </w:tc>
        <w:tc>
          <w:tcPr>
            <w:tcW w:w="8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Sanjay Datta</w:t>
            </w:r>
          </w:p>
        </w:tc>
      </w:tr>
      <w:tr>
        <w:trPr>
          <w:trHeight w:val="216"/>
        </w:trPr>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Sanjay Datta</w:t>
            </w:r>
          </w:p>
        </w:tc>
      </w:tr>
    </w:tbl>
    <w:p>
      <w:pPr>
        <w:ind w:left="28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1240"/>
          </w:cols>
          <w:pgMar w:left="320" w:top="125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Dave Girouard, certify that:</w:t>
      </w:r>
    </w:p>
    <w:p>
      <w:pPr>
        <w:spacing w:after="0" w:line="217" w:lineRule="exact"/>
        <w:rPr>
          <w:sz w:val="20"/>
          <w:szCs w:val="20"/>
          <w:color w:val="auto"/>
        </w:rPr>
      </w:pPr>
    </w:p>
    <w:p>
      <w:pPr>
        <w:ind w:left="180" w:hanging="177"/>
        <w:spacing w:after="0"/>
        <w:tabs>
          <w:tab w:leader="none" w:pos="1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Upstart Holdings, Inc.;</w:t>
      </w:r>
    </w:p>
    <w:p>
      <w:pPr>
        <w:spacing w:after="0" w:line="217" w:lineRule="exact"/>
        <w:rPr>
          <w:rFonts w:ascii="Times New Roman" w:cs="Times New Roman" w:eastAsia="Times New Roman" w:hAnsi="Times New Roman"/>
          <w:sz w:val="17"/>
          <w:szCs w:val="17"/>
          <w:color w:val="auto"/>
        </w:rPr>
      </w:pPr>
    </w:p>
    <w:p>
      <w:pPr>
        <w:ind w:right="300" w:firstLine="3"/>
        <w:spacing w:after="0" w:line="287" w:lineRule="auto"/>
        <w:tabs>
          <w:tab w:leader="none" w:pos="17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400" w:firstLine="3"/>
        <w:spacing w:after="0" w:line="287" w:lineRule="auto"/>
        <w:tabs>
          <w:tab w:leader="none" w:pos="17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80" w:firstLine="3"/>
        <w:spacing w:after="0" w:line="270" w:lineRule="auto"/>
        <w:tabs>
          <w:tab w:leader="none" w:pos="17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sz w:val="20"/>
          <w:szCs w:val="20"/>
          <w:color w:val="auto"/>
        </w:rPr>
      </w:pPr>
    </w:p>
    <w:p>
      <w:pPr>
        <w:ind w:right="200" w:firstLine="3"/>
        <w:spacing w:after="0" w:line="270" w:lineRule="auto"/>
        <w:tabs>
          <w:tab w:leader="none" w:pos="23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firstLine="3"/>
        <w:spacing w:after="0" w:line="270" w:lineRule="auto"/>
        <w:tabs>
          <w:tab w:leader="none" w:pos="24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380" w:firstLine="3"/>
        <w:spacing w:after="0" w:line="287" w:lineRule="auto"/>
        <w:tabs>
          <w:tab w:leader="none" w:pos="23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0" w:firstLine="3"/>
        <w:spacing w:after="0" w:line="270" w:lineRule="auto"/>
        <w:tabs>
          <w:tab w:leader="none" w:pos="24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firstLine="3"/>
        <w:spacing w:after="0" w:line="287" w:lineRule="auto"/>
        <w:tabs>
          <w:tab w:leader="none" w:pos="17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right="540" w:firstLine="3"/>
        <w:spacing w:after="0" w:line="287" w:lineRule="auto"/>
        <w:tabs>
          <w:tab w:leader="none" w:pos="23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140" w:firstLine="3"/>
        <w:spacing w:after="0" w:line="287" w:lineRule="auto"/>
        <w:tabs>
          <w:tab w:leader="none" w:pos="24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9, 2022</w:t>
      </w:r>
    </w:p>
    <w:p>
      <w:pPr>
        <w:sectPr>
          <w:pgSz w:w="11900" w:h="16838" w:orient="portrait"/>
          <w:cols w:equalWidth="0" w:num="1">
            <w:col w:w="11240"/>
          </w:cols>
          <w:pgMar w:left="320" w:top="104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color w:val="auto"/>
        </w:rPr>
        <w:t>UPSTART HOLDINGS, INC.</w:t>
      </w: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41910</wp:posOffset>
            </wp:positionV>
            <wp:extent cx="24479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9959"/>
          </w:cols>
          <w:pgMar w:left="500" w:top="1116" w:right="1440"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Girouard</w:t>
      </w:r>
    </w:p>
    <w:p>
      <w:pPr>
        <w:spacing w:after="0" w:line="82" w:lineRule="exact"/>
        <w:rPr>
          <w:sz w:val="20"/>
          <w:szCs w:val="20"/>
          <w:color w:val="auto"/>
        </w:rPr>
      </w:pPr>
    </w:p>
    <w:p>
      <w:pPr>
        <w:sectPr>
          <w:pgSz w:w="11900" w:h="16838" w:orient="portrait"/>
          <w:cols w:equalWidth="0" w:num="2">
            <w:col w:w="460" w:space="260"/>
            <w:col w:w="9239"/>
          </w:cols>
          <w:pgMar w:left="500" w:top="1116"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2">
            <w:col w:w="360" w:space="360"/>
            <w:col w:w="9239"/>
          </w:cols>
          <w:pgMar w:left="500" w:top="1116" w:right="1440"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Sanjay Datta, certify that:</w:t>
      </w:r>
    </w:p>
    <w:p>
      <w:pPr>
        <w:spacing w:after="0" w:line="217" w:lineRule="exact"/>
        <w:rPr>
          <w:sz w:val="20"/>
          <w:szCs w:val="20"/>
          <w:color w:val="auto"/>
        </w:rPr>
      </w:pPr>
    </w:p>
    <w:p>
      <w:pPr>
        <w:ind w:left="180" w:hanging="177"/>
        <w:spacing w:after="0"/>
        <w:tabs>
          <w:tab w:leader="none" w:pos="1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Upstart Holdings, Inc.;</w:t>
      </w:r>
    </w:p>
    <w:p>
      <w:pPr>
        <w:spacing w:after="0" w:line="217" w:lineRule="exact"/>
        <w:rPr>
          <w:rFonts w:ascii="Times New Roman" w:cs="Times New Roman" w:eastAsia="Times New Roman" w:hAnsi="Times New Roman"/>
          <w:sz w:val="17"/>
          <w:szCs w:val="17"/>
          <w:color w:val="auto"/>
        </w:rPr>
      </w:pPr>
    </w:p>
    <w:p>
      <w:pPr>
        <w:ind w:right="300" w:firstLine="3"/>
        <w:spacing w:after="0" w:line="287" w:lineRule="auto"/>
        <w:tabs>
          <w:tab w:leader="none" w:pos="17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400" w:firstLine="3"/>
        <w:spacing w:after="0" w:line="287" w:lineRule="auto"/>
        <w:tabs>
          <w:tab w:leader="none" w:pos="17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80" w:firstLine="3"/>
        <w:spacing w:after="0" w:line="270" w:lineRule="auto"/>
        <w:tabs>
          <w:tab w:leader="none" w:pos="17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sz w:val="20"/>
          <w:szCs w:val="20"/>
          <w:color w:val="auto"/>
        </w:rPr>
      </w:pPr>
    </w:p>
    <w:p>
      <w:pPr>
        <w:ind w:right="200" w:firstLine="3"/>
        <w:spacing w:after="0" w:line="270" w:lineRule="auto"/>
        <w:tabs>
          <w:tab w:leader="none" w:pos="23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firstLine="3"/>
        <w:spacing w:after="0" w:line="270" w:lineRule="auto"/>
        <w:tabs>
          <w:tab w:leader="none" w:pos="24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380" w:firstLine="3"/>
        <w:spacing w:after="0" w:line="287" w:lineRule="auto"/>
        <w:tabs>
          <w:tab w:leader="none" w:pos="23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0" w:firstLine="3"/>
        <w:spacing w:after="0" w:line="270" w:lineRule="auto"/>
        <w:tabs>
          <w:tab w:leader="none" w:pos="24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firstLine="3"/>
        <w:spacing w:after="0" w:line="287" w:lineRule="auto"/>
        <w:tabs>
          <w:tab w:leader="none" w:pos="17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right="540" w:firstLine="3"/>
        <w:spacing w:after="0" w:line="287" w:lineRule="auto"/>
        <w:tabs>
          <w:tab w:leader="none" w:pos="23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140" w:firstLine="3"/>
        <w:spacing w:after="0" w:line="287" w:lineRule="auto"/>
        <w:tabs>
          <w:tab w:leader="none" w:pos="24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9, 2022</w:t>
      </w:r>
    </w:p>
    <w:p>
      <w:pPr>
        <w:sectPr>
          <w:pgSz w:w="11900" w:h="16838" w:orient="portrait"/>
          <w:cols w:equalWidth="0" w:num="1">
            <w:col w:w="11240"/>
          </w:cols>
          <w:pgMar w:left="320" w:top="104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color w:val="auto"/>
        </w:rPr>
        <w:t>UPSTART HOLDINGS, INC.</w:t>
      </w: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41910</wp:posOffset>
            </wp:positionV>
            <wp:extent cx="24479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9959"/>
          </w:cols>
          <w:pgMar w:left="500" w:top="1116" w:right="1440"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Sanjay Datta</w:t>
      </w:r>
    </w:p>
    <w:p>
      <w:pPr>
        <w:spacing w:after="0" w:line="82" w:lineRule="exact"/>
        <w:rPr>
          <w:sz w:val="20"/>
          <w:szCs w:val="20"/>
          <w:color w:val="auto"/>
        </w:rPr>
      </w:pPr>
    </w:p>
    <w:p>
      <w:pPr>
        <w:sectPr>
          <w:pgSz w:w="11900" w:h="16838" w:orient="portrait"/>
          <w:cols w:equalWidth="0" w:num="2">
            <w:col w:w="460" w:space="260"/>
            <w:col w:w="9239"/>
          </w:cols>
          <w:pgMar w:left="500" w:top="1116"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360" w:space="360"/>
            <w:col w:w="9239"/>
          </w:cols>
          <w:pgMar w:left="500" w:top="1116" w:right="1440" w:bottom="1440" w:gutter="0" w:footer="0" w:header="0"/>
          <w:type w:val="continuous"/>
        </w:sectPr>
      </w:pPr>
    </w:p>
    <w:bookmarkStart w:id="124" w:name="page125"/>
    <w:bookmarkEnd w:id="124"/>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 Dave Girouard, certify, pursuant to 18 U.S.C. Section 1350, as adopted pursuant to Section 906 of the Sarbanes-Oxley Act of 2002, that the Quarterly Report on Form 10-Q of Upstart Holdings, Inc. for the quarter ended March 31,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4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Date: May 9, 2022</w:t>
            </w:r>
          </w:p>
        </w:tc>
        <w:tc>
          <w:tcPr>
            <w:tcW w:w="9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/s/ Dave Girouard</w:t>
            </w:r>
          </w:p>
        </w:tc>
      </w:tr>
      <w:tr>
        <w:trPr>
          <w:trHeight w:val="255"/>
        </w:trPr>
        <w:tc>
          <w:tcPr>
            <w:tcW w:w="5460" w:type="dxa"/>
            <w:vAlign w:val="bottom"/>
            <w:tcBorders>
              <w:top w:val="single" w:sz="8" w:color="FEFEFE"/>
            </w:tcBorders>
            <w:shd w:val="clear" w:color="auto" w:fill="FEFEFE"/>
          </w:tcPr>
          <w:p>
            <w:pPr>
              <w:spacing w:after="0"/>
              <w:rPr>
                <w:sz w:val="22"/>
                <w:szCs w:val="22"/>
                <w:color w:val="auto"/>
              </w:rPr>
            </w:pPr>
          </w:p>
        </w:tc>
        <w:tc>
          <w:tcPr>
            <w:tcW w:w="94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Dave Girouard</w:t>
            </w:r>
          </w:p>
        </w:tc>
      </w:tr>
      <w:tr>
        <w:trPr>
          <w:trHeight w:val="309"/>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Chief Executive Officer and President</w:t>
            </w:r>
          </w:p>
        </w:tc>
      </w:tr>
      <w:tr>
        <w:trPr>
          <w:trHeight w:val="297"/>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266"/>
        </w:trPr>
        <w:tc>
          <w:tcPr>
            <w:tcW w:w="5460" w:type="dxa"/>
            <w:vAlign w:val="bottom"/>
            <w:shd w:val="clear" w:color="auto" w:fill="FEFEFE"/>
          </w:tcPr>
          <w:p>
            <w:pPr>
              <w:spacing w:after="0"/>
              <w:rPr>
                <w:sz w:val="23"/>
                <w:szCs w:val="23"/>
                <w:color w:val="auto"/>
              </w:rPr>
            </w:pPr>
          </w:p>
        </w:tc>
        <w:tc>
          <w:tcPr>
            <w:tcW w:w="940" w:type="dxa"/>
            <w:vAlign w:val="bottom"/>
            <w:shd w:val="clear" w:color="auto" w:fill="FEFEFE"/>
          </w:tcPr>
          <w:p>
            <w:pPr>
              <w:spacing w:after="0"/>
              <w:rPr>
                <w:sz w:val="23"/>
                <w:szCs w:val="23"/>
                <w:color w:val="auto"/>
              </w:rPr>
            </w:pPr>
          </w:p>
        </w:tc>
        <w:tc>
          <w:tcPr>
            <w:tcW w:w="4000" w:type="dxa"/>
            <w:vAlign w:val="bottom"/>
            <w:shd w:val="clear" w:color="auto" w:fill="FEFEFE"/>
          </w:tcPr>
          <w:p>
            <w:pPr>
              <w:spacing w:after="0"/>
              <w:rPr>
                <w:sz w:val="23"/>
                <w:szCs w:val="23"/>
                <w:color w:val="auto"/>
              </w:rPr>
            </w:pPr>
          </w:p>
        </w:tc>
      </w:tr>
    </w:tbl>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 Sanjay Datta, certify, pursuant to 18 U.S.C. Section 1350, as adopted pursuant to Section 906 of the Sarbanes-Oxley Act of 2002, that the Quarterly Report on Form 10-Q of Upstart Holdings, Inc. for the quarter ended March 31,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Upstart Holdings, Inc.</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4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Date: May 9, 2022</w:t>
            </w:r>
          </w:p>
        </w:tc>
        <w:tc>
          <w:tcPr>
            <w:tcW w:w="9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/s/ Sanjay Datta</w:t>
            </w:r>
          </w:p>
        </w:tc>
      </w:tr>
      <w:tr>
        <w:trPr>
          <w:trHeight w:val="255"/>
        </w:trPr>
        <w:tc>
          <w:tcPr>
            <w:tcW w:w="5460" w:type="dxa"/>
            <w:vAlign w:val="bottom"/>
            <w:tcBorders>
              <w:top w:val="single" w:sz="8" w:color="FEFEFE"/>
            </w:tcBorders>
            <w:shd w:val="clear" w:color="auto" w:fill="FEFEFE"/>
          </w:tcPr>
          <w:p>
            <w:pPr>
              <w:spacing w:after="0"/>
              <w:rPr>
                <w:sz w:val="22"/>
                <w:szCs w:val="22"/>
                <w:color w:val="auto"/>
              </w:rPr>
            </w:pPr>
          </w:p>
        </w:tc>
        <w:tc>
          <w:tcPr>
            <w:tcW w:w="94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Sanjay Datta</w:t>
            </w:r>
          </w:p>
        </w:tc>
      </w:tr>
      <w:tr>
        <w:trPr>
          <w:trHeight w:val="309"/>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309"/>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(Principal Financial Officer)</w:t>
            </w:r>
          </w:p>
        </w:tc>
      </w:tr>
      <w:tr>
        <w:trPr>
          <w:trHeight w:val="47"/>
        </w:trPr>
        <w:tc>
          <w:tcPr>
            <w:tcW w:w="5460" w:type="dxa"/>
            <w:vAlign w:val="bottom"/>
            <w:shd w:val="clear" w:color="auto" w:fill="FEFEFE"/>
          </w:tcPr>
          <w:p>
            <w:pPr>
              <w:spacing w:after="0"/>
              <w:rPr>
                <w:sz w:val="4"/>
                <w:szCs w:val="4"/>
                <w:color w:val="auto"/>
              </w:rPr>
            </w:pPr>
          </w:p>
        </w:tc>
        <w:tc>
          <w:tcPr>
            <w:tcW w:w="94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2"/>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3"/>
    </w:lvl>
  </w:abstractNum>
  <w:abstractNum w:abstractNumId="9">
    <w:nsid w:val="22221A70"/>
    <w:multiLevelType w:val="hybridMultilevel"/>
    <w:lvl w:ilvl="0">
      <w:lvlJc w:val="left"/>
      <w:lvlText w:val="%1."/>
      <w:numFmt w:val="decimal"/>
      <w:start w:val="4"/>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2"/>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7"/>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1"/>
    </w:lvl>
  </w:abstractNum>
  <w:abstractNum w:abstractNumId="18">
    <w:nsid w:val="77465F01"/>
    <w:multiLevelType w:val="hybridMultilevel"/>
    <w:lvl w:ilvl="0">
      <w:lvlJc w:val="left"/>
      <w:lvlText w:val="%1."/>
      <w:numFmt w:val="decimal"/>
      <w:start w:val="12"/>
    </w:lvl>
  </w:abstractNum>
  <w:abstractNum w:abstractNumId="19">
    <w:nsid w:val="7724C67E"/>
    <w:multiLevelType w:val="hybridMultilevel"/>
    <w:lvl w:ilvl="0">
      <w:lvlJc w:val="left"/>
      <w:lvlText w:val="%1."/>
      <w:numFmt w:val="decimal"/>
      <w:start w:val="13"/>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5"/>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5"/>
    </w:lvl>
  </w:abstractNum>
  <w:abstractNum w:abstractNumId="54">
    <w:nsid w:val="23F9C13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33" Type="http://schemas.openxmlformats.org/officeDocument/2006/relationships/hyperlink" Target="https://www.sec.gov/ix?doc=/Archives/edgar/data/1647639/000164763922000011/upst-202202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2022-05-10T05:25:05Z</dcterms:created>
  <dcterms:modified xsi:type="dcterms:W3CDTF">2022-05-10T05:25:05Z</dcterms:modified>
</cp:coreProperties>
</file>